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AC060">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51013288">
      <w:pPr>
        <w:autoSpaceDE w:val="0"/>
        <w:autoSpaceDN w:val="0"/>
        <w:adjustRightInd w:val="0"/>
        <w:spacing w:line="276" w:lineRule="auto"/>
        <w:ind w:left="357" w:leftChars="170" w:right="-23" w:rightChars="-11"/>
        <w:jc w:val="center"/>
        <w:rPr>
          <w:rFonts w:ascii="宋体" w:hAnsi="宋体" w:eastAsia="宋体" w:cs="宋体"/>
          <w:b/>
          <w:bCs/>
          <w:color w:val="auto"/>
          <w:kern w:val="0"/>
          <w:sz w:val="48"/>
          <w:szCs w:val="48"/>
          <w:highlight w:val="none"/>
          <w:lang w:val="zh-CN"/>
        </w:rPr>
      </w:pPr>
      <w:r>
        <w:rPr>
          <w:rFonts w:hint="eastAsia" w:ascii="宋体" w:hAnsi="宋体" w:eastAsia="宋体" w:cs="宋体"/>
          <w:b/>
          <w:bCs/>
          <w:color w:val="auto"/>
          <w:kern w:val="0"/>
          <w:sz w:val="48"/>
          <w:szCs w:val="48"/>
          <w:highlight w:val="none"/>
          <w:lang w:val="zh-CN"/>
        </w:rPr>
        <w:t>东莞市水务环境投资控股集团净水有限公司2026年-2027年生产药剂液体聚合氯化铝、液体聚合氯化铝铁采购项目</w:t>
      </w:r>
    </w:p>
    <w:p w14:paraId="7196AD34">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0A04F9F5">
      <w:pPr>
        <w:autoSpaceDE w:val="0"/>
        <w:autoSpaceDN w:val="0"/>
        <w:adjustRightInd w:val="0"/>
        <w:ind w:right="-23" w:rightChars="-11"/>
        <w:jc w:val="center"/>
        <w:rPr>
          <w:rFonts w:ascii="宋体" w:hAnsi="宋体" w:eastAsia="宋体" w:cs="宋体"/>
          <w:b/>
          <w:bCs/>
          <w:color w:val="auto"/>
          <w:sz w:val="72"/>
          <w:szCs w:val="72"/>
          <w:highlight w:val="none"/>
          <w:lang w:val="zh-CN"/>
        </w:rPr>
      </w:pPr>
    </w:p>
    <w:p w14:paraId="6E9C5B49">
      <w:pPr>
        <w:autoSpaceDE w:val="0"/>
        <w:autoSpaceDN w:val="0"/>
        <w:adjustRightInd w:val="0"/>
        <w:ind w:right="-23" w:rightChars="-11"/>
        <w:jc w:val="center"/>
        <w:rPr>
          <w:rFonts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21A7F40F">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3F39479F">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4CA31734">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5C7D7897">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46B299A3">
      <w:pPr>
        <w:autoSpaceDE w:val="0"/>
        <w:autoSpaceDN w:val="0"/>
        <w:adjustRightInd w:val="0"/>
        <w:spacing w:line="480" w:lineRule="auto"/>
        <w:ind w:left="1841" w:leftChars="600" w:hanging="581" w:hangingChars="181"/>
        <w:jc w:val="left"/>
        <w:rPr>
          <w:rFonts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号：WQWWQZ12600299</w:t>
      </w:r>
    </w:p>
    <w:p w14:paraId="379404D9">
      <w:pPr>
        <w:autoSpaceDE w:val="0"/>
        <w:autoSpaceDN w:val="0"/>
        <w:adjustRightInd w:val="0"/>
        <w:spacing w:line="480" w:lineRule="auto"/>
        <w:ind w:left="1841" w:leftChars="600" w:hanging="581" w:hangingChars="181"/>
        <w:jc w:val="left"/>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人：东莞市水务环境投资控股集团净水有限公司</w:t>
      </w:r>
    </w:p>
    <w:p w14:paraId="4A0DE6E8">
      <w:pPr>
        <w:autoSpaceDE w:val="0"/>
        <w:autoSpaceDN w:val="0"/>
        <w:adjustRightInd w:val="0"/>
        <w:spacing w:line="480" w:lineRule="auto"/>
        <w:ind w:left="1841" w:leftChars="600" w:hanging="581" w:hangingChars="181"/>
        <w:jc w:val="left"/>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招标代理机构：广东一方项目管理有限公司</w:t>
      </w:r>
    </w:p>
    <w:p w14:paraId="3BB735E8">
      <w:pPr>
        <w:autoSpaceDE w:val="0"/>
        <w:autoSpaceDN w:val="0"/>
        <w:adjustRightInd w:val="0"/>
        <w:ind w:right="-23" w:rightChars="-11"/>
        <w:jc w:val="left"/>
        <w:rPr>
          <w:rFonts w:ascii="宋体" w:hAnsi="宋体" w:eastAsia="宋体" w:cs="宋体"/>
          <w:b/>
          <w:bCs/>
          <w:color w:val="auto"/>
          <w:kern w:val="0"/>
          <w:sz w:val="32"/>
          <w:szCs w:val="32"/>
          <w:highlight w:val="none"/>
          <w:lang w:val="zh-CN"/>
        </w:rPr>
      </w:pPr>
    </w:p>
    <w:p w14:paraId="6C67ADCB">
      <w:pPr>
        <w:autoSpaceDE w:val="0"/>
        <w:autoSpaceDN w:val="0"/>
        <w:adjustRightInd w:val="0"/>
        <w:ind w:right="-23" w:rightChars="-11"/>
        <w:jc w:val="center"/>
        <w:rPr>
          <w:rFonts w:ascii="宋体" w:hAnsi="宋体" w:eastAsia="宋体" w:cs="宋体"/>
          <w:b/>
          <w:bCs/>
          <w:color w:val="auto"/>
          <w:kern w:val="0"/>
          <w:sz w:val="84"/>
          <w:szCs w:val="84"/>
          <w:highlight w:val="none"/>
          <w:lang w:val="zh-CN"/>
        </w:rPr>
      </w:pPr>
    </w:p>
    <w:p w14:paraId="59FEC508">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eastAsia="zh-CN"/>
        </w:rPr>
        <w:t>2026</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03</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05</w:t>
      </w:r>
      <w:r>
        <w:rPr>
          <w:rFonts w:hint="eastAsia" w:ascii="宋体" w:hAnsi="宋体" w:eastAsia="宋体" w:cs="宋体"/>
          <w:b/>
          <w:bCs/>
          <w:color w:val="auto"/>
          <w:sz w:val="32"/>
          <w:szCs w:val="32"/>
          <w:highlight w:val="none"/>
          <w:lang w:val="zh-CN"/>
        </w:rPr>
        <w:t>日</w:t>
      </w:r>
    </w:p>
    <w:p w14:paraId="27798BEC">
      <w:pPr>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4F8EBDFE">
      <w:pPr>
        <w:pageBreakBefore/>
        <w:spacing w:line="360" w:lineRule="auto"/>
        <w:jc w:val="center"/>
        <w:rPr>
          <w:rFonts w:ascii="宋体" w:hAnsi="宋体" w:eastAsia="宋体" w:cs="宋体"/>
          <w:b/>
          <w:color w:val="auto"/>
          <w:sz w:val="36"/>
          <w:szCs w:val="36"/>
          <w:highlight w:val="none"/>
        </w:rPr>
      </w:pPr>
      <w:bookmarkStart w:id="0" w:name="_Toc7755"/>
      <w:bookmarkStart w:id="1" w:name="_Toc16773"/>
      <w:r>
        <w:rPr>
          <w:rFonts w:hint="eastAsia" w:ascii="宋体" w:hAnsi="宋体" w:eastAsia="宋体" w:cs="宋体"/>
          <w:b/>
          <w:color w:val="auto"/>
          <w:sz w:val="36"/>
          <w:szCs w:val="36"/>
          <w:highlight w:val="none"/>
          <w:lang w:bidi="ar"/>
        </w:rPr>
        <w:t>重要提示</w:t>
      </w:r>
      <w:bookmarkEnd w:id="0"/>
      <w:bookmarkEnd w:id="1"/>
    </w:p>
    <w:p w14:paraId="2AB3FEDE">
      <w:pPr>
        <w:pStyle w:val="34"/>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bookmarkStart w:id="2" w:name="_Toc12698"/>
      <w:bookmarkStart w:id="3" w:name="_Toc22951"/>
      <w:r>
        <w:rPr>
          <w:rFonts w:hint="eastAsia" w:eastAsia="宋体" w:cs="宋体"/>
          <w:color w:val="auto"/>
          <w:sz w:val="24"/>
          <w:szCs w:val="24"/>
          <w:highlight w:val="none"/>
          <w:lang w:bidi="ar"/>
        </w:rPr>
        <w:t>1.本次招标项目采用电子标书。</w:t>
      </w:r>
      <w:bookmarkEnd w:id="2"/>
      <w:bookmarkEnd w:id="3"/>
    </w:p>
    <w:p w14:paraId="116CE66B">
      <w:pPr>
        <w:pStyle w:val="34"/>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2.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14:paraId="426B8DEC">
      <w:pPr>
        <w:pStyle w:val="34"/>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3.除特别说明外，招标文件相关条款中提及的以及第六篇“投标文件格式”中包括但不限于“企业数字证书电子签名”及“电子签名”等要求签名的均指由数字证书电子签章或电子签名。</w:t>
      </w:r>
    </w:p>
    <w:p w14:paraId="288FC58F">
      <w:pPr>
        <w:pStyle w:val="34"/>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4.投标人必须使用计算机互联网络（以下简称网络）将投标文件以jjb格式上传提交至东莞市公共资源交易E网通管理平台建设工程交易系统（以下简称交易系统），并在网上签到时，关联到对应的投标项目中。</w:t>
      </w:r>
    </w:p>
    <w:p w14:paraId="11ABC269">
      <w:pPr>
        <w:pStyle w:val="34"/>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5.投标人在交易系统中对投标文件进行解密的电子签名认证证书必须为机构证书或制作本项目投标文件的业务证书。</w:t>
      </w:r>
    </w:p>
    <w:p w14:paraId="2622441E">
      <w:pPr>
        <w:pStyle w:val="34"/>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6.投标人应及时提交投标文件，如在投标文件截止时间前因网络等任何原因未能成功上传投标文件，相关后果由投标人自行承担。</w:t>
      </w:r>
    </w:p>
    <w:p w14:paraId="1A18A83A">
      <w:pPr>
        <w:pStyle w:val="34"/>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14:paraId="0BA8B970">
      <w:pPr>
        <w:pStyle w:val="34"/>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8.如未在投标文件递交截止时间前匹配对应的投标文件，视为投标人未提交。本招标文件中签到、投标文件匹配、投标保证金关联等时间均以东莞市公共资源交易E网通管理平台时间为准。</w:t>
      </w:r>
    </w:p>
    <w:p w14:paraId="63DD3521">
      <w:pPr>
        <w:pStyle w:val="34"/>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14:paraId="72F40EB7">
      <w:pPr>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5C2150EA">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  录</w:t>
      </w:r>
    </w:p>
    <w:p w14:paraId="366A74F2">
      <w:pPr>
        <w:pStyle w:val="28"/>
        <w:tabs>
          <w:tab w:val="right" w:leader="dot" w:pos="982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_Toc4900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第一篇 招标公告</w:t>
      </w:r>
      <w:r>
        <w:rPr>
          <w:color w:val="auto"/>
          <w:highlight w:val="none"/>
        </w:rPr>
        <w:tab/>
      </w:r>
      <w:r>
        <w:rPr>
          <w:color w:val="auto"/>
          <w:highlight w:val="none"/>
        </w:rPr>
        <w:fldChar w:fldCharType="begin"/>
      </w:r>
      <w:r>
        <w:rPr>
          <w:color w:val="auto"/>
          <w:highlight w:val="none"/>
        </w:rPr>
        <w:instrText xml:space="preserve"> PAGEREF _Toc4900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highlight w:val="none"/>
        </w:rPr>
        <w:fldChar w:fldCharType="end"/>
      </w:r>
    </w:p>
    <w:p w14:paraId="03E0ADC9">
      <w:pPr>
        <w:pStyle w:val="28"/>
        <w:tabs>
          <w:tab w:val="right" w:leader="dot" w:pos="982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_Toc23848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color w:val="auto"/>
          <w:highlight w:val="none"/>
        </w:rPr>
        <w:tab/>
      </w:r>
      <w:r>
        <w:rPr>
          <w:color w:val="auto"/>
          <w:highlight w:val="none"/>
        </w:rPr>
        <w:fldChar w:fldCharType="begin"/>
      </w:r>
      <w:r>
        <w:rPr>
          <w:color w:val="auto"/>
          <w:highlight w:val="none"/>
        </w:rPr>
        <w:instrText xml:space="preserve"> PAGEREF _Toc23848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highlight w:val="none"/>
        </w:rPr>
        <w:fldChar w:fldCharType="end"/>
      </w:r>
    </w:p>
    <w:p w14:paraId="424CCB80">
      <w:pPr>
        <w:pStyle w:val="28"/>
        <w:tabs>
          <w:tab w:val="right" w:leader="dot" w:pos="982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_Toc4952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一、总则</w:t>
      </w:r>
      <w:r>
        <w:rPr>
          <w:color w:val="auto"/>
          <w:highlight w:val="none"/>
        </w:rPr>
        <w:tab/>
      </w:r>
      <w:r>
        <w:rPr>
          <w:color w:val="auto"/>
          <w:highlight w:val="none"/>
        </w:rPr>
        <w:fldChar w:fldCharType="begin"/>
      </w:r>
      <w:r>
        <w:rPr>
          <w:color w:val="auto"/>
          <w:highlight w:val="none"/>
        </w:rPr>
        <w:instrText xml:space="preserve"> PAGEREF _Toc4952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highlight w:val="none"/>
        </w:rPr>
        <w:fldChar w:fldCharType="end"/>
      </w:r>
    </w:p>
    <w:p w14:paraId="1B2980EB">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_Toc24640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 资金来源：企业自筹资金。</w:t>
      </w:r>
      <w:r>
        <w:rPr>
          <w:color w:val="auto"/>
          <w:highlight w:val="none"/>
        </w:rPr>
        <w:tab/>
      </w:r>
      <w:r>
        <w:rPr>
          <w:color w:val="auto"/>
          <w:highlight w:val="none"/>
        </w:rPr>
        <w:fldChar w:fldCharType="begin"/>
      </w:r>
      <w:r>
        <w:rPr>
          <w:color w:val="auto"/>
          <w:highlight w:val="none"/>
        </w:rPr>
        <w:instrText xml:space="preserve"> PAGEREF _Toc24640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highlight w:val="none"/>
        </w:rPr>
        <w:fldChar w:fldCharType="end"/>
      </w:r>
    </w:p>
    <w:p w14:paraId="0A569A94">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_Toc26255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 合格的投标人</w:t>
      </w:r>
      <w:r>
        <w:rPr>
          <w:color w:val="auto"/>
          <w:highlight w:val="none"/>
        </w:rPr>
        <w:tab/>
      </w:r>
      <w:r>
        <w:rPr>
          <w:color w:val="auto"/>
          <w:highlight w:val="none"/>
        </w:rPr>
        <w:fldChar w:fldCharType="begin"/>
      </w:r>
      <w:r>
        <w:rPr>
          <w:color w:val="auto"/>
          <w:highlight w:val="none"/>
        </w:rPr>
        <w:instrText xml:space="preserve"> PAGEREF _Toc26255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highlight w:val="none"/>
        </w:rPr>
        <w:fldChar w:fldCharType="end"/>
      </w:r>
    </w:p>
    <w:p w14:paraId="36EA0C2C">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_Toc6716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 合格的货物</w:t>
      </w:r>
      <w:r>
        <w:rPr>
          <w:color w:val="auto"/>
          <w:highlight w:val="none"/>
        </w:rPr>
        <w:tab/>
      </w:r>
      <w:r>
        <w:rPr>
          <w:color w:val="auto"/>
          <w:highlight w:val="none"/>
        </w:rPr>
        <w:fldChar w:fldCharType="begin"/>
      </w:r>
      <w:r>
        <w:rPr>
          <w:color w:val="auto"/>
          <w:highlight w:val="none"/>
        </w:rPr>
        <w:instrText xml:space="preserve"> PAGEREF _Toc6716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highlight w:val="none"/>
        </w:rPr>
        <w:fldChar w:fldCharType="end"/>
      </w:r>
    </w:p>
    <w:p w14:paraId="565160B2">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_Toc16985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4 其它说明</w:t>
      </w:r>
      <w:r>
        <w:rPr>
          <w:color w:val="auto"/>
          <w:highlight w:val="none"/>
        </w:rPr>
        <w:tab/>
      </w:r>
      <w:r>
        <w:rPr>
          <w:color w:val="auto"/>
          <w:highlight w:val="none"/>
        </w:rPr>
        <w:fldChar w:fldCharType="begin"/>
      </w:r>
      <w:r>
        <w:rPr>
          <w:color w:val="auto"/>
          <w:highlight w:val="none"/>
        </w:rPr>
        <w:instrText xml:space="preserve"> PAGEREF _Toc16985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highlight w:val="none"/>
        </w:rPr>
        <w:fldChar w:fldCharType="end"/>
      </w:r>
    </w:p>
    <w:p w14:paraId="6EBDADB3">
      <w:pPr>
        <w:pStyle w:val="28"/>
        <w:tabs>
          <w:tab w:val="right" w:leader="dot" w:pos="982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_Toc31684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二、招标文件</w:t>
      </w:r>
      <w:r>
        <w:rPr>
          <w:color w:val="auto"/>
          <w:highlight w:val="none"/>
        </w:rPr>
        <w:tab/>
      </w:r>
      <w:r>
        <w:rPr>
          <w:color w:val="auto"/>
          <w:highlight w:val="none"/>
        </w:rPr>
        <w:fldChar w:fldCharType="begin"/>
      </w:r>
      <w:r>
        <w:rPr>
          <w:color w:val="auto"/>
          <w:highlight w:val="none"/>
        </w:rPr>
        <w:instrText xml:space="preserve"> PAGEREF _Toc31684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highlight w:val="none"/>
        </w:rPr>
        <w:fldChar w:fldCharType="end"/>
      </w:r>
    </w:p>
    <w:p w14:paraId="60E6A3FA">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_Toc2223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5 招标文件的构成</w:t>
      </w:r>
      <w:r>
        <w:rPr>
          <w:color w:val="auto"/>
          <w:highlight w:val="none"/>
        </w:rPr>
        <w:tab/>
      </w:r>
      <w:r>
        <w:rPr>
          <w:color w:val="auto"/>
          <w:highlight w:val="none"/>
        </w:rPr>
        <w:fldChar w:fldCharType="begin"/>
      </w:r>
      <w:r>
        <w:rPr>
          <w:color w:val="auto"/>
          <w:highlight w:val="none"/>
        </w:rPr>
        <w:instrText xml:space="preserve"> PAGEREF _Toc2223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highlight w:val="none"/>
        </w:rPr>
        <w:fldChar w:fldCharType="end"/>
      </w:r>
    </w:p>
    <w:p w14:paraId="2B0BD4A5">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_Toc2840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6 招标文件的异议</w:t>
      </w:r>
      <w:r>
        <w:rPr>
          <w:color w:val="auto"/>
          <w:highlight w:val="none"/>
        </w:rPr>
        <w:tab/>
      </w:r>
      <w:r>
        <w:rPr>
          <w:color w:val="auto"/>
          <w:highlight w:val="none"/>
        </w:rPr>
        <w:fldChar w:fldCharType="begin"/>
      </w:r>
      <w:r>
        <w:rPr>
          <w:color w:val="auto"/>
          <w:highlight w:val="none"/>
        </w:rPr>
        <w:instrText xml:space="preserve"> PAGEREF _Toc2840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highlight w:val="none"/>
        </w:rPr>
        <w:fldChar w:fldCharType="end"/>
      </w:r>
    </w:p>
    <w:p w14:paraId="7508D7B9">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_Toc19030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7 招标文件的澄清及修改</w:t>
      </w:r>
      <w:r>
        <w:rPr>
          <w:color w:val="auto"/>
          <w:highlight w:val="none"/>
        </w:rPr>
        <w:tab/>
      </w:r>
      <w:r>
        <w:rPr>
          <w:color w:val="auto"/>
          <w:highlight w:val="none"/>
        </w:rPr>
        <w:fldChar w:fldCharType="begin"/>
      </w:r>
      <w:r>
        <w:rPr>
          <w:color w:val="auto"/>
          <w:highlight w:val="none"/>
        </w:rPr>
        <w:instrText xml:space="preserve"> PAGEREF _Toc19030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highlight w:val="none"/>
        </w:rPr>
        <w:fldChar w:fldCharType="end"/>
      </w:r>
    </w:p>
    <w:p w14:paraId="6466BC8F">
      <w:pPr>
        <w:pStyle w:val="28"/>
        <w:tabs>
          <w:tab w:val="right" w:leader="dot" w:pos="982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_Toc13152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color w:val="auto"/>
          <w:highlight w:val="none"/>
        </w:rPr>
        <w:tab/>
      </w:r>
      <w:r>
        <w:rPr>
          <w:color w:val="auto"/>
          <w:highlight w:val="none"/>
        </w:rPr>
        <w:fldChar w:fldCharType="begin"/>
      </w:r>
      <w:r>
        <w:rPr>
          <w:color w:val="auto"/>
          <w:highlight w:val="none"/>
        </w:rPr>
        <w:instrText xml:space="preserve"> PAGEREF _Toc13152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highlight w:val="none"/>
        </w:rPr>
        <w:fldChar w:fldCharType="end"/>
      </w:r>
    </w:p>
    <w:p w14:paraId="48EE9988">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_Toc21856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8 投标使用的文字及度量衡单位</w:t>
      </w:r>
      <w:r>
        <w:rPr>
          <w:color w:val="auto"/>
          <w:highlight w:val="none"/>
        </w:rPr>
        <w:tab/>
      </w:r>
      <w:r>
        <w:rPr>
          <w:color w:val="auto"/>
          <w:highlight w:val="none"/>
        </w:rPr>
        <w:fldChar w:fldCharType="begin"/>
      </w:r>
      <w:r>
        <w:rPr>
          <w:color w:val="auto"/>
          <w:highlight w:val="none"/>
        </w:rPr>
        <w:instrText xml:space="preserve"> PAGEREF _Toc21856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highlight w:val="none"/>
        </w:rPr>
        <w:fldChar w:fldCharType="end"/>
      </w:r>
    </w:p>
    <w:p w14:paraId="507C80AF">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_Toc9140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color w:val="auto"/>
          <w:highlight w:val="none"/>
        </w:rPr>
        <w:tab/>
      </w:r>
      <w:r>
        <w:rPr>
          <w:color w:val="auto"/>
          <w:highlight w:val="none"/>
        </w:rPr>
        <w:fldChar w:fldCharType="begin"/>
      </w:r>
      <w:r>
        <w:rPr>
          <w:color w:val="auto"/>
          <w:highlight w:val="none"/>
        </w:rPr>
        <w:instrText xml:space="preserve"> PAGEREF _Toc9140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highlight w:val="none"/>
        </w:rPr>
        <w:fldChar w:fldCharType="end"/>
      </w:r>
    </w:p>
    <w:p w14:paraId="11F4EF31">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_Toc30897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10 投标函</w:t>
      </w:r>
      <w:r>
        <w:rPr>
          <w:color w:val="auto"/>
          <w:highlight w:val="none"/>
        </w:rPr>
        <w:tab/>
      </w:r>
      <w:r>
        <w:rPr>
          <w:color w:val="auto"/>
          <w:highlight w:val="none"/>
        </w:rPr>
        <w:fldChar w:fldCharType="begin"/>
      </w:r>
      <w:r>
        <w:rPr>
          <w:color w:val="auto"/>
          <w:highlight w:val="none"/>
        </w:rPr>
        <w:instrText xml:space="preserve"> PAGEREF _Toc30897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highlight w:val="none"/>
        </w:rPr>
        <w:fldChar w:fldCharType="end"/>
      </w:r>
    </w:p>
    <w:p w14:paraId="426C9801">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_Toc25343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11 投标报价</w:t>
      </w:r>
      <w:r>
        <w:rPr>
          <w:color w:val="auto"/>
          <w:highlight w:val="none"/>
        </w:rPr>
        <w:tab/>
      </w:r>
      <w:r>
        <w:rPr>
          <w:color w:val="auto"/>
          <w:highlight w:val="none"/>
        </w:rPr>
        <w:fldChar w:fldCharType="begin"/>
      </w:r>
      <w:r>
        <w:rPr>
          <w:color w:val="auto"/>
          <w:highlight w:val="none"/>
        </w:rPr>
        <w:instrText xml:space="preserve"> PAGEREF _Toc25343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highlight w:val="none"/>
        </w:rPr>
        <w:fldChar w:fldCharType="end"/>
      </w:r>
    </w:p>
    <w:p w14:paraId="13C83DCF">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_Toc11443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12 投标报价货币</w:t>
      </w:r>
      <w:r>
        <w:rPr>
          <w:color w:val="auto"/>
          <w:highlight w:val="none"/>
        </w:rPr>
        <w:tab/>
      </w:r>
      <w:r>
        <w:rPr>
          <w:color w:val="auto"/>
          <w:highlight w:val="none"/>
        </w:rPr>
        <w:fldChar w:fldCharType="begin"/>
      </w:r>
      <w:r>
        <w:rPr>
          <w:color w:val="auto"/>
          <w:highlight w:val="none"/>
        </w:rPr>
        <w:instrText xml:space="preserve"> PAGEREF _Toc11443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highlight w:val="none"/>
        </w:rPr>
        <w:fldChar w:fldCharType="end"/>
      </w:r>
    </w:p>
    <w:p w14:paraId="2C3489B4">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_Toc10353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color w:val="auto"/>
          <w:highlight w:val="none"/>
        </w:rPr>
        <w:tab/>
      </w:r>
      <w:r>
        <w:rPr>
          <w:color w:val="auto"/>
          <w:highlight w:val="none"/>
        </w:rPr>
        <w:fldChar w:fldCharType="begin"/>
      </w:r>
      <w:r>
        <w:rPr>
          <w:color w:val="auto"/>
          <w:highlight w:val="none"/>
        </w:rPr>
        <w:instrText xml:space="preserve"> PAGEREF _Toc10353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highlight w:val="none"/>
        </w:rPr>
        <w:fldChar w:fldCharType="end"/>
      </w:r>
    </w:p>
    <w:p w14:paraId="3D2ED4EE">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_Toc4762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14 证明货物的合格性并符合招标文件规定的声明文件</w:t>
      </w:r>
      <w:r>
        <w:rPr>
          <w:color w:val="auto"/>
          <w:highlight w:val="none"/>
        </w:rPr>
        <w:tab/>
      </w:r>
      <w:r>
        <w:rPr>
          <w:color w:val="auto"/>
          <w:highlight w:val="none"/>
        </w:rPr>
        <w:fldChar w:fldCharType="begin"/>
      </w:r>
      <w:r>
        <w:rPr>
          <w:color w:val="auto"/>
          <w:highlight w:val="none"/>
        </w:rPr>
        <w:instrText xml:space="preserve"> PAGEREF _Toc4762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highlight w:val="none"/>
        </w:rPr>
        <w:fldChar w:fldCharType="end"/>
      </w:r>
    </w:p>
    <w:p w14:paraId="6E225D8F">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_Toc17443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15 投标保证金</w:t>
      </w:r>
      <w:r>
        <w:rPr>
          <w:color w:val="auto"/>
          <w:highlight w:val="none"/>
        </w:rPr>
        <w:tab/>
      </w:r>
      <w:r>
        <w:rPr>
          <w:color w:val="auto"/>
          <w:highlight w:val="none"/>
        </w:rPr>
        <w:fldChar w:fldCharType="begin"/>
      </w:r>
      <w:r>
        <w:rPr>
          <w:color w:val="auto"/>
          <w:highlight w:val="none"/>
        </w:rPr>
        <w:instrText xml:space="preserve"> PAGEREF _Toc17443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highlight w:val="none"/>
        </w:rPr>
        <w:fldChar w:fldCharType="end"/>
      </w:r>
    </w:p>
    <w:p w14:paraId="4F6A1D06">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_Toc1773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16 投标有效期</w:t>
      </w:r>
      <w:r>
        <w:rPr>
          <w:color w:val="auto"/>
          <w:highlight w:val="none"/>
        </w:rPr>
        <w:tab/>
      </w:r>
      <w:r>
        <w:rPr>
          <w:color w:val="auto"/>
          <w:highlight w:val="none"/>
        </w:rPr>
        <w:fldChar w:fldCharType="begin"/>
      </w:r>
      <w:r>
        <w:rPr>
          <w:color w:val="auto"/>
          <w:highlight w:val="none"/>
        </w:rPr>
        <w:instrText xml:space="preserve"> PAGEREF _Toc1773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highlight w:val="none"/>
        </w:rPr>
        <w:fldChar w:fldCharType="end"/>
      </w:r>
    </w:p>
    <w:p w14:paraId="425D26A2">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_Toc522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17 投标文件的编制和签署</w:t>
      </w:r>
      <w:r>
        <w:rPr>
          <w:color w:val="auto"/>
          <w:highlight w:val="none"/>
        </w:rPr>
        <w:tab/>
      </w:r>
      <w:r>
        <w:rPr>
          <w:color w:val="auto"/>
          <w:highlight w:val="none"/>
        </w:rPr>
        <w:fldChar w:fldCharType="begin"/>
      </w:r>
      <w:r>
        <w:rPr>
          <w:color w:val="auto"/>
          <w:highlight w:val="none"/>
        </w:rPr>
        <w:instrText xml:space="preserve"> PAGEREF _Toc522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highlight w:val="none"/>
        </w:rPr>
        <w:fldChar w:fldCharType="end"/>
      </w:r>
    </w:p>
    <w:p w14:paraId="62B2463E">
      <w:pPr>
        <w:pStyle w:val="31"/>
        <w:tabs>
          <w:tab w:val="right" w:leader="dot" w:pos="982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_Toc10544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四、投标</w:t>
      </w:r>
      <w:r>
        <w:rPr>
          <w:color w:val="auto"/>
          <w:highlight w:val="none"/>
        </w:rPr>
        <w:tab/>
      </w:r>
      <w:r>
        <w:rPr>
          <w:color w:val="auto"/>
          <w:highlight w:val="none"/>
        </w:rPr>
        <w:fldChar w:fldCharType="begin"/>
      </w:r>
      <w:r>
        <w:rPr>
          <w:color w:val="auto"/>
          <w:highlight w:val="none"/>
        </w:rPr>
        <w:instrText xml:space="preserve"> PAGEREF _Toc10544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highlight w:val="none"/>
        </w:rPr>
        <w:fldChar w:fldCharType="end"/>
      </w:r>
    </w:p>
    <w:p w14:paraId="1EEBD64B">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_Toc380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18 投标文件的加密</w:t>
      </w:r>
      <w:r>
        <w:rPr>
          <w:color w:val="auto"/>
          <w:highlight w:val="none"/>
        </w:rPr>
        <w:tab/>
      </w:r>
      <w:r>
        <w:rPr>
          <w:color w:val="auto"/>
          <w:highlight w:val="none"/>
        </w:rPr>
        <w:fldChar w:fldCharType="begin"/>
      </w:r>
      <w:r>
        <w:rPr>
          <w:color w:val="auto"/>
          <w:highlight w:val="none"/>
        </w:rPr>
        <w:instrText xml:space="preserve"> PAGEREF _Toc380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highlight w:val="none"/>
        </w:rPr>
        <w:fldChar w:fldCharType="end"/>
      </w:r>
    </w:p>
    <w:p w14:paraId="10C6E5A2">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_Toc2515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19 投标文件的提交</w:t>
      </w:r>
      <w:r>
        <w:rPr>
          <w:color w:val="auto"/>
          <w:highlight w:val="none"/>
        </w:rPr>
        <w:tab/>
      </w:r>
      <w:r>
        <w:rPr>
          <w:color w:val="auto"/>
          <w:highlight w:val="none"/>
        </w:rPr>
        <w:fldChar w:fldCharType="begin"/>
      </w:r>
      <w:r>
        <w:rPr>
          <w:color w:val="auto"/>
          <w:highlight w:val="none"/>
        </w:rPr>
        <w:instrText xml:space="preserve"> PAGEREF _Toc2515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highlight w:val="none"/>
        </w:rPr>
        <w:fldChar w:fldCharType="end"/>
      </w:r>
    </w:p>
    <w:p w14:paraId="492578B6">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_Toc3528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20 投标会时间、地点及投标文件提交的截止时间</w:t>
      </w:r>
      <w:r>
        <w:rPr>
          <w:color w:val="auto"/>
          <w:highlight w:val="none"/>
        </w:rPr>
        <w:tab/>
      </w:r>
      <w:r>
        <w:rPr>
          <w:color w:val="auto"/>
          <w:highlight w:val="none"/>
        </w:rPr>
        <w:fldChar w:fldCharType="begin"/>
      </w:r>
      <w:r>
        <w:rPr>
          <w:color w:val="auto"/>
          <w:highlight w:val="none"/>
        </w:rPr>
        <w:instrText xml:space="preserve"> PAGEREF _Toc3528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highlight w:val="none"/>
        </w:rPr>
        <w:fldChar w:fldCharType="end"/>
      </w:r>
    </w:p>
    <w:p w14:paraId="7369F94B">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_Toc30952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21 投标文件的拒绝</w:t>
      </w:r>
      <w:r>
        <w:rPr>
          <w:color w:val="auto"/>
          <w:highlight w:val="none"/>
        </w:rPr>
        <w:tab/>
      </w:r>
      <w:r>
        <w:rPr>
          <w:color w:val="auto"/>
          <w:highlight w:val="none"/>
        </w:rPr>
        <w:fldChar w:fldCharType="begin"/>
      </w:r>
      <w:r>
        <w:rPr>
          <w:color w:val="auto"/>
          <w:highlight w:val="none"/>
        </w:rPr>
        <w:instrText xml:space="preserve"> PAGEREF _Toc30952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highlight w:val="none"/>
        </w:rPr>
        <w:fldChar w:fldCharType="end"/>
      </w:r>
    </w:p>
    <w:p w14:paraId="09B49039">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_Toc10425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r>
        <w:rPr>
          <w:color w:val="auto"/>
          <w:highlight w:val="none"/>
        </w:rPr>
        <w:tab/>
      </w:r>
      <w:r>
        <w:rPr>
          <w:color w:val="auto"/>
          <w:highlight w:val="none"/>
        </w:rPr>
        <w:fldChar w:fldCharType="begin"/>
      </w:r>
      <w:r>
        <w:rPr>
          <w:color w:val="auto"/>
          <w:highlight w:val="none"/>
        </w:rPr>
        <w:instrText xml:space="preserve"> PAGEREF _Toc10425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highlight w:val="none"/>
        </w:rPr>
        <w:fldChar w:fldCharType="end"/>
      </w:r>
    </w:p>
    <w:p w14:paraId="422EF739">
      <w:pPr>
        <w:pStyle w:val="31"/>
        <w:tabs>
          <w:tab w:val="right" w:leader="dot" w:pos="982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_Toc805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五、开标与评标</w:t>
      </w:r>
      <w:r>
        <w:rPr>
          <w:color w:val="auto"/>
          <w:highlight w:val="none"/>
        </w:rPr>
        <w:tab/>
      </w:r>
      <w:r>
        <w:rPr>
          <w:color w:val="auto"/>
          <w:highlight w:val="none"/>
        </w:rPr>
        <w:fldChar w:fldCharType="begin"/>
      </w:r>
      <w:r>
        <w:rPr>
          <w:color w:val="auto"/>
          <w:highlight w:val="none"/>
        </w:rPr>
        <w:instrText xml:space="preserve"> PAGEREF _Toc805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highlight w:val="none"/>
        </w:rPr>
        <w:fldChar w:fldCharType="end"/>
      </w:r>
    </w:p>
    <w:p w14:paraId="1CEA098E">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_Toc15862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r>
        <w:rPr>
          <w:color w:val="auto"/>
          <w:highlight w:val="none"/>
        </w:rPr>
        <w:tab/>
      </w:r>
      <w:r>
        <w:rPr>
          <w:color w:val="auto"/>
          <w:highlight w:val="none"/>
        </w:rPr>
        <w:fldChar w:fldCharType="begin"/>
      </w:r>
      <w:r>
        <w:rPr>
          <w:color w:val="auto"/>
          <w:highlight w:val="none"/>
        </w:rPr>
        <w:instrText xml:space="preserve"> PAGEREF _Toc15862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highlight w:val="none"/>
        </w:rPr>
        <w:fldChar w:fldCharType="end"/>
      </w:r>
    </w:p>
    <w:p w14:paraId="02CAC34D">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_Toc22579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r>
        <w:rPr>
          <w:color w:val="auto"/>
          <w:highlight w:val="none"/>
        </w:rPr>
        <w:tab/>
      </w:r>
      <w:r>
        <w:rPr>
          <w:color w:val="auto"/>
          <w:highlight w:val="none"/>
        </w:rPr>
        <w:fldChar w:fldCharType="begin"/>
      </w:r>
      <w:r>
        <w:rPr>
          <w:color w:val="auto"/>
          <w:highlight w:val="none"/>
        </w:rPr>
        <w:instrText xml:space="preserve"> PAGEREF _Toc22579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highlight w:val="none"/>
        </w:rPr>
        <w:fldChar w:fldCharType="end"/>
      </w:r>
    </w:p>
    <w:p w14:paraId="04F518F6">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_Toc28318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 xml:space="preserve"> 评标委员会</w:t>
      </w:r>
      <w:r>
        <w:rPr>
          <w:color w:val="auto"/>
          <w:highlight w:val="none"/>
        </w:rPr>
        <w:tab/>
      </w:r>
      <w:r>
        <w:rPr>
          <w:color w:val="auto"/>
          <w:highlight w:val="none"/>
        </w:rPr>
        <w:fldChar w:fldCharType="begin"/>
      </w:r>
      <w:r>
        <w:rPr>
          <w:color w:val="auto"/>
          <w:highlight w:val="none"/>
        </w:rPr>
        <w:instrText xml:space="preserve"> PAGEREF _Toc28318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highlight w:val="none"/>
        </w:rPr>
        <w:fldChar w:fldCharType="end"/>
      </w:r>
    </w:p>
    <w:p w14:paraId="25C53DB6">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_Toc27753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r>
        <w:rPr>
          <w:color w:val="auto"/>
          <w:highlight w:val="none"/>
        </w:rPr>
        <w:tab/>
      </w:r>
      <w:r>
        <w:rPr>
          <w:color w:val="auto"/>
          <w:highlight w:val="none"/>
        </w:rPr>
        <w:fldChar w:fldCharType="begin"/>
      </w:r>
      <w:r>
        <w:rPr>
          <w:color w:val="auto"/>
          <w:highlight w:val="none"/>
        </w:rPr>
        <w:instrText xml:space="preserve"> PAGEREF _Toc27753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highlight w:val="none"/>
        </w:rPr>
        <w:fldChar w:fldCharType="end"/>
      </w:r>
    </w:p>
    <w:p w14:paraId="7223752A">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_Toc7829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 xml:space="preserve"> 投标文件的初审</w:t>
      </w:r>
      <w:r>
        <w:rPr>
          <w:color w:val="auto"/>
          <w:highlight w:val="none"/>
        </w:rPr>
        <w:tab/>
      </w:r>
      <w:r>
        <w:rPr>
          <w:color w:val="auto"/>
          <w:highlight w:val="none"/>
        </w:rPr>
        <w:fldChar w:fldCharType="begin"/>
      </w:r>
      <w:r>
        <w:rPr>
          <w:color w:val="auto"/>
          <w:highlight w:val="none"/>
        </w:rPr>
        <w:instrText xml:space="preserve"> PAGEREF _Toc7829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highlight w:val="none"/>
        </w:rPr>
        <w:fldChar w:fldCharType="end"/>
      </w:r>
    </w:p>
    <w:p w14:paraId="4CE2C247">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_Toc31067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 投标文件的澄清</w:t>
      </w:r>
      <w:r>
        <w:rPr>
          <w:color w:val="auto"/>
          <w:highlight w:val="none"/>
        </w:rPr>
        <w:tab/>
      </w:r>
      <w:r>
        <w:rPr>
          <w:color w:val="auto"/>
          <w:highlight w:val="none"/>
        </w:rPr>
        <w:fldChar w:fldCharType="begin"/>
      </w:r>
      <w:r>
        <w:rPr>
          <w:color w:val="auto"/>
          <w:highlight w:val="none"/>
        </w:rPr>
        <w:instrText xml:space="preserve"> PAGEREF _Toc31067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highlight w:val="none"/>
        </w:rPr>
        <w:fldChar w:fldCharType="end"/>
      </w:r>
    </w:p>
    <w:p w14:paraId="79FC2414">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 xml:space="preserve"> 对投标文件的比较和评价</w:t>
      </w:r>
      <w:r>
        <w:rPr>
          <w:color w:val="auto"/>
          <w:highlight w:val="none"/>
        </w:rPr>
        <w:tab/>
      </w:r>
      <w:r>
        <w:rPr>
          <w:color w:val="auto"/>
          <w:highlight w:val="none"/>
        </w:rPr>
        <w:fldChar w:fldCharType="begin"/>
      </w:r>
      <w:r>
        <w:rPr>
          <w:color w:val="auto"/>
          <w:highlight w:val="none"/>
        </w:rPr>
        <w:instrText xml:space="preserve"> PAGEREF _Toc31063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highlight w:val="none"/>
        </w:rPr>
        <w:fldChar w:fldCharType="end"/>
      </w:r>
    </w:p>
    <w:p w14:paraId="52515037">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_Toc23529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评标原则及方法</w:t>
      </w:r>
      <w:r>
        <w:rPr>
          <w:color w:val="auto"/>
          <w:highlight w:val="none"/>
        </w:rPr>
        <w:tab/>
      </w:r>
      <w:r>
        <w:rPr>
          <w:color w:val="auto"/>
          <w:highlight w:val="none"/>
        </w:rPr>
        <w:fldChar w:fldCharType="begin"/>
      </w:r>
      <w:r>
        <w:rPr>
          <w:color w:val="auto"/>
          <w:highlight w:val="none"/>
        </w:rPr>
        <w:instrText xml:space="preserve"> PAGEREF _Toc23529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highlight w:val="none"/>
        </w:rPr>
        <w:fldChar w:fldCharType="end"/>
      </w:r>
    </w:p>
    <w:p w14:paraId="210A312A">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_Toc4689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评标结果公示及异议、投诉</w:t>
      </w:r>
      <w:r>
        <w:rPr>
          <w:color w:val="auto"/>
          <w:highlight w:val="none"/>
        </w:rPr>
        <w:tab/>
      </w:r>
      <w:r>
        <w:rPr>
          <w:color w:val="auto"/>
          <w:highlight w:val="none"/>
        </w:rPr>
        <w:fldChar w:fldCharType="begin"/>
      </w:r>
      <w:r>
        <w:rPr>
          <w:color w:val="auto"/>
          <w:highlight w:val="none"/>
        </w:rPr>
        <w:instrText xml:space="preserve"> PAGEREF _Toc4689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highlight w:val="none"/>
        </w:rPr>
        <w:fldChar w:fldCharType="end"/>
      </w:r>
    </w:p>
    <w:p w14:paraId="2275E293">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_Toc942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真实性审查</w:t>
      </w:r>
      <w:r>
        <w:rPr>
          <w:color w:val="auto"/>
          <w:highlight w:val="none"/>
        </w:rPr>
        <w:tab/>
      </w:r>
      <w:r>
        <w:rPr>
          <w:color w:val="auto"/>
          <w:highlight w:val="none"/>
        </w:rPr>
        <w:fldChar w:fldCharType="begin"/>
      </w:r>
      <w:r>
        <w:rPr>
          <w:color w:val="auto"/>
          <w:highlight w:val="none"/>
        </w:rPr>
        <w:instrText xml:space="preserve"> PAGEREF _Toc942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highlight w:val="none"/>
        </w:rPr>
        <w:fldChar w:fldCharType="end"/>
      </w:r>
    </w:p>
    <w:p w14:paraId="1452E60A">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_Toc9484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r>
        <w:rPr>
          <w:color w:val="auto"/>
          <w:highlight w:val="none"/>
        </w:rPr>
        <w:tab/>
      </w:r>
      <w:r>
        <w:rPr>
          <w:color w:val="auto"/>
          <w:highlight w:val="none"/>
        </w:rPr>
        <w:fldChar w:fldCharType="begin"/>
      </w:r>
      <w:r>
        <w:rPr>
          <w:color w:val="auto"/>
          <w:highlight w:val="none"/>
        </w:rPr>
        <w:instrText xml:space="preserve"> PAGEREF _Toc9484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highlight w:val="none"/>
        </w:rPr>
        <w:fldChar w:fldCharType="end"/>
      </w:r>
    </w:p>
    <w:p w14:paraId="0D088D3E">
      <w:pPr>
        <w:pStyle w:val="31"/>
        <w:tabs>
          <w:tab w:val="right" w:leader="dot" w:pos="982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_Toc1791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六、授予合同</w:t>
      </w:r>
      <w:r>
        <w:rPr>
          <w:color w:val="auto"/>
          <w:highlight w:val="none"/>
        </w:rPr>
        <w:tab/>
      </w:r>
      <w:r>
        <w:rPr>
          <w:color w:val="auto"/>
          <w:highlight w:val="none"/>
        </w:rPr>
        <w:fldChar w:fldCharType="begin"/>
      </w:r>
      <w:r>
        <w:rPr>
          <w:color w:val="auto"/>
          <w:highlight w:val="none"/>
        </w:rPr>
        <w:instrText xml:space="preserve"> PAGEREF _Toc1791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highlight w:val="none"/>
        </w:rPr>
        <w:fldChar w:fldCharType="end"/>
      </w:r>
    </w:p>
    <w:p w14:paraId="5D9C735C">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_Toc23475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授予合同的准则</w:t>
      </w:r>
      <w:r>
        <w:rPr>
          <w:color w:val="auto"/>
          <w:highlight w:val="none"/>
        </w:rPr>
        <w:tab/>
      </w:r>
      <w:r>
        <w:rPr>
          <w:color w:val="auto"/>
          <w:highlight w:val="none"/>
        </w:rPr>
        <w:fldChar w:fldCharType="begin"/>
      </w:r>
      <w:r>
        <w:rPr>
          <w:color w:val="auto"/>
          <w:highlight w:val="none"/>
        </w:rPr>
        <w:instrText xml:space="preserve"> PAGEREF _Toc23475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highlight w:val="none"/>
        </w:rPr>
        <w:fldChar w:fldCharType="end"/>
      </w:r>
    </w:p>
    <w:p w14:paraId="237E10AC">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_Toc18399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 xml:space="preserve"> 中标通知</w:t>
      </w:r>
      <w:r>
        <w:rPr>
          <w:color w:val="auto"/>
          <w:highlight w:val="none"/>
        </w:rPr>
        <w:tab/>
      </w:r>
      <w:r>
        <w:rPr>
          <w:color w:val="auto"/>
          <w:highlight w:val="none"/>
        </w:rPr>
        <w:fldChar w:fldCharType="begin"/>
      </w:r>
      <w:r>
        <w:rPr>
          <w:color w:val="auto"/>
          <w:highlight w:val="none"/>
        </w:rPr>
        <w:instrText xml:space="preserve"> PAGEREF _Toc18399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highlight w:val="none"/>
        </w:rPr>
        <w:fldChar w:fldCharType="end"/>
      </w:r>
    </w:p>
    <w:p w14:paraId="08283191">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_Toc30389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签署合同</w:t>
      </w:r>
      <w:r>
        <w:rPr>
          <w:color w:val="auto"/>
          <w:highlight w:val="none"/>
        </w:rPr>
        <w:tab/>
      </w:r>
      <w:r>
        <w:rPr>
          <w:color w:val="auto"/>
          <w:highlight w:val="none"/>
        </w:rPr>
        <w:fldChar w:fldCharType="begin"/>
      </w:r>
      <w:r>
        <w:rPr>
          <w:color w:val="auto"/>
          <w:highlight w:val="none"/>
        </w:rPr>
        <w:instrText xml:space="preserve"> PAGEREF _Toc30389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highlight w:val="none"/>
        </w:rPr>
        <w:fldChar w:fldCharType="end"/>
      </w:r>
    </w:p>
    <w:p w14:paraId="7E254191">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_Toc14736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37 </w:t>
      </w:r>
      <w:r>
        <w:rPr>
          <w:rFonts w:hint="eastAsia" w:ascii="宋体" w:hAnsi="宋体" w:eastAsia="宋体" w:cs="宋体"/>
          <w:color w:val="auto"/>
          <w:szCs w:val="21"/>
          <w:highlight w:val="none"/>
          <w:lang w:val="zh-CN"/>
        </w:rPr>
        <w:t>履约担保</w:t>
      </w:r>
      <w:r>
        <w:rPr>
          <w:color w:val="auto"/>
          <w:highlight w:val="none"/>
        </w:rPr>
        <w:tab/>
      </w:r>
      <w:r>
        <w:rPr>
          <w:color w:val="auto"/>
          <w:highlight w:val="none"/>
        </w:rPr>
        <w:fldChar w:fldCharType="begin"/>
      </w:r>
      <w:r>
        <w:rPr>
          <w:color w:val="auto"/>
          <w:highlight w:val="none"/>
        </w:rPr>
        <w:instrText xml:space="preserve"> PAGEREF _Toc14736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highlight w:val="none"/>
        </w:rPr>
        <w:fldChar w:fldCharType="end"/>
      </w:r>
    </w:p>
    <w:p w14:paraId="4C949EB3">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_Toc18071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r>
        <w:rPr>
          <w:color w:val="auto"/>
          <w:highlight w:val="none"/>
        </w:rPr>
        <w:tab/>
      </w:r>
      <w:r>
        <w:rPr>
          <w:color w:val="auto"/>
          <w:highlight w:val="none"/>
        </w:rPr>
        <w:fldChar w:fldCharType="begin"/>
      </w:r>
      <w:r>
        <w:rPr>
          <w:color w:val="auto"/>
          <w:highlight w:val="none"/>
        </w:rPr>
        <w:instrText xml:space="preserve"> PAGEREF _Toc18071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highlight w:val="none"/>
        </w:rPr>
        <w:fldChar w:fldCharType="end"/>
      </w:r>
    </w:p>
    <w:p w14:paraId="6B587295">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_Toc5033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r>
        <w:rPr>
          <w:color w:val="auto"/>
          <w:highlight w:val="none"/>
        </w:rPr>
        <w:tab/>
      </w:r>
      <w:r>
        <w:rPr>
          <w:color w:val="auto"/>
          <w:highlight w:val="none"/>
        </w:rPr>
        <w:fldChar w:fldCharType="begin"/>
      </w:r>
      <w:r>
        <w:rPr>
          <w:color w:val="auto"/>
          <w:highlight w:val="none"/>
        </w:rPr>
        <w:instrText xml:space="preserve"> PAGEREF _Toc5033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highlight w:val="none"/>
        </w:rPr>
        <w:fldChar w:fldCharType="end"/>
      </w:r>
    </w:p>
    <w:p w14:paraId="3D8214EA">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_Toc12592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41 招标相关补充约定</w:t>
      </w:r>
      <w:r>
        <w:rPr>
          <w:color w:val="auto"/>
          <w:highlight w:val="none"/>
        </w:rPr>
        <w:tab/>
      </w:r>
      <w:r>
        <w:rPr>
          <w:color w:val="auto"/>
          <w:highlight w:val="none"/>
        </w:rPr>
        <w:fldChar w:fldCharType="begin"/>
      </w:r>
      <w:r>
        <w:rPr>
          <w:color w:val="auto"/>
          <w:highlight w:val="none"/>
        </w:rPr>
        <w:instrText xml:space="preserve"> PAGEREF _Toc12592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highlight w:val="none"/>
        </w:rPr>
        <w:fldChar w:fldCharType="end"/>
      </w:r>
    </w:p>
    <w:p w14:paraId="46B1007B">
      <w:pPr>
        <w:pStyle w:val="21"/>
        <w:tabs>
          <w:tab w:val="right" w:leader="dot" w:pos="9820"/>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_Toc26327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42 本次招标活动的最终解释权归招标代理机构及招标人所有。</w:t>
      </w:r>
      <w:r>
        <w:rPr>
          <w:color w:val="auto"/>
          <w:highlight w:val="none"/>
        </w:rPr>
        <w:tab/>
      </w:r>
      <w:r>
        <w:rPr>
          <w:color w:val="auto"/>
          <w:highlight w:val="none"/>
        </w:rPr>
        <w:fldChar w:fldCharType="begin"/>
      </w:r>
      <w:r>
        <w:rPr>
          <w:color w:val="auto"/>
          <w:highlight w:val="none"/>
        </w:rPr>
        <w:instrText xml:space="preserve"> PAGEREF _Toc26327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highlight w:val="none"/>
        </w:rPr>
        <w:fldChar w:fldCharType="end"/>
      </w:r>
    </w:p>
    <w:p w14:paraId="60EB7C00">
      <w:pPr>
        <w:pStyle w:val="31"/>
        <w:tabs>
          <w:tab w:val="right" w:leader="dot" w:pos="982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_Toc1505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第三篇 用户需求书</w:t>
      </w:r>
      <w:r>
        <w:rPr>
          <w:color w:val="auto"/>
          <w:highlight w:val="none"/>
        </w:rPr>
        <w:tab/>
      </w:r>
      <w:r>
        <w:rPr>
          <w:color w:val="auto"/>
          <w:highlight w:val="none"/>
        </w:rPr>
        <w:fldChar w:fldCharType="begin"/>
      </w:r>
      <w:r>
        <w:rPr>
          <w:color w:val="auto"/>
          <w:highlight w:val="none"/>
        </w:rPr>
        <w:instrText xml:space="preserve"> PAGEREF _Toc1505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highlight w:val="none"/>
        </w:rPr>
        <w:fldChar w:fldCharType="end"/>
      </w:r>
    </w:p>
    <w:p w14:paraId="5C35403D">
      <w:pPr>
        <w:pStyle w:val="31"/>
        <w:tabs>
          <w:tab w:val="right" w:leader="dot" w:pos="982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_Toc14180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第四篇 合同条款格式</w:t>
      </w:r>
      <w:r>
        <w:rPr>
          <w:color w:val="auto"/>
          <w:highlight w:val="none"/>
        </w:rPr>
        <w:tab/>
      </w:r>
      <w:r>
        <w:rPr>
          <w:color w:val="auto"/>
          <w:highlight w:val="none"/>
        </w:rPr>
        <w:fldChar w:fldCharType="begin"/>
      </w:r>
      <w:r>
        <w:rPr>
          <w:color w:val="auto"/>
          <w:highlight w:val="none"/>
        </w:rPr>
        <w:instrText xml:space="preserve"> PAGEREF _Toc14180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eastAsia="宋体" w:cs="宋体"/>
          <w:color w:val="auto"/>
          <w:highlight w:val="none"/>
        </w:rPr>
        <w:fldChar w:fldCharType="end"/>
      </w:r>
    </w:p>
    <w:p w14:paraId="60D9AA3F">
      <w:pPr>
        <w:pStyle w:val="31"/>
        <w:tabs>
          <w:tab w:val="right" w:leader="dot" w:pos="982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_Toc24712 </w:instrText>
      </w:r>
      <w:r>
        <w:rPr>
          <w:rFonts w:hint="eastAsia" w:ascii="宋体" w:hAnsi="宋体" w:eastAsia="宋体" w:cs="宋体"/>
          <w:color w:val="auto"/>
          <w:highlight w:val="none"/>
        </w:rPr>
        <w:fldChar w:fldCharType="separate"/>
      </w:r>
      <w:r>
        <w:rPr>
          <w:rFonts w:hint="eastAsia" w:ascii="宋体" w:hAnsi="宋体" w:eastAsia="宋体" w:cs="Times New Roman"/>
          <w:bCs/>
          <w:color w:val="auto"/>
          <w:szCs w:val="32"/>
          <w:highlight w:val="none"/>
          <w:lang w:val="zh-CN"/>
        </w:rPr>
        <w:t>第五篇</w:t>
      </w:r>
      <w:r>
        <w:rPr>
          <w:rFonts w:ascii="宋体" w:hAnsi="宋体" w:eastAsia="宋体" w:cs="Times New Roman"/>
          <w:bCs/>
          <w:color w:val="auto"/>
          <w:szCs w:val="32"/>
          <w:highlight w:val="none"/>
          <w:lang w:val="zh-CN"/>
        </w:rPr>
        <w:t xml:space="preserve"> </w:t>
      </w:r>
      <w:r>
        <w:rPr>
          <w:rFonts w:hint="eastAsia" w:ascii="宋体" w:hAnsi="宋体" w:eastAsia="宋体" w:cs="Times New Roman"/>
          <w:bCs/>
          <w:color w:val="auto"/>
          <w:szCs w:val="32"/>
          <w:highlight w:val="none"/>
          <w:lang w:val="zh-CN"/>
        </w:rPr>
        <w:t>相关保函格式</w:t>
      </w:r>
      <w:r>
        <w:rPr>
          <w:color w:val="auto"/>
          <w:highlight w:val="none"/>
        </w:rPr>
        <w:tab/>
      </w:r>
      <w:r>
        <w:rPr>
          <w:color w:val="auto"/>
          <w:highlight w:val="none"/>
        </w:rPr>
        <w:fldChar w:fldCharType="begin"/>
      </w:r>
      <w:r>
        <w:rPr>
          <w:color w:val="auto"/>
          <w:highlight w:val="none"/>
        </w:rPr>
        <w:instrText xml:space="preserve"> PAGEREF _Toc24712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eastAsia="宋体" w:cs="宋体"/>
          <w:color w:val="auto"/>
          <w:highlight w:val="none"/>
        </w:rPr>
        <w:fldChar w:fldCharType="end"/>
      </w:r>
    </w:p>
    <w:p w14:paraId="728A74E7">
      <w:pPr>
        <w:pStyle w:val="28"/>
        <w:tabs>
          <w:tab w:val="right" w:leader="dot" w:pos="9820"/>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_Toc28424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第六篇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投标文件格式</w:t>
      </w:r>
      <w:r>
        <w:rPr>
          <w:color w:val="auto"/>
          <w:highlight w:val="none"/>
        </w:rPr>
        <w:tab/>
      </w:r>
      <w:r>
        <w:rPr>
          <w:color w:val="auto"/>
          <w:highlight w:val="none"/>
        </w:rPr>
        <w:fldChar w:fldCharType="begin"/>
      </w:r>
      <w:r>
        <w:rPr>
          <w:color w:val="auto"/>
          <w:highlight w:val="none"/>
        </w:rPr>
        <w:instrText xml:space="preserve"> PAGEREF _Toc28424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highlight w:val="none"/>
        </w:rPr>
        <w:fldChar w:fldCharType="end"/>
      </w:r>
    </w:p>
    <w:p w14:paraId="1230D9C0">
      <w:pPr>
        <w:pStyle w:val="28"/>
        <w:tabs>
          <w:tab w:val="right" w:leader="dot" w:pos="9820"/>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_Toc25618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附件一：评标工作大纲</w:t>
      </w:r>
      <w:r>
        <w:rPr>
          <w:color w:val="auto"/>
          <w:highlight w:val="none"/>
        </w:rPr>
        <w:tab/>
      </w:r>
      <w:r>
        <w:rPr>
          <w:color w:val="auto"/>
          <w:highlight w:val="none"/>
        </w:rPr>
        <w:fldChar w:fldCharType="begin"/>
      </w:r>
      <w:r>
        <w:rPr>
          <w:color w:val="auto"/>
          <w:highlight w:val="none"/>
        </w:rPr>
        <w:instrText xml:space="preserve"> PAGEREF _Toc25618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highlight w:val="none"/>
        </w:rPr>
        <w:fldChar w:fldCharType="end"/>
      </w:r>
    </w:p>
    <w:p w14:paraId="7A6A3344">
      <w:pPr>
        <w:pStyle w:val="31"/>
        <w:tabs>
          <w:tab w:val="right" w:leader="dot" w:pos="9820"/>
        </w:tabs>
        <w:rPr>
          <w:color w:val="auto"/>
          <w:highlight w:val="none"/>
        </w:rPr>
      </w:pPr>
    </w:p>
    <w:p w14:paraId="0456D8EE">
      <w:pPr>
        <w:spacing w:line="360" w:lineRule="auto"/>
        <w:rPr>
          <w:rFonts w:ascii="宋体" w:hAnsi="宋体" w:eastAsia="宋体" w:cs="宋体"/>
          <w:color w:val="auto"/>
          <w:highlight w:val="none"/>
        </w:rPr>
      </w:pPr>
      <w:r>
        <w:rPr>
          <w:rFonts w:hint="eastAsia" w:ascii="宋体" w:hAnsi="宋体" w:eastAsia="宋体" w:cs="宋体"/>
          <w:color w:val="auto"/>
          <w:highlight w:val="none"/>
        </w:rPr>
        <w:fldChar w:fldCharType="end"/>
      </w:r>
    </w:p>
    <w:p w14:paraId="23020854">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lang w:val="zh-CN"/>
        </w:rPr>
      </w:pPr>
      <w:bookmarkStart w:id="4" w:name="_Toc450662846"/>
      <w:bookmarkStart w:id="5" w:name="_Toc20249"/>
      <w:bookmarkStart w:id="6" w:name="_Toc142508310"/>
      <w:bookmarkStart w:id="7" w:name="_Toc486167660"/>
      <w:bookmarkStart w:id="8" w:name="_Toc2723_WPSOffice_Level1"/>
      <w:bookmarkStart w:id="9" w:name="_Toc4900"/>
      <w:bookmarkStart w:id="10" w:name="_Toc17326"/>
      <w:bookmarkStart w:id="11" w:name="_Toc4869"/>
      <w:r>
        <w:rPr>
          <w:rFonts w:hint="eastAsia" w:ascii="宋体" w:hAnsi="宋体" w:eastAsia="宋体" w:cs="宋体"/>
          <w:b/>
          <w:bCs/>
          <w:color w:val="auto"/>
          <w:kern w:val="44"/>
          <w:sz w:val="32"/>
          <w:szCs w:val="32"/>
          <w:highlight w:val="none"/>
          <w:lang w:val="zh-CN"/>
        </w:rPr>
        <w:t>第一篇 招标公告</w:t>
      </w:r>
      <w:bookmarkEnd w:id="4"/>
      <w:bookmarkEnd w:id="5"/>
      <w:bookmarkEnd w:id="6"/>
      <w:bookmarkEnd w:id="7"/>
      <w:bookmarkEnd w:id="8"/>
      <w:bookmarkEnd w:id="9"/>
      <w:bookmarkEnd w:id="10"/>
      <w:bookmarkEnd w:id="11"/>
    </w:p>
    <w:p w14:paraId="2D94ABAB">
      <w:pPr>
        <w:autoSpaceDE w:val="0"/>
        <w:autoSpaceDN w:val="0"/>
        <w:adjustRightInd w:val="0"/>
        <w:snapToGrid w:val="0"/>
        <w:spacing w:line="360" w:lineRule="auto"/>
        <w:ind w:right="-34" w:firstLine="420" w:firstLineChars="20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lang w:eastAsia="zh-CN"/>
        </w:rPr>
        <w:t>广东一方项目管理有限公司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rPr>
        <w:t>东莞市水务环境投资控股集团净水有限公司</w:t>
      </w:r>
      <w:r>
        <w:rPr>
          <w:rFonts w:hint="eastAsia" w:ascii="宋体" w:hAnsi="宋体" w:eastAsia="宋体" w:cs="宋体"/>
          <w:color w:val="auto"/>
          <w:szCs w:val="21"/>
          <w:highlight w:val="none"/>
          <w:lang w:val="zh-CN"/>
        </w:rPr>
        <w:t>（以下简称“招标人”）的委托，对</w:t>
      </w:r>
      <w:bookmarkStart w:id="12" w:name="_Hlk41903390"/>
      <w:r>
        <w:rPr>
          <w:rFonts w:hint="eastAsia" w:ascii="宋体" w:hAnsi="宋体" w:eastAsia="宋体" w:cs="宋体"/>
          <w:color w:val="auto"/>
          <w:kern w:val="0"/>
          <w:szCs w:val="21"/>
          <w:highlight w:val="none"/>
          <w:lang w:eastAsia="zh-CN"/>
        </w:rPr>
        <w:t>东莞市水务环境投资控股集团净水有限公司2026年-2027年生产药剂液体聚合氯化铝、液体聚合氯化铝铁采购项目</w:t>
      </w:r>
      <w:r>
        <w:rPr>
          <w:rFonts w:hint="eastAsia" w:ascii="宋体" w:hAnsi="宋体" w:eastAsia="宋体" w:cs="宋体"/>
          <w:color w:val="auto"/>
          <w:szCs w:val="21"/>
          <w:highlight w:val="none"/>
          <w:lang w:val="zh-CN"/>
        </w:rPr>
        <w:t>(招标编号：WQWWQZ12600299)</w:t>
      </w:r>
      <w:bookmarkEnd w:id="12"/>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1872C51D">
      <w:pPr>
        <w:autoSpaceDE w:val="0"/>
        <w:autoSpaceDN w:val="0"/>
        <w:adjustRightInd w:val="0"/>
        <w:spacing w:line="360" w:lineRule="auto"/>
        <w:ind w:right="-29" w:rightChars="-14" w:firstLine="420" w:firstLineChars="200"/>
        <w:rPr>
          <w:rFonts w:ascii="宋体" w:hAnsi="宋体" w:eastAsia="宋体" w:cs="宋体"/>
          <w:color w:val="auto"/>
          <w:szCs w:val="21"/>
          <w:highlight w:val="none"/>
          <w:lang w:val="zh-CN"/>
        </w:rPr>
      </w:pPr>
    </w:p>
    <w:p w14:paraId="6DB2485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宋体"/>
          <w:color w:val="auto"/>
          <w:szCs w:val="21"/>
          <w:highlight w:val="none"/>
          <w:u w:val="single"/>
        </w:rPr>
        <w:t>本次采购东莞市水务环境投资控股集团净水有限公司旗下运营项目所需生产药剂：液体聚合氯化铝、液体聚合氯化铝铁。</w:t>
      </w:r>
    </w:p>
    <w:p w14:paraId="2F5C731F">
      <w:pPr>
        <w:bidi w:val="0"/>
        <w:rPr>
          <w:color w:val="auto"/>
          <w:highlight w:val="none"/>
          <w:lang w:val="zh-CN"/>
        </w:rPr>
      </w:pPr>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500"/>
        <w:gridCol w:w="1451"/>
        <w:gridCol w:w="2518"/>
        <w:gridCol w:w="3371"/>
      </w:tblGrid>
      <w:tr w14:paraId="52C5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95" w:type="pct"/>
            <w:vMerge w:val="restart"/>
            <w:tcBorders>
              <w:top w:val="single" w:color="auto" w:sz="4" w:space="0"/>
              <w:left w:val="single" w:color="auto" w:sz="4" w:space="0"/>
              <w:right w:val="single" w:color="auto" w:sz="4" w:space="0"/>
            </w:tcBorders>
            <w:vAlign w:val="center"/>
          </w:tcPr>
          <w:p w14:paraId="0BFFC6DB">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货物名称</w:t>
            </w:r>
          </w:p>
        </w:tc>
        <w:tc>
          <w:tcPr>
            <w:tcW w:w="1470" w:type="pct"/>
            <w:gridSpan w:val="2"/>
            <w:tcBorders>
              <w:top w:val="single" w:color="auto" w:sz="4" w:space="0"/>
              <w:left w:val="single" w:color="auto" w:sz="4" w:space="0"/>
              <w:bottom w:val="single" w:color="auto" w:sz="4" w:space="0"/>
              <w:right w:val="single" w:color="auto" w:sz="4" w:space="0"/>
            </w:tcBorders>
            <w:vAlign w:val="center"/>
          </w:tcPr>
          <w:p w14:paraId="2034879D">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暂定采购数量（吨）</w:t>
            </w:r>
          </w:p>
        </w:tc>
        <w:tc>
          <w:tcPr>
            <w:tcW w:w="1254" w:type="pct"/>
            <w:vMerge w:val="restart"/>
            <w:tcBorders>
              <w:top w:val="single" w:color="auto" w:sz="4" w:space="0"/>
              <w:left w:val="single" w:color="auto" w:sz="4" w:space="0"/>
              <w:right w:val="single" w:color="auto" w:sz="4" w:space="0"/>
            </w:tcBorders>
            <w:vAlign w:val="center"/>
          </w:tcPr>
          <w:p w14:paraId="6ACE8159">
            <w:pPr>
              <w:snapToGrid w:val="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预算综合单价（不含税）</w:t>
            </w:r>
          </w:p>
          <w:p w14:paraId="4E205F85">
            <w:pPr>
              <w:snapToGrid w:val="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（元/吨）</w:t>
            </w:r>
          </w:p>
        </w:tc>
        <w:tc>
          <w:tcPr>
            <w:tcW w:w="1679" w:type="pct"/>
            <w:vMerge w:val="restart"/>
            <w:tcBorders>
              <w:top w:val="single" w:color="auto" w:sz="4" w:space="0"/>
              <w:left w:val="single" w:color="auto" w:sz="4" w:space="0"/>
              <w:right w:val="single" w:color="auto" w:sz="4" w:space="0"/>
            </w:tcBorders>
            <w:vAlign w:val="center"/>
          </w:tcPr>
          <w:p w14:paraId="3E3EB674">
            <w:pPr>
              <w:snapToGrid w:val="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使用单位</w:t>
            </w:r>
          </w:p>
          <w:p w14:paraId="7AB523E8">
            <w:pPr>
              <w:snapToGrid w:val="0"/>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（招标人</w:t>
            </w:r>
            <w:r>
              <w:rPr>
                <w:rFonts w:hint="eastAsia" w:ascii="宋体" w:hAnsi="宋体" w:eastAsia="宋体" w:cs="宋体"/>
                <w:b/>
                <w:color w:val="auto"/>
                <w:szCs w:val="21"/>
                <w:highlight w:val="none"/>
              </w:rPr>
              <w:t>权属子公司</w:t>
            </w:r>
            <w:r>
              <w:rPr>
                <w:rFonts w:hint="eastAsia" w:ascii="宋体" w:hAnsi="宋体" w:eastAsia="宋体" w:cs="宋体"/>
                <w:b/>
                <w:color w:val="auto"/>
                <w:szCs w:val="21"/>
                <w:highlight w:val="none"/>
                <w:lang w:eastAsia="zh-CN"/>
              </w:rPr>
              <w:t>）</w:t>
            </w:r>
          </w:p>
        </w:tc>
      </w:tr>
      <w:tr w14:paraId="1B04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95" w:type="pct"/>
            <w:vMerge w:val="continue"/>
            <w:tcBorders>
              <w:left w:val="single" w:color="auto" w:sz="4" w:space="0"/>
              <w:bottom w:val="single" w:color="auto" w:sz="4" w:space="0"/>
              <w:right w:val="single" w:color="auto" w:sz="4" w:space="0"/>
            </w:tcBorders>
            <w:vAlign w:val="center"/>
          </w:tcPr>
          <w:p w14:paraId="014C3709">
            <w:pPr>
              <w:snapToGrid w:val="0"/>
              <w:jc w:val="center"/>
              <w:rPr>
                <w:rFonts w:hint="eastAsia" w:ascii="宋体" w:hAnsi="宋体" w:eastAsia="宋体" w:cs="宋体"/>
                <w:b/>
                <w:color w:val="auto"/>
                <w:szCs w:val="21"/>
                <w:highlight w:val="none"/>
              </w:rPr>
            </w:pPr>
          </w:p>
        </w:tc>
        <w:tc>
          <w:tcPr>
            <w:tcW w:w="747" w:type="pct"/>
            <w:tcBorders>
              <w:top w:val="single" w:color="auto" w:sz="4" w:space="0"/>
              <w:left w:val="single" w:color="auto" w:sz="4" w:space="0"/>
              <w:bottom w:val="single" w:color="auto" w:sz="4" w:space="0"/>
              <w:right w:val="single" w:color="auto" w:sz="4" w:space="0"/>
            </w:tcBorders>
            <w:vAlign w:val="center"/>
          </w:tcPr>
          <w:p w14:paraId="20DFE58E">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合计</w:t>
            </w:r>
          </w:p>
        </w:tc>
        <w:tc>
          <w:tcPr>
            <w:tcW w:w="723" w:type="pct"/>
            <w:tcBorders>
              <w:top w:val="single" w:color="auto" w:sz="4" w:space="0"/>
              <w:left w:val="single" w:color="auto" w:sz="4" w:space="0"/>
              <w:bottom w:val="single" w:color="auto" w:sz="4" w:space="0"/>
              <w:right w:val="single" w:color="auto" w:sz="4" w:space="0"/>
            </w:tcBorders>
            <w:vAlign w:val="center"/>
          </w:tcPr>
          <w:p w14:paraId="78CF8752">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小计</w:t>
            </w:r>
          </w:p>
        </w:tc>
        <w:tc>
          <w:tcPr>
            <w:tcW w:w="1254" w:type="pct"/>
            <w:vMerge w:val="continue"/>
            <w:tcBorders>
              <w:left w:val="single" w:color="auto" w:sz="4" w:space="0"/>
              <w:bottom w:val="single" w:color="auto" w:sz="4" w:space="0"/>
              <w:right w:val="single" w:color="auto" w:sz="4" w:space="0"/>
            </w:tcBorders>
            <w:vAlign w:val="center"/>
          </w:tcPr>
          <w:p w14:paraId="17D42DD2">
            <w:pPr>
              <w:snapToGrid w:val="0"/>
              <w:jc w:val="center"/>
              <w:rPr>
                <w:rFonts w:hint="eastAsia" w:ascii="宋体" w:hAnsi="宋体" w:eastAsia="宋体" w:cs="宋体"/>
                <w:b/>
                <w:color w:val="auto"/>
                <w:szCs w:val="21"/>
                <w:highlight w:val="none"/>
                <w:u w:val="words"/>
              </w:rPr>
            </w:pPr>
          </w:p>
        </w:tc>
        <w:tc>
          <w:tcPr>
            <w:tcW w:w="1679" w:type="pct"/>
            <w:vMerge w:val="continue"/>
            <w:tcBorders>
              <w:left w:val="single" w:color="auto" w:sz="4" w:space="0"/>
              <w:bottom w:val="single" w:color="auto" w:sz="4" w:space="0"/>
              <w:right w:val="single" w:color="auto" w:sz="4" w:space="0"/>
            </w:tcBorders>
            <w:vAlign w:val="center"/>
          </w:tcPr>
          <w:p w14:paraId="13C24872">
            <w:pPr>
              <w:snapToGrid w:val="0"/>
              <w:jc w:val="center"/>
              <w:rPr>
                <w:rFonts w:hint="eastAsia" w:ascii="宋体" w:hAnsi="宋体" w:eastAsia="宋体" w:cs="宋体"/>
                <w:b/>
                <w:color w:val="auto"/>
                <w:szCs w:val="21"/>
                <w:highlight w:val="none"/>
                <w:u w:val="words"/>
              </w:rPr>
            </w:pPr>
          </w:p>
        </w:tc>
      </w:tr>
      <w:tr w14:paraId="14C4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95" w:type="pct"/>
            <w:vMerge w:val="restart"/>
            <w:tcBorders>
              <w:top w:val="single" w:color="auto" w:sz="4" w:space="0"/>
              <w:left w:val="single" w:color="auto" w:sz="4" w:space="0"/>
              <w:right w:val="single" w:color="auto" w:sz="4" w:space="0"/>
            </w:tcBorders>
            <w:vAlign w:val="center"/>
          </w:tcPr>
          <w:p w14:paraId="1180099D">
            <w:pPr>
              <w:snapToGrid w:val="0"/>
              <w:jc w:val="center"/>
              <w:rPr>
                <w:rFonts w:hint="eastAsia" w:ascii="宋体" w:hAnsi="宋体" w:eastAsia="宋体" w:cs="宋体"/>
                <w:color w:val="auto"/>
                <w:szCs w:val="21"/>
                <w:highlight w:val="none"/>
                <w:u w:val="words"/>
              </w:rPr>
            </w:pPr>
            <w:r>
              <w:rPr>
                <w:rFonts w:hint="eastAsia" w:ascii="宋体" w:hAnsi="宋体" w:eastAsia="宋体" w:cs="宋体"/>
                <w:color w:val="auto"/>
                <w:szCs w:val="21"/>
                <w:highlight w:val="none"/>
              </w:rPr>
              <w:t>液</w:t>
            </w:r>
            <w:r>
              <w:rPr>
                <w:rFonts w:hint="eastAsia" w:ascii="宋体" w:hAnsi="宋体" w:eastAsia="宋体" w:cs="宋体"/>
                <w:color w:val="auto"/>
                <w:szCs w:val="21"/>
                <w:highlight w:val="none"/>
                <w:lang w:val="en-US" w:eastAsia="zh-CN"/>
              </w:rPr>
              <w:t>体</w:t>
            </w:r>
            <w:r>
              <w:rPr>
                <w:rFonts w:hint="eastAsia" w:ascii="宋体" w:hAnsi="宋体" w:eastAsia="宋体" w:cs="宋体"/>
                <w:color w:val="auto"/>
                <w:szCs w:val="21"/>
                <w:highlight w:val="none"/>
              </w:rPr>
              <w:t>聚</w:t>
            </w:r>
            <w:r>
              <w:rPr>
                <w:rFonts w:hint="eastAsia" w:ascii="宋体" w:hAnsi="宋体" w:eastAsia="宋体" w:cs="宋体"/>
                <w:color w:val="auto"/>
                <w:szCs w:val="21"/>
                <w:highlight w:val="none"/>
                <w:lang w:val="en-US" w:eastAsia="zh-CN"/>
              </w:rPr>
              <w:t>合</w:t>
            </w:r>
            <w:r>
              <w:rPr>
                <w:rFonts w:hint="eastAsia" w:ascii="宋体" w:hAnsi="宋体" w:eastAsia="宋体" w:cs="宋体"/>
                <w:color w:val="auto"/>
                <w:szCs w:val="21"/>
                <w:highlight w:val="none"/>
              </w:rPr>
              <w:t>氯化铝</w:t>
            </w:r>
          </w:p>
        </w:tc>
        <w:tc>
          <w:tcPr>
            <w:tcW w:w="747" w:type="pct"/>
            <w:vMerge w:val="restart"/>
            <w:tcBorders>
              <w:top w:val="single" w:color="auto" w:sz="4" w:space="0"/>
              <w:left w:val="single" w:color="auto" w:sz="4" w:space="0"/>
              <w:right w:val="single" w:color="auto" w:sz="4" w:space="0"/>
            </w:tcBorders>
            <w:vAlign w:val="center"/>
          </w:tcPr>
          <w:p w14:paraId="0F888677">
            <w:pPr>
              <w:keepNext w:val="0"/>
              <w:keepLines w:val="0"/>
              <w:widowControl/>
              <w:suppressLineNumbers w:val="0"/>
              <w:snapToGrid w:val="0"/>
              <w:jc w:val="center"/>
              <w:textAlignment w:val="auto"/>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 xml:space="preserve">72,135.933 </w:t>
            </w:r>
          </w:p>
        </w:tc>
        <w:tc>
          <w:tcPr>
            <w:tcW w:w="723" w:type="pct"/>
            <w:tcBorders>
              <w:top w:val="single" w:color="auto" w:sz="4" w:space="0"/>
              <w:left w:val="single" w:color="auto" w:sz="4" w:space="0"/>
              <w:bottom w:val="single" w:color="auto" w:sz="4" w:space="0"/>
              <w:right w:val="single" w:color="auto" w:sz="4" w:space="0"/>
            </w:tcBorders>
            <w:vAlign w:val="center"/>
          </w:tcPr>
          <w:p w14:paraId="4BCA0FC5">
            <w:pPr>
              <w:keepNext w:val="0"/>
              <w:keepLines w:val="0"/>
              <w:widowControl/>
              <w:suppressLineNumbers w:val="0"/>
              <w:snapToGrid w:val="0"/>
              <w:jc w:val="center"/>
              <w:textAlignment w:val="auto"/>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 xml:space="preserve">47,687.789 </w:t>
            </w:r>
          </w:p>
        </w:tc>
        <w:tc>
          <w:tcPr>
            <w:tcW w:w="1254" w:type="pct"/>
            <w:vMerge w:val="restart"/>
            <w:tcBorders>
              <w:top w:val="single" w:color="auto" w:sz="4" w:space="0"/>
              <w:left w:val="single" w:color="auto" w:sz="4" w:space="0"/>
              <w:right w:val="single" w:color="auto" w:sz="4" w:space="0"/>
            </w:tcBorders>
            <w:vAlign w:val="center"/>
          </w:tcPr>
          <w:p w14:paraId="508725D8">
            <w:pPr>
              <w:keepNext w:val="0"/>
              <w:keepLines w:val="0"/>
              <w:widowControl/>
              <w:suppressLineNumbers w:val="0"/>
              <w:snapToGrid w:val="0"/>
              <w:jc w:val="center"/>
              <w:textAlignment w:val="auto"/>
              <w:rPr>
                <w:rFonts w:hint="eastAsia" w:ascii="宋体" w:hAnsi="宋体" w:eastAsia="宋体" w:cs="宋体"/>
                <w:color w:val="auto"/>
                <w:szCs w:val="21"/>
                <w:highlight w:val="none"/>
                <w:u w:val="none"/>
                <w:lang w:eastAsia="zh-CN" w:bidi="ar"/>
              </w:rPr>
            </w:pPr>
            <w:r>
              <w:rPr>
                <w:rFonts w:hint="eastAsia" w:ascii="宋体" w:hAnsi="宋体" w:eastAsia="宋体" w:cs="宋体"/>
                <w:color w:val="auto"/>
                <w:szCs w:val="21"/>
                <w:highlight w:val="none"/>
                <w:u w:val="none"/>
                <w:lang w:eastAsia="zh-CN" w:bidi="ar"/>
              </w:rPr>
              <w:t>473.79</w:t>
            </w:r>
          </w:p>
        </w:tc>
        <w:tc>
          <w:tcPr>
            <w:tcW w:w="1679" w:type="pct"/>
            <w:tcBorders>
              <w:top w:val="single" w:color="auto" w:sz="4" w:space="0"/>
              <w:left w:val="single" w:color="auto" w:sz="4" w:space="0"/>
              <w:bottom w:val="single" w:color="auto" w:sz="4" w:space="0"/>
              <w:right w:val="single" w:color="auto" w:sz="4" w:space="0"/>
            </w:tcBorders>
            <w:vAlign w:val="center"/>
          </w:tcPr>
          <w:p w14:paraId="741B6AA0">
            <w:pPr>
              <w:keepNext w:val="0"/>
              <w:keepLines w:val="0"/>
              <w:widowControl/>
              <w:suppressLineNumbers w:val="0"/>
              <w:snapToGrid w:val="0"/>
              <w:jc w:val="center"/>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东莞市石鼓净水有限公司</w:t>
            </w:r>
          </w:p>
        </w:tc>
      </w:tr>
      <w:tr w14:paraId="7D66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95" w:type="pct"/>
            <w:vMerge w:val="continue"/>
            <w:tcBorders>
              <w:left w:val="single" w:color="auto" w:sz="4" w:space="0"/>
              <w:right w:val="single" w:color="auto" w:sz="4" w:space="0"/>
            </w:tcBorders>
            <w:vAlign w:val="center"/>
          </w:tcPr>
          <w:p w14:paraId="04D7FEE0">
            <w:pPr>
              <w:snapToGrid w:val="0"/>
              <w:jc w:val="center"/>
              <w:rPr>
                <w:rFonts w:hint="eastAsia" w:ascii="宋体" w:hAnsi="宋体" w:eastAsia="宋体" w:cs="宋体"/>
                <w:color w:val="auto"/>
                <w:szCs w:val="21"/>
                <w:highlight w:val="none"/>
              </w:rPr>
            </w:pPr>
          </w:p>
        </w:tc>
        <w:tc>
          <w:tcPr>
            <w:tcW w:w="747" w:type="pct"/>
            <w:vMerge w:val="continue"/>
            <w:tcBorders>
              <w:left w:val="single" w:color="auto" w:sz="4" w:space="0"/>
              <w:right w:val="single" w:color="auto" w:sz="4" w:space="0"/>
            </w:tcBorders>
            <w:vAlign w:val="center"/>
          </w:tcPr>
          <w:p w14:paraId="796F2753">
            <w:pPr>
              <w:jc w:val="right"/>
              <w:rPr>
                <w:rFonts w:hint="eastAsia" w:ascii="宋体" w:hAnsi="宋体" w:eastAsia="宋体" w:cs="宋体"/>
                <w:color w:val="auto"/>
                <w:szCs w:val="21"/>
                <w:highlight w:val="none"/>
              </w:rPr>
            </w:pPr>
          </w:p>
        </w:tc>
        <w:tc>
          <w:tcPr>
            <w:tcW w:w="723" w:type="pct"/>
            <w:tcBorders>
              <w:top w:val="single" w:color="auto" w:sz="4" w:space="0"/>
              <w:left w:val="single" w:color="auto" w:sz="4" w:space="0"/>
              <w:bottom w:val="single" w:color="auto" w:sz="4" w:space="0"/>
              <w:right w:val="single" w:color="auto" w:sz="4" w:space="0"/>
            </w:tcBorders>
            <w:vAlign w:val="center"/>
          </w:tcPr>
          <w:p w14:paraId="112F8409">
            <w:pPr>
              <w:keepNext w:val="0"/>
              <w:keepLines w:val="0"/>
              <w:widowControl/>
              <w:suppressLineNumbers w:val="0"/>
              <w:snapToGrid w:val="0"/>
              <w:jc w:val="center"/>
              <w:textAlignment w:val="auto"/>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 xml:space="preserve">2,124.929 </w:t>
            </w:r>
          </w:p>
        </w:tc>
        <w:tc>
          <w:tcPr>
            <w:tcW w:w="1254" w:type="pct"/>
            <w:vMerge w:val="continue"/>
            <w:tcBorders>
              <w:left w:val="single" w:color="auto" w:sz="4" w:space="0"/>
              <w:right w:val="single" w:color="auto" w:sz="4" w:space="0"/>
            </w:tcBorders>
            <w:vAlign w:val="center"/>
          </w:tcPr>
          <w:p w14:paraId="78491F66">
            <w:pPr>
              <w:keepNext w:val="0"/>
              <w:keepLines w:val="0"/>
              <w:widowControl/>
              <w:suppressLineNumbers w:val="0"/>
              <w:snapToGrid w:val="0"/>
              <w:jc w:val="center"/>
              <w:textAlignment w:val="auto"/>
              <w:rPr>
                <w:rFonts w:hint="eastAsia" w:ascii="宋体" w:hAnsi="宋体" w:eastAsia="宋体" w:cs="宋体"/>
                <w:color w:val="auto"/>
                <w:szCs w:val="21"/>
                <w:highlight w:val="none"/>
                <w:u w:val="none"/>
                <w:lang w:bidi="ar"/>
              </w:rPr>
            </w:pPr>
          </w:p>
        </w:tc>
        <w:tc>
          <w:tcPr>
            <w:tcW w:w="1679" w:type="pct"/>
            <w:tcBorders>
              <w:top w:val="single" w:color="auto" w:sz="4" w:space="0"/>
              <w:left w:val="single" w:color="auto" w:sz="4" w:space="0"/>
              <w:bottom w:val="single" w:color="auto" w:sz="4" w:space="0"/>
              <w:right w:val="single" w:color="auto" w:sz="4" w:space="0"/>
            </w:tcBorders>
            <w:vAlign w:val="center"/>
          </w:tcPr>
          <w:p w14:paraId="65CB6147">
            <w:pPr>
              <w:keepNext w:val="0"/>
              <w:keepLines w:val="0"/>
              <w:widowControl/>
              <w:suppressLineNumbers w:val="0"/>
              <w:snapToGrid w:val="0"/>
              <w:jc w:val="center"/>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东莞市清源净水科技有限公司</w:t>
            </w:r>
          </w:p>
        </w:tc>
      </w:tr>
      <w:tr w14:paraId="5E65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95" w:type="pct"/>
            <w:vMerge w:val="continue"/>
            <w:tcBorders>
              <w:left w:val="single" w:color="auto" w:sz="4" w:space="0"/>
              <w:right w:val="single" w:color="auto" w:sz="4" w:space="0"/>
            </w:tcBorders>
            <w:vAlign w:val="center"/>
          </w:tcPr>
          <w:p w14:paraId="5DF6EF3F">
            <w:pPr>
              <w:snapToGrid w:val="0"/>
              <w:jc w:val="center"/>
              <w:rPr>
                <w:rFonts w:hint="eastAsia" w:ascii="宋体" w:hAnsi="宋体" w:eastAsia="宋体" w:cs="宋体"/>
                <w:color w:val="auto"/>
                <w:szCs w:val="21"/>
                <w:highlight w:val="none"/>
              </w:rPr>
            </w:pPr>
          </w:p>
        </w:tc>
        <w:tc>
          <w:tcPr>
            <w:tcW w:w="747" w:type="pct"/>
            <w:vMerge w:val="continue"/>
            <w:tcBorders>
              <w:left w:val="single" w:color="auto" w:sz="4" w:space="0"/>
              <w:right w:val="single" w:color="auto" w:sz="4" w:space="0"/>
            </w:tcBorders>
            <w:vAlign w:val="center"/>
          </w:tcPr>
          <w:p w14:paraId="0D1E0495">
            <w:pPr>
              <w:jc w:val="right"/>
              <w:rPr>
                <w:rFonts w:hint="eastAsia" w:ascii="宋体" w:hAnsi="宋体" w:eastAsia="宋体" w:cs="宋体"/>
                <w:color w:val="auto"/>
                <w:szCs w:val="21"/>
                <w:highlight w:val="none"/>
              </w:rPr>
            </w:pPr>
          </w:p>
        </w:tc>
        <w:tc>
          <w:tcPr>
            <w:tcW w:w="723" w:type="pct"/>
            <w:tcBorders>
              <w:top w:val="single" w:color="auto" w:sz="4" w:space="0"/>
              <w:left w:val="single" w:color="auto" w:sz="4" w:space="0"/>
              <w:bottom w:val="single" w:color="auto" w:sz="4" w:space="0"/>
              <w:right w:val="single" w:color="auto" w:sz="4" w:space="0"/>
            </w:tcBorders>
            <w:vAlign w:val="center"/>
          </w:tcPr>
          <w:p w14:paraId="14172F89">
            <w:pPr>
              <w:keepNext w:val="0"/>
              <w:keepLines w:val="0"/>
              <w:widowControl/>
              <w:suppressLineNumbers w:val="0"/>
              <w:snapToGrid w:val="0"/>
              <w:jc w:val="center"/>
              <w:textAlignment w:val="auto"/>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 xml:space="preserve">80.755 </w:t>
            </w:r>
          </w:p>
        </w:tc>
        <w:tc>
          <w:tcPr>
            <w:tcW w:w="1254" w:type="pct"/>
            <w:vMerge w:val="continue"/>
            <w:tcBorders>
              <w:left w:val="single" w:color="auto" w:sz="4" w:space="0"/>
              <w:right w:val="single" w:color="auto" w:sz="4" w:space="0"/>
            </w:tcBorders>
            <w:vAlign w:val="center"/>
          </w:tcPr>
          <w:p w14:paraId="382C485E">
            <w:pPr>
              <w:keepNext w:val="0"/>
              <w:keepLines w:val="0"/>
              <w:widowControl/>
              <w:suppressLineNumbers w:val="0"/>
              <w:snapToGrid w:val="0"/>
              <w:jc w:val="center"/>
              <w:textAlignment w:val="auto"/>
              <w:rPr>
                <w:rFonts w:hint="eastAsia" w:ascii="宋体" w:hAnsi="宋体" w:eastAsia="宋体" w:cs="宋体"/>
                <w:color w:val="auto"/>
                <w:szCs w:val="21"/>
                <w:highlight w:val="none"/>
                <w:u w:val="none"/>
                <w:lang w:bidi="ar"/>
              </w:rPr>
            </w:pPr>
          </w:p>
        </w:tc>
        <w:tc>
          <w:tcPr>
            <w:tcW w:w="1679" w:type="pct"/>
            <w:tcBorders>
              <w:top w:val="single" w:color="auto" w:sz="4" w:space="0"/>
              <w:left w:val="single" w:color="auto" w:sz="4" w:space="0"/>
              <w:bottom w:val="single" w:color="auto" w:sz="4" w:space="0"/>
              <w:right w:val="single" w:color="auto" w:sz="4" w:space="0"/>
            </w:tcBorders>
            <w:vAlign w:val="center"/>
          </w:tcPr>
          <w:p w14:paraId="5F83FFE8">
            <w:pPr>
              <w:keepNext w:val="0"/>
              <w:keepLines w:val="0"/>
              <w:widowControl/>
              <w:suppressLineNumbers w:val="0"/>
              <w:snapToGrid w:val="0"/>
              <w:jc w:val="center"/>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东莞市莞水装备科技有限公司</w:t>
            </w:r>
          </w:p>
        </w:tc>
      </w:tr>
      <w:tr w14:paraId="0F49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95" w:type="pct"/>
            <w:vMerge w:val="continue"/>
            <w:tcBorders>
              <w:left w:val="single" w:color="auto" w:sz="4" w:space="0"/>
              <w:bottom w:val="single" w:color="auto" w:sz="4" w:space="0"/>
              <w:right w:val="single" w:color="auto" w:sz="4" w:space="0"/>
            </w:tcBorders>
            <w:vAlign w:val="center"/>
          </w:tcPr>
          <w:p w14:paraId="26A5CBF3">
            <w:pPr>
              <w:snapToGrid w:val="0"/>
              <w:jc w:val="center"/>
              <w:rPr>
                <w:rFonts w:hint="eastAsia" w:ascii="宋体" w:hAnsi="宋体" w:eastAsia="宋体" w:cs="宋体"/>
                <w:color w:val="auto"/>
                <w:szCs w:val="21"/>
                <w:highlight w:val="none"/>
              </w:rPr>
            </w:pPr>
          </w:p>
        </w:tc>
        <w:tc>
          <w:tcPr>
            <w:tcW w:w="747" w:type="pct"/>
            <w:vMerge w:val="continue"/>
            <w:tcBorders>
              <w:left w:val="single" w:color="auto" w:sz="4" w:space="0"/>
              <w:bottom w:val="single" w:color="auto" w:sz="4" w:space="0"/>
              <w:right w:val="single" w:color="auto" w:sz="4" w:space="0"/>
            </w:tcBorders>
            <w:vAlign w:val="center"/>
          </w:tcPr>
          <w:p w14:paraId="00B5B9E1">
            <w:pPr>
              <w:jc w:val="right"/>
              <w:rPr>
                <w:rFonts w:hint="eastAsia" w:ascii="宋体" w:hAnsi="宋体" w:eastAsia="宋体" w:cs="宋体"/>
                <w:color w:val="auto"/>
                <w:szCs w:val="21"/>
                <w:highlight w:val="none"/>
              </w:rPr>
            </w:pPr>
          </w:p>
        </w:tc>
        <w:tc>
          <w:tcPr>
            <w:tcW w:w="723" w:type="pct"/>
            <w:tcBorders>
              <w:top w:val="single" w:color="auto" w:sz="4" w:space="0"/>
              <w:left w:val="single" w:color="auto" w:sz="4" w:space="0"/>
              <w:bottom w:val="single" w:color="auto" w:sz="4" w:space="0"/>
              <w:right w:val="single" w:color="auto" w:sz="4" w:space="0"/>
            </w:tcBorders>
            <w:vAlign w:val="center"/>
          </w:tcPr>
          <w:p w14:paraId="5A875CB1">
            <w:pPr>
              <w:keepNext w:val="0"/>
              <w:keepLines w:val="0"/>
              <w:widowControl/>
              <w:suppressLineNumbers w:val="0"/>
              <w:snapToGrid w:val="0"/>
              <w:jc w:val="center"/>
              <w:textAlignment w:val="auto"/>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 xml:space="preserve">22,242.460 </w:t>
            </w:r>
          </w:p>
        </w:tc>
        <w:tc>
          <w:tcPr>
            <w:tcW w:w="1254" w:type="pct"/>
            <w:vMerge w:val="continue"/>
            <w:tcBorders>
              <w:left w:val="single" w:color="auto" w:sz="4" w:space="0"/>
              <w:bottom w:val="single" w:color="auto" w:sz="4" w:space="0"/>
              <w:right w:val="single" w:color="auto" w:sz="4" w:space="0"/>
            </w:tcBorders>
            <w:vAlign w:val="center"/>
          </w:tcPr>
          <w:p w14:paraId="6614CA8B">
            <w:pPr>
              <w:keepNext w:val="0"/>
              <w:keepLines w:val="0"/>
              <w:widowControl/>
              <w:suppressLineNumbers w:val="0"/>
              <w:snapToGrid w:val="0"/>
              <w:jc w:val="center"/>
              <w:textAlignment w:val="auto"/>
              <w:rPr>
                <w:rFonts w:hint="eastAsia" w:ascii="宋体" w:hAnsi="宋体" w:eastAsia="宋体" w:cs="宋体"/>
                <w:color w:val="auto"/>
                <w:szCs w:val="21"/>
                <w:highlight w:val="none"/>
                <w:u w:val="none"/>
                <w:lang w:bidi="ar"/>
              </w:rPr>
            </w:pPr>
          </w:p>
        </w:tc>
        <w:tc>
          <w:tcPr>
            <w:tcW w:w="1679" w:type="pct"/>
            <w:tcBorders>
              <w:top w:val="single" w:color="auto" w:sz="4" w:space="0"/>
              <w:left w:val="single" w:color="auto" w:sz="4" w:space="0"/>
              <w:bottom w:val="single" w:color="auto" w:sz="4" w:space="0"/>
              <w:right w:val="single" w:color="auto" w:sz="4" w:space="0"/>
            </w:tcBorders>
            <w:vAlign w:val="center"/>
          </w:tcPr>
          <w:p w14:paraId="09FCBC27">
            <w:pPr>
              <w:keepNext w:val="0"/>
              <w:keepLines w:val="0"/>
              <w:widowControl/>
              <w:suppressLineNumbers w:val="0"/>
              <w:snapToGrid w:val="0"/>
              <w:jc w:val="center"/>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东莞市众源环境投资有限公司</w:t>
            </w:r>
          </w:p>
        </w:tc>
      </w:tr>
      <w:tr w14:paraId="2D45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95" w:type="pct"/>
            <w:vMerge w:val="restart"/>
            <w:tcBorders>
              <w:top w:val="single" w:color="auto" w:sz="4" w:space="0"/>
              <w:left w:val="single" w:color="auto" w:sz="4" w:space="0"/>
              <w:right w:val="single" w:color="auto" w:sz="4" w:space="0"/>
            </w:tcBorders>
            <w:vAlign w:val="center"/>
          </w:tcPr>
          <w:p w14:paraId="3CE21A7D">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液</w:t>
            </w:r>
            <w:r>
              <w:rPr>
                <w:rFonts w:hint="eastAsia" w:ascii="宋体" w:hAnsi="宋体" w:eastAsia="宋体" w:cs="宋体"/>
                <w:color w:val="auto"/>
                <w:szCs w:val="21"/>
                <w:highlight w:val="none"/>
                <w:lang w:val="en-US" w:eastAsia="zh-CN"/>
              </w:rPr>
              <w:t>体</w:t>
            </w:r>
            <w:r>
              <w:rPr>
                <w:rFonts w:hint="eastAsia" w:ascii="宋体" w:hAnsi="宋体" w:eastAsia="宋体" w:cs="宋体"/>
                <w:color w:val="auto"/>
                <w:szCs w:val="21"/>
                <w:highlight w:val="none"/>
              </w:rPr>
              <w:t>聚</w:t>
            </w:r>
            <w:r>
              <w:rPr>
                <w:rFonts w:hint="eastAsia" w:ascii="宋体" w:hAnsi="宋体" w:eastAsia="宋体" w:cs="宋体"/>
                <w:color w:val="auto"/>
                <w:szCs w:val="21"/>
                <w:highlight w:val="none"/>
                <w:lang w:val="en-US" w:eastAsia="zh-CN"/>
              </w:rPr>
              <w:t>合</w:t>
            </w:r>
            <w:r>
              <w:rPr>
                <w:rFonts w:hint="eastAsia" w:ascii="宋体" w:hAnsi="宋体" w:eastAsia="宋体" w:cs="宋体"/>
                <w:color w:val="auto"/>
                <w:szCs w:val="21"/>
                <w:highlight w:val="none"/>
              </w:rPr>
              <w:t>氯化铝铁</w:t>
            </w:r>
          </w:p>
        </w:tc>
        <w:tc>
          <w:tcPr>
            <w:tcW w:w="747" w:type="pct"/>
            <w:vMerge w:val="restart"/>
            <w:tcBorders>
              <w:top w:val="single" w:color="auto" w:sz="4" w:space="0"/>
              <w:left w:val="single" w:color="auto" w:sz="4" w:space="0"/>
              <w:right w:val="single" w:color="auto" w:sz="4" w:space="0"/>
            </w:tcBorders>
            <w:vAlign w:val="center"/>
          </w:tcPr>
          <w:p w14:paraId="2C0838F7">
            <w:pPr>
              <w:keepNext w:val="0"/>
              <w:keepLines w:val="0"/>
              <w:widowControl/>
              <w:suppressLineNumbers w:val="0"/>
              <w:snapToGrid w:val="0"/>
              <w:jc w:val="center"/>
              <w:textAlignment w:val="auto"/>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 xml:space="preserve">27,410.257 </w:t>
            </w:r>
          </w:p>
        </w:tc>
        <w:tc>
          <w:tcPr>
            <w:tcW w:w="723" w:type="pct"/>
            <w:tcBorders>
              <w:top w:val="single" w:color="auto" w:sz="4" w:space="0"/>
              <w:left w:val="single" w:color="auto" w:sz="4" w:space="0"/>
              <w:bottom w:val="single" w:color="auto" w:sz="4" w:space="0"/>
              <w:right w:val="single" w:color="auto" w:sz="4" w:space="0"/>
            </w:tcBorders>
            <w:vAlign w:val="center"/>
          </w:tcPr>
          <w:p w14:paraId="3B98F2AC">
            <w:pPr>
              <w:keepNext w:val="0"/>
              <w:keepLines w:val="0"/>
              <w:widowControl/>
              <w:suppressLineNumbers w:val="0"/>
              <w:snapToGrid w:val="0"/>
              <w:jc w:val="center"/>
              <w:textAlignment w:val="auto"/>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 xml:space="preserve">16,483.803 </w:t>
            </w:r>
          </w:p>
        </w:tc>
        <w:tc>
          <w:tcPr>
            <w:tcW w:w="1254" w:type="pct"/>
            <w:vMerge w:val="restart"/>
            <w:tcBorders>
              <w:top w:val="single" w:color="auto" w:sz="4" w:space="0"/>
              <w:left w:val="single" w:color="auto" w:sz="4" w:space="0"/>
              <w:right w:val="single" w:color="auto" w:sz="4" w:space="0"/>
            </w:tcBorders>
            <w:vAlign w:val="center"/>
          </w:tcPr>
          <w:p w14:paraId="1370B137">
            <w:pPr>
              <w:keepNext w:val="0"/>
              <w:keepLines w:val="0"/>
              <w:widowControl/>
              <w:suppressLineNumbers w:val="0"/>
              <w:snapToGrid w:val="0"/>
              <w:jc w:val="center"/>
              <w:textAlignment w:val="auto"/>
              <w:rPr>
                <w:rFonts w:hint="eastAsia" w:ascii="宋体" w:hAnsi="宋体" w:eastAsia="宋体" w:cs="宋体"/>
                <w:color w:val="auto"/>
                <w:szCs w:val="21"/>
                <w:highlight w:val="none"/>
                <w:u w:val="none"/>
                <w:lang w:bidi="ar"/>
              </w:rPr>
            </w:pPr>
            <w:r>
              <w:rPr>
                <w:rFonts w:hint="eastAsia" w:ascii="宋体" w:hAnsi="宋体" w:eastAsia="宋体" w:cs="宋体"/>
                <w:color w:val="auto"/>
                <w:szCs w:val="21"/>
                <w:highlight w:val="none"/>
                <w:u w:val="none"/>
                <w:lang w:bidi="ar"/>
              </w:rPr>
              <w:t>468.76</w:t>
            </w:r>
          </w:p>
        </w:tc>
        <w:tc>
          <w:tcPr>
            <w:tcW w:w="1679" w:type="pct"/>
            <w:tcBorders>
              <w:top w:val="single" w:color="auto" w:sz="4" w:space="0"/>
              <w:left w:val="single" w:color="auto" w:sz="4" w:space="0"/>
              <w:bottom w:val="single" w:color="auto" w:sz="4" w:space="0"/>
              <w:right w:val="single" w:color="auto" w:sz="4" w:space="0"/>
            </w:tcBorders>
            <w:vAlign w:val="center"/>
          </w:tcPr>
          <w:p w14:paraId="3BB927B6">
            <w:pPr>
              <w:keepNext w:val="0"/>
              <w:keepLines w:val="0"/>
              <w:widowControl/>
              <w:suppressLineNumbers w:val="0"/>
              <w:snapToGrid w:val="0"/>
              <w:jc w:val="center"/>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东莞市石鼓净水有限公司</w:t>
            </w:r>
          </w:p>
        </w:tc>
      </w:tr>
      <w:tr w14:paraId="2B87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95" w:type="pct"/>
            <w:vMerge w:val="continue"/>
            <w:tcBorders>
              <w:left w:val="single" w:color="auto" w:sz="4" w:space="0"/>
              <w:bottom w:val="single" w:color="auto" w:sz="4" w:space="0"/>
              <w:right w:val="single" w:color="auto" w:sz="4" w:space="0"/>
            </w:tcBorders>
            <w:vAlign w:val="center"/>
          </w:tcPr>
          <w:p w14:paraId="56470E9C">
            <w:pPr>
              <w:snapToGrid w:val="0"/>
              <w:jc w:val="center"/>
              <w:rPr>
                <w:rFonts w:hint="eastAsia" w:ascii="宋体" w:hAnsi="宋体" w:eastAsia="宋体" w:cs="宋体"/>
                <w:color w:val="auto"/>
                <w:szCs w:val="21"/>
                <w:highlight w:val="none"/>
              </w:rPr>
            </w:pPr>
          </w:p>
        </w:tc>
        <w:tc>
          <w:tcPr>
            <w:tcW w:w="747" w:type="pct"/>
            <w:vMerge w:val="continue"/>
            <w:tcBorders>
              <w:left w:val="single" w:color="auto" w:sz="4" w:space="0"/>
              <w:bottom w:val="single" w:color="auto" w:sz="4" w:space="0"/>
              <w:right w:val="single" w:color="auto" w:sz="4" w:space="0"/>
            </w:tcBorders>
            <w:vAlign w:val="center"/>
          </w:tcPr>
          <w:p w14:paraId="7914ED3C">
            <w:pPr>
              <w:keepNext w:val="0"/>
              <w:keepLines w:val="0"/>
              <w:widowControl/>
              <w:suppressLineNumbers w:val="0"/>
              <w:snapToGrid w:val="0"/>
              <w:jc w:val="center"/>
              <w:textAlignment w:val="auto"/>
              <w:rPr>
                <w:rFonts w:hint="eastAsia" w:ascii="宋体" w:hAnsi="宋体" w:eastAsia="宋体" w:cs="宋体"/>
                <w:i w:val="0"/>
                <w:iCs w:val="0"/>
                <w:color w:val="auto"/>
                <w:kern w:val="2"/>
                <w:sz w:val="21"/>
                <w:szCs w:val="21"/>
                <w:highlight w:val="none"/>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vAlign w:val="center"/>
          </w:tcPr>
          <w:p w14:paraId="11D8E8CE">
            <w:pPr>
              <w:keepNext w:val="0"/>
              <w:keepLines w:val="0"/>
              <w:widowControl/>
              <w:suppressLineNumbers w:val="0"/>
              <w:snapToGrid w:val="0"/>
              <w:jc w:val="center"/>
              <w:textAlignment w:val="auto"/>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 xml:space="preserve">10,926.454 </w:t>
            </w:r>
          </w:p>
        </w:tc>
        <w:tc>
          <w:tcPr>
            <w:tcW w:w="1254" w:type="pct"/>
            <w:vMerge w:val="continue"/>
            <w:tcBorders>
              <w:left w:val="single" w:color="auto" w:sz="4" w:space="0"/>
              <w:bottom w:val="single" w:color="auto" w:sz="4" w:space="0"/>
              <w:right w:val="single" w:color="auto" w:sz="4" w:space="0"/>
            </w:tcBorders>
            <w:vAlign w:val="center"/>
          </w:tcPr>
          <w:p w14:paraId="0508F9D6">
            <w:pPr>
              <w:keepNext w:val="0"/>
              <w:keepLines w:val="0"/>
              <w:widowControl/>
              <w:suppressLineNumbers w:val="0"/>
              <w:snapToGrid w:val="0"/>
              <w:jc w:val="center"/>
              <w:textAlignment w:val="auto"/>
              <w:rPr>
                <w:rFonts w:hint="eastAsia" w:ascii="宋体" w:hAnsi="宋体" w:eastAsia="宋体" w:cs="宋体"/>
                <w:color w:val="auto"/>
                <w:szCs w:val="21"/>
                <w:highlight w:val="none"/>
                <w:u w:val="none"/>
                <w:lang w:bidi="ar"/>
              </w:rPr>
            </w:pPr>
          </w:p>
        </w:tc>
        <w:tc>
          <w:tcPr>
            <w:tcW w:w="1679" w:type="pct"/>
            <w:tcBorders>
              <w:top w:val="single" w:color="auto" w:sz="4" w:space="0"/>
              <w:left w:val="single" w:color="auto" w:sz="4" w:space="0"/>
              <w:bottom w:val="single" w:color="auto" w:sz="4" w:space="0"/>
              <w:right w:val="single" w:color="auto" w:sz="4" w:space="0"/>
            </w:tcBorders>
            <w:vAlign w:val="center"/>
          </w:tcPr>
          <w:p w14:paraId="737936B1">
            <w:pPr>
              <w:keepNext w:val="0"/>
              <w:keepLines w:val="0"/>
              <w:widowControl/>
              <w:suppressLineNumbers w:val="0"/>
              <w:snapToGrid w:val="0"/>
              <w:jc w:val="center"/>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东莞市樟村水质净化有限公司</w:t>
            </w:r>
          </w:p>
        </w:tc>
      </w:tr>
    </w:tbl>
    <w:p w14:paraId="0B3FEA28">
      <w:pPr>
        <w:bidi w:val="0"/>
        <w:rPr>
          <w:color w:val="auto"/>
          <w:highlight w:val="none"/>
          <w:lang w:val="zh-CN"/>
        </w:rPr>
      </w:pPr>
    </w:p>
    <w:p w14:paraId="46E43A5A">
      <w:pPr>
        <w:numPr>
          <w:ilvl w:val="255"/>
          <w:numId w:val="0"/>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（具体内容详见：第三篇用户需求书）。</w:t>
      </w:r>
    </w:p>
    <w:p w14:paraId="61767C3E">
      <w:pPr>
        <w:autoSpaceDE w:val="0"/>
        <w:autoSpaceDN w:val="0"/>
        <w:adjustRightInd w:val="0"/>
        <w:spacing w:line="360" w:lineRule="auto"/>
        <w:ind w:right="-29" w:rightChars="-14"/>
        <w:rPr>
          <w:rFonts w:ascii="宋体" w:hAnsi="宋体" w:eastAsia="宋体" w:cs="宋体"/>
          <w:color w:val="auto"/>
          <w:szCs w:val="21"/>
          <w:highlight w:val="none"/>
          <w:lang w:val="zh-CN"/>
        </w:rPr>
      </w:pPr>
    </w:p>
    <w:p w14:paraId="5A20F2DA">
      <w:pPr>
        <w:numPr>
          <w:ilvl w:val="0"/>
          <w:numId w:val="1"/>
        </w:numPr>
        <w:autoSpaceDE w:val="0"/>
        <w:autoSpaceDN w:val="0"/>
        <w:adjustRightInd w:val="0"/>
        <w:snapToGrid w:val="0"/>
        <w:spacing w:line="360" w:lineRule="auto"/>
        <w:ind w:right="-34"/>
        <w:jc w:val="lef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03CF1F68">
      <w:pPr>
        <w:pStyle w:val="160"/>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0E75EFBB">
      <w:pPr>
        <w:pStyle w:val="160"/>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2.2 投标人必须是投标产品的制造商；</w:t>
      </w:r>
    </w:p>
    <w:p w14:paraId="7AA42D96">
      <w:pPr>
        <w:pStyle w:val="160"/>
        <w:spacing w:line="360" w:lineRule="auto"/>
        <w:ind w:left="422" w:right="-29" w:rightChars="-14" w:hanging="422" w:hangingChars="200"/>
        <w:jc w:val="both"/>
        <w:rPr>
          <w:rFonts w:hAnsi="宋体" w:eastAsia="宋体"/>
          <w:b/>
          <w:color w:val="auto"/>
          <w:sz w:val="21"/>
          <w:szCs w:val="21"/>
          <w:highlight w:val="none"/>
        </w:rPr>
      </w:pPr>
      <w:r>
        <w:rPr>
          <w:rFonts w:hint="eastAsia" w:hAnsi="宋体" w:eastAsia="宋体"/>
          <w:b/>
          <w:color w:val="auto"/>
          <w:sz w:val="21"/>
          <w:szCs w:val="21"/>
          <w:highlight w:val="none"/>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投标人自2023年1月1日以来具有一份投标品牌液体聚合氯化铝供货业绩，以及一份投标品牌液体聚合氯化铝铁供货业绩（合同签订日期均为2023年1月1日或以后）；</w:t>
      </w:r>
    </w:p>
    <w:p w14:paraId="1DD0EADB">
      <w:pPr>
        <w:pStyle w:val="160"/>
        <w:spacing w:line="360" w:lineRule="auto"/>
        <w:ind w:right="-29" w:rightChars="-14" w:firstLine="0" w:firstLineChars="0"/>
        <w:jc w:val="both"/>
        <w:rPr>
          <w:rFonts w:hAnsi="宋体" w:eastAsia="宋体" w:cs="宋体"/>
          <w:b/>
          <w:color w:val="auto"/>
          <w:sz w:val="21"/>
          <w:szCs w:val="21"/>
          <w:highlight w:val="none"/>
          <w:lang w:val="zh-CN"/>
        </w:rPr>
      </w:pPr>
      <w:bookmarkStart w:id="13" w:name="_Toc25819"/>
      <w:r>
        <w:rPr>
          <w:rFonts w:hint="eastAsia" w:hAnsi="宋体" w:eastAsia="宋体" w:cs="宋体"/>
          <w:b/>
          <w:color w:val="auto"/>
          <w:sz w:val="21"/>
          <w:szCs w:val="21"/>
          <w:highlight w:val="none"/>
        </w:rPr>
        <w:t>2.</w:t>
      </w:r>
      <w:r>
        <w:rPr>
          <w:rFonts w:hint="eastAsia" w:hAnsi="宋体" w:eastAsia="宋体" w:cs="宋体"/>
          <w:b/>
          <w:color w:val="auto"/>
          <w:sz w:val="21"/>
          <w:szCs w:val="21"/>
          <w:highlight w:val="none"/>
          <w:lang w:val="en-US" w:eastAsia="zh-CN"/>
        </w:rPr>
        <w:t>4</w:t>
      </w:r>
      <w:r>
        <w:rPr>
          <w:rFonts w:hint="eastAsia" w:hAnsi="宋体" w:eastAsia="宋体" w:cs="宋体"/>
          <w:b/>
          <w:color w:val="auto"/>
          <w:sz w:val="21"/>
          <w:szCs w:val="21"/>
          <w:highlight w:val="none"/>
        </w:rPr>
        <w:t xml:space="preserve"> </w:t>
      </w:r>
      <w:r>
        <w:rPr>
          <w:rFonts w:hint="eastAsia" w:hAnsi="宋体" w:eastAsia="宋体" w:cs="宋体"/>
          <w:b/>
          <w:color w:val="auto"/>
          <w:sz w:val="21"/>
          <w:szCs w:val="21"/>
          <w:highlight w:val="none"/>
          <w:lang w:val="zh-CN"/>
        </w:rPr>
        <w:t>本项目不接受联合体投标</w:t>
      </w:r>
      <w:bookmarkEnd w:id="13"/>
      <w:r>
        <w:rPr>
          <w:rFonts w:hint="eastAsia" w:hAnsi="宋体" w:eastAsia="宋体" w:cs="宋体"/>
          <w:b/>
          <w:color w:val="auto"/>
          <w:sz w:val="21"/>
          <w:szCs w:val="21"/>
          <w:highlight w:val="none"/>
          <w:lang w:val="zh-CN"/>
        </w:rPr>
        <w:t>。</w:t>
      </w:r>
    </w:p>
    <w:p w14:paraId="4D7F72F6">
      <w:pPr>
        <w:autoSpaceDE w:val="0"/>
        <w:autoSpaceDN w:val="0"/>
        <w:adjustRightInd w:val="0"/>
        <w:spacing w:line="360" w:lineRule="auto"/>
        <w:ind w:right="-29" w:rightChars="-14" w:firstLine="420" w:firstLineChars="200"/>
        <w:rPr>
          <w:rFonts w:ascii="宋体" w:hAnsi="宋体" w:eastAsia="宋体" w:cs="宋体"/>
          <w:color w:val="auto"/>
          <w:szCs w:val="21"/>
          <w:highlight w:val="none"/>
          <w:lang w:val="zh-CN"/>
        </w:rPr>
      </w:pPr>
    </w:p>
    <w:p w14:paraId="100A253C">
      <w:pPr>
        <w:numPr>
          <w:ilvl w:val="0"/>
          <w:numId w:val="1"/>
        </w:numPr>
        <w:autoSpaceDE w:val="0"/>
        <w:autoSpaceDN w:val="0"/>
        <w:adjustRightInd w:val="0"/>
        <w:snapToGrid w:val="0"/>
        <w:spacing w:line="360" w:lineRule="auto"/>
        <w:ind w:right="-34"/>
        <w:jc w:val="lef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其他要求：</w:t>
      </w:r>
    </w:p>
    <w:p w14:paraId="3A269D06">
      <w:pPr>
        <w:pStyle w:val="160"/>
        <w:autoSpaceDE/>
        <w:autoSpaceDN/>
        <w:spacing w:line="360" w:lineRule="auto"/>
        <w:ind w:left="422" w:leftChars="0" w:right="-29" w:rightChars="-14" w:hanging="422" w:hangingChars="200"/>
        <w:jc w:val="both"/>
        <w:rPr>
          <w:rFonts w:hint="eastAsia" w:hAnsi="宋体" w:eastAsia="宋体" w:cstheme="minorBidi"/>
          <w:b/>
          <w:color w:val="auto"/>
          <w:sz w:val="21"/>
          <w:szCs w:val="21"/>
          <w:highlight w:val="none"/>
          <w:lang w:val="zh-CN"/>
        </w:rPr>
      </w:pPr>
      <w:r>
        <w:rPr>
          <w:rFonts w:hint="eastAsia" w:hAnsi="宋体" w:eastAsia="宋体" w:cstheme="minorBidi"/>
          <w:b/>
          <w:color w:val="auto"/>
          <w:sz w:val="21"/>
          <w:szCs w:val="21"/>
          <w:highlight w:val="none"/>
          <w:lang w:val="en-US" w:eastAsia="zh-CN"/>
        </w:rPr>
        <w:t>3</w:t>
      </w:r>
      <w:r>
        <w:rPr>
          <w:rFonts w:hint="eastAsia" w:hAnsi="宋体" w:eastAsia="宋体" w:cstheme="minorBidi"/>
          <w:b/>
          <w:color w:val="auto"/>
          <w:sz w:val="21"/>
          <w:szCs w:val="21"/>
          <w:highlight w:val="none"/>
          <w:lang w:val="zh-CN"/>
        </w:rPr>
        <w:t>.1 投标人应在东莞市公共资源交易企业库建档；</w:t>
      </w:r>
    </w:p>
    <w:p w14:paraId="375AD46D">
      <w:pPr>
        <w:pStyle w:val="160"/>
        <w:autoSpaceDE/>
        <w:autoSpaceDN/>
        <w:spacing w:line="360" w:lineRule="auto"/>
        <w:ind w:left="422" w:leftChars="0" w:right="-29" w:rightChars="-14" w:hanging="422" w:hangingChars="200"/>
        <w:jc w:val="both"/>
        <w:rPr>
          <w:rFonts w:hint="eastAsia" w:hAnsi="宋体" w:eastAsia="宋体" w:cstheme="minorBidi"/>
          <w:b/>
          <w:color w:val="auto"/>
          <w:sz w:val="21"/>
          <w:szCs w:val="21"/>
          <w:highlight w:val="none"/>
          <w:lang w:val="zh-CN"/>
        </w:rPr>
      </w:pPr>
      <w:r>
        <w:rPr>
          <w:rFonts w:hint="eastAsia" w:hAnsi="宋体" w:eastAsia="宋体" w:cstheme="minorBidi"/>
          <w:b/>
          <w:color w:val="auto"/>
          <w:sz w:val="21"/>
          <w:szCs w:val="21"/>
          <w:highlight w:val="none"/>
          <w:lang w:val="zh-CN"/>
        </w:rPr>
        <w:t>3.</w:t>
      </w:r>
      <w:r>
        <w:rPr>
          <w:rFonts w:hint="eastAsia" w:hAnsi="宋体" w:eastAsia="宋体" w:cstheme="minorBidi"/>
          <w:b/>
          <w:color w:val="auto"/>
          <w:sz w:val="21"/>
          <w:szCs w:val="21"/>
          <w:highlight w:val="none"/>
          <w:lang w:val="en-US" w:eastAsia="zh-CN"/>
        </w:rPr>
        <w:t>2</w:t>
      </w:r>
      <w:r>
        <w:rPr>
          <w:rFonts w:hint="eastAsia" w:hAnsi="宋体" w:eastAsia="宋体" w:cstheme="minorBidi"/>
          <w:b/>
          <w:color w:val="auto"/>
          <w:sz w:val="21"/>
          <w:szCs w:val="21"/>
          <w:highlight w:val="none"/>
          <w:lang w:val="zh-CN"/>
        </w:rPr>
        <w:t xml:space="preserve"> 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14:paraId="5D22A474">
      <w:pPr>
        <w:autoSpaceDE w:val="0"/>
        <w:autoSpaceDN w:val="0"/>
        <w:adjustRightInd w:val="0"/>
        <w:spacing w:line="360" w:lineRule="auto"/>
        <w:ind w:right="-29" w:rightChars="-14" w:firstLine="420" w:firstLineChars="200"/>
        <w:rPr>
          <w:rFonts w:ascii="宋体" w:hAnsi="宋体" w:eastAsia="宋体" w:cs="宋体"/>
          <w:color w:val="auto"/>
          <w:szCs w:val="21"/>
          <w:highlight w:val="none"/>
          <w:lang w:val="zh-CN"/>
        </w:rPr>
      </w:pPr>
    </w:p>
    <w:p w14:paraId="3C03A4E8">
      <w:pPr>
        <w:numPr>
          <w:ilvl w:val="0"/>
          <w:numId w:val="1"/>
        </w:numPr>
        <w:autoSpaceDE w:val="0"/>
        <w:autoSpaceDN w:val="0"/>
        <w:adjustRightInd w:val="0"/>
        <w:snapToGrid w:val="0"/>
        <w:spacing w:line="360" w:lineRule="auto"/>
        <w:ind w:right="-34"/>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获取招标文件的方式：凡有意参加投标者，可于</w:t>
      </w:r>
      <w:r>
        <w:rPr>
          <w:rFonts w:hint="eastAsia" w:ascii="宋体" w:hAnsi="宋体" w:eastAsia="宋体" w:cs="宋体"/>
          <w:color w:val="auto"/>
          <w:szCs w:val="21"/>
          <w:highlight w:val="none"/>
          <w:u w:val="single"/>
          <w:lang w:eastAsia="zh-CN"/>
        </w:rPr>
        <w:t>2026</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lang w:val="en-US" w:eastAsia="zh-CN"/>
        </w:rPr>
        <w:t>03</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lang w:val="en-US" w:eastAsia="zh-CN"/>
        </w:rPr>
        <w:t>06</w:t>
      </w:r>
      <w:r>
        <w:rPr>
          <w:rFonts w:hint="eastAsia" w:ascii="宋体" w:hAnsi="宋体" w:eastAsia="宋体" w:cs="宋体"/>
          <w:color w:val="auto"/>
          <w:szCs w:val="21"/>
          <w:highlight w:val="none"/>
          <w:lang w:val="zh-CN"/>
        </w:rPr>
        <w:t>日至投标截止时间前登录交易系统下载本次招标项目的招标文件等资料。</w:t>
      </w:r>
    </w:p>
    <w:p w14:paraId="7FADEEA5">
      <w:pPr>
        <w:autoSpaceDE w:val="0"/>
        <w:autoSpaceDN w:val="0"/>
        <w:adjustRightInd w:val="0"/>
        <w:spacing w:line="360" w:lineRule="auto"/>
        <w:ind w:left="630" w:leftChars="100" w:right="-29" w:rightChars="-14" w:hanging="420" w:hangingChars="200"/>
        <w:rPr>
          <w:rFonts w:ascii="宋体" w:hAnsi="宋体" w:eastAsia="宋体" w:cs="宋体"/>
          <w:color w:val="auto"/>
          <w:szCs w:val="21"/>
          <w:highlight w:val="none"/>
          <w:lang w:val="zh-CN"/>
        </w:rPr>
      </w:pPr>
    </w:p>
    <w:p w14:paraId="16DAC1A7">
      <w:pPr>
        <w:numPr>
          <w:ilvl w:val="0"/>
          <w:numId w:val="1"/>
        </w:numPr>
        <w:autoSpaceDE w:val="0"/>
        <w:autoSpaceDN w:val="0"/>
        <w:adjustRightInd w:val="0"/>
        <w:snapToGrid w:val="0"/>
        <w:spacing w:line="360" w:lineRule="auto"/>
        <w:ind w:right="-34"/>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1C94E994">
      <w:pPr>
        <w:pStyle w:val="46"/>
        <w:rPr>
          <w:color w:val="auto"/>
          <w:highlight w:val="none"/>
          <w:lang w:val="zh-CN"/>
        </w:rPr>
      </w:pPr>
    </w:p>
    <w:p w14:paraId="19EF3620">
      <w:pPr>
        <w:numPr>
          <w:ilvl w:val="0"/>
          <w:numId w:val="1"/>
        </w:numPr>
        <w:autoSpaceDE w:val="0"/>
        <w:autoSpaceDN w:val="0"/>
        <w:adjustRightInd w:val="0"/>
        <w:snapToGrid w:val="0"/>
        <w:spacing w:line="360" w:lineRule="auto"/>
        <w:ind w:right="-34"/>
        <w:jc w:val="left"/>
        <w:rPr>
          <w:rFonts w:ascii="宋体" w:hAnsi="宋体" w:eastAsia="宋体" w:cs="宋体"/>
          <w:color w:val="auto"/>
          <w:szCs w:val="21"/>
          <w:highlight w:val="none"/>
          <w:lang w:val="zh-CN"/>
        </w:rPr>
      </w:pPr>
      <w:bookmarkStart w:id="14" w:name="_Toc10505"/>
      <w:bookmarkStart w:id="15" w:name="_Toc15579"/>
      <w:r>
        <w:rPr>
          <w:rFonts w:hint="eastAsia" w:ascii="宋体" w:hAnsi="宋体" w:eastAsia="宋体" w:cs="宋体"/>
          <w:color w:val="auto"/>
          <w:szCs w:val="21"/>
          <w:highlight w:val="none"/>
          <w:lang w:val="zh-CN"/>
        </w:rPr>
        <w:t>投标会时间、地点及投标文件提交截止时间：</w:t>
      </w:r>
      <w:bookmarkEnd w:id="14"/>
      <w:bookmarkEnd w:id="15"/>
    </w:p>
    <w:p w14:paraId="0E757199">
      <w:pPr>
        <w:pStyle w:val="160"/>
        <w:spacing w:line="360" w:lineRule="auto"/>
        <w:ind w:left="420" w:hanging="420" w:hangingChars="200"/>
        <w:jc w:val="both"/>
        <w:rPr>
          <w:rFonts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6</w:t>
      </w:r>
      <w:r>
        <w:rPr>
          <w:rFonts w:hint="eastAsia" w:hAnsi="宋体" w:eastAsia="宋体" w:cs="宋体"/>
          <w:bCs/>
          <w:color w:val="auto"/>
          <w:sz w:val="21"/>
          <w:szCs w:val="21"/>
          <w:highlight w:val="none"/>
        </w:rPr>
        <w:t xml:space="preserve">.1 </w:t>
      </w:r>
      <w:r>
        <w:rPr>
          <w:rFonts w:hint="eastAsia" w:hAnsi="宋体" w:eastAsia="宋体" w:cs="宋体"/>
          <w:bCs/>
          <w:color w:val="auto"/>
          <w:sz w:val="21"/>
          <w:szCs w:val="21"/>
          <w:highlight w:val="none"/>
          <w:lang w:val="zh-CN"/>
        </w:rPr>
        <w:t>投标会召开时间：</w:t>
      </w:r>
      <w:r>
        <w:rPr>
          <w:rFonts w:hint="eastAsia" w:hAnsi="宋体" w:eastAsia="宋体" w:cs="宋体"/>
          <w:bCs/>
          <w:color w:val="auto"/>
          <w:sz w:val="21"/>
          <w:szCs w:val="21"/>
          <w:highlight w:val="none"/>
          <w:u w:val="single"/>
          <w:lang w:eastAsia="zh-CN"/>
        </w:rPr>
        <w:t>2026</w:t>
      </w:r>
      <w:r>
        <w:rPr>
          <w:rFonts w:hint="eastAsia" w:hAnsi="宋体" w:eastAsia="宋体" w:cs="宋体"/>
          <w:bCs/>
          <w:color w:val="auto"/>
          <w:sz w:val="21"/>
          <w:szCs w:val="21"/>
          <w:highlight w:val="none"/>
          <w:u w:val="single"/>
          <w:lang w:val="zh-CN"/>
        </w:rPr>
        <w:t>年</w:t>
      </w:r>
      <w:r>
        <w:rPr>
          <w:rFonts w:hint="eastAsia" w:hAnsi="宋体" w:eastAsia="宋体" w:cs="宋体"/>
          <w:bCs/>
          <w:color w:val="auto"/>
          <w:sz w:val="21"/>
          <w:szCs w:val="21"/>
          <w:highlight w:val="none"/>
          <w:u w:val="single"/>
          <w:lang w:val="en-US" w:eastAsia="zh-CN"/>
        </w:rPr>
        <w:t>03</w:t>
      </w:r>
      <w:r>
        <w:rPr>
          <w:rFonts w:hint="eastAsia"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26</w:t>
      </w:r>
      <w:r>
        <w:rPr>
          <w:rFonts w:hint="eastAsia"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14</w:t>
      </w:r>
      <w:r>
        <w:rPr>
          <w:rFonts w:hint="eastAsia"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00</w:t>
      </w:r>
      <w:r>
        <w:rPr>
          <w:rFonts w:hint="eastAsia" w:hAnsi="宋体" w:eastAsia="宋体" w:cs="宋体"/>
          <w:bCs/>
          <w:color w:val="auto"/>
          <w:sz w:val="21"/>
          <w:szCs w:val="21"/>
          <w:highlight w:val="none"/>
          <w:u w:val="single"/>
          <w:lang w:val="zh-CN"/>
        </w:rPr>
        <w:t>分</w:t>
      </w:r>
      <w:r>
        <w:rPr>
          <w:rFonts w:hint="eastAsia" w:hAnsi="宋体" w:eastAsia="宋体" w:cs="宋体"/>
          <w:bCs/>
          <w:color w:val="auto"/>
          <w:sz w:val="21"/>
          <w:szCs w:val="21"/>
          <w:highlight w:val="none"/>
          <w:lang w:val="zh-CN"/>
        </w:rPr>
        <w:t>，投标会召开地点：东莞市南城</w:t>
      </w:r>
      <w:r>
        <w:rPr>
          <w:rFonts w:hint="eastAsia" w:hAnsi="宋体" w:eastAsia="宋体" w:cs="宋体"/>
          <w:bCs/>
          <w:color w:val="auto"/>
          <w:sz w:val="21"/>
          <w:szCs w:val="21"/>
          <w:highlight w:val="none"/>
        </w:rPr>
        <w:t>街道</w:t>
      </w:r>
      <w:r>
        <w:rPr>
          <w:rFonts w:hint="eastAsia" w:hAnsi="宋体" w:eastAsia="宋体" w:cs="宋体"/>
          <w:bCs/>
          <w:color w:val="auto"/>
          <w:sz w:val="21"/>
          <w:szCs w:val="21"/>
          <w:highlight w:val="none"/>
          <w:lang w:val="zh-CN"/>
        </w:rPr>
        <w:t>西平社区宏伟三路45号东莞市公共资源交易中心开标室（</w:t>
      </w:r>
      <w:r>
        <w:rPr>
          <w:rFonts w:hint="eastAsia" w:hAnsi="宋体" w:eastAsia="宋体" w:cs="宋体"/>
          <w:bCs/>
          <w:color w:val="auto"/>
          <w:sz w:val="21"/>
          <w:szCs w:val="21"/>
          <w:highlight w:val="none"/>
          <w:lang w:val="en-US" w:eastAsia="zh-CN"/>
        </w:rPr>
        <w:t>8</w:t>
      </w:r>
      <w:r>
        <w:rPr>
          <w:rFonts w:hint="eastAsia" w:hAnsi="宋体" w:eastAsia="宋体" w:cs="宋体"/>
          <w:bCs/>
          <w:color w:val="auto"/>
          <w:sz w:val="21"/>
          <w:szCs w:val="21"/>
          <w:highlight w:val="none"/>
          <w:lang w:val="zh-CN"/>
        </w:rPr>
        <w:t>）；</w:t>
      </w:r>
    </w:p>
    <w:p w14:paraId="3294B487">
      <w:pPr>
        <w:pStyle w:val="160"/>
        <w:spacing w:line="360" w:lineRule="auto"/>
        <w:ind w:left="420" w:hanging="420" w:hangingChars="200"/>
        <w:jc w:val="both"/>
        <w:rPr>
          <w:rFonts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6</w:t>
      </w:r>
      <w:r>
        <w:rPr>
          <w:rFonts w:hint="eastAsia" w:hAnsi="宋体" w:eastAsia="宋体" w:cs="宋体"/>
          <w:bCs/>
          <w:color w:val="auto"/>
          <w:sz w:val="21"/>
          <w:szCs w:val="21"/>
          <w:highlight w:val="none"/>
          <w:lang w:val="zh-CN"/>
        </w:rPr>
        <w:t>.</w:t>
      </w:r>
      <w:r>
        <w:rPr>
          <w:rFonts w:hint="eastAsia" w:hAnsi="宋体" w:eastAsia="宋体" w:cs="宋体"/>
          <w:bCs/>
          <w:color w:val="auto"/>
          <w:sz w:val="21"/>
          <w:szCs w:val="21"/>
          <w:highlight w:val="none"/>
        </w:rPr>
        <w:t>2</w:t>
      </w:r>
      <w:r>
        <w:rPr>
          <w:rFonts w:hint="eastAsia" w:hAnsi="宋体" w:eastAsia="宋体" w:cs="宋体"/>
          <w:bCs/>
          <w:color w:val="auto"/>
          <w:sz w:val="21"/>
          <w:szCs w:val="21"/>
          <w:highlight w:val="none"/>
          <w:lang w:val="zh-CN"/>
        </w:rPr>
        <w:t xml:space="preserve"> 投标文件递交的截止时间（投标截止时间，下同）：</w:t>
      </w:r>
      <w:r>
        <w:rPr>
          <w:rFonts w:hint="eastAsia" w:hAnsi="宋体" w:eastAsia="宋体" w:cs="宋体"/>
          <w:bCs/>
          <w:color w:val="auto"/>
          <w:sz w:val="21"/>
          <w:szCs w:val="21"/>
          <w:highlight w:val="none"/>
          <w:u w:val="single"/>
          <w:lang w:eastAsia="zh-CN"/>
        </w:rPr>
        <w:t>2026</w:t>
      </w:r>
      <w:r>
        <w:rPr>
          <w:rFonts w:hint="eastAsia" w:hAnsi="宋体" w:eastAsia="宋体" w:cs="宋体"/>
          <w:bCs/>
          <w:color w:val="auto"/>
          <w:sz w:val="21"/>
          <w:szCs w:val="21"/>
          <w:highlight w:val="none"/>
          <w:u w:val="single"/>
          <w:lang w:val="zh-CN"/>
        </w:rPr>
        <w:t>年</w:t>
      </w:r>
      <w:r>
        <w:rPr>
          <w:rFonts w:hint="eastAsia" w:hAnsi="宋体" w:eastAsia="宋体" w:cs="宋体"/>
          <w:bCs/>
          <w:color w:val="auto"/>
          <w:sz w:val="21"/>
          <w:szCs w:val="21"/>
          <w:highlight w:val="none"/>
          <w:u w:val="single"/>
          <w:lang w:val="en-US" w:eastAsia="zh-CN"/>
        </w:rPr>
        <w:t>03</w:t>
      </w:r>
      <w:r>
        <w:rPr>
          <w:rFonts w:hint="eastAsia"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26</w:t>
      </w:r>
      <w:r>
        <w:rPr>
          <w:rFonts w:hint="eastAsia"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14</w:t>
      </w:r>
      <w:r>
        <w:rPr>
          <w:rFonts w:hint="eastAsia"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00</w:t>
      </w:r>
      <w:r>
        <w:rPr>
          <w:rFonts w:hint="eastAsia" w:hAnsi="宋体" w:eastAsia="宋体" w:cs="宋体"/>
          <w:bCs/>
          <w:color w:val="auto"/>
          <w:sz w:val="21"/>
          <w:szCs w:val="21"/>
          <w:highlight w:val="none"/>
          <w:u w:val="single"/>
          <w:lang w:val="zh-CN"/>
        </w:rPr>
        <w:t>分</w:t>
      </w:r>
      <w:r>
        <w:rPr>
          <w:rFonts w:hint="eastAsia" w:hAnsi="宋体" w:eastAsia="宋体" w:cs="宋体"/>
          <w:bCs/>
          <w:color w:val="auto"/>
          <w:sz w:val="21"/>
          <w:szCs w:val="21"/>
          <w:highlight w:val="none"/>
          <w:lang w:val="zh-CN"/>
        </w:rPr>
        <w:t>，地点：通过东莞市公共资源交易E网通管理平台建设工程交易系统网上提交；</w:t>
      </w:r>
    </w:p>
    <w:p w14:paraId="2EBEBF8C">
      <w:pPr>
        <w:pStyle w:val="160"/>
        <w:spacing w:line="360" w:lineRule="auto"/>
        <w:ind w:left="420" w:hanging="420" w:hangingChars="200"/>
        <w:rPr>
          <w:rFonts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6</w:t>
      </w:r>
      <w:r>
        <w:rPr>
          <w:rFonts w:hint="eastAsia" w:hAnsi="宋体" w:eastAsia="宋体" w:cs="宋体"/>
          <w:bCs/>
          <w:color w:val="auto"/>
          <w:sz w:val="21"/>
          <w:szCs w:val="21"/>
          <w:highlight w:val="none"/>
          <w:lang w:val="zh-CN"/>
        </w:rPr>
        <w:t>.</w:t>
      </w:r>
      <w:r>
        <w:rPr>
          <w:rFonts w:hint="eastAsia" w:hAnsi="宋体" w:eastAsia="宋体" w:cs="宋体"/>
          <w:bCs/>
          <w:color w:val="auto"/>
          <w:sz w:val="21"/>
          <w:szCs w:val="21"/>
          <w:highlight w:val="none"/>
        </w:rPr>
        <w:t>3</w:t>
      </w:r>
      <w:r>
        <w:rPr>
          <w:rFonts w:hint="eastAsia" w:hAnsi="宋体" w:eastAsia="宋体" w:cs="宋体"/>
          <w:bCs/>
          <w:color w:val="auto"/>
          <w:sz w:val="21"/>
          <w:szCs w:val="21"/>
          <w:highlight w:val="none"/>
          <w:lang w:val="zh-CN"/>
        </w:rPr>
        <w:t xml:space="preserve"> 投标人必须通过交易系统在线上传投标文件，上述方式外提交的投标文件及逾期通过网络上传的电子投标文件，招标人不予受理。</w:t>
      </w:r>
    </w:p>
    <w:p w14:paraId="149D3B0A">
      <w:pPr>
        <w:autoSpaceDE w:val="0"/>
        <w:autoSpaceDN w:val="0"/>
        <w:adjustRightInd w:val="0"/>
        <w:spacing w:line="360" w:lineRule="auto"/>
        <w:ind w:right="-29" w:rightChars="-14" w:firstLine="210" w:firstLineChars="100"/>
        <w:rPr>
          <w:rFonts w:ascii="宋体" w:hAnsi="宋体" w:eastAsia="宋体" w:cs="宋体"/>
          <w:color w:val="auto"/>
          <w:kern w:val="0"/>
          <w:szCs w:val="21"/>
          <w:highlight w:val="none"/>
        </w:rPr>
      </w:pPr>
    </w:p>
    <w:p w14:paraId="27858A78">
      <w:pPr>
        <w:numPr>
          <w:ilvl w:val="0"/>
          <w:numId w:val="1"/>
        </w:numPr>
        <w:snapToGrid w:val="0"/>
        <w:spacing w:line="360" w:lineRule="auto"/>
        <w:ind w:right="-34"/>
        <w:rPr>
          <w:rFonts w:ascii="宋体" w:hAnsi="宋体" w:eastAsia="宋体" w:cs="宋体"/>
          <w:bCs/>
          <w:color w:val="auto"/>
          <w:szCs w:val="21"/>
          <w:highlight w:val="none"/>
          <w:lang w:val="zh-CN"/>
        </w:rPr>
      </w:pPr>
      <w:bookmarkStart w:id="16" w:name="_Toc8363"/>
      <w:bookmarkStart w:id="17" w:name="_Toc19461"/>
      <w:r>
        <w:rPr>
          <w:rFonts w:hint="eastAsia" w:ascii="宋体" w:hAnsi="宋体" w:eastAsia="宋体" w:cs="宋体"/>
          <w:bCs/>
          <w:color w:val="auto"/>
          <w:szCs w:val="21"/>
          <w:highlight w:val="none"/>
          <w:lang w:val="zh-CN"/>
        </w:rPr>
        <w:t>开标时间和地点：</w:t>
      </w:r>
      <w:bookmarkEnd w:id="16"/>
      <w:bookmarkEnd w:id="17"/>
    </w:p>
    <w:p w14:paraId="65E649F1">
      <w:pPr>
        <w:pStyle w:val="160"/>
        <w:spacing w:line="360" w:lineRule="auto"/>
        <w:ind w:left="420" w:hanging="420" w:hangingChars="200"/>
        <w:rPr>
          <w:rFonts w:hAnsi="宋体" w:eastAsia="宋体" w:cs="宋体"/>
          <w:bCs/>
          <w:color w:val="auto"/>
          <w:sz w:val="21"/>
          <w:szCs w:val="21"/>
          <w:highlight w:val="none"/>
          <w:lang w:val="zh-CN"/>
        </w:rPr>
      </w:pPr>
      <w:bookmarkStart w:id="18" w:name="_Toc15059"/>
      <w:bookmarkStart w:id="19" w:name="_Toc8817"/>
      <w:r>
        <w:rPr>
          <w:rFonts w:hint="eastAsia" w:hAnsi="宋体" w:eastAsia="宋体" w:cs="宋体"/>
          <w:bCs/>
          <w:color w:val="auto"/>
          <w:sz w:val="21"/>
          <w:szCs w:val="21"/>
          <w:highlight w:val="none"/>
          <w:lang w:val="en-US" w:eastAsia="zh-CN"/>
        </w:rPr>
        <w:t>7</w:t>
      </w:r>
      <w:r>
        <w:rPr>
          <w:rFonts w:hint="eastAsia" w:hAnsi="宋体" w:eastAsia="宋体" w:cs="宋体"/>
          <w:bCs/>
          <w:color w:val="auto"/>
          <w:sz w:val="21"/>
          <w:szCs w:val="21"/>
          <w:highlight w:val="none"/>
          <w:lang w:val="zh-CN"/>
        </w:rPr>
        <w:t>.1 开标时间：同投标截止时间；</w:t>
      </w:r>
      <w:bookmarkEnd w:id="18"/>
      <w:bookmarkEnd w:id="19"/>
    </w:p>
    <w:p w14:paraId="5E853E55">
      <w:pPr>
        <w:pStyle w:val="160"/>
        <w:spacing w:line="360" w:lineRule="auto"/>
        <w:ind w:left="420" w:hanging="420" w:hangingChars="200"/>
        <w:rPr>
          <w:rFonts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7</w:t>
      </w:r>
      <w:r>
        <w:rPr>
          <w:rFonts w:hint="eastAsia" w:hAnsi="宋体" w:eastAsia="宋体" w:cs="宋体"/>
          <w:bCs/>
          <w:color w:val="auto"/>
          <w:sz w:val="21"/>
          <w:szCs w:val="21"/>
          <w:highlight w:val="none"/>
          <w:lang w:val="zh-CN"/>
        </w:rPr>
        <w:t>.2 开标地点：东莞市南城</w:t>
      </w:r>
      <w:r>
        <w:rPr>
          <w:rFonts w:hint="eastAsia" w:hAnsi="宋体" w:eastAsia="宋体" w:cs="宋体"/>
          <w:bCs/>
          <w:color w:val="auto"/>
          <w:sz w:val="21"/>
          <w:szCs w:val="21"/>
          <w:highlight w:val="none"/>
        </w:rPr>
        <w:t>街道</w:t>
      </w:r>
      <w:r>
        <w:rPr>
          <w:rFonts w:hint="eastAsia" w:hAnsi="宋体" w:eastAsia="宋体" w:cs="宋体"/>
          <w:bCs/>
          <w:color w:val="auto"/>
          <w:sz w:val="21"/>
          <w:szCs w:val="21"/>
          <w:highlight w:val="none"/>
          <w:lang w:val="zh-CN"/>
        </w:rPr>
        <w:t>西平社区宏伟三路45号东莞市公共资源交易中心开标室（</w:t>
      </w:r>
      <w:r>
        <w:rPr>
          <w:rFonts w:hint="eastAsia" w:hAnsi="宋体" w:eastAsia="宋体" w:cs="宋体"/>
          <w:bCs/>
          <w:color w:val="auto"/>
          <w:sz w:val="21"/>
          <w:szCs w:val="21"/>
          <w:highlight w:val="none"/>
          <w:lang w:val="en-US" w:eastAsia="zh-CN"/>
        </w:rPr>
        <w:t>8</w:t>
      </w:r>
      <w:r>
        <w:rPr>
          <w:rFonts w:hint="eastAsia" w:hAnsi="宋体" w:eastAsia="宋体" w:cs="宋体"/>
          <w:bCs/>
          <w:color w:val="auto"/>
          <w:sz w:val="21"/>
          <w:szCs w:val="21"/>
          <w:highlight w:val="none"/>
          <w:lang w:val="zh-CN"/>
        </w:rPr>
        <w:t>）。</w:t>
      </w:r>
    </w:p>
    <w:p w14:paraId="24E0BF35">
      <w:pPr>
        <w:autoSpaceDE w:val="0"/>
        <w:autoSpaceDN w:val="0"/>
        <w:adjustRightInd w:val="0"/>
        <w:spacing w:line="360" w:lineRule="auto"/>
        <w:ind w:left="210" w:leftChars="100" w:right="-29" w:rightChars="-14"/>
        <w:rPr>
          <w:rFonts w:ascii="宋体" w:hAnsi="宋体" w:eastAsia="宋体" w:cs="宋体"/>
          <w:color w:val="auto"/>
          <w:szCs w:val="21"/>
          <w:highlight w:val="none"/>
          <w:lang w:val="zh-CN"/>
        </w:rPr>
      </w:pPr>
    </w:p>
    <w:p w14:paraId="7C04B82C">
      <w:pPr>
        <w:numPr>
          <w:ilvl w:val="0"/>
          <w:numId w:val="1"/>
        </w:numPr>
        <w:wordWrap w:val="0"/>
        <w:autoSpaceDE w:val="0"/>
        <w:autoSpaceDN w:val="0"/>
        <w:adjustRightInd w:val="0"/>
        <w:snapToGrid w:val="0"/>
        <w:spacing w:line="360" w:lineRule="auto"/>
        <w:ind w:left="363" w:right="-34" w:hanging="363"/>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全国公共资源交易平台（广东省·东莞市）（https://ygp.gdzwfw.gov.cn/#/441900/index）、中国招标投标公共服务平台（www.cebpubservice.com）、东莞市水务环境投资控股集团有限公司网（www.dgweg.cn）、招标代理机构网站（http：//www.yifanggl.com）。</w:t>
      </w:r>
    </w:p>
    <w:p w14:paraId="68AAA07A">
      <w:pPr>
        <w:pStyle w:val="46"/>
        <w:rPr>
          <w:rFonts w:hAnsi="宋体" w:eastAsia="宋体" w:cs="宋体"/>
          <w:color w:val="auto"/>
          <w:highlight w:val="none"/>
        </w:rPr>
      </w:pPr>
    </w:p>
    <w:p w14:paraId="0B39111B">
      <w:pPr>
        <w:numPr>
          <w:ilvl w:val="0"/>
          <w:numId w:val="1"/>
        </w:numPr>
        <w:autoSpaceDE w:val="0"/>
        <w:autoSpaceDN w:val="0"/>
        <w:adjustRightInd w:val="0"/>
        <w:snapToGrid w:val="0"/>
        <w:spacing w:line="360" w:lineRule="auto"/>
        <w:ind w:right="-34"/>
        <w:jc w:val="left"/>
        <w:rPr>
          <w:rFonts w:ascii="宋体" w:hAnsi="宋体" w:eastAsia="宋体" w:cs="宋体"/>
          <w:color w:val="auto"/>
          <w:szCs w:val="21"/>
          <w:highlight w:val="none"/>
        </w:rPr>
      </w:pPr>
      <w:bookmarkStart w:id="20" w:name="_Toc3809"/>
      <w:bookmarkStart w:id="21" w:name="_Toc16545"/>
      <w:r>
        <w:rPr>
          <w:rFonts w:hint="eastAsia" w:ascii="宋体" w:hAnsi="宋体" w:eastAsia="宋体" w:cs="宋体"/>
          <w:color w:val="auto"/>
          <w:szCs w:val="21"/>
          <w:highlight w:val="none"/>
        </w:rPr>
        <w:t>投标保证金</w:t>
      </w:r>
      <w:bookmarkEnd w:id="20"/>
      <w:bookmarkEnd w:id="21"/>
    </w:p>
    <w:p w14:paraId="18D0D33D">
      <w:pPr>
        <w:pStyle w:val="160"/>
        <w:spacing w:line="360" w:lineRule="auto"/>
        <w:ind w:left="420" w:hanging="420" w:hangingChars="200"/>
        <w:rPr>
          <w:rFonts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9</w:t>
      </w:r>
      <w:r>
        <w:rPr>
          <w:rFonts w:hint="eastAsia" w:hAnsi="宋体" w:eastAsia="宋体" w:cs="宋体"/>
          <w:bCs/>
          <w:color w:val="auto"/>
          <w:sz w:val="21"/>
          <w:szCs w:val="21"/>
          <w:highlight w:val="none"/>
          <w:lang w:val="zh-CN"/>
        </w:rPr>
        <w:t>.1 本次招标投标人须提交投标保证金金额：</w:t>
      </w:r>
      <w:r>
        <w:rPr>
          <w:rFonts w:hint="eastAsia" w:hAnsi="宋体" w:eastAsia="宋体" w:cs="宋体"/>
          <w:bCs/>
          <w:color w:val="auto"/>
          <w:sz w:val="21"/>
          <w:szCs w:val="21"/>
          <w:highlight w:val="none"/>
          <w:lang w:val="en-US" w:eastAsia="zh-CN"/>
        </w:rPr>
        <w:t>500,000.00</w:t>
      </w:r>
      <w:r>
        <w:rPr>
          <w:rFonts w:hint="eastAsia" w:hAnsi="宋体" w:eastAsia="宋体" w:cs="宋体"/>
          <w:bCs/>
          <w:color w:val="auto"/>
          <w:sz w:val="21"/>
          <w:szCs w:val="21"/>
          <w:highlight w:val="none"/>
          <w:lang w:val="zh-CN"/>
        </w:rPr>
        <w:t>元。</w:t>
      </w:r>
    </w:p>
    <w:p w14:paraId="266DEF3A">
      <w:pPr>
        <w:pStyle w:val="160"/>
        <w:spacing w:line="360" w:lineRule="auto"/>
        <w:ind w:left="420" w:hanging="420" w:hangingChars="200"/>
        <w:rPr>
          <w:rFonts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9</w:t>
      </w:r>
      <w:r>
        <w:rPr>
          <w:rFonts w:hint="eastAsia" w:hAnsi="宋体" w:eastAsia="宋体" w:cs="宋体"/>
          <w:bCs/>
          <w:color w:val="auto"/>
          <w:sz w:val="21"/>
          <w:szCs w:val="21"/>
          <w:highlight w:val="none"/>
          <w:lang w:val="zh-CN"/>
        </w:rPr>
        <w:t>.2</w:t>
      </w:r>
      <w:r>
        <w:rPr>
          <w:rFonts w:hint="eastAsia" w:hAnsi="宋体" w:eastAsia="宋体" w:cs="宋体"/>
          <w:bCs/>
          <w:color w:val="auto"/>
          <w:sz w:val="21"/>
          <w:szCs w:val="21"/>
          <w:highlight w:val="none"/>
        </w:rPr>
        <w:t xml:space="preserve"> </w:t>
      </w:r>
      <w:r>
        <w:rPr>
          <w:rFonts w:hint="eastAsia" w:hAnsi="宋体" w:eastAsia="宋体" w:cs="宋体"/>
          <w:bCs/>
          <w:color w:val="auto"/>
          <w:sz w:val="21"/>
          <w:szCs w:val="21"/>
          <w:highlight w:val="none"/>
          <w:lang w:val="zh-CN"/>
        </w:rPr>
        <w:t>投标保证金形式：单项投标保证金；银行电子保函；保险电子保单；</w:t>
      </w:r>
    </w:p>
    <w:p w14:paraId="336D1BF6">
      <w:pPr>
        <w:pStyle w:val="160"/>
        <w:spacing w:line="360" w:lineRule="auto"/>
        <w:ind w:left="420" w:leftChars="200" w:firstLine="0" w:firstLineChars="0"/>
        <w:rPr>
          <w:rFonts w:hAnsi="宋体" w:eastAsia="宋体" w:cs="宋体"/>
          <w:bCs/>
          <w:color w:val="auto"/>
          <w:sz w:val="21"/>
          <w:szCs w:val="21"/>
          <w:highlight w:val="none"/>
          <w:lang w:val="zh-CN"/>
        </w:rPr>
      </w:pPr>
      <w:r>
        <w:rPr>
          <w:rFonts w:hint="eastAsia" w:hAnsi="宋体" w:eastAsia="宋体" w:cs="宋体"/>
          <w:bCs/>
          <w:color w:val="auto"/>
          <w:sz w:val="21"/>
          <w:szCs w:val="21"/>
          <w:highlight w:val="none"/>
          <w:lang w:val="zh-CN"/>
        </w:rPr>
        <w:t>其它：</w:t>
      </w:r>
      <w:r>
        <w:rPr>
          <w:rFonts w:hint="eastAsia" w:hAnsi="宋体" w:eastAsia="宋体" w:cs="宋体"/>
          <w:bCs/>
          <w:color w:val="auto"/>
          <w:sz w:val="21"/>
          <w:szCs w:val="21"/>
          <w:highlight w:val="none"/>
          <w:u w:val="single"/>
          <w:lang w:val="zh-CN"/>
        </w:rPr>
        <w:t xml:space="preserve">      /       </w:t>
      </w:r>
      <w:r>
        <w:rPr>
          <w:rFonts w:hint="eastAsia" w:hAnsi="宋体" w:eastAsia="宋体" w:cs="宋体"/>
          <w:bCs/>
          <w:color w:val="auto"/>
          <w:sz w:val="21"/>
          <w:szCs w:val="21"/>
          <w:highlight w:val="none"/>
          <w:lang w:val="zh-CN"/>
        </w:rPr>
        <w:t>。</w:t>
      </w:r>
    </w:p>
    <w:p w14:paraId="030D4E74">
      <w:pPr>
        <w:pStyle w:val="160"/>
        <w:spacing w:line="360" w:lineRule="auto"/>
        <w:ind w:left="420" w:hanging="420" w:hangingChars="200"/>
        <w:rPr>
          <w:rFonts w:hAnsi="宋体" w:eastAsia="宋体" w:cs="宋体"/>
          <w:bCs/>
          <w:color w:val="auto"/>
          <w:sz w:val="21"/>
          <w:szCs w:val="21"/>
          <w:highlight w:val="none"/>
          <w:lang w:val="zh-CN"/>
        </w:rPr>
      </w:pPr>
      <w:bookmarkStart w:id="22" w:name="_Toc14886"/>
      <w:bookmarkStart w:id="23" w:name="_Toc31252"/>
      <w:r>
        <w:rPr>
          <w:rFonts w:hint="eastAsia" w:hAnsi="宋体" w:eastAsia="宋体" w:cs="宋体"/>
          <w:bCs/>
          <w:color w:val="auto"/>
          <w:sz w:val="21"/>
          <w:szCs w:val="21"/>
          <w:highlight w:val="none"/>
          <w:lang w:val="en-US" w:eastAsia="zh-CN"/>
        </w:rPr>
        <w:t>9</w:t>
      </w:r>
      <w:r>
        <w:rPr>
          <w:rFonts w:hint="eastAsia" w:hAnsi="宋体" w:eastAsia="宋体" w:cs="宋体"/>
          <w:bCs/>
          <w:color w:val="auto"/>
          <w:sz w:val="21"/>
          <w:szCs w:val="21"/>
          <w:highlight w:val="none"/>
          <w:lang w:val="zh-CN"/>
        </w:rPr>
        <w:t>.</w:t>
      </w:r>
      <w:r>
        <w:rPr>
          <w:rFonts w:hint="eastAsia" w:hAnsi="宋体" w:eastAsia="宋体" w:cs="宋体"/>
          <w:bCs/>
          <w:color w:val="auto"/>
          <w:sz w:val="21"/>
          <w:szCs w:val="21"/>
          <w:highlight w:val="none"/>
        </w:rPr>
        <w:t xml:space="preserve">3 </w:t>
      </w:r>
      <w:r>
        <w:rPr>
          <w:rFonts w:hint="eastAsia" w:hAnsi="宋体" w:eastAsia="宋体" w:cs="宋体"/>
          <w:bCs/>
          <w:color w:val="auto"/>
          <w:sz w:val="21"/>
          <w:szCs w:val="21"/>
          <w:highlight w:val="none"/>
          <w:lang w:val="zh-CN"/>
        </w:rPr>
        <w:t>投标保证金形式注意事项：</w:t>
      </w:r>
      <w:bookmarkEnd w:id="22"/>
      <w:bookmarkEnd w:id="23"/>
    </w:p>
    <w:p w14:paraId="549A62A1">
      <w:pPr>
        <w:pStyle w:val="160"/>
        <w:spacing w:line="360" w:lineRule="auto"/>
        <w:ind w:left="420" w:hanging="420" w:hangingChars="200"/>
        <w:rPr>
          <w:rFonts w:hAnsi="宋体" w:eastAsia="宋体" w:cs="宋体"/>
          <w:bCs/>
          <w:color w:val="auto"/>
          <w:sz w:val="21"/>
          <w:szCs w:val="21"/>
          <w:highlight w:val="none"/>
          <w:lang w:val="zh-CN"/>
        </w:rPr>
      </w:pPr>
      <w:bookmarkStart w:id="24" w:name="_Toc21912"/>
      <w:bookmarkStart w:id="25" w:name="_Toc26630"/>
      <w:r>
        <w:rPr>
          <w:rFonts w:hint="eastAsia" w:hAnsi="宋体" w:eastAsia="宋体" w:cs="宋体"/>
          <w:bCs/>
          <w:color w:val="auto"/>
          <w:sz w:val="21"/>
          <w:szCs w:val="21"/>
          <w:highlight w:val="none"/>
          <w:lang w:val="zh-CN"/>
        </w:rPr>
        <w:t>（1）投标保证金到账时间应为投标保证金的关联时间。</w:t>
      </w:r>
      <w:bookmarkEnd w:id="24"/>
      <w:bookmarkEnd w:id="25"/>
    </w:p>
    <w:p w14:paraId="1DD9309F">
      <w:pPr>
        <w:pStyle w:val="160"/>
        <w:spacing w:line="360" w:lineRule="auto"/>
        <w:ind w:left="420" w:hanging="420" w:hangingChars="200"/>
        <w:rPr>
          <w:rFonts w:hAnsi="宋体" w:eastAsia="宋体" w:cs="宋体"/>
          <w:bCs/>
          <w:color w:val="auto"/>
          <w:sz w:val="21"/>
          <w:szCs w:val="21"/>
          <w:highlight w:val="none"/>
          <w:lang w:val="zh-CN"/>
        </w:rPr>
      </w:pPr>
      <w:r>
        <w:rPr>
          <w:rFonts w:hint="eastAsia" w:hAnsi="宋体" w:eastAsia="宋体" w:cs="宋体"/>
          <w:bCs/>
          <w:color w:val="auto"/>
          <w:sz w:val="21"/>
          <w:szCs w:val="21"/>
          <w:highlight w:val="none"/>
          <w:lang w:val="zh-CN"/>
        </w:rPr>
        <w:t>（2）投标保证金数据超过投标截止时间后到达交易系统的，无法关联。</w:t>
      </w:r>
    </w:p>
    <w:p w14:paraId="63D4383B">
      <w:pPr>
        <w:pStyle w:val="160"/>
        <w:spacing w:line="360" w:lineRule="auto"/>
        <w:ind w:left="420" w:hanging="420" w:hangingChars="200"/>
        <w:rPr>
          <w:rFonts w:hAnsi="宋体" w:eastAsia="宋体" w:cs="宋体"/>
          <w:bCs/>
          <w:color w:val="auto"/>
          <w:sz w:val="21"/>
          <w:szCs w:val="21"/>
          <w:highlight w:val="none"/>
          <w:lang w:val="zh-CN"/>
        </w:rPr>
      </w:pPr>
      <w:bookmarkStart w:id="26" w:name="_Toc12832"/>
      <w:bookmarkStart w:id="27" w:name="_Toc2829"/>
      <w:r>
        <w:rPr>
          <w:rFonts w:hint="eastAsia" w:hAnsi="宋体" w:eastAsia="宋体" w:cs="宋体"/>
          <w:bCs/>
          <w:color w:val="auto"/>
          <w:sz w:val="21"/>
          <w:szCs w:val="21"/>
          <w:highlight w:val="none"/>
          <w:lang w:val="zh-CN"/>
        </w:rPr>
        <w:t>（3）投标人应提前办理投标保证金手续，自行承担数据延误风险。</w:t>
      </w:r>
      <w:bookmarkEnd w:id="26"/>
      <w:bookmarkEnd w:id="27"/>
    </w:p>
    <w:p w14:paraId="38776705">
      <w:pPr>
        <w:numPr>
          <w:ilvl w:val="255"/>
          <w:numId w:val="0"/>
        </w:numPr>
        <w:autoSpaceDE w:val="0"/>
        <w:autoSpaceDN w:val="0"/>
        <w:adjustRightInd w:val="0"/>
        <w:snapToGrid w:val="0"/>
        <w:spacing w:line="360" w:lineRule="auto"/>
        <w:ind w:right="-34"/>
        <w:jc w:val="left"/>
        <w:rPr>
          <w:rFonts w:ascii="宋体" w:hAnsi="宋体" w:eastAsia="宋体" w:cs="宋体"/>
          <w:color w:val="auto"/>
          <w:szCs w:val="21"/>
          <w:highlight w:val="none"/>
        </w:rPr>
      </w:pPr>
    </w:p>
    <w:p w14:paraId="26DE7BFF">
      <w:pPr>
        <w:numPr>
          <w:ilvl w:val="0"/>
          <w:numId w:val="1"/>
        </w:numPr>
        <w:autoSpaceDE w:val="0"/>
        <w:autoSpaceDN w:val="0"/>
        <w:adjustRightInd w:val="0"/>
        <w:snapToGrid w:val="0"/>
        <w:spacing w:line="360" w:lineRule="auto"/>
        <w:ind w:right="-34"/>
        <w:jc w:val="left"/>
        <w:rPr>
          <w:rFonts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79666AE6">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招标人：东莞市水务环境投资控股集团净水有限公司</w:t>
      </w:r>
    </w:p>
    <w:p w14:paraId="1621B640">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Times New Roman"/>
          <w:color w:val="auto"/>
          <w:kern w:val="0"/>
          <w:szCs w:val="21"/>
          <w:highlight w:val="none"/>
        </w:rPr>
        <w:t>广东省东莞市南城街道滨河路100号二期1号楼101室</w:t>
      </w:r>
    </w:p>
    <w:p w14:paraId="16077BA7">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联系人：</w:t>
      </w:r>
      <w:r>
        <w:rPr>
          <w:rFonts w:hint="eastAsia" w:ascii="宋体" w:hAnsi="宋体" w:eastAsia="宋体" w:cs="Times New Roman"/>
          <w:color w:val="auto"/>
          <w:kern w:val="0"/>
          <w:szCs w:val="21"/>
          <w:highlight w:val="none"/>
          <w:lang w:val="en-US" w:eastAsia="zh-CN"/>
        </w:rPr>
        <w:t>李建聪</w:t>
      </w:r>
    </w:p>
    <w:p w14:paraId="7B821CD1">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Times New Roman"/>
          <w:color w:val="auto"/>
          <w:kern w:val="0"/>
          <w:szCs w:val="21"/>
          <w:highlight w:val="none"/>
        </w:rPr>
        <w:t>0769-21663952</w:t>
      </w:r>
    </w:p>
    <w:p w14:paraId="02BE5249">
      <w:pPr>
        <w:autoSpaceDE w:val="0"/>
        <w:autoSpaceDN w:val="0"/>
        <w:adjustRightInd w:val="0"/>
        <w:spacing w:line="360" w:lineRule="auto"/>
        <w:ind w:right="-29" w:rightChars="-14" w:firstLine="420"/>
        <w:rPr>
          <w:rFonts w:ascii="宋体" w:hAnsi="宋体" w:eastAsia="宋体" w:cs="宋体"/>
          <w:color w:val="auto"/>
          <w:kern w:val="0"/>
          <w:szCs w:val="21"/>
          <w:highlight w:val="none"/>
        </w:rPr>
      </w:pPr>
    </w:p>
    <w:p w14:paraId="46D2821F">
      <w:pPr>
        <w:numPr>
          <w:ilvl w:val="0"/>
          <w:numId w:val="1"/>
        </w:numPr>
        <w:autoSpaceDE w:val="0"/>
        <w:autoSpaceDN w:val="0"/>
        <w:adjustRightInd w:val="0"/>
        <w:snapToGrid w:val="0"/>
        <w:spacing w:line="360" w:lineRule="auto"/>
        <w:ind w:right="-34"/>
        <w:jc w:val="left"/>
        <w:rPr>
          <w:rFonts w:ascii="宋体" w:hAnsi="宋体" w:eastAsia="宋体" w:cs="宋体"/>
          <w:color w:val="auto"/>
          <w:szCs w:val="21"/>
          <w:highlight w:val="none"/>
        </w:rPr>
      </w:pPr>
      <w:r>
        <w:rPr>
          <w:rFonts w:hint="eastAsia" w:ascii="宋体" w:hAnsi="宋体" w:eastAsia="宋体" w:cs="宋体"/>
          <w:color w:val="auto"/>
          <w:szCs w:val="21"/>
          <w:highlight w:val="none"/>
        </w:rPr>
        <w:t>招标代理机构</w:t>
      </w:r>
      <w:r>
        <w:rPr>
          <w:rFonts w:hint="eastAsia" w:ascii="宋体" w:hAnsi="宋体" w:eastAsia="宋体" w:cs="Times New Roman"/>
          <w:color w:val="auto"/>
          <w:szCs w:val="21"/>
          <w:highlight w:val="none"/>
        </w:rPr>
        <w:t>及异议受理</w:t>
      </w:r>
      <w:r>
        <w:rPr>
          <w:rFonts w:hint="eastAsia" w:ascii="宋体" w:hAnsi="宋体" w:eastAsia="宋体" w:cs="宋体"/>
          <w:color w:val="auto"/>
          <w:szCs w:val="21"/>
          <w:highlight w:val="none"/>
        </w:rPr>
        <w:t>联系方式</w:t>
      </w:r>
    </w:p>
    <w:p w14:paraId="4A7DB39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bookmarkStart w:id="28" w:name="_Toc450662847"/>
      <w:bookmarkStart w:id="29" w:name="_Toc31764_WPSOffice_Level1"/>
      <w:bookmarkStart w:id="30" w:name="_Toc486167661"/>
      <w:r>
        <w:rPr>
          <w:rFonts w:hint="eastAsia" w:ascii="宋体" w:hAnsi="宋体" w:eastAsia="宋体" w:cs="宋体"/>
          <w:color w:val="auto"/>
          <w:kern w:val="0"/>
          <w:szCs w:val="21"/>
          <w:highlight w:val="none"/>
        </w:rPr>
        <w:t>招标代理机构：</w:t>
      </w:r>
      <w:r>
        <w:rPr>
          <w:rFonts w:hint="eastAsia" w:ascii="宋体" w:hAnsi="宋体" w:eastAsia="宋体" w:cs="宋体"/>
          <w:color w:val="auto"/>
          <w:kern w:val="0"/>
          <w:szCs w:val="21"/>
          <w:highlight w:val="none"/>
          <w:lang w:eastAsia="zh-CN"/>
        </w:rPr>
        <w:t>广东一方项目管理有限公司</w:t>
      </w:r>
    </w:p>
    <w:p w14:paraId="4D4A9DC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lang w:eastAsia="zh-CN"/>
        </w:rPr>
        <w:t xml:space="preserve">东莞市南城街道隐山路28号（中邦智谷产业园）C栋502室 </w:t>
      </w:r>
    </w:p>
    <w:p w14:paraId="680C0F2F">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eastAsia="zh-CN"/>
        </w:rPr>
        <w:t>张子琪</w:t>
      </w:r>
    </w:p>
    <w:p w14:paraId="72DE5D4D">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lang w:eastAsia="zh-CN"/>
        </w:rPr>
        <w:t xml:space="preserve">0769-23222219 </w:t>
      </w:r>
    </w:p>
    <w:p w14:paraId="200CBD0F">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31" w:name="_Toc15111"/>
      <w:bookmarkStart w:id="32" w:name="_Toc23848"/>
      <w:bookmarkStart w:id="33" w:name="_Toc18212"/>
      <w:bookmarkStart w:id="34" w:name="_Toc142508311"/>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28"/>
      <w:bookmarkEnd w:id="29"/>
      <w:bookmarkEnd w:id="30"/>
      <w:bookmarkEnd w:id="31"/>
      <w:bookmarkEnd w:id="32"/>
      <w:bookmarkEnd w:id="33"/>
      <w:bookmarkEnd w:id="34"/>
    </w:p>
    <w:p w14:paraId="5B62CD65">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5" w:name="_Toc15366_WPSOffice_Level2"/>
      <w:bookmarkStart w:id="36" w:name="_Toc486167662"/>
      <w:bookmarkStart w:id="37" w:name="_Toc450662848"/>
      <w:bookmarkStart w:id="38" w:name="_Toc24479"/>
      <w:bookmarkStart w:id="39" w:name="_Toc140596871"/>
      <w:bookmarkStart w:id="40" w:name="_Toc9555"/>
      <w:bookmarkStart w:id="41" w:name="_Toc4952"/>
      <w:bookmarkStart w:id="42" w:name="_Toc142508312"/>
      <w:r>
        <w:rPr>
          <w:rFonts w:hint="eastAsia" w:ascii="宋体" w:hAnsi="宋体" w:eastAsia="宋体" w:cs="宋体"/>
          <w:b/>
          <w:bCs/>
          <w:color w:val="auto"/>
          <w:kern w:val="44"/>
          <w:szCs w:val="21"/>
          <w:highlight w:val="none"/>
          <w:lang w:val="zh-CN"/>
        </w:rPr>
        <w:t>一、总则</w:t>
      </w:r>
      <w:bookmarkEnd w:id="35"/>
      <w:bookmarkEnd w:id="36"/>
      <w:bookmarkEnd w:id="37"/>
      <w:bookmarkEnd w:id="38"/>
      <w:bookmarkEnd w:id="39"/>
      <w:bookmarkEnd w:id="40"/>
      <w:bookmarkEnd w:id="41"/>
      <w:bookmarkEnd w:id="42"/>
    </w:p>
    <w:p w14:paraId="4070420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3" w:name="_Toc142508313"/>
      <w:bookmarkStart w:id="44" w:name="_Toc23333"/>
      <w:bookmarkStart w:id="45" w:name="_Toc9608"/>
      <w:bookmarkStart w:id="46" w:name="_Toc21710_WPSOffice_Level3"/>
      <w:bookmarkStart w:id="47" w:name="_Toc450662849"/>
      <w:bookmarkStart w:id="48" w:name="_Toc24640"/>
      <w:bookmarkStart w:id="49" w:name="_Toc486167663"/>
      <w:r>
        <w:rPr>
          <w:rFonts w:hint="eastAsia" w:ascii="宋体" w:hAnsi="宋体" w:eastAsia="宋体" w:cs="宋体"/>
          <w:color w:val="auto"/>
          <w:szCs w:val="21"/>
          <w:highlight w:val="none"/>
          <w:lang w:val="zh-CN"/>
        </w:rPr>
        <w:t>1 资金来源：企业自筹资金。</w:t>
      </w:r>
      <w:bookmarkEnd w:id="43"/>
      <w:bookmarkEnd w:id="44"/>
      <w:bookmarkEnd w:id="45"/>
      <w:bookmarkEnd w:id="46"/>
      <w:bookmarkEnd w:id="47"/>
      <w:bookmarkEnd w:id="48"/>
      <w:bookmarkEnd w:id="49"/>
    </w:p>
    <w:p w14:paraId="4A9F2BCE">
      <w:pPr>
        <w:autoSpaceDE w:val="0"/>
        <w:autoSpaceDN w:val="0"/>
        <w:adjustRightInd w:val="0"/>
        <w:jc w:val="left"/>
        <w:rPr>
          <w:rFonts w:ascii="宋体" w:hAnsi="宋体" w:eastAsia="宋体" w:cs="宋体"/>
          <w:color w:val="auto"/>
          <w:kern w:val="0"/>
          <w:sz w:val="24"/>
          <w:szCs w:val="24"/>
          <w:highlight w:val="none"/>
        </w:rPr>
      </w:pPr>
    </w:p>
    <w:p w14:paraId="349DAB03">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50" w:name="_Toc142508314"/>
      <w:bookmarkStart w:id="51" w:name="_Toc486167664"/>
      <w:bookmarkStart w:id="52" w:name="_Toc80_WPSOffice_Level3"/>
      <w:bookmarkStart w:id="53" w:name="_Toc26255"/>
      <w:bookmarkStart w:id="54" w:name="_Toc450662850"/>
      <w:bookmarkStart w:id="55" w:name="_Toc32244"/>
      <w:bookmarkStart w:id="56" w:name="_Toc18557"/>
      <w:r>
        <w:rPr>
          <w:rFonts w:hint="eastAsia" w:ascii="宋体" w:hAnsi="宋体" w:eastAsia="宋体" w:cs="宋体"/>
          <w:b/>
          <w:color w:val="auto"/>
          <w:szCs w:val="21"/>
          <w:highlight w:val="none"/>
          <w:lang w:val="zh-CN"/>
        </w:rPr>
        <w:t>2 合格的投标人</w:t>
      </w:r>
      <w:bookmarkEnd w:id="50"/>
      <w:bookmarkEnd w:id="51"/>
      <w:bookmarkEnd w:id="52"/>
      <w:bookmarkEnd w:id="53"/>
      <w:bookmarkEnd w:id="54"/>
      <w:bookmarkEnd w:id="55"/>
      <w:bookmarkEnd w:id="56"/>
    </w:p>
    <w:p w14:paraId="5050DE67">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zh-CN"/>
        </w:rPr>
        <w:t>款的通用要求。</w:t>
      </w:r>
    </w:p>
    <w:p w14:paraId="0C635E43">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0EA1F471">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319D8889">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投标人（含其不具有独立法人资格的分支机构）未被列入“信用中国”网站（www.creditchina.gov.cn）失信被执行人、重大税收违法失信主体、政府采购严重违法失信行为记录名单（处罚期限届满的除外）。</w:t>
      </w:r>
    </w:p>
    <w:p w14:paraId="1B8B4863">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7E73CC9F">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608356DA">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57" w:name="_Toc23847_WPSOffice_Level3"/>
      <w:bookmarkStart w:id="58" w:name="_Toc6716"/>
      <w:bookmarkStart w:id="59" w:name="_Toc142508315"/>
      <w:bookmarkStart w:id="60" w:name="_Toc11689"/>
      <w:bookmarkStart w:id="61" w:name="_Toc19774"/>
      <w:bookmarkStart w:id="62" w:name="_Toc450662851"/>
      <w:bookmarkStart w:id="63" w:name="_Toc486167665"/>
      <w:r>
        <w:rPr>
          <w:rFonts w:hint="eastAsia" w:ascii="宋体" w:hAnsi="宋体" w:eastAsia="宋体" w:cs="宋体"/>
          <w:b/>
          <w:color w:val="auto"/>
          <w:szCs w:val="21"/>
          <w:highlight w:val="none"/>
          <w:lang w:val="zh-CN"/>
        </w:rPr>
        <w:t>3 合格的货物</w:t>
      </w:r>
      <w:bookmarkEnd w:id="57"/>
      <w:bookmarkEnd w:id="58"/>
      <w:bookmarkEnd w:id="59"/>
      <w:bookmarkEnd w:id="60"/>
      <w:bookmarkEnd w:id="61"/>
    </w:p>
    <w:p w14:paraId="5D02112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546960E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p w14:paraId="002ADBA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4" w:name="_Toc533708064"/>
      <w:bookmarkStart w:id="65" w:name="_Toc1977664"/>
      <w:r>
        <w:rPr>
          <w:rFonts w:hint="eastAsia" w:ascii="宋体" w:hAnsi="宋体" w:eastAsia="宋体" w:cs="宋体"/>
          <w:color w:val="auto"/>
          <w:szCs w:val="21"/>
          <w:highlight w:val="none"/>
          <w:lang w:val="zh-CN"/>
        </w:rPr>
        <w:t>3.</w:t>
      </w:r>
      <w:bookmarkEnd w:id="64"/>
      <w:bookmarkEnd w:id="65"/>
      <w:r>
        <w:rPr>
          <w:rFonts w:hint="eastAsia" w:ascii="宋体" w:hAnsi="宋体" w:eastAsia="宋体" w:cs="宋体"/>
          <w:color w:val="auto"/>
          <w:szCs w:val="21"/>
          <w:highlight w:val="none"/>
          <w:lang w:val="zh-CN"/>
        </w:rPr>
        <w:t>3  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p>
    <w:p w14:paraId="783E8DC4">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14:paraId="157567F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p>
    <w:p w14:paraId="3B8AD4A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highlight w:val="none"/>
          <w:lang w:val="zh-CN"/>
        </w:rPr>
        <w:t>。</w:t>
      </w:r>
    </w:p>
    <w:p w14:paraId="28095A8E">
      <w:pPr>
        <w:autoSpaceDE w:val="0"/>
        <w:autoSpaceDN w:val="0"/>
        <w:adjustRightInd w:val="0"/>
        <w:spacing w:line="360" w:lineRule="auto"/>
        <w:jc w:val="left"/>
        <w:rPr>
          <w:rFonts w:ascii="宋体" w:hAnsi="宋体" w:eastAsia="宋体" w:cs="宋体"/>
          <w:color w:val="auto"/>
          <w:szCs w:val="21"/>
          <w:highlight w:val="none"/>
          <w:lang w:val="zh-CN"/>
        </w:rPr>
      </w:pPr>
    </w:p>
    <w:p w14:paraId="5D4043F9">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6" w:name="_Toc11533"/>
      <w:bookmarkStart w:id="67" w:name="_Toc3404"/>
      <w:bookmarkStart w:id="68" w:name="_Toc142508316"/>
      <w:bookmarkStart w:id="69" w:name="_Toc16985"/>
      <w:bookmarkStart w:id="70" w:name="_Toc9658_WPSOffice_Level3"/>
      <w:r>
        <w:rPr>
          <w:rFonts w:hint="eastAsia" w:ascii="宋体" w:hAnsi="宋体" w:eastAsia="宋体" w:cs="宋体"/>
          <w:color w:val="auto"/>
          <w:szCs w:val="21"/>
          <w:highlight w:val="none"/>
          <w:lang w:val="zh-CN"/>
        </w:rPr>
        <w:t>4 其它说明</w:t>
      </w:r>
      <w:bookmarkEnd w:id="66"/>
      <w:bookmarkEnd w:id="67"/>
      <w:bookmarkEnd w:id="68"/>
      <w:bookmarkEnd w:id="69"/>
      <w:bookmarkEnd w:id="70"/>
    </w:p>
    <w:p w14:paraId="561E760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1" w:name="_Toc1977670"/>
      <w:bookmarkStart w:id="72" w:name="_Toc533708070"/>
      <w:r>
        <w:rPr>
          <w:rFonts w:hint="eastAsia" w:ascii="宋体" w:hAnsi="宋体" w:eastAsia="宋体" w:cs="宋体"/>
          <w:color w:val="auto"/>
          <w:szCs w:val="21"/>
          <w:highlight w:val="none"/>
          <w:lang w:val="zh-CN"/>
        </w:rPr>
        <w:t>4.1  投标费用</w:t>
      </w:r>
      <w:bookmarkEnd w:id="71"/>
      <w:bookmarkEnd w:id="72"/>
    </w:p>
    <w:p w14:paraId="0E6A0ED3">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73" w:name="_Toc533708072"/>
      <w:bookmarkStart w:id="74" w:name="_Toc19776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73"/>
      <w:bookmarkEnd w:id="74"/>
    </w:p>
    <w:p w14:paraId="460133B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5" w:name="_Toc1977673"/>
      <w:bookmarkStart w:id="76" w:name="_Toc533708073"/>
      <w:r>
        <w:rPr>
          <w:rFonts w:hint="eastAsia" w:ascii="宋体" w:hAnsi="宋体" w:eastAsia="宋体" w:cs="宋体"/>
          <w:color w:val="auto"/>
          <w:szCs w:val="21"/>
          <w:highlight w:val="none"/>
          <w:lang w:val="zh-CN"/>
        </w:rPr>
        <w:t>4.2  踏勘现场</w:t>
      </w:r>
      <w:bookmarkEnd w:id="75"/>
      <w:bookmarkEnd w:id="76"/>
    </w:p>
    <w:p w14:paraId="3B0BA071">
      <w:pPr>
        <w:autoSpaceDE w:val="0"/>
        <w:autoSpaceDN w:val="0"/>
        <w:adjustRightInd w:val="0"/>
        <w:spacing w:line="360" w:lineRule="auto"/>
        <w:ind w:left="300" w:leftChars="-59" w:hanging="424" w:hangingChars="202"/>
        <w:jc w:val="left"/>
        <w:rPr>
          <w:rFonts w:ascii="宋体" w:hAnsi="宋体" w:eastAsia="宋体" w:cs="宋体"/>
          <w:color w:val="auto"/>
          <w:kern w:val="0"/>
          <w:szCs w:val="21"/>
          <w:highlight w:val="none"/>
        </w:rPr>
      </w:pPr>
      <w:bookmarkStart w:id="77" w:name="_Toc1977676"/>
      <w:bookmarkStart w:id="78" w:name="_Toc533708076"/>
      <w:r>
        <w:rPr>
          <w:rFonts w:hint="eastAsia" w:ascii="宋体" w:hAnsi="宋体" w:eastAsia="宋体" w:cs="宋体"/>
          <w:color w:val="auto"/>
          <w:kern w:val="0"/>
          <w:szCs w:val="21"/>
          <w:highlight w:val="none"/>
        </w:rPr>
        <w:t>（1）本项目不组织集中踏勘现场和答疑，投标人应自行到实地踏勘考察。</w:t>
      </w:r>
    </w:p>
    <w:p w14:paraId="17F20C6E">
      <w:pPr>
        <w:autoSpaceDE w:val="0"/>
        <w:autoSpaceDN w:val="0"/>
        <w:adjustRightInd w:val="0"/>
        <w:spacing w:line="360" w:lineRule="auto"/>
        <w:ind w:left="300" w:leftChars="-59"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167BE11D">
      <w:pPr>
        <w:spacing w:line="360" w:lineRule="auto"/>
        <w:ind w:left="419" w:leftChars="-59" w:hanging="543" w:hangingChars="259"/>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09ECB55E">
      <w:pPr>
        <w:spacing w:line="360" w:lineRule="auto"/>
        <w:ind w:left="419" w:leftChars="-59" w:hanging="543" w:hangingChars="259"/>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6AA5D75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纪律与保密事项</w:t>
      </w:r>
      <w:bookmarkEnd w:id="62"/>
      <w:bookmarkEnd w:id="63"/>
      <w:bookmarkEnd w:id="77"/>
      <w:bookmarkEnd w:id="78"/>
    </w:p>
    <w:p w14:paraId="5B0324E1">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4B3C0B46">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2FA53EC3">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5A24AE79">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3C9B901C">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0FF7C202">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6E4F5898">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2410B671">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9" w:name="_Toc5395"/>
      <w:bookmarkStart w:id="80" w:name="_Toc486167667"/>
      <w:bookmarkStart w:id="81" w:name="_Toc31684"/>
      <w:bookmarkStart w:id="82" w:name="_Toc142508317"/>
      <w:bookmarkStart w:id="83" w:name="_Toc140596876"/>
      <w:bookmarkStart w:id="84" w:name="_Toc30507_WPSOffice_Level2"/>
      <w:bookmarkStart w:id="85" w:name="_Toc450662853"/>
      <w:bookmarkStart w:id="86" w:name="_Toc1565"/>
      <w:r>
        <w:rPr>
          <w:rFonts w:hint="eastAsia" w:ascii="宋体" w:hAnsi="宋体" w:eastAsia="宋体" w:cs="宋体"/>
          <w:b/>
          <w:bCs/>
          <w:color w:val="auto"/>
          <w:kern w:val="44"/>
          <w:szCs w:val="21"/>
          <w:highlight w:val="none"/>
          <w:lang w:val="zh-CN"/>
        </w:rPr>
        <w:t>二、招标文件</w:t>
      </w:r>
      <w:bookmarkEnd w:id="79"/>
      <w:bookmarkEnd w:id="80"/>
      <w:bookmarkEnd w:id="81"/>
      <w:bookmarkEnd w:id="82"/>
      <w:bookmarkEnd w:id="83"/>
      <w:bookmarkEnd w:id="84"/>
      <w:bookmarkEnd w:id="85"/>
      <w:bookmarkEnd w:id="86"/>
    </w:p>
    <w:p w14:paraId="15950FB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7" w:name="_Toc142508318"/>
      <w:bookmarkStart w:id="88" w:name="_Toc486167668"/>
      <w:bookmarkStart w:id="89" w:name="_Toc450662854"/>
      <w:bookmarkStart w:id="90" w:name="_Toc26635_WPSOffice_Level3"/>
      <w:bookmarkStart w:id="91" w:name="_Toc2223"/>
      <w:bookmarkStart w:id="92" w:name="_Toc2406"/>
      <w:bookmarkStart w:id="93" w:name="_Toc28893"/>
      <w:r>
        <w:rPr>
          <w:rFonts w:hint="eastAsia" w:ascii="宋体" w:hAnsi="宋体" w:eastAsia="宋体" w:cs="宋体"/>
          <w:color w:val="auto"/>
          <w:szCs w:val="21"/>
          <w:highlight w:val="none"/>
          <w:lang w:val="zh-CN"/>
        </w:rPr>
        <w:t>5 招标文件的构成</w:t>
      </w:r>
      <w:bookmarkEnd w:id="87"/>
      <w:bookmarkEnd w:id="88"/>
      <w:bookmarkEnd w:id="89"/>
      <w:bookmarkEnd w:id="90"/>
      <w:bookmarkEnd w:id="91"/>
      <w:bookmarkEnd w:id="92"/>
      <w:bookmarkEnd w:id="93"/>
    </w:p>
    <w:p w14:paraId="4317AE0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招标文件包括：</w:t>
      </w:r>
    </w:p>
    <w:p w14:paraId="670264E2">
      <w:pPr>
        <w:tabs>
          <w:tab w:val="left" w:pos="1890"/>
        </w:tabs>
        <w:autoSpaceDE w:val="0"/>
        <w:autoSpaceDN w:val="0"/>
        <w:adjustRightInd w:val="0"/>
        <w:spacing w:line="360" w:lineRule="auto"/>
        <w:ind w:firstLine="424" w:firstLineChars="20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490252E9">
      <w:pPr>
        <w:tabs>
          <w:tab w:val="left" w:pos="1890"/>
        </w:tabs>
        <w:autoSpaceDE w:val="0"/>
        <w:autoSpaceDN w:val="0"/>
        <w:adjustRightInd w:val="0"/>
        <w:spacing w:line="360" w:lineRule="auto"/>
        <w:ind w:firstLine="424" w:firstLineChars="20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6F864255">
      <w:pPr>
        <w:tabs>
          <w:tab w:val="left" w:pos="1890"/>
        </w:tabs>
        <w:autoSpaceDE w:val="0"/>
        <w:autoSpaceDN w:val="0"/>
        <w:adjustRightInd w:val="0"/>
        <w:spacing w:line="360" w:lineRule="auto"/>
        <w:ind w:firstLine="424" w:firstLineChars="20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1DF3F73E">
      <w:pPr>
        <w:tabs>
          <w:tab w:val="left" w:pos="1890"/>
        </w:tabs>
        <w:autoSpaceDE w:val="0"/>
        <w:autoSpaceDN w:val="0"/>
        <w:adjustRightInd w:val="0"/>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zh-CN"/>
        </w:rPr>
        <w:t>第四篇 合同条款</w:t>
      </w:r>
      <w:r>
        <w:rPr>
          <w:rFonts w:hint="eastAsia" w:ascii="宋体" w:hAnsi="宋体" w:eastAsia="宋体" w:cs="宋体"/>
          <w:color w:val="auto"/>
          <w:szCs w:val="21"/>
          <w:highlight w:val="none"/>
        </w:rPr>
        <w:t>格式</w:t>
      </w:r>
    </w:p>
    <w:p w14:paraId="20EB23A3">
      <w:pPr>
        <w:tabs>
          <w:tab w:val="left" w:pos="1890"/>
        </w:tabs>
        <w:autoSpaceDE w:val="0"/>
        <w:autoSpaceDN w:val="0"/>
        <w:adjustRightInd w:val="0"/>
        <w:spacing w:line="360" w:lineRule="auto"/>
        <w:ind w:firstLine="424" w:firstLineChars="20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598E8D65">
      <w:pPr>
        <w:tabs>
          <w:tab w:val="left" w:pos="1890"/>
        </w:tabs>
        <w:autoSpaceDE w:val="0"/>
        <w:autoSpaceDN w:val="0"/>
        <w:adjustRightInd w:val="0"/>
        <w:spacing w:line="360" w:lineRule="auto"/>
        <w:ind w:firstLine="424" w:firstLineChars="20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1CAA3723">
      <w:pPr>
        <w:tabs>
          <w:tab w:val="left" w:pos="1890"/>
        </w:tabs>
        <w:autoSpaceDE w:val="0"/>
        <w:autoSpaceDN w:val="0"/>
        <w:adjustRightInd w:val="0"/>
        <w:spacing w:line="360" w:lineRule="auto"/>
        <w:ind w:firstLine="424" w:firstLineChars="20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64CFE844">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p>
    <w:p w14:paraId="0017E294">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4476CBF9">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（1）“招标人”指东莞市水务环境投资控股集团净水有限公司；</w:t>
      </w:r>
    </w:p>
    <w:p w14:paraId="3785FE4C">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w:t>
      </w:r>
      <w:r>
        <w:rPr>
          <w:rFonts w:hint="eastAsia" w:ascii="宋体" w:hAnsi="宋体" w:eastAsia="宋体" w:cs="宋体"/>
          <w:color w:val="auto"/>
          <w:kern w:val="0"/>
          <w:szCs w:val="21"/>
          <w:highlight w:val="none"/>
          <w:lang w:eastAsia="zh-CN"/>
        </w:rPr>
        <w:t>广东一方项目管理有限公司</w:t>
      </w:r>
      <w:r>
        <w:rPr>
          <w:rFonts w:hint="eastAsia" w:ascii="宋体" w:hAnsi="宋体" w:eastAsia="宋体" w:cs="宋体"/>
          <w:color w:val="auto"/>
          <w:kern w:val="0"/>
          <w:szCs w:val="21"/>
          <w:highlight w:val="none"/>
        </w:rPr>
        <w:t>；</w:t>
      </w:r>
    </w:p>
    <w:p w14:paraId="4CB001F4">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kern w:val="0"/>
          <w:szCs w:val="21"/>
          <w:highlight w:val="none"/>
          <w:lang w:eastAsia="zh-CN"/>
        </w:rPr>
        <w:t>东莞市水务环境投资控股集团净水有限公司2026年-2027年生产药剂液体聚合氯化铝、液体聚合氯化铝铁采购项目</w:t>
      </w:r>
      <w:r>
        <w:rPr>
          <w:rFonts w:hint="eastAsia" w:ascii="宋体" w:hAnsi="宋体" w:eastAsia="宋体" w:cs="宋体"/>
          <w:color w:val="auto"/>
          <w:kern w:val="0"/>
          <w:szCs w:val="21"/>
          <w:highlight w:val="none"/>
        </w:rPr>
        <w:t>所需的货物及有关服务的投标，并向</w:t>
      </w:r>
      <w:r>
        <w:rPr>
          <w:rFonts w:hint="eastAsia" w:ascii="宋体" w:hAnsi="宋体" w:eastAsia="宋体" w:cs="宋体"/>
          <w:color w:val="auto"/>
          <w:szCs w:val="21"/>
          <w:highlight w:val="none"/>
          <w:lang w:val="zh-CN"/>
        </w:rPr>
        <w:t>交易系统在线上传</w:t>
      </w:r>
      <w:r>
        <w:rPr>
          <w:rFonts w:hint="eastAsia" w:ascii="宋体" w:hAnsi="宋体" w:eastAsia="宋体" w:cs="宋体"/>
          <w:color w:val="auto"/>
          <w:kern w:val="0"/>
          <w:szCs w:val="21"/>
          <w:highlight w:val="none"/>
        </w:rPr>
        <w:t>投标文件的当事人；</w:t>
      </w:r>
    </w:p>
    <w:p w14:paraId="44CB354B">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2BAB9E32">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（5）“中标人”指其投标被招标人接受，并与招标人及招标人权属子公司签订合同的当事人；</w:t>
      </w:r>
    </w:p>
    <w:p w14:paraId="6C00C6F5">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（6）“甲方”指招标人及在合同条款中指明的</w:t>
      </w:r>
      <w:r>
        <w:rPr>
          <w:rFonts w:hint="eastAsia" w:ascii="宋体" w:hAnsi="宋体" w:eastAsia="宋体" w:cs="Times New Roman"/>
          <w:color w:val="auto"/>
          <w:kern w:val="0"/>
          <w:szCs w:val="21"/>
          <w:highlight w:val="none"/>
        </w:rPr>
        <w:t>购买货物及有关服务</w:t>
      </w:r>
      <w:r>
        <w:rPr>
          <w:rFonts w:hint="eastAsia" w:ascii="宋体" w:hAnsi="宋体" w:eastAsia="宋体" w:cs="宋体"/>
          <w:color w:val="auto"/>
          <w:kern w:val="0"/>
          <w:szCs w:val="21"/>
          <w:highlight w:val="none"/>
        </w:rPr>
        <w:t>的单位，即东莞市水务环境投资控股集团净水有限公司、</w:t>
      </w:r>
      <w:r>
        <w:rPr>
          <w:rFonts w:hint="eastAsia" w:ascii="宋体" w:hAnsi="宋体" w:eastAsia="宋体" w:cs="宋体"/>
          <w:color w:val="auto"/>
          <w:kern w:val="0"/>
          <w:szCs w:val="21"/>
          <w:highlight w:val="none"/>
          <w:lang w:eastAsia="zh-CN"/>
        </w:rPr>
        <w:t>东莞市石鼓净水有限公司、东莞市清源净水科技有限公司、东莞市莞水装备科技有限公司、东莞市众源环境投资有限公司、东莞市樟村水质净化有限公司</w:t>
      </w:r>
      <w:r>
        <w:rPr>
          <w:rFonts w:hint="eastAsia" w:ascii="宋体" w:hAnsi="宋体" w:eastAsia="宋体" w:cs="宋体"/>
          <w:color w:val="auto"/>
          <w:kern w:val="0"/>
          <w:szCs w:val="21"/>
          <w:highlight w:val="none"/>
        </w:rPr>
        <w:t>；</w:t>
      </w:r>
    </w:p>
    <w:p w14:paraId="7EF354FB">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w:t>
      </w:r>
      <w:r>
        <w:rPr>
          <w:rFonts w:hint="eastAsia" w:ascii="宋体" w:hAnsi="宋体" w:eastAsia="宋体" w:cs="Times New Roman"/>
          <w:color w:val="auto"/>
          <w:kern w:val="0"/>
          <w:szCs w:val="21"/>
          <w:highlight w:val="none"/>
        </w:rPr>
        <w:t>提供货物及有关服务</w:t>
      </w:r>
      <w:r>
        <w:rPr>
          <w:rFonts w:hint="eastAsia" w:ascii="宋体" w:hAnsi="宋体" w:eastAsia="宋体" w:cs="宋体"/>
          <w:color w:val="auto"/>
          <w:kern w:val="0"/>
          <w:szCs w:val="21"/>
          <w:highlight w:val="none"/>
        </w:rPr>
        <w:t>的公司或实体；</w:t>
      </w:r>
    </w:p>
    <w:p w14:paraId="219CE4D0">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（8）“招标文件”指招标公告和招标文件及其补充、变更和澄清等一系列文件；</w:t>
      </w:r>
    </w:p>
    <w:p w14:paraId="05006349">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（9）“投标文件”指投标人根据本招标文件向交易系统在线上传的全部文件；</w:t>
      </w:r>
    </w:p>
    <w:p w14:paraId="41CA929C">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1D37286E">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0902E41C">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11CDB734">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021FED01">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w:t>
      </w:r>
      <w:r>
        <w:rPr>
          <w:rFonts w:hint="eastAsia" w:ascii="宋体" w:hAnsi="宋体" w:eastAsia="宋体" w:cs="宋体"/>
          <w:color w:val="auto"/>
          <w:kern w:val="0"/>
          <w:szCs w:val="21"/>
          <w:highlight w:val="none"/>
          <w:lang w:eastAsia="zh-CN"/>
        </w:rPr>
        <w:t>《中华人民共和国增值税法》及其实施条例</w:t>
      </w:r>
      <w:r>
        <w:rPr>
          <w:rFonts w:hint="eastAsia" w:ascii="宋体" w:hAnsi="宋体" w:eastAsia="宋体" w:cs="宋体"/>
          <w:color w:val="auto"/>
          <w:kern w:val="0"/>
          <w:szCs w:val="21"/>
          <w:highlight w:val="none"/>
        </w:rPr>
        <w:t>规定的销售额。本招标文件所称的不含税价和不含税合同价是指不含本采购项目投标人的销项税额，包含了投标人完成合同义务（含投标人代缴代扣、采购货物等所产生的价税）的其他全部费用。本采购项目投标人的销项税额由招标人承担，不计入投标报价。</w:t>
      </w:r>
    </w:p>
    <w:p w14:paraId="2E4D6937">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200E78B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4" w:name="_Toc2840"/>
      <w:bookmarkStart w:id="95" w:name="_Toc450662855"/>
      <w:bookmarkStart w:id="96" w:name="_Toc3727"/>
      <w:bookmarkStart w:id="97" w:name="_Toc486167669"/>
      <w:bookmarkStart w:id="98" w:name="_Toc29125_WPSOffice_Level3"/>
      <w:bookmarkStart w:id="99" w:name="_Toc11346"/>
      <w:bookmarkStart w:id="100" w:name="_Toc142508319"/>
      <w:r>
        <w:rPr>
          <w:rFonts w:hint="eastAsia" w:ascii="宋体" w:hAnsi="宋体" w:eastAsia="宋体" w:cs="宋体"/>
          <w:color w:val="auto"/>
          <w:szCs w:val="21"/>
          <w:highlight w:val="none"/>
          <w:lang w:val="zh-CN"/>
        </w:rPr>
        <w:t>6 招标文件的异议</w:t>
      </w:r>
      <w:bookmarkEnd w:id="94"/>
      <w:bookmarkEnd w:id="95"/>
      <w:bookmarkEnd w:id="96"/>
      <w:bookmarkEnd w:id="97"/>
      <w:bookmarkEnd w:id="98"/>
      <w:bookmarkEnd w:id="99"/>
      <w:bookmarkEnd w:id="100"/>
    </w:p>
    <w:p w14:paraId="36103027">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1C34D427">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5B0D5ED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1" w:name="_Toc29864"/>
      <w:bookmarkStart w:id="102" w:name="_Toc450662856"/>
      <w:bookmarkStart w:id="103" w:name="_Toc17145"/>
      <w:bookmarkStart w:id="104" w:name="_Toc23483_WPSOffice_Level3"/>
      <w:bookmarkStart w:id="105" w:name="_Toc142508320"/>
      <w:bookmarkStart w:id="106" w:name="_Toc486167670"/>
      <w:bookmarkStart w:id="107" w:name="_Toc19030"/>
      <w:r>
        <w:rPr>
          <w:rFonts w:hint="eastAsia" w:ascii="宋体" w:hAnsi="宋体" w:eastAsia="宋体" w:cs="宋体"/>
          <w:color w:val="auto"/>
          <w:szCs w:val="21"/>
          <w:highlight w:val="none"/>
          <w:lang w:val="zh-CN"/>
        </w:rPr>
        <w:t>7 招标文件的澄清及修改</w:t>
      </w:r>
      <w:bookmarkEnd w:id="101"/>
      <w:bookmarkEnd w:id="102"/>
      <w:bookmarkEnd w:id="103"/>
      <w:bookmarkEnd w:id="104"/>
      <w:bookmarkEnd w:id="105"/>
      <w:bookmarkEnd w:id="106"/>
      <w:bookmarkEnd w:id="107"/>
    </w:p>
    <w:p w14:paraId="69CEF94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78DF189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434E2422">
      <w:pPr>
        <w:wordWrap w:val="0"/>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7.3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文件的修改、补充通知在全国公共资源交易平台（广东省·东莞市）（https://ygp.gdzwfw.gov.cn/#/441900/index）、中国招标投标公共服务平台（www.cebpubservice.com）、东莞市水务环境投资控股集团有限公司网（www.dgweg.cn）、招标代理机构网站（http：//www.yifanggl.com）。公布，请各投标人密切留意。</w:t>
      </w:r>
    </w:p>
    <w:p w14:paraId="7AD72673">
      <w:pPr>
        <w:autoSpaceDE w:val="0"/>
        <w:autoSpaceDN w:val="0"/>
        <w:adjustRightInd w:val="0"/>
        <w:spacing w:line="360" w:lineRule="auto"/>
        <w:ind w:left="357" w:leftChars="-100" w:hanging="567"/>
        <w:rPr>
          <w:rFonts w:ascii="宋体" w:hAnsi="宋体" w:eastAsia="宋体" w:cs="宋体"/>
          <w:color w:val="auto"/>
          <w:szCs w:val="21"/>
          <w:highlight w:val="none"/>
        </w:rPr>
      </w:pPr>
    </w:p>
    <w:p w14:paraId="7C75480F">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8" w:name="_Toc486167671"/>
      <w:bookmarkStart w:id="109" w:name="_Toc13152"/>
      <w:bookmarkStart w:id="110" w:name="_Toc8711"/>
      <w:bookmarkStart w:id="111" w:name="_Toc450662857"/>
      <w:bookmarkStart w:id="112" w:name="_Toc142508321"/>
      <w:bookmarkStart w:id="113" w:name="_Toc140596880"/>
      <w:bookmarkStart w:id="114" w:name="_Toc29659_WPSOffice_Level2"/>
      <w:bookmarkStart w:id="115" w:name="_Toc23342"/>
      <w:r>
        <w:rPr>
          <w:rFonts w:hint="eastAsia" w:ascii="宋体" w:hAnsi="宋体" w:eastAsia="宋体" w:cs="宋体"/>
          <w:b/>
          <w:bCs/>
          <w:color w:val="auto"/>
          <w:kern w:val="44"/>
          <w:szCs w:val="21"/>
          <w:highlight w:val="none"/>
          <w:lang w:val="zh-CN"/>
        </w:rPr>
        <w:t>三、投标文件的编制</w:t>
      </w:r>
      <w:bookmarkEnd w:id="108"/>
      <w:bookmarkEnd w:id="109"/>
      <w:bookmarkEnd w:id="110"/>
      <w:bookmarkEnd w:id="111"/>
      <w:bookmarkEnd w:id="112"/>
      <w:bookmarkEnd w:id="113"/>
      <w:bookmarkEnd w:id="114"/>
      <w:bookmarkEnd w:id="115"/>
    </w:p>
    <w:p w14:paraId="6191435C">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6" w:name="_Toc31162"/>
      <w:bookmarkStart w:id="117" w:name="_Toc10015_WPSOffice_Level3"/>
      <w:bookmarkStart w:id="118" w:name="_Toc486167672"/>
      <w:bookmarkStart w:id="119" w:name="_Toc6244"/>
      <w:bookmarkStart w:id="120" w:name="_Toc21856"/>
      <w:bookmarkStart w:id="121" w:name="_Toc142508322"/>
      <w:bookmarkStart w:id="122" w:name="_Toc450662858"/>
      <w:r>
        <w:rPr>
          <w:rFonts w:hint="eastAsia" w:ascii="宋体" w:hAnsi="宋体" w:eastAsia="宋体" w:cs="宋体"/>
          <w:color w:val="auto"/>
          <w:szCs w:val="21"/>
          <w:highlight w:val="none"/>
          <w:lang w:val="zh-CN"/>
        </w:rPr>
        <w:t>8 投标使用的文字及度量衡单位</w:t>
      </w:r>
      <w:bookmarkEnd w:id="116"/>
      <w:bookmarkEnd w:id="117"/>
      <w:bookmarkEnd w:id="118"/>
      <w:bookmarkEnd w:id="119"/>
      <w:bookmarkEnd w:id="120"/>
      <w:bookmarkEnd w:id="121"/>
      <w:bookmarkEnd w:id="122"/>
    </w:p>
    <w:p w14:paraId="5288A17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5CCEC7C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02F41E8B">
      <w:pPr>
        <w:autoSpaceDE w:val="0"/>
        <w:autoSpaceDN w:val="0"/>
        <w:adjustRightInd w:val="0"/>
        <w:spacing w:line="360" w:lineRule="auto"/>
        <w:rPr>
          <w:rFonts w:ascii="宋体" w:hAnsi="宋体" w:eastAsia="宋体" w:cs="宋体"/>
          <w:color w:val="auto"/>
          <w:szCs w:val="21"/>
          <w:highlight w:val="none"/>
          <w:lang w:val="zh-CN"/>
        </w:rPr>
      </w:pPr>
    </w:p>
    <w:p w14:paraId="55E50494">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23" w:name="_Toc450662859"/>
      <w:bookmarkStart w:id="124" w:name="_Toc486167673"/>
      <w:bookmarkStart w:id="125" w:name="_Toc142508323"/>
      <w:bookmarkStart w:id="126" w:name="_Toc24916_WPSOffice_Level3"/>
      <w:bookmarkStart w:id="127" w:name="_Toc14943"/>
      <w:bookmarkStart w:id="128" w:name="_Toc9140"/>
      <w:bookmarkStart w:id="129" w:name="_Toc7348"/>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3"/>
      <w:bookmarkEnd w:id="124"/>
      <w:bookmarkEnd w:id="125"/>
      <w:bookmarkEnd w:id="126"/>
      <w:bookmarkEnd w:id="127"/>
      <w:bookmarkEnd w:id="128"/>
      <w:bookmarkEnd w:id="129"/>
    </w:p>
    <w:p w14:paraId="0D49BB9A">
      <w:pPr>
        <w:autoSpaceDE w:val="0"/>
        <w:autoSpaceDN w:val="0"/>
        <w:adjustRightInd w:val="0"/>
        <w:spacing w:line="360" w:lineRule="auto"/>
        <w:ind w:left="422" w:leftChars="-100"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商务标、技术标、报价信封三部分组成</w:t>
      </w:r>
      <w:r>
        <w:rPr>
          <w:rFonts w:hint="eastAsia" w:ascii="宋体" w:hAnsi="宋体" w:eastAsia="宋体" w:cs="宋体"/>
          <w:b/>
          <w:color w:val="auto"/>
          <w:kern w:val="0"/>
          <w:szCs w:val="21"/>
          <w:highlight w:val="none"/>
        </w:rPr>
        <w:t>。</w:t>
      </w:r>
    </w:p>
    <w:p w14:paraId="627822B1">
      <w:pPr>
        <w:autoSpaceDE w:val="0"/>
        <w:autoSpaceDN w:val="0"/>
        <w:adjustRightInd w:val="0"/>
        <w:spacing w:line="360" w:lineRule="auto"/>
        <w:ind w:left="422" w:leftChars="-100"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商务标：</w:t>
      </w:r>
    </w:p>
    <w:p w14:paraId="27D71119">
      <w:pPr>
        <w:autoSpaceDE w:val="0"/>
        <w:autoSpaceDN w:val="0"/>
        <w:adjustRightInd w:val="0"/>
        <w:spacing w:line="360" w:lineRule="auto"/>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4430B21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335E412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282C4EE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77E2953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）分项报价表；</w:t>
      </w:r>
    </w:p>
    <w:p w14:paraId="1FADE79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396A7EC4">
      <w:pPr>
        <w:autoSpaceDE w:val="0"/>
        <w:autoSpaceDN w:val="0"/>
        <w:adjustRightInd w:val="0"/>
        <w:spacing w:line="360" w:lineRule="auto"/>
        <w:ind w:left="283" w:hanging="283" w:hangingChars="13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（或事业单位法人证书）原件扫</w:t>
      </w:r>
      <w:r>
        <w:rPr>
          <w:rFonts w:hint="eastAsia" w:ascii="宋体" w:hAnsi="宋体" w:eastAsia="宋体" w:cs="宋体"/>
          <w:color w:val="auto"/>
          <w:szCs w:val="21"/>
          <w:highlight w:val="none"/>
          <w:lang w:val="zh-CN"/>
        </w:rPr>
        <w:t>描件；</w:t>
      </w:r>
    </w:p>
    <w:p w14:paraId="499B2855">
      <w:pPr>
        <w:autoSpaceDE w:val="0"/>
        <w:autoSpaceDN w:val="0"/>
        <w:adjustRightInd w:val="0"/>
        <w:spacing w:line="360" w:lineRule="auto"/>
        <w:ind w:left="283" w:hanging="283" w:hangingChars="135"/>
        <w:rPr>
          <w:rFonts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0C6147D5">
      <w:pPr>
        <w:autoSpaceDE w:val="0"/>
        <w:autoSpaceDN w:val="0"/>
        <w:adjustRightInd w:val="0"/>
        <w:spacing w:line="360" w:lineRule="auto"/>
        <w:ind w:left="283" w:hanging="283" w:hangingChars="135"/>
        <w:rPr>
          <w:rFonts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7F9C0F84">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）制造商资格声明；</w:t>
      </w:r>
    </w:p>
    <w:p w14:paraId="1B98BB18">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w:t>
      </w:r>
      <w:r>
        <w:rPr>
          <w:rFonts w:hint="eastAsia" w:ascii="宋体" w:hAnsi="宋体" w:eastAsia="宋体"/>
          <w:color w:val="auto"/>
          <w:szCs w:val="21"/>
          <w:highlight w:val="none"/>
          <w:lang w:eastAsia="zh-CN"/>
        </w:rPr>
        <w:t>投标人自2023年1月1日以来具有一份投标品牌液体聚合氯化铝供货业绩，以及一份投标品牌液体聚合氯化铝铁供货业绩（合同签订日期均为2023年1月1日或以后）</w:t>
      </w:r>
      <w:r>
        <w:rPr>
          <w:rFonts w:hint="eastAsia" w:ascii="宋体" w:hAnsi="宋体" w:eastAsia="宋体"/>
          <w:color w:val="auto"/>
          <w:szCs w:val="21"/>
          <w:highlight w:val="none"/>
        </w:rPr>
        <w:t>，资格业绩证明材料提交要求详见招标文件第六篇投标文件格式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p>
    <w:p w14:paraId="7E0EB702">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64448B6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728C716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41588E0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100F949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377A6D2D">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投标人资格证明文件以外的其他资质证书、知识产权证书及获得的相关获奖、认证证书、社会评价资料证明文件扫描件等投标人认为有需要证明其具备为本次招标项目提供货物</w:t>
      </w:r>
      <w:r>
        <w:rPr>
          <w:rFonts w:hint="eastAsia" w:ascii="宋体" w:hAnsi="宋体" w:eastAsia="宋体" w:cs="宋体"/>
          <w:color w:val="auto"/>
          <w:szCs w:val="21"/>
          <w:highlight w:val="none"/>
        </w:rPr>
        <w:t>及有关</w:t>
      </w:r>
      <w:r>
        <w:rPr>
          <w:rFonts w:hint="eastAsia" w:ascii="宋体" w:hAnsi="宋体" w:eastAsia="宋体" w:cs="宋体"/>
          <w:color w:val="auto"/>
          <w:szCs w:val="21"/>
          <w:highlight w:val="none"/>
          <w:lang w:val="zh-CN"/>
        </w:rPr>
        <w:t>服务能力的有关其它商务文件（不做强制要求）。</w:t>
      </w:r>
    </w:p>
    <w:p w14:paraId="3A4EF052">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技术标：</w:t>
      </w:r>
    </w:p>
    <w:p w14:paraId="34A01F93">
      <w:pPr>
        <w:autoSpaceDE w:val="0"/>
        <w:autoSpaceDN w:val="0"/>
        <w:adjustRightInd w:val="0"/>
        <w:spacing w:line="360" w:lineRule="auto"/>
        <w:ind w:right="-23" w:rightChars="-11"/>
        <w:jc w:val="left"/>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7EDBEE24">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w:t>
      </w:r>
    </w:p>
    <w:p w14:paraId="097514E1">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（2）投标产品技术指标承诺书；</w:t>
      </w:r>
    </w:p>
    <w:p w14:paraId="738DA052">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（3）生产工艺；</w:t>
      </w:r>
    </w:p>
    <w:p w14:paraId="114B9F3B">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（4）生产供货保障能力；</w:t>
      </w:r>
    </w:p>
    <w:p w14:paraId="7889A3A2">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（5）质量保证体系和措施；</w:t>
      </w:r>
    </w:p>
    <w:p w14:paraId="72FB12D9">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eastAsia="zh-CN"/>
        </w:rPr>
        <w:t>企业运输能力</w:t>
      </w:r>
      <w:r>
        <w:rPr>
          <w:rFonts w:hint="eastAsia" w:ascii="宋体" w:hAnsi="宋体" w:eastAsia="宋体" w:cs="宋体"/>
          <w:color w:val="auto"/>
          <w:kern w:val="0"/>
          <w:szCs w:val="21"/>
          <w:highlight w:val="none"/>
        </w:rPr>
        <w:t>；</w:t>
      </w:r>
    </w:p>
    <w:p w14:paraId="40D5DA03">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42CE8EA8">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bookmarkStart w:id="130" w:name="_Toc25590"/>
      <w:bookmarkStart w:id="131" w:name="_Toc27336"/>
      <w:r>
        <w:rPr>
          <w:rFonts w:hint="eastAsia" w:ascii="宋体" w:hAnsi="宋体" w:eastAsia="宋体" w:cs="宋体"/>
          <w:b/>
          <w:bCs/>
          <w:color w:val="auto"/>
          <w:szCs w:val="21"/>
          <w:highlight w:val="none"/>
          <w:lang w:val="zh-CN"/>
        </w:rPr>
        <w:t>9.1.</w:t>
      </w: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zh-CN"/>
        </w:rPr>
        <w:t xml:space="preserve"> 报价信封</w:t>
      </w:r>
      <w:bookmarkEnd w:id="130"/>
      <w:bookmarkEnd w:id="131"/>
    </w:p>
    <w:p w14:paraId="7CD31650">
      <w:pPr>
        <w:autoSpaceDE w:val="0"/>
        <w:autoSpaceDN w:val="0"/>
        <w:adjustRightInd w:val="0"/>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按照投标文件格式中的要求进行编制。</w:t>
      </w:r>
    </w:p>
    <w:p w14:paraId="2F8830C1">
      <w:pPr>
        <w:autoSpaceDE w:val="0"/>
        <w:autoSpaceDN w:val="0"/>
        <w:adjustRightInd w:val="0"/>
        <w:spacing w:line="360" w:lineRule="auto"/>
        <w:ind w:left="317" w:leftChars="-100" w:hanging="527" w:hangingChars="250"/>
        <w:rPr>
          <w:rFonts w:ascii="宋体" w:hAnsi="宋体" w:eastAsia="宋体" w:cs="宋体"/>
          <w:b/>
          <w:bCs/>
          <w:color w:val="auto"/>
          <w:szCs w:val="21"/>
          <w:highlight w:val="none"/>
        </w:rPr>
      </w:pPr>
      <w:bookmarkStart w:id="132" w:name="_Toc10574"/>
      <w:bookmarkStart w:id="133" w:name="_Toc4502"/>
      <w:r>
        <w:rPr>
          <w:rFonts w:hint="eastAsia" w:ascii="宋体" w:hAnsi="宋体" w:eastAsia="宋体" w:cs="宋体"/>
          <w:b/>
          <w:bCs/>
          <w:color w:val="auto"/>
          <w:szCs w:val="21"/>
          <w:highlight w:val="none"/>
        </w:rPr>
        <w:t>9.2  投标文件格式</w:t>
      </w:r>
      <w:bookmarkEnd w:id="132"/>
      <w:bookmarkEnd w:id="133"/>
      <w:r>
        <w:rPr>
          <w:rFonts w:hint="eastAsia" w:ascii="宋体" w:hAnsi="宋体" w:eastAsia="宋体" w:cs="宋体"/>
          <w:b/>
          <w:bCs/>
          <w:color w:val="auto"/>
          <w:szCs w:val="21"/>
          <w:highlight w:val="none"/>
        </w:rPr>
        <w:t xml:space="preserve"> </w:t>
      </w:r>
    </w:p>
    <w:p w14:paraId="2767F9F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）商务标必须按招标文件所附的商务标格式编制（参见第六篇）。</w:t>
      </w:r>
    </w:p>
    <w:p w14:paraId="142A411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）技术标必须按招标文件所附的技术标格式编制（参见第六篇）。</w:t>
      </w:r>
    </w:p>
    <w:p w14:paraId="184B805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）报价信封由投标人使用电子标书制作软件编制（参见第六篇）。</w:t>
      </w:r>
    </w:p>
    <w:p w14:paraId="30C09DD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原件、照片可为该资料扫描件。</w:t>
      </w:r>
    </w:p>
    <w:p w14:paraId="173E6B3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7BB9A96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7D3ACEB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4" w:name="_Toc30897"/>
      <w:bookmarkStart w:id="135" w:name="_Toc8675_WPSOffice_Level3"/>
      <w:bookmarkStart w:id="136" w:name="_Toc13214"/>
      <w:bookmarkStart w:id="137" w:name="_Toc11170"/>
      <w:bookmarkStart w:id="138" w:name="_Toc450662860"/>
      <w:bookmarkStart w:id="139" w:name="_Toc142508324"/>
      <w:bookmarkStart w:id="140" w:name="_Toc486167674"/>
      <w:r>
        <w:rPr>
          <w:rFonts w:hint="eastAsia" w:ascii="宋体" w:hAnsi="宋体" w:eastAsia="宋体" w:cs="宋体"/>
          <w:color w:val="auto"/>
          <w:szCs w:val="21"/>
          <w:highlight w:val="none"/>
          <w:lang w:val="zh-CN"/>
        </w:rPr>
        <w:t>10 投标函</w:t>
      </w:r>
      <w:bookmarkEnd w:id="134"/>
      <w:bookmarkEnd w:id="135"/>
      <w:bookmarkEnd w:id="136"/>
      <w:bookmarkEnd w:id="137"/>
      <w:bookmarkEnd w:id="138"/>
      <w:bookmarkEnd w:id="139"/>
      <w:bookmarkEnd w:id="140"/>
    </w:p>
    <w:p w14:paraId="6F1AE16B">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74AB0F9C">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79FB1BF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1" w:name="_Toc4385_WPSOffice_Level3"/>
      <w:bookmarkStart w:id="142" w:name="_Toc25343"/>
      <w:bookmarkStart w:id="143" w:name="_Toc24311"/>
      <w:bookmarkStart w:id="144" w:name="_Toc450662861"/>
      <w:bookmarkStart w:id="145" w:name="_Toc15427"/>
      <w:bookmarkStart w:id="146" w:name="_Toc486167675"/>
      <w:bookmarkStart w:id="147" w:name="_Toc142508325"/>
      <w:r>
        <w:rPr>
          <w:rFonts w:hint="eastAsia" w:ascii="宋体" w:hAnsi="宋体" w:eastAsia="宋体" w:cs="宋体"/>
          <w:color w:val="auto"/>
          <w:szCs w:val="21"/>
          <w:highlight w:val="none"/>
          <w:lang w:val="zh-CN"/>
        </w:rPr>
        <w:t>11 投标报价</w:t>
      </w:r>
      <w:bookmarkEnd w:id="141"/>
      <w:bookmarkEnd w:id="142"/>
      <w:bookmarkEnd w:id="143"/>
      <w:bookmarkEnd w:id="144"/>
      <w:bookmarkEnd w:id="145"/>
      <w:bookmarkEnd w:id="146"/>
      <w:bookmarkEnd w:id="147"/>
    </w:p>
    <w:p w14:paraId="263DEF64">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本项目只允许有一个报价价格，任何有选择的或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0C141AE8">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4ECC9CFD">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46BEDCA4">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若出现下列情形之一的，评审委员会应启动异常低价投标审查程序：</w:t>
      </w:r>
    </w:p>
    <w:p w14:paraId="641442AD">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（1）投标报价低于合格投标人报价平均值50%的；</w:t>
      </w:r>
    </w:p>
    <w:p w14:paraId="54A82166">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（2）投标报价低于合格且报价次低投标人报价50%的；</w:t>
      </w:r>
    </w:p>
    <w:p w14:paraId="6955EFAB">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（3）投标报价低于采购项目采购限价45%的；</w:t>
      </w:r>
    </w:p>
    <w:p w14:paraId="12DC59D9">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（4）评审委员会认为投标人报价过低，有可能影响产品质量或者不能诚信履约的。</w:t>
      </w:r>
    </w:p>
    <w:p w14:paraId="1BAABD2E">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投标人的报价为</w:t>
      </w:r>
      <w:r>
        <w:rPr>
          <w:rFonts w:hint="default" w:ascii="宋体" w:hAnsi="宋体" w:eastAsia="宋体" w:cs="宋体"/>
          <w:b/>
          <w:bCs/>
          <w:color w:val="auto"/>
          <w:szCs w:val="21"/>
          <w:highlight w:val="none"/>
          <w:lang w:val="en-US"/>
        </w:rPr>
        <w:t>综合单价(元/吨)乘以货物暂定采购数量的总价</w:t>
      </w:r>
      <w:r>
        <w:rPr>
          <w:rFonts w:hint="eastAsia" w:ascii="宋体" w:hAnsi="宋体" w:eastAsia="宋体" w:cs="宋体"/>
          <w:b/>
          <w:bCs/>
          <w:color w:val="auto"/>
          <w:szCs w:val="21"/>
          <w:highlight w:val="none"/>
          <w:lang w:val="zh-CN"/>
        </w:rPr>
        <w:t>。合同履约过程中，在供货期内按投标时的综合单价（元/吨）乘以实际供货数量进行结算。</w:t>
      </w:r>
      <w:r>
        <w:rPr>
          <w:rFonts w:hint="eastAsia" w:ascii="宋体" w:hAnsi="宋体" w:eastAsia="宋体" w:cs="宋体"/>
          <w:b/>
          <w:color w:val="auto"/>
          <w:szCs w:val="21"/>
          <w:highlight w:val="none"/>
          <w:u w:val="single"/>
          <w:lang w:val="zh-CN"/>
        </w:rPr>
        <w:t>本项目投标报价为不含税价，即为《中华人民共和国增值税法》及其实施条例规定的销售额</w:t>
      </w:r>
      <w:r>
        <w:rPr>
          <w:rFonts w:hint="eastAsia" w:ascii="宋体" w:hAnsi="宋体" w:eastAsia="宋体" w:cs="宋体"/>
          <w:color w:val="auto"/>
          <w:szCs w:val="21"/>
          <w:highlight w:val="none"/>
          <w:lang w:val="zh-CN"/>
        </w:rPr>
        <w:t>。本招标文件所称的不含税价和不含税合同价是指不含本采购项目投标人的销项税额，包含了投标人完成合同义务（含投标人代缴代扣、采购货物等所产生的价税）的其他全部费用。本采购项目的销项税额由招标人</w:t>
      </w:r>
      <w:r>
        <w:rPr>
          <w:rFonts w:hint="eastAsia" w:ascii="宋体" w:hAnsi="宋体" w:eastAsia="宋体" w:cs="宋体"/>
          <w:color w:val="auto"/>
          <w:szCs w:val="21"/>
          <w:highlight w:val="none"/>
        </w:rPr>
        <w:t>或招标人权属子公司</w:t>
      </w:r>
      <w:r>
        <w:rPr>
          <w:rFonts w:hint="eastAsia" w:ascii="宋体" w:hAnsi="宋体" w:eastAsia="宋体" w:cs="宋体"/>
          <w:color w:val="auto"/>
          <w:szCs w:val="21"/>
          <w:highlight w:val="none"/>
          <w:lang w:val="zh-CN"/>
        </w:rPr>
        <w:t>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74C9454D">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（1）招标范围内所有货物的研究、采购、制造、检验、配合试验（含小试）、包装、储存、运输（退换货运输）、称重、装卸、安全、保险、培训、验收</w:t>
      </w:r>
      <w:r>
        <w:rPr>
          <w:rFonts w:hint="eastAsia" w:ascii="宋体" w:hAnsi="宋体" w:eastAsia="宋体" w:cs="宋体"/>
          <w:color w:val="auto"/>
          <w:szCs w:val="21"/>
          <w:highlight w:val="none"/>
        </w:rPr>
        <w:t>等</w:t>
      </w:r>
      <w:r>
        <w:rPr>
          <w:rFonts w:hint="eastAsia" w:ascii="宋体" w:hAnsi="宋体" w:eastAsia="宋体" w:cs="宋体"/>
          <w:color w:val="auto"/>
          <w:szCs w:val="21"/>
          <w:highlight w:val="none"/>
          <w:lang w:val="zh-CN"/>
        </w:rPr>
        <w:t>费用；</w:t>
      </w:r>
    </w:p>
    <w:p w14:paraId="46EC4A88">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（2）应急供货费用、为满足项目调试需求导致的小批量、多频次分散供货的成本以及货物运输、货物验收合格前发生的安全事故所产生的一切费用；</w:t>
      </w:r>
    </w:p>
    <w:p w14:paraId="0ACB14E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14:paraId="5C51AA4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（4）日常技术指导，免费的质保服务，包括但不限于免费对具有质量问题的货物进行处理或更换，按招标人要求小试，并以招标人确认的最优化的产品成分配比向招标人供货；</w:t>
      </w:r>
    </w:p>
    <w:p w14:paraId="04BE7B94">
      <w:pPr>
        <w:spacing w:line="360" w:lineRule="auto"/>
        <w:ind w:left="357" w:leftChars="-100" w:hanging="567"/>
        <w:rPr>
          <w:rFonts w:ascii="宋体" w:hAnsi="宋体" w:eastAsia="宋体" w:cs="宋体"/>
          <w:color w:val="auto"/>
          <w:szCs w:val="21"/>
          <w:highlight w:val="none"/>
          <w:lang w:val="zh-CN"/>
        </w:rPr>
      </w:pPr>
      <w:bookmarkStart w:id="148" w:name="_Toc12620"/>
      <w:bookmarkStart w:id="149" w:name="_Toc16129"/>
      <w:r>
        <w:rPr>
          <w:rFonts w:hint="eastAsia" w:ascii="宋体" w:hAnsi="宋体" w:eastAsia="宋体" w:cs="宋体"/>
          <w:color w:val="auto"/>
          <w:szCs w:val="21"/>
          <w:highlight w:val="none"/>
          <w:lang w:val="zh-CN"/>
        </w:rPr>
        <w:t>（5）合理利润、投标人销项税额以外的税费、</w:t>
      </w:r>
      <w:r>
        <w:rPr>
          <w:rFonts w:hint="eastAsia" w:ascii="宋体" w:hAnsi="宋体" w:eastAsia="宋体" w:cs="宋体"/>
          <w:color w:val="auto"/>
          <w:szCs w:val="21"/>
          <w:highlight w:val="none"/>
        </w:rPr>
        <w:t>中标服务费</w:t>
      </w:r>
      <w:r>
        <w:rPr>
          <w:rFonts w:hint="eastAsia" w:ascii="宋体" w:hAnsi="宋体" w:eastAsia="宋体" w:cs="宋体"/>
          <w:color w:val="auto"/>
          <w:szCs w:val="21"/>
          <w:highlight w:val="none"/>
          <w:lang w:val="zh-CN"/>
        </w:rPr>
        <w:t>等；</w:t>
      </w:r>
      <w:bookmarkEnd w:id="148"/>
      <w:bookmarkEnd w:id="149"/>
    </w:p>
    <w:p w14:paraId="6F1F4E25">
      <w:pPr>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14:paraId="0F533528">
      <w:pPr>
        <w:autoSpaceDE w:val="0"/>
        <w:autoSpaceDN w:val="0"/>
        <w:adjustRightInd w:val="0"/>
        <w:spacing w:line="360" w:lineRule="auto"/>
        <w:ind w:left="420" w:leftChars="200" w:firstLine="481" w:firstLineChars="228"/>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液体聚合氯化铝、液体聚合氯化铝铁的供货须按照甲方运营项目的实际供货需求，将会存在不同项目、不同时间分次供货的情况，乙方应充分考虑上述因素可能导致的增加成本，并且该成本已包含在上述全部费用内。</w:t>
      </w:r>
    </w:p>
    <w:p w14:paraId="0259CF35">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1F3E2943">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1DCD7E1D">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w:t>
      </w:r>
      <w:r>
        <w:rPr>
          <w:rFonts w:hint="eastAsia" w:ascii="宋体" w:hAnsi="宋体" w:eastAsia="宋体" w:cs="宋体"/>
          <w:b/>
          <w:bCs/>
          <w:color w:val="auto"/>
          <w:szCs w:val="21"/>
          <w:highlight w:val="none"/>
        </w:rPr>
        <w:t>货物及有关</w:t>
      </w:r>
      <w:r>
        <w:rPr>
          <w:rFonts w:hint="eastAsia" w:ascii="宋体" w:hAnsi="宋体" w:eastAsia="宋体" w:cs="宋体"/>
          <w:b/>
          <w:bCs/>
          <w:color w:val="auto"/>
          <w:szCs w:val="21"/>
          <w:highlight w:val="none"/>
          <w:lang w:val="zh-CN"/>
        </w:rPr>
        <w:t>服务所需的费用，投标人都应计入投标报价。</w:t>
      </w:r>
    </w:p>
    <w:p w14:paraId="370E0B7A">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none"/>
        </w:rPr>
        <w:t xml:space="preserve"> </w:t>
      </w:r>
      <w:r>
        <w:rPr>
          <w:rFonts w:hint="eastAsia" w:ascii="宋体" w:hAnsi="宋体" w:eastAsia="宋体" w:cs="Times New Roman"/>
          <w:b/>
          <w:bCs/>
          <w:color w:val="auto"/>
          <w:szCs w:val="21"/>
          <w:highlight w:val="none"/>
          <w:u w:val="single"/>
        </w:rPr>
        <w:t>投标人的投标报价或综合单价高于不含税最高投标限价或不含税预算综合单价的，</w:t>
      </w:r>
      <w:r>
        <w:rPr>
          <w:rFonts w:hint="eastAsia" w:ascii="宋体" w:hAnsi="宋体" w:eastAsia="宋体" w:cs="Times New Roman"/>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。本项目暂定采购数量对应的不含税最高投标限价为</w:t>
      </w:r>
      <w:r>
        <w:rPr>
          <w:rFonts w:hint="eastAsia" w:ascii="宋体" w:hAnsi="宋体" w:eastAsia="宋体" w:cs="宋体"/>
          <w:b/>
          <w:color w:val="auto"/>
          <w:szCs w:val="21"/>
          <w:highlight w:val="none"/>
          <w:u w:val="single"/>
          <w:lang w:val="en-US" w:eastAsia="zh-CN"/>
        </w:rPr>
        <w:t>47,026,115.77</w:t>
      </w:r>
      <w:r>
        <w:rPr>
          <w:rFonts w:hint="eastAsia" w:ascii="宋体" w:hAnsi="宋体" w:eastAsia="宋体" w:cs="宋体"/>
          <w:b/>
          <w:color w:val="auto"/>
          <w:szCs w:val="21"/>
          <w:highlight w:val="none"/>
          <w:u w:val="single"/>
          <w:lang w:val="zh-CN"/>
        </w:rPr>
        <w:t>元（大写：</w:t>
      </w:r>
      <w:r>
        <w:rPr>
          <w:rFonts w:hint="eastAsia" w:ascii="宋体" w:hAnsi="宋体" w:eastAsia="宋体" w:cs="宋体"/>
          <w:b/>
          <w:color w:val="auto"/>
          <w:szCs w:val="21"/>
          <w:highlight w:val="none"/>
          <w:u w:val="single"/>
          <w:lang w:val="en-US" w:eastAsia="zh-CN"/>
        </w:rPr>
        <w:t>人民币肆仟柒佰零贰万陆仟壹佰壹拾伍元柒角柒分</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lang w:val="en-US" w:eastAsia="zh-CN"/>
        </w:rPr>
        <w:t>其中，液体聚合氯化铝</w:t>
      </w:r>
      <w:r>
        <w:rPr>
          <w:rFonts w:hint="eastAsia" w:ascii="宋体" w:hAnsi="宋体" w:eastAsia="宋体" w:cs="宋体"/>
          <w:b/>
          <w:color w:val="auto"/>
          <w:szCs w:val="21"/>
          <w:highlight w:val="none"/>
          <w:u w:val="single"/>
          <w:lang w:val="zh-CN"/>
        </w:rPr>
        <w:t>不含税预算综合单价为</w:t>
      </w:r>
      <w:r>
        <w:rPr>
          <w:rFonts w:hint="eastAsia" w:ascii="宋体" w:hAnsi="宋体" w:eastAsia="宋体" w:cs="宋体"/>
          <w:b/>
          <w:color w:val="auto"/>
          <w:szCs w:val="21"/>
          <w:highlight w:val="none"/>
          <w:u w:val="single"/>
          <w:lang w:val="en-US" w:eastAsia="zh-CN"/>
        </w:rPr>
        <w:t>473.79</w:t>
      </w:r>
      <w:r>
        <w:rPr>
          <w:rFonts w:hint="eastAsia" w:ascii="宋体" w:hAnsi="宋体" w:eastAsia="宋体" w:cs="宋体"/>
          <w:b/>
          <w:color w:val="auto"/>
          <w:szCs w:val="21"/>
          <w:highlight w:val="none"/>
          <w:u w:val="single"/>
          <w:lang w:val="zh-CN"/>
        </w:rPr>
        <w:t>元/吨（大写：人民币每吨</w:t>
      </w:r>
      <w:r>
        <w:rPr>
          <w:rFonts w:hint="eastAsia" w:ascii="宋体" w:hAnsi="宋体" w:eastAsia="宋体" w:cs="宋体"/>
          <w:b/>
          <w:color w:val="auto"/>
          <w:szCs w:val="21"/>
          <w:highlight w:val="none"/>
          <w:u w:val="single"/>
          <w:lang w:val="en-US" w:eastAsia="zh-CN"/>
        </w:rPr>
        <w:t>肆佰柒拾叁元柒角玖分</w:t>
      </w:r>
      <w:r>
        <w:rPr>
          <w:rFonts w:hint="eastAsia" w:ascii="宋体" w:hAnsi="宋体" w:eastAsia="宋体" w:cs="宋体"/>
          <w:b/>
          <w:color w:val="auto"/>
          <w:szCs w:val="21"/>
          <w:highlight w:val="none"/>
          <w:u w:val="single"/>
          <w:lang w:val="zh-CN"/>
        </w:rPr>
        <w:t>），液体聚合氯化铝铁不含税预算综合单价为468.76元/吨（大写：人民币每吨肆佰陆拾捌元柒角陆分）。</w:t>
      </w:r>
    </w:p>
    <w:p w14:paraId="2CAF9529">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76414FA8">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50" w:name="_Toc450662862"/>
      <w:bookmarkStart w:id="151" w:name="_Toc142508326"/>
      <w:bookmarkStart w:id="152" w:name="_Toc20312"/>
      <w:bookmarkStart w:id="153" w:name="_Toc3469"/>
      <w:bookmarkStart w:id="154" w:name="_Toc486167676"/>
      <w:bookmarkStart w:id="155" w:name="_Toc30042_WPSOffice_Level3"/>
      <w:bookmarkStart w:id="156" w:name="_Toc11443"/>
      <w:r>
        <w:rPr>
          <w:rFonts w:hint="eastAsia" w:ascii="宋体" w:hAnsi="宋体" w:eastAsia="宋体" w:cs="宋体"/>
          <w:b/>
          <w:color w:val="auto"/>
          <w:szCs w:val="21"/>
          <w:highlight w:val="none"/>
          <w:lang w:val="zh-CN"/>
        </w:rPr>
        <w:t>12 投标报价货币</w:t>
      </w:r>
      <w:bookmarkEnd w:id="150"/>
      <w:bookmarkEnd w:id="151"/>
      <w:bookmarkEnd w:id="152"/>
      <w:bookmarkEnd w:id="153"/>
      <w:bookmarkEnd w:id="154"/>
      <w:bookmarkEnd w:id="155"/>
      <w:bookmarkEnd w:id="156"/>
    </w:p>
    <w:p w14:paraId="7432D482">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rPr>
        <w:t>他</w:t>
      </w:r>
      <w:r>
        <w:rPr>
          <w:rFonts w:hint="eastAsia" w:ascii="宋体" w:hAnsi="宋体" w:eastAsia="宋体" w:cs="宋体"/>
          <w:b/>
          <w:color w:val="auto"/>
          <w:szCs w:val="21"/>
          <w:highlight w:val="none"/>
          <w:lang w:val="zh-CN"/>
        </w:rPr>
        <w:t>货币标价的投标将予以拒绝。</w:t>
      </w:r>
    </w:p>
    <w:p w14:paraId="5F1DDA94">
      <w:pPr>
        <w:autoSpaceDE w:val="0"/>
        <w:autoSpaceDN w:val="0"/>
        <w:adjustRightInd w:val="0"/>
        <w:spacing w:line="360" w:lineRule="auto"/>
        <w:ind w:left="265" w:leftChars="119" w:hanging="15"/>
        <w:rPr>
          <w:rFonts w:ascii="宋体" w:hAnsi="宋体" w:eastAsia="宋体" w:cs="宋体"/>
          <w:color w:val="auto"/>
          <w:szCs w:val="21"/>
          <w:highlight w:val="none"/>
        </w:rPr>
      </w:pPr>
    </w:p>
    <w:p w14:paraId="67240312">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7" w:name="_Toc10353"/>
      <w:bookmarkStart w:id="158" w:name="_Toc9411_WPSOffice_Level3"/>
      <w:bookmarkStart w:id="159" w:name="_Toc20031"/>
      <w:bookmarkStart w:id="160" w:name="_Toc3961"/>
      <w:bookmarkStart w:id="161" w:name="_Toc142508327"/>
      <w:bookmarkStart w:id="162" w:name="_Toc486167677"/>
      <w:bookmarkStart w:id="163" w:name="_Toc450662863"/>
      <w:r>
        <w:rPr>
          <w:rFonts w:hint="eastAsia" w:ascii="宋体" w:hAnsi="宋体" w:eastAsia="宋体" w:cs="宋体"/>
          <w:color w:val="auto"/>
          <w:szCs w:val="21"/>
          <w:highlight w:val="none"/>
          <w:lang w:val="zh-CN"/>
        </w:rPr>
        <w:t>13 证明投标人的合格性和资格的声明文件</w:t>
      </w:r>
      <w:bookmarkEnd w:id="157"/>
      <w:bookmarkEnd w:id="158"/>
      <w:bookmarkEnd w:id="159"/>
      <w:bookmarkEnd w:id="160"/>
      <w:bookmarkEnd w:id="161"/>
      <w:bookmarkEnd w:id="162"/>
      <w:bookmarkEnd w:id="163"/>
    </w:p>
    <w:p w14:paraId="7F5162B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2749EDF8">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1C7665D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1BB261C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04BBD96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742FD171">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投标人根据招标文件载明的货物及有关服务要求的实际情况，拟在中标后将中标项目的非主体、非关键性专业工作交由他人完成的，应当在投标文件中载明，并提供他人的资质、能力证明材料。</w:t>
      </w:r>
    </w:p>
    <w:p w14:paraId="2E31E216">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7FA556F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4" w:name="_Toc142508328"/>
      <w:bookmarkStart w:id="165" w:name="_Toc4762"/>
      <w:bookmarkStart w:id="166" w:name="_Toc29754"/>
      <w:bookmarkStart w:id="167" w:name="_Toc8615"/>
      <w:bookmarkStart w:id="168" w:name="_Toc450662864"/>
      <w:bookmarkStart w:id="169" w:name="_Toc27771_WPSOffice_Level3"/>
      <w:bookmarkStart w:id="170" w:name="_Toc486167678"/>
      <w:r>
        <w:rPr>
          <w:rFonts w:hint="eastAsia" w:ascii="宋体" w:hAnsi="宋体" w:eastAsia="宋体" w:cs="宋体"/>
          <w:color w:val="auto"/>
          <w:szCs w:val="21"/>
          <w:highlight w:val="none"/>
          <w:lang w:val="zh-CN"/>
        </w:rPr>
        <w:t>14 证明货物的合格性并符合招标文件规定的声明文件</w:t>
      </w:r>
      <w:bookmarkEnd w:id="164"/>
      <w:bookmarkEnd w:id="165"/>
      <w:bookmarkEnd w:id="166"/>
      <w:bookmarkEnd w:id="167"/>
      <w:bookmarkEnd w:id="168"/>
      <w:bookmarkEnd w:id="169"/>
      <w:bookmarkEnd w:id="170"/>
    </w:p>
    <w:p w14:paraId="1ED89059">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rPr>
        <w:t>货物</w:t>
      </w:r>
      <w:r>
        <w:rPr>
          <w:rFonts w:hint="eastAsia" w:ascii="宋体" w:hAnsi="宋体" w:eastAsia="宋体" w:cs="宋体"/>
          <w:color w:val="auto"/>
          <w:szCs w:val="21"/>
          <w:highlight w:val="none"/>
          <w:lang w:val="zh-CN"/>
        </w:rPr>
        <w:t>的合格性并符合招标文件规定的声明文件，作为投标文件的一部分。</w:t>
      </w:r>
    </w:p>
    <w:p w14:paraId="0978B9F7">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2C0C3FC3">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28E6F6BD">
      <w:pPr>
        <w:autoSpaceDE w:val="0"/>
        <w:autoSpaceDN w:val="0"/>
        <w:adjustRightInd w:val="0"/>
        <w:spacing w:line="360" w:lineRule="auto"/>
        <w:rPr>
          <w:rFonts w:ascii="宋体" w:hAnsi="宋体" w:eastAsia="宋体" w:cs="宋体"/>
          <w:color w:val="auto"/>
          <w:kern w:val="0"/>
          <w:sz w:val="24"/>
          <w:szCs w:val="24"/>
          <w:highlight w:val="none"/>
        </w:rPr>
      </w:pPr>
    </w:p>
    <w:p w14:paraId="3F84D3D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1" w:name="_Toc17443"/>
      <w:bookmarkStart w:id="172" w:name="_Toc3206"/>
      <w:bookmarkStart w:id="173" w:name="_Toc142508329"/>
      <w:bookmarkStart w:id="174" w:name="_Toc486167679"/>
      <w:bookmarkStart w:id="175" w:name="_Toc195714233"/>
      <w:bookmarkStart w:id="176" w:name="_Toc5356_WPSOffice_Level3"/>
      <w:bookmarkStart w:id="177" w:name="_Toc30555"/>
      <w:bookmarkStart w:id="178" w:name="_Toc8644"/>
      <w:r>
        <w:rPr>
          <w:rFonts w:hint="eastAsia" w:ascii="宋体" w:hAnsi="宋体" w:eastAsia="宋体" w:cs="宋体"/>
          <w:color w:val="auto"/>
          <w:szCs w:val="21"/>
          <w:highlight w:val="none"/>
          <w:lang w:val="zh-CN"/>
        </w:rPr>
        <w:t>15 投标保证金</w:t>
      </w:r>
      <w:bookmarkEnd w:id="171"/>
      <w:bookmarkEnd w:id="172"/>
      <w:bookmarkEnd w:id="173"/>
      <w:bookmarkEnd w:id="174"/>
      <w:bookmarkEnd w:id="175"/>
      <w:bookmarkEnd w:id="176"/>
      <w:bookmarkEnd w:id="177"/>
      <w:bookmarkEnd w:id="178"/>
    </w:p>
    <w:p w14:paraId="465A088F">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14:paraId="54C80454">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（1）若采用单项投标保证金，投标人必须按全国公共资源交易平台（广东省·东莞市）办事指南的规定及时向交易中心缴存单项投标保证金，并确保上述款项在投标文件提交截止时间前匹配到本</w:t>
      </w:r>
      <w:r>
        <w:rPr>
          <w:rFonts w:hint="eastAsia" w:ascii="宋体" w:hAnsi="宋体" w:eastAsia="宋体" w:cs="宋体"/>
          <w:bCs/>
          <w:color w:val="auto"/>
          <w:kern w:val="0"/>
          <w:szCs w:val="21"/>
          <w:highlight w:val="none"/>
        </w:rPr>
        <w:t>项目</w:t>
      </w:r>
      <w:r>
        <w:rPr>
          <w:rFonts w:hint="eastAsia" w:ascii="宋体" w:hAnsi="宋体" w:eastAsia="宋体" w:cs="宋体"/>
          <w:bCs/>
          <w:color w:val="auto"/>
          <w:kern w:val="0"/>
          <w:szCs w:val="21"/>
          <w:highlight w:val="none"/>
          <w:lang w:val="zh-CN"/>
        </w:rPr>
        <w:t>，否则，其投标保证金视为无效。</w:t>
      </w:r>
    </w:p>
    <w:p w14:paraId="4DFFBA29">
      <w:pPr>
        <w:autoSpaceDE w:val="0"/>
        <w:autoSpaceDN w:val="0"/>
        <w:adjustRightInd w:val="0"/>
        <w:spacing w:line="360" w:lineRule="auto"/>
        <w:ind w:left="225" w:leftChars="107" w:firstLine="489" w:firstLineChars="233"/>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投标截止时间前，已在公共资源交易企业库建档的投标人应将保证金关联至本</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zh-CN"/>
        </w:rPr>
        <w:t>。具体要求详见全国公共资源交易平台（广东省·东莞市）（网址：https://ygp.gdzwfw.gov.cn/#/441900/index）办事指南中的相关规定。</w:t>
      </w:r>
    </w:p>
    <w:p w14:paraId="714FDC39">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14:paraId="3CD8B10F">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若采用银行电子保函或保险电子保单，投标人必须按《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14:paraId="2588801E">
      <w:pPr>
        <w:autoSpaceDE w:val="0"/>
        <w:autoSpaceDN w:val="0"/>
        <w:adjustRightInd w:val="0"/>
        <w:spacing w:line="360" w:lineRule="auto"/>
        <w:ind w:left="401" w:leftChars="191" w:firstLine="436" w:firstLineChars="208"/>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银行电子保函参考样式按照《住房和城乡建设部关于印发工程保函示范文本的通知》（建市〔2021〕11号）执行。保险公司所提供的建设工程保证保险条款应当经国家金融监督管理总局批准、备案或注册，并在本公司门户网站主动公开单位信息、投保单（范本）以及保险合同含条款（范本）。</w:t>
      </w:r>
    </w:p>
    <w:p w14:paraId="0BBEEDF6">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.2 投标人签到时应按本投标人须知第</w:t>
      </w: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.1</w:t>
      </w:r>
      <w:r>
        <w:rPr>
          <w:rFonts w:hint="eastAsia" w:ascii="宋体" w:hAnsi="宋体" w:eastAsia="宋体" w:cs="宋体"/>
          <w:bCs/>
          <w:color w:val="auto"/>
          <w:kern w:val="0"/>
          <w:szCs w:val="21"/>
          <w:highlight w:val="none"/>
        </w:rPr>
        <w:t>款</w:t>
      </w:r>
      <w:r>
        <w:rPr>
          <w:rFonts w:hint="eastAsia" w:ascii="宋体" w:hAnsi="宋体" w:eastAsia="宋体" w:cs="宋体"/>
          <w:bCs/>
          <w:color w:val="auto"/>
          <w:kern w:val="0"/>
          <w:szCs w:val="21"/>
          <w:highlight w:val="none"/>
          <w:lang w:val="zh-CN"/>
        </w:rPr>
        <w:t>要求提交投标保证金。投标截止时间前，投标人如果撤销签到，已关联的投标保证金同步取消关联；撤销签到的投标人可以重新签到并关联保证金。投标截止后，已关联的投标保证金不能取消关联。</w:t>
      </w:r>
    </w:p>
    <w:p w14:paraId="45AD9FBF">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bookmarkStart w:id="179" w:name="_Toc3875"/>
      <w:bookmarkStart w:id="180" w:name="_Toc19219"/>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.3 投标保证金退还程序。</w:t>
      </w:r>
      <w:bookmarkEnd w:id="179"/>
      <w:bookmarkEnd w:id="180"/>
    </w:p>
    <w:p w14:paraId="7F3F3705">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（1）对未通过资格</w:t>
      </w:r>
      <w:r>
        <w:rPr>
          <w:rFonts w:hint="eastAsia" w:ascii="宋体" w:hAnsi="宋体" w:eastAsia="宋体" w:cs="宋体"/>
          <w:bCs/>
          <w:color w:val="auto"/>
          <w:kern w:val="0"/>
          <w:szCs w:val="21"/>
          <w:highlight w:val="none"/>
        </w:rPr>
        <w:t>性</w:t>
      </w:r>
      <w:r>
        <w:rPr>
          <w:rFonts w:hint="eastAsia" w:ascii="宋体" w:hAnsi="宋体" w:eastAsia="宋体" w:cs="宋体"/>
          <w:bCs/>
          <w:color w:val="auto"/>
          <w:kern w:val="0"/>
          <w:szCs w:val="21"/>
          <w:highlight w:val="none"/>
          <w:lang w:val="zh-CN"/>
        </w:rPr>
        <w:t>审查或未通过</w:t>
      </w:r>
      <w:r>
        <w:rPr>
          <w:rFonts w:hint="eastAsia" w:ascii="宋体" w:hAnsi="宋体" w:eastAsia="宋体" w:cs="宋体"/>
          <w:bCs/>
          <w:color w:val="auto"/>
          <w:kern w:val="0"/>
          <w:szCs w:val="21"/>
          <w:highlight w:val="none"/>
        </w:rPr>
        <w:t>符合性检查</w:t>
      </w:r>
      <w:r>
        <w:rPr>
          <w:rFonts w:hint="eastAsia" w:ascii="宋体" w:hAnsi="宋体" w:eastAsia="宋体" w:cs="宋体"/>
          <w:bCs/>
          <w:color w:val="auto"/>
          <w:kern w:val="0"/>
          <w:szCs w:val="21"/>
          <w:highlight w:val="none"/>
          <w:lang w:val="zh-CN"/>
        </w:rPr>
        <w:t>的投标人，招标人在</w:t>
      </w:r>
      <w:r>
        <w:rPr>
          <w:rFonts w:hint="eastAsia" w:ascii="宋体" w:hAnsi="宋体" w:eastAsia="宋体" w:cs="宋体"/>
          <w:bCs/>
          <w:color w:val="auto"/>
          <w:kern w:val="0"/>
          <w:szCs w:val="21"/>
          <w:highlight w:val="none"/>
        </w:rPr>
        <w:t>评标会</w:t>
      </w:r>
      <w:r>
        <w:rPr>
          <w:rFonts w:hint="eastAsia" w:ascii="宋体" w:hAnsi="宋体" w:eastAsia="宋体" w:cs="宋体"/>
          <w:bCs/>
          <w:color w:val="auto"/>
          <w:kern w:val="0"/>
          <w:szCs w:val="21"/>
          <w:highlight w:val="none"/>
          <w:lang w:val="zh-CN"/>
        </w:rPr>
        <w:t>结束后第一个工作日向交易中心发送退还指令；</w:t>
      </w:r>
    </w:p>
    <w:p w14:paraId="36B29CAA">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（2）对除中标候选人外的投标人，招标人在发布评标结果公示后3个工作日内向交易中心发送退还指令；</w:t>
      </w:r>
    </w:p>
    <w:p w14:paraId="0CEE1484">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（3）招标人与中标人在签订书面合同后3个工作日内向交易中心对中标人及其余中标候选人投标保证金发送退还指令。</w:t>
      </w:r>
    </w:p>
    <w:p w14:paraId="56A4C4FD">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（4）若</w:t>
      </w:r>
      <w:r>
        <w:rPr>
          <w:rFonts w:hint="eastAsia" w:ascii="宋体" w:hAnsi="宋体" w:eastAsia="宋体" w:cs="宋体"/>
          <w:bCs/>
          <w:color w:val="auto"/>
          <w:kern w:val="0"/>
          <w:szCs w:val="21"/>
          <w:highlight w:val="none"/>
        </w:rPr>
        <w:t>项目</w:t>
      </w:r>
      <w:r>
        <w:rPr>
          <w:rFonts w:hint="eastAsia" w:ascii="宋体" w:hAnsi="宋体" w:eastAsia="宋体" w:cs="宋体"/>
          <w:bCs/>
          <w:color w:val="auto"/>
          <w:kern w:val="0"/>
          <w:szCs w:val="21"/>
          <w:highlight w:val="none"/>
          <w:lang w:val="zh-CN"/>
        </w:rPr>
        <w:t>受到监督部门调查时，招标人根据实际情况处理投标保证金退回有关工作。招标人将按调查结果处理涉事投标保证金。</w:t>
      </w:r>
    </w:p>
    <w:p w14:paraId="1C786218">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（5）如因投诉等异常情况不能正常签发中标通知书，招标人可以退回未中标的且不涉及异常情况处理投标人的投标保证金发送退还指令。</w:t>
      </w:r>
    </w:p>
    <w:p w14:paraId="43A4A178">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.4 投标保证金有效期应当与投标有效期一致。招标人如果按本</w:t>
      </w:r>
      <w:r>
        <w:rPr>
          <w:rFonts w:hint="eastAsia" w:ascii="宋体" w:hAnsi="宋体" w:eastAsia="宋体" w:cs="宋体"/>
          <w:bCs/>
          <w:color w:val="auto"/>
          <w:kern w:val="0"/>
          <w:szCs w:val="21"/>
          <w:highlight w:val="none"/>
        </w:rPr>
        <w:t>投标人</w:t>
      </w:r>
      <w:r>
        <w:rPr>
          <w:rFonts w:hint="eastAsia" w:ascii="宋体" w:hAnsi="宋体" w:eastAsia="宋体" w:cs="宋体"/>
          <w:bCs/>
          <w:color w:val="auto"/>
          <w:kern w:val="0"/>
          <w:szCs w:val="21"/>
          <w:highlight w:val="none"/>
          <w:lang w:val="zh-CN"/>
        </w:rPr>
        <w:t>须知第</w:t>
      </w:r>
      <w:r>
        <w:rPr>
          <w:rFonts w:hint="eastAsia" w:ascii="宋体" w:hAnsi="宋体" w:eastAsia="宋体" w:cs="宋体"/>
          <w:bCs/>
          <w:color w:val="auto"/>
          <w:kern w:val="0"/>
          <w:szCs w:val="21"/>
          <w:highlight w:val="none"/>
        </w:rPr>
        <w:t>16.3款</w:t>
      </w:r>
      <w:r>
        <w:rPr>
          <w:rFonts w:hint="eastAsia" w:ascii="宋体" w:hAnsi="宋体" w:eastAsia="宋体" w:cs="宋体"/>
          <w:bCs/>
          <w:color w:val="auto"/>
          <w:kern w:val="0"/>
          <w:szCs w:val="21"/>
          <w:highlight w:val="none"/>
          <w:lang w:val="zh-CN"/>
        </w:rPr>
        <w:t>的规定延长了投标文件有效期，则投标保证金的有效期也相应延长。</w:t>
      </w:r>
    </w:p>
    <w:p w14:paraId="540DD4EB">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 xml:space="preserve">.5 若发生下列情况，招标人在书面通知投标人（或中标人）后有权不予退还投标保证金： </w:t>
      </w:r>
    </w:p>
    <w:p w14:paraId="6C1C5BD8">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（1）投标人在规定的投标截止时间后至投标有效期满之前撤销或修改其投标文件；</w:t>
      </w:r>
    </w:p>
    <w:p w14:paraId="6A64720B">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（2）中标人未能在规定期限内提交履约担保；</w:t>
      </w:r>
    </w:p>
    <w:p w14:paraId="5E85BA6E">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（3）未根据</w:t>
      </w:r>
      <w:r>
        <w:rPr>
          <w:rFonts w:hint="eastAsia" w:ascii="宋体" w:hAnsi="宋体" w:eastAsia="宋体" w:cs="宋体"/>
          <w:bCs/>
          <w:color w:val="auto"/>
          <w:kern w:val="0"/>
          <w:szCs w:val="21"/>
          <w:highlight w:val="none"/>
        </w:rPr>
        <w:t>本投标人须知</w:t>
      </w:r>
      <w:r>
        <w:rPr>
          <w:rFonts w:hint="eastAsia" w:ascii="宋体" w:hAnsi="宋体" w:eastAsia="宋体" w:cs="宋体"/>
          <w:bCs/>
          <w:color w:val="auto"/>
          <w:kern w:val="0"/>
          <w:szCs w:val="21"/>
          <w:highlight w:val="none"/>
          <w:lang w:val="zh-CN"/>
        </w:rPr>
        <w:t>第3</w:t>
      </w:r>
      <w:r>
        <w:rPr>
          <w:rFonts w:hint="eastAsia" w:ascii="宋体" w:hAnsi="宋体" w:eastAsia="宋体" w:cs="宋体"/>
          <w:bCs/>
          <w:color w:val="auto"/>
          <w:kern w:val="0"/>
          <w:szCs w:val="21"/>
          <w:highlight w:val="none"/>
        </w:rPr>
        <w:t>6</w:t>
      </w:r>
      <w:r>
        <w:rPr>
          <w:rFonts w:hint="eastAsia" w:ascii="宋体" w:hAnsi="宋体" w:eastAsia="宋体" w:cs="宋体"/>
          <w:bCs/>
          <w:color w:val="auto"/>
          <w:kern w:val="0"/>
          <w:szCs w:val="21"/>
          <w:highlight w:val="none"/>
          <w:lang w:val="zh-CN"/>
        </w:rPr>
        <w:t>条规定签署合同；</w:t>
      </w:r>
    </w:p>
    <w:p w14:paraId="48219A3B">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（4）将中标项目转让给他人，或者在投标文件中未说明，且未经招标人同意，将中标项目的合同的权利义务转让给第三方的；</w:t>
      </w:r>
    </w:p>
    <w:p w14:paraId="3CB4A341">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（5）提供虚假投标文件或虚假补充文件的，或违反《中华人民共和国招标投标法》等有关法律、法规、规章及招标投标相关规定的行为。</w:t>
      </w:r>
    </w:p>
    <w:p w14:paraId="231C4E4F">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rPr>
      </w:pPr>
      <w:bookmarkStart w:id="181" w:name="_Toc30462"/>
      <w:bookmarkStart w:id="182" w:name="_Toc22708"/>
      <w:r>
        <w:rPr>
          <w:rFonts w:hint="eastAsia" w:ascii="宋体" w:hAnsi="宋体" w:eastAsia="宋体" w:cs="宋体"/>
          <w:bCs/>
          <w:color w:val="auto"/>
          <w:kern w:val="0"/>
          <w:szCs w:val="21"/>
          <w:highlight w:val="none"/>
        </w:rPr>
        <w:t>15.6 对于提交银行电子保函（保险电子保单）的有关注意事项：</w:t>
      </w:r>
      <w:bookmarkEnd w:id="181"/>
      <w:bookmarkEnd w:id="182"/>
    </w:p>
    <w:p w14:paraId="603A354C">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6.1投标人所提交的银行电子保函（保险电子保单）经核实出现以下情况的，作自动弃权处理：①担保的有效期或金额不符合要求的；②出现不符合招标文件要求或招标人不能接受的条款。</w:t>
      </w:r>
    </w:p>
    <w:p w14:paraId="5134BD70">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14:paraId="22A4EBC7">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14:paraId="0A816FDB">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14:paraId="5E62BDB7">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7</w:t>
      </w:r>
      <w:r>
        <w:rPr>
          <w:rFonts w:hint="eastAsia" w:ascii="宋体" w:hAnsi="宋体" w:eastAsia="宋体" w:cs="宋体"/>
          <w:bCs/>
          <w:color w:val="auto"/>
          <w:kern w:val="0"/>
          <w:szCs w:val="21"/>
          <w:highlight w:val="none"/>
        </w:rPr>
        <w:t xml:space="preserve"> </w:t>
      </w:r>
      <w:r>
        <w:rPr>
          <w:rFonts w:hint="eastAsia" w:ascii="宋体" w:hAnsi="宋体" w:eastAsia="宋体" w:cs="宋体"/>
          <w:bCs/>
          <w:color w:val="auto"/>
          <w:kern w:val="0"/>
          <w:szCs w:val="21"/>
          <w:highlight w:val="none"/>
          <w:lang w:val="zh-CN"/>
        </w:rPr>
        <w:t>投标保证金缴存银行</w:t>
      </w:r>
      <w:r>
        <w:rPr>
          <w:rFonts w:hint="eastAsia" w:ascii="宋体" w:hAnsi="宋体" w:eastAsia="宋体" w:cs="宋体"/>
          <w:bCs/>
          <w:color w:val="auto"/>
          <w:kern w:val="0"/>
          <w:szCs w:val="21"/>
          <w:highlight w:val="none"/>
        </w:rPr>
        <w:t>账</w:t>
      </w:r>
      <w:r>
        <w:rPr>
          <w:rFonts w:hint="eastAsia" w:ascii="宋体" w:hAnsi="宋体" w:eastAsia="宋体" w:cs="宋体"/>
          <w:bCs/>
          <w:color w:val="auto"/>
          <w:kern w:val="0"/>
          <w:szCs w:val="21"/>
          <w:highlight w:val="none"/>
          <w:lang w:val="zh-CN"/>
        </w:rPr>
        <w:t>户见全国公共资源交易平台（广东省·东莞市）办事指南。</w:t>
      </w:r>
    </w:p>
    <w:p w14:paraId="612C3F86">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596599D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3" w:name="_Toc1773"/>
      <w:bookmarkStart w:id="184" w:name="_Toc450662865"/>
      <w:bookmarkStart w:id="185" w:name="_Toc29607"/>
      <w:bookmarkStart w:id="186" w:name="_Toc142508330"/>
      <w:bookmarkStart w:id="187" w:name="_Toc486167680"/>
      <w:bookmarkStart w:id="188" w:name="_Toc1458"/>
      <w:bookmarkStart w:id="189" w:name="_Toc22649_WPSOffice_Level3"/>
      <w:r>
        <w:rPr>
          <w:rFonts w:hint="eastAsia" w:ascii="宋体" w:hAnsi="宋体" w:eastAsia="宋体" w:cs="宋体"/>
          <w:color w:val="auto"/>
          <w:szCs w:val="21"/>
          <w:highlight w:val="none"/>
          <w:lang w:val="zh-CN"/>
        </w:rPr>
        <w:t>16 投标有效期</w:t>
      </w:r>
      <w:bookmarkEnd w:id="183"/>
      <w:bookmarkEnd w:id="184"/>
      <w:bookmarkEnd w:id="185"/>
      <w:bookmarkEnd w:id="186"/>
      <w:bookmarkEnd w:id="187"/>
      <w:bookmarkEnd w:id="188"/>
      <w:bookmarkEnd w:id="189"/>
    </w:p>
    <w:p w14:paraId="0E27002D">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2BF8C7E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47A9FFD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06382614">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6D48B4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0" w:name="_Toc20422"/>
      <w:bookmarkStart w:id="191" w:name="_Toc522"/>
      <w:bookmarkStart w:id="192" w:name="_Toc15065"/>
      <w:bookmarkStart w:id="193" w:name="_Toc486167681"/>
      <w:bookmarkStart w:id="194" w:name="_Toc450662866"/>
      <w:bookmarkStart w:id="195" w:name="_Toc932"/>
      <w:bookmarkStart w:id="196" w:name="_Toc25637_WPSOffice_Level3"/>
      <w:bookmarkStart w:id="197" w:name="_Toc195714235"/>
      <w:bookmarkStart w:id="198" w:name="_Toc142508331"/>
      <w:r>
        <w:rPr>
          <w:rFonts w:hint="eastAsia" w:ascii="宋体" w:hAnsi="宋体" w:eastAsia="宋体" w:cs="宋体"/>
          <w:color w:val="auto"/>
          <w:szCs w:val="21"/>
          <w:highlight w:val="none"/>
          <w:lang w:val="zh-CN"/>
        </w:rPr>
        <w:t>17 投标文件的编制和签署</w:t>
      </w:r>
      <w:bookmarkEnd w:id="190"/>
      <w:bookmarkEnd w:id="191"/>
      <w:bookmarkEnd w:id="192"/>
      <w:bookmarkEnd w:id="193"/>
      <w:bookmarkEnd w:id="194"/>
      <w:bookmarkEnd w:id="195"/>
      <w:bookmarkEnd w:id="196"/>
      <w:bookmarkEnd w:id="197"/>
      <w:bookmarkEnd w:id="198"/>
    </w:p>
    <w:p w14:paraId="48301A0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投标文件采用电子标书形式编制。投标人使用网络上传投标文件。</w:t>
      </w:r>
    </w:p>
    <w:p w14:paraId="6433CFA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投标人应使用全国公共资源交易平台（广东省·东莞市发布的投标文件电子标书制作软件（以下简称“电子标书制作软件”）进行投标文件的合成、电子</w:t>
      </w:r>
      <w:r>
        <w:rPr>
          <w:rFonts w:hint="eastAsia" w:ascii="宋体" w:hAnsi="宋体" w:eastAsia="宋体" w:cs="宋体"/>
          <w:color w:val="auto"/>
          <w:szCs w:val="21"/>
          <w:highlight w:val="none"/>
        </w:rPr>
        <w:t>签名</w:t>
      </w:r>
      <w:r>
        <w:rPr>
          <w:rFonts w:hint="eastAsia" w:ascii="宋体" w:hAnsi="宋体" w:eastAsia="宋体" w:cs="宋体"/>
          <w:color w:val="auto"/>
          <w:szCs w:val="21"/>
          <w:highlight w:val="none"/>
          <w:lang w:val="zh-CN"/>
        </w:rPr>
        <w:t>工作。</w:t>
      </w:r>
    </w:p>
    <w:p w14:paraId="1CFDBA7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投标人应使用依法设立的电子认证服务提供者签发的电子签名认证证书对电子投标文件进行电子签名。该电子</w:t>
      </w:r>
      <w:r>
        <w:rPr>
          <w:rFonts w:hint="eastAsia" w:ascii="宋体" w:hAnsi="宋体" w:eastAsia="宋体" w:cs="宋体"/>
          <w:color w:val="auto"/>
          <w:szCs w:val="21"/>
          <w:highlight w:val="none"/>
        </w:rPr>
        <w:t>签名</w:t>
      </w:r>
      <w:r>
        <w:rPr>
          <w:rFonts w:hint="eastAsia" w:ascii="宋体" w:hAnsi="宋体" w:eastAsia="宋体" w:cs="宋体"/>
          <w:color w:val="auto"/>
          <w:szCs w:val="21"/>
          <w:highlight w:val="none"/>
          <w:lang w:val="zh-CN"/>
        </w:rPr>
        <w:t>与手写签名或者盖章具有同等的法律效力。</w:t>
      </w:r>
    </w:p>
    <w:p w14:paraId="54668F3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投标人使用电子标书制作软件编制电子投标文件时必须按招标文件相关条款及投标文件格式中的要求进行编制。</w:t>
      </w:r>
    </w:p>
    <w:p w14:paraId="1EFEB17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投标文件应按上述编制的要求编制电子标书。如投标文件未按上述编制要求编制的，所引起交易系统无法检索、读取相关信息时，其结果将由投标人自行承担。</w:t>
      </w:r>
    </w:p>
    <w:p w14:paraId="550FB2F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199" w:name="_Toc26960"/>
      <w:bookmarkStart w:id="200" w:name="_Toc9587"/>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投标文件必须按下列要求编制、使用数字证书电子</w:t>
      </w:r>
      <w:r>
        <w:rPr>
          <w:rFonts w:hint="eastAsia" w:ascii="宋体" w:hAnsi="宋体" w:eastAsia="宋体" w:cs="宋体"/>
          <w:color w:val="auto"/>
          <w:szCs w:val="21"/>
          <w:highlight w:val="none"/>
        </w:rPr>
        <w:t>签名：</w:t>
      </w:r>
      <w:bookmarkEnd w:id="199"/>
      <w:bookmarkEnd w:id="200"/>
    </w:p>
    <w:p w14:paraId="324FE7D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.6.1按本投标人须知第</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3、14</w:t>
      </w:r>
      <w:r>
        <w:rPr>
          <w:rFonts w:hint="eastAsia" w:ascii="宋体" w:hAnsi="宋体" w:eastAsia="宋体" w:cs="宋体"/>
          <w:color w:val="auto"/>
          <w:szCs w:val="21"/>
          <w:highlight w:val="none"/>
          <w:lang w:val="zh-CN"/>
        </w:rPr>
        <w:t>条的规定编制，按本投标人须知第1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条的规定填报投标报价，“投标文件的组成”中列明的内容在投标文件中不能有漏缺。</w:t>
      </w:r>
    </w:p>
    <w:p w14:paraId="449A37F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201" w:name="_Toc3092"/>
      <w:bookmarkStart w:id="202" w:name="_Toc19767"/>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.6.2投标文件商务标、技术标编制要求：</w:t>
      </w:r>
      <w:bookmarkEnd w:id="201"/>
      <w:bookmarkEnd w:id="202"/>
    </w:p>
    <w:p w14:paraId="13A75CC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（1）投标文件必须按招标文件中规定的投标文件格式编制，并转换成PDF格式合成到电子投标文件中；</w:t>
      </w:r>
    </w:p>
    <w:p w14:paraId="14B5C4F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（2）投标文件商务标、技术标必须按招标文件的规定填写； </w:t>
      </w:r>
    </w:p>
    <w:p w14:paraId="1772EF5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）投标文件商务标、技术标应按其格式要求由投标人的法定代表人或其授权代表电子签名、企业数字证书电子签名；</w:t>
      </w:r>
    </w:p>
    <w:p w14:paraId="5FE3BE7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）严格按照第六篇投标文件格式内的要求完整、真实的填写《合同条款偏离表》《用户需求偏离表》；</w:t>
      </w:r>
    </w:p>
    <w:p w14:paraId="69A8C46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）投标人要特别加以注意，必须严格按照第六篇商务标格式的要求完整、真实的填写《资格业绩》及提供对应证明资料；</w:t>
      </w:r>
    </w:p>
    <w:p w14:paraId="161296E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）投标文件技术标部分必须按招标文件第六篇“技术标格式”编制。</w:t>
      </w:r>
    </w:p>
    <w:p w14:paraId="4C340B9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203" w:name="_Toc3854"/>
      <w:bookmarkStart w:id="204" w:name="_Toc26313"/>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.6.3投标文件报价信封编制要求：</w:t>
      </w:r>
      <w:bookmarkEnd w:id="203"/>
      <w:bookmarkEnd w:id="204"/>
    </w:p>
    <w:p w14:paraId="587C83D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（1）投标人应使用电子标书制作软件编制并生成报价信封，内容根据招标文件设置的报价信封内容按实填报。</w:t>
      </w:r>
    </w:p>
    <w:p w14:paraId="115F26B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（2）大写金额数字用“零、壹、贰、叁、肆、伍、陆、柒、捌、玖、拾、佰、仟、万、亿”填写。投标值大写与小写不一致时，以大写数额为准，修正小写数额。</w:t>
      </w:r>
    </w:p>
    <w:p w14:paraId="38007BB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（3）投标文件价格部分应按其格式要求使用依法设立的电子认证服务提供者签发的电子签名认证证书对电子投标文件进行电子签名。该电子签名与手写签名或者盖章具有同等的法律效力。</w:t>
      </w:r>
    </w:p>
    <w:p w14:paraId="47B65CFD">
      <w:pPr>
        <w:autoSpaceDE w:val="0"/>
        <w:autoSpaceDN w:val="0"/>
        <w:adjustRightInd w:val="0"/>
        <w:jc w:val="left"/>
        <w:rPr>
          <w:rFonts w:ascii="宋体" w:hAnsi="宋体" w:eastAsia="宋体" w:cs="宋体"/>
          <w:color w:val="auto"/>
          <w:kern w:val="0"/>
          <w:sz w:val="24"/>
          <w:szCs w:val="24"/>
          <w:highlight w:val="none"/>
        </w:rPr>
      </w:pPr>
      <w:bookmarkStart w:id="205" w:name="_Toc450662867"/>
    </w:p>
    <w:bookmarkEnd w:id="205"/>
    <w:p w14:paraId="58BF4F36">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206" w:name="_Toc10544"/>
      <w:bookmarkStart w:id="207" w:name="_Toc486167682"/>
      <w:bookmarkStart w:id="208" w:name="_Toc11307"/>
      <w:bookmarkStart w:id="209" w:name="_Toc22356_WPSOffice_Level2"/>
      <w:bookmarkStart w:id="210" w:name="_Toc142508332"/>
      <w:bookmarkStart w:id="211" w:name="_Toc140596891"/>
      <w:bookmarkStart w:id="212" w:name="_Toc26605"/>
      <w:bookmarkStart w:id="213" w:name="_Toc17199"/>
      <w:bookmarkStart w:id="214" w:name="_Toc195714236"/>
      <w:r>
        <w:rPr>
          <w:rFonts w:hint="eastAsia" w:ascii="宋体" w:hAnsi="宋体" w:eastAsia="宋体" w:cs="宋体"/>
          <w:b/>
          <w:bCs/>
          <w:color w:val="auto"/>
          <w:kern w:val="44"/>
          <w:szCs w:val="21"/>
          <w:highlight w:val="none"/>
          <w:lang w:val="zh-CN"/>
        </w:rPr>
        <w:t>四、投标</w:t>
      </w:r>
      <w:bookmarkEnd w:id="206"/>
      <w:bookmarkEnd w:id="207"/>
      <w:bookmarkEnd w:id="208"/>
      <w:bookmarkEnd w:id="209"/>
      <w:bookmarkEnd w:id="210"/>
      <w:bookmarkEnd w:id="211"/>
      <w:bookmarkEnd w:id="212"/>
      <w:bookmarkEnd w:id="213"/>
      <w:bookmarkEnd w:id="214"/>
    </w:p>
    <w:p w14:paraId="7C4519C0">
      <w:pPr>
        <w:tabs>
          <w:tab w:val="left" w:pos="567"/>
        </w:tabs>
        <w:autoSpaceDE w:val="0"/>
        <w:autoSpaceDN w:val="0"/>
        <w:adjustRightInd w:val="0"/>
        <w:spacing w:line="360" w:lineRule="auto"/>
        <w:ind w:left="357" w:leftChars="-100" w:right="15" w:rightChars="7" w:hanging="567"/>
        <w:outlineLvl w:val="2"/>
        <w:rPr>
          <w:rFonts w:ascii="宋体" w:hAnsi="宋体" w:eastAsia="宋体" w:cs="宋体"/>
          <w:color w:val="auto"/>
          <w:szCs w:val="21"/>
          <w:highlight w:val="none"/>
          <w:lang w:val="zh-CN"/>
        </w:rPr>
      </w:pPr>
      <w:bookmarkStart w:id="215" w:name="_Toc195714237"/>
      <w:bookmarkStart w:id="216" w:name="_Toc31551"/>
      <w:bookmarkStart w:id="217" w:name="_Toc486167683"/>
      <w:bookmarkStart w:id="218" w:name="_Toc142508333"/>
      <w:bookmarkStart w:id="219" w:name="_Toc450662868"/>
      <w:bookmarkStart w:id="220" w:name="_Toc12192_WPSOffice_Level3"/>
      <w:bookmarkStart w:id="221" w:name="_Toc29885"/>
      <w:bookmarkStart w:id="222" w:name="_Toc3466"/>
      <w:bookmarkStart w:id="223" w:name="_Toc380"/>
      <w:r>
        <w:rPr>
          <w:rFonts w:hint="eastAsia" w:ascii="宋体" w:hAnsi="宋体" w:eastAsia="宋体" w:cs="宋体"/>
          <w:color w:val="auto"/>
          <w:szCs w:val="21"/>
          <w:highlight w:val="none"/>
          <w:lang w:val="zh-CN"/>
        </w:rPr>
        <w:t xml:space="preserve">18 </w:t>
      </w:r>
      <w:bookmarkEnd w:id="215"/>
      <w:bookmarkEnd w:id="216"/>
      <w:bookmarkEnd w:id="217"/>
      <w:bookmarkEnd w:id="218"/>
      <w:bookmarkEnd w:id="219"/>
      <w:bookmarkEnd w:id="220"/>
      <w:bookmarkEnd w:id="221"/>
      <w:r>
        <w:rPr>
          <w:rFonts w:hint="eastAsia" w:ascii="宋体" w:hAnsi="宋体" w:eastAsia="宋体" w:cs="宋体"/>
          <w:color w:val="auto"/>
          <w:szCs w:val="21"/>
          <w:highlight w:val="none"/>
          <w:lang w:val="zh-CN"/>
        </w:rPr>
        <w:t>投标文件的加密</w:t>
      </w:r>
      <w:bookmarkEnd w:id="222"/>
      <w:bookmarkEnd w:id="223"/>
    </w:p>
    <w:p w14:paraId="458B0359">
      <w:pPr>
        <w:tabs>
          <w:tab w:val="left" w:pos="567"/>
        </w:tabs>
        <w:adjustRightInd w:val="0"/>
        <w:spacing w:line="360" w:lineRule="auto"/>
        <w:ind w:firstLine="144" w:firstLineChars="6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投标人应使用依法设立的电子认证服务提供者签发的电子签章认证证书对电子投标文件进行电子签章并加密。</w:t>
      </w:r>
    </w:p>
    <w:p w14:paraId="6A16E97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p>
    <w:p w14:paraId="39756F1B">
      <w:pPr>
        <w:tabs>
          <w:tab w:val="left" w:pos="567"/>
        </w:tabs>
        <w:autoSpaceDE w:val="0"/>
        <w:autoSpaceDN w:val="0"/>
        <w:adjustRightInd w:val="0"/>
        <w:spacing w:line="360" w:lineRule="auto"/>
        <w:ind w:left="357" w:leftChars="-100" w:right="15" w:rightChars="7" w:hanging="567"/>
        <w:outlineLvl w:val="2"/>
        <w:rPr>
          <w:rFonts w:ascii="宋体" w:hAnsi="宋体" w:eastAsia="宋体" w:cs="宋体"/>
          <w:color w:val="auto"/>
          <w:szCs w:val="21"/>
          <w:highlight w:val="none"/>
          <w:lang w:val="zh-CN"/>
        </w:rPr>
      </w:pPr>
      <w:bookmarkStart w:id="224" w:name="_Toc3867"/>
      <w:bookmarkStart w:id="225" w:name="_Toc195714238"/>
      <w:bookmarkStart w:id="226" w:name="_Toc2515"/>
      <w:r>
        <w:rPr>
          <w:rFonts w:hint="eastAsia" w:ascii="宋体" w:hAnsi="宋体" w:eastAsia="宋体" w:cs="宋体"/>
          <w:color w:val="auto"/>
          <w:szCs w:val="21"/>
          <w:highlight w:val="none"/>
          <w:lang w:val="zh-CN"/>
        </w:rPr>
        <w:t>19 投标文件的提交</w:t>
      </w:r>
      <w:bookmarkEnd w:id="224"/>
      <w:bookmarkEnd w:id="225"/>
      <w:bookmarkEnd w:id="226"/>
    </w:p>
    <w:p w14:paraId="1210822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投标人应在本招标公告规定的投标截止时间前通过交易系统在线上传投标文件。上述方式外提交的投标文件，招标人将不予受理。</w:t>
      </w:r>
    </w:p>
    <w:p w14:paraId="5F56ED2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14:paraId="54E02F0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投标文件成功上传后，交易系统将生成投标文件识别码。本识别码是投标人提交投标文件的唯一凭证，投标人须妥善保管。识别码丢失后，投标人将无法找回投标文件，需重新上传提交。</w:t>
      </w:r>
    </w:p>
    <w:p w14:paraId="59ECF11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bookmarkStart w:id="227" w:name="_Toc10837"/>
      <w:bookmarkStart w:id="228" w:name="_Toc8570"/>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投标会议</w:t>
      </w:r>
      <w:r>
        <w:rPr>
          <w:rFonts w:hint="eastAsia" w:ascii="宋体" w:hAnsi="宋体" w:eastAsia="宋体" w:cs="宋体"/>
          <w:color w:val="auto"/>
          <w:szCs w:val="21"/>
          <w:highlight w:val="none"/>
        </w:rPr>
        <w:t>时间及</w:t>
      </w:r>
      <w:r>
        <w:rPr>
          <w:rFonts w:hint="eastAsia" w:ascii="宋体" w:hAnsi="宋体" w:eastAsia="宋体" w:cs="宋体"/>
          <w:color w:val="auto"/>
          <w:szCs w:val="21"/>
          <w:highlight w:val="none"/>
          <w:lang w:val="zh-CN"/>
        </w:rPr>
        <w:t>地点：见招标公告。</w:t>
      </w:r>
      <w:bookmarkEnd w:id="227"/>
      <w:bookmarkEnd w:id="228"/>
    </w:p>
    <w:p w14:paraId="0A41D0A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逾期送达的或者未按指定方式提交的投标文件，招标人不予受理。</w:t>
      </w:r>
    </w:p>
    <w:p w14:paraId="3D057F5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6225F9F">
      <w:pPr>
        <w:tabs>
          <w:tab w:val="left" w:pos="567"/>
        </w:tabs>
        <w:autoSpaceDE w:val="0"/>
        <w:autoSpaceDN w:val="0"/>
        <w:adjustRightInd w:val="0"/>
        <w:spacing w:line="360" w:lineRule="auto"/>
        <w:ind w:left="357" w:leftChars="-100" w:right="15" w:rightChars="7" w:hanging="567"/>
        <w:outlineLvl w:val="2"/>
        <w:rPr>
          <w:rFonts w:ascii="宋体" w:hAnsi="宋体" w:eastAsia="宋体" w:cs="宋体"/>
          <w:color w:val="auto"/>
          <w:szCs w:val="21"/>
          <w:highlight w:val="none"/>
          <w:lang w:val="zh-CN"/>
        </w:rPr>
      </w:pPr>
      <w:bookmarkStart w:id="229" w:name="_Toc195714239"/>
      <w:bookmarkStart w:id="230" w:name="_Toc2123"/>
      <w:bookmarkStart w:id="231" w:name="_Toc3528"/>
      <w:r>
        <w:rPr>
          <w:rFonts w:hint="eastAsia" w:ascii="宋体" w:hAnsi="宋体" w:eastAsia="宋体" w:cs="宋体"/>
          <w:color w:val="auto"/>
          <w:szCs w:val="21"/>
          <w:highlight w:val="none"/>
          <w:lang w:val="zh-CN"/>
        </w:rPr>
        <w:t>20 投标会时间、地点及投标文件提交的截止时间</w:t>
      </w:r>
      <w:bookmarkEnd w:id="229"/>
      <w:bookmarkEnd w:id="230"/>
      <w:bookmarkEnd w:id="231"/>
    </w:p>
    <w:p w14:paraId="4B43210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投标人应按招标公告的时间、地点，或根据本投标人须知第</w:t>
      </w: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lang w:val="zh-CN"/>
        </w:rPr>
        <w:t xml:space="preserve">款规定所延长的日期和时间之前通过交易系统在线上传投标文件。 </w:t>
      </w:r>
    </w:p>
    <w:p w14:paraId="4AD6383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招标人有权按本投标人须知第</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条的规定发出补充通知书，延长投标文件递交的截止时间。这时，原截止时间前，招标人与投标人的权利和义务相应延长至新的投标截止时间。</w:t>
      </w:r>
    </w:p>
    <w:p w14:paraId="6BBA386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7CD17F97">
      <w:pPr>
        <w:tabs>
          <w:tab w:val="left" w:pos="567"/>
        </w:tabs>
        <w:autoSpaceDE w:val="0"/>
        <w:autoSpaceDN w:val="0"/>
        <w:adjustRightInd w:val="0"/>
        <w:spacing w:line="360" w:lineRule="auto"/>
        <w:ind w:left="357" w:leftChars="-100" w:right="15" w:rightChars="7" w:hanging="567"/>
        <w:outlineLvl w:val="2"/>
        <w:rPr>
          <w:rFonts w:ascii="宋体" w:hAnsi="宋体" w:eastAsia="宋体" w:cs="宋体"/>
          <w:color w:val="auto"/>
          <w:szCs w:val="21"/>
          <w:highlight w:val="none"/>
          <w:lang w:val="zh-CN"/>
        </w:rPr>
      </w:pPr>
      <w:bookmarkStart w:id="232" w:name="_Toc195714240"/>
      <w:bookmarkStart w:id="233" w:name="_Toc30952"/>
      <w:bookmarkStart w:id="234" w:name="_Toc5699"/>
      <w:r>
        <w:rPr>
          <w:rFonts w:hint="eastAsia" w:ascii="宋体" w:hAnsi="宋体" w:eastAsia="宋体" w:cs="宋体"/>
          <w:color w:val="auto"/>
          <w:szCs w:val="21"/>
          <w:highlight w:val="none"/>
          <w:lang w:val="zh-CN"/>
        </w:rPr>
        <w:t>21 投标文件的拒绝</w:t>
      </w:r>
      <w:bookmarkEnd w:id="232"/>
      <w:bookmarkEnd w:id="233"/>
      <w:bookmarkEnd w:id="234"/>
    </w:p>
    <w:p w14:paraId="702C851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投标会上，出现下列情形之一的投标文件，将被招标人拒绝：</w:t>
      </w:r>
    </w:p>
    <w:p w14:paraId="358CC21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.1.1招标人在本投标人须知第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.4款规定的投标截止时间以后或指定方式以外收到的投标文件。</w:t>
      </w:r>
    </w:p>
    <w:p w14:paraId="51D841A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.1.2投标人未按本投标人须知第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.4款规定提交的投标文件。</w:t>
      </w:r>
    </w:p>
    <w:p w14:paraId="7FA18FC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146A5A5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5" w:name="_Toc10425"/>
      <w:bookmarkStart w:id="236" w:name="_Toc195714241"/>
      <w:bookmarkStart w:id="237" w:name="_Toc26166"/>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bookmarkEnd w:id="235"/>
      <w:bookmarkEnd w:id="236"/>
      <w:bookmarkEnd w:id="237"/>
    </w:p>
    <w:p w14:paraId="08D55F0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.1款规定的投标截止时间前，投标人可以修改或撤回已递交的投标文件。在投标截止时间之后，投标人不得补充、修改投标文件。</w:t>
      </w:r>
    </w:p>
    <w:p w14:paraId="529A910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投标人应使用企业数字证书、投标文件识别码及投标文件查询密码通过网络撤回已递交投标文件。</w:t>
      </w:r>
    </w:p>
    <w:p w14:paraId="3C1BB643">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在投标截止时间至投标有效期满之前，投标人不得撤销其投标文件。投标截止后投标人撤销投标文件的，招标人没收其投标保证金（逾期未解密投标文件的除外）。</w:t>
      </w:r>
    </w:p>
    <w:p w14:paraId="12FDB35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64E0CD89">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238" w:name="_Toc30428"/>
      <w:bookmarkStart w:id="239" w:name="_Toc195714242"/>
      <w:bookmarkStart w:id="240" w:name="_Toc5498"/>
      <w:bookmarkStart w:id="241" w:name="_Toc28824"/>
      <w:bookmarkStart w:id="242" w:name="_Toc486167687"/>
      <w:bookmarkStart w:id="243" w:name="_Toc1049_WPSOffice_Level2"/>
      <w:bookmarkStart w:id="244" w:name="_Toc805"/>
      <w:bookmarkStart w:id="245" w:name="_Toc140596896"/>
      <w:bookmarkStart w:id="246" w:name="_Toc142508337"/>
      <w:bookmarkStart w:id="247" w:name="_Toc450662872"/>
      <w:bookmarkStart w:id="248" w:name="_Toc450662880"/>
      <w:r>
        <w:rPr>
          <w:rFonts w:hint="eastAsia" w:ascii="宋体" w:hAnsi="宋体" w:eastAsia="宋体" w:cs="宋体"/>
          <w:b/>
          <w:bCs/>
          <w:color w:val="auto"/>
          <w:kern w:val="44"/>
          <w:szCs w:val="21"/>
          <w:highlight w:val="none"/>
          <w:lang w:val="zh-CN"/>
        </w:rPr>
        <w:t>五、开标与评标</w:t>
      </w:r>
      <w:bookmarkEnd w:id="238"/>
      <w:bookmarkEnd w:id="239"/>
      <w:bookmarkEnd w:id="240"/>
      <w:bookmarkEnd w:id="241"/>
      <w:bookmarkEnd w:id="242"/>
      <w:bookmarkEnd w:id="243"/>
      <w:bookmarkEnd w:id="244"/>
      <w:bookmarkEnd w:id="245"/>
      <w:bookmarkEnd w:id="246"/>
      <w:bookmarkEnd w:id="247"/>
    </w:p>
    <w:p w14:paraId="04ADEA24">
      <w:pPr>
        <w:tabs>
          <w:tab w:val="left" w:pos="567"/>
        </w:tabs>
        <w:autoSpaceDE w:val="0"/>
        <w:autoSpaceDN w:val="0"/>
        <w:adjustRightInd w:val="0"/>
        <w:spacing w:line="360" w:lineRule="auto"/>
        <w:ind w:left="357" w:leftChars="-100" w:right="15" w:rightChars="7" w:hanging="567"/>
        <w:outlineLvl w:val="2"/>
        <w:rPr>
          <w:rFonts w:ascii="宋体" w:hAnsi="宋体" w:eastAsia="宋体" w:cs="宋体"/>
          <w:color w:val="auto"/>
          <w:szCs w:val="21"/>
          <w:highlight w:val="none"/>
          <w:lang w:val="zh-CN"/>
        </w:rPr>
      </w:pPr>
      <w:bookmarkStart w:id="249" w:name="_Toc195714243"/>
      <w:bookmarkStart w:id="250" w:name="_Toc17477"/>
      <w:bookmarkStart w:id="251" w:name="_Toc15862"/>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bookmarkEnd w:id="249"/>
      <w:bookmarkEnd w:id="250"/>
      <w:bookmarkEnd w:id="251"/>
    </w:p>
    <w:p w14:paraId="69954F7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招标人在19.1款规定的投标截止时间（开标时间）和19.4款规定的地点召开投标会并公开开标，投标人可在规定的时间和地点参加投标会或通过登录交易系统在线查看开标过程相关信息。</w:t>
      </w:r>
    </w:p>
    <w:p w14:paraId="3781046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23.2 </w:t>
      </w:r>
      <w:r>
        <w:rPr>
          <w:rFonts w:hint="eastAsia" w:ascii="宋体" w:hAnsi="宋体" w:eastAsia="宋体" w:cs="宋体"/>
          <w:b/>
          <w:bCs/>
          <w:color w:val="auto"/>
          <w:szCs w:val="21"/>
          <w:highlight w:val="none"/>
        </w:rPr>
        <w:t>投标人网上签到时间为开标当天上午6时至投标截止时间</w:t>
      </w:r>
      <w:r>
        <w:rPr>
          <w:rFonts w:hint="eastAsia" w:ascii="宋体" w:hAnsi="宋体" w:eastAsia="宋体" w:cs="宋体"/>
          <w:color w:val="auto"/>
          <w:szCs w:val="21"/>
          <w:highlight w:val="none"/>
        </w:rPr>
        <w:t>，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14:paraId="7C06106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r>
        <w:rPr>
          <w:rFonts w:hint="eastAsia" w:ascii="宋体" w:hAnsi="宋体" w:eastAsia="宋体" w:cs="宋体"/>
          <w:color w:val="auto"/>
          <w:szCs w:val="21"/>
          <w:highlight w:val="none"/>
        </w:rPr>
        <w:t>23.3 投标人网上签到需要由法定代表人或</w:t>
      </w:r>
      <w:r>
        <w:rPr>
          <w:rFonts w:hint="eastAsia" w:ascii="宋体" w:hAnsi="宋体" w:eastAsia="宋体" w:cs="宋体"/>
          <w:color w:val="auto"/>
          <w:szCs w:val="21"/>
          <w:highlight w:val="none"/>
          <w:lang w:val="zh-CN"/>
        </w:rPr>
        <w:t>其授权代表</w:t>
      </w:r>
      <w:r>
        <w:rPr>
          <w:rFonts w:hint="eastAsia" w:ascii="宋体" w:hAnsi="宋体" w:eastAsia="宋体" w:cs="宋体"/>
          <w:color w:val="auto"/>
          <w:szCs w:val="21"/>
          <w:highlight w:val="none"/>
        </w:rPr>
        <w:t>进行人脸识别完成签到。（注：投标人在网上签到时须关联的法定代表人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rPr>
        <w:t>为本项目法定代表人授权书列明的被授权人。）</w:t>
      </w:r>
    </w:p>
    <w:p w14:paraId="7E44F1C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val="zh-CN"/>
        </w:rPr>
        <w:t>投标文件提交截止时间后，招标人按本投标人须知第2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.1款规定拒绝不符合要求的投标文件。</w:t>
      </w:r>
    </w:p>
    <w:p w14:paraId="093931E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xml:space="preserve">5 </w:t>
      </w:r>
      <w:r>
        <w:rPr>
          <w:rFonts w:hint="eastAsia" w:ascii="宋体" w:hAnsi="宋体" w:eastAsia="宋体" w:cs="宋体"/>
          <w:b/>
          <w:bCs/>
          <w:color w:val="auto"/>
          <w:szCs w:val="21"/>
          <w:highlight w:val="none"/>
          <w:lang w:val="zh-CN"/>
        </w:rPr>
        <w:t>解密投标文件的时间：投标文件提交截止时间后60分钟内</w:t>
      </w:r>
      <w:r>
        <w:rPr>
          <w:rFonts w:hint="eastAsia" w:ascii="宋体" w:hAnsi="宋体" w:eastAsia="宋体" w:cs="宋体"/>
          <w:color w:val="auto"/>
          <w:szCs w:val="21"/>
          <w:highlight w:val="none"/>
          <w:lang w:val="zh-CN"/>
        </w:rPr>
        <w:t>。若全部投标文件均在解密时间内完成解密，经招标人确认，可以提前进入下一环节。投标会现场不受理投标人的投标文件解密等事项。因投标人原因造成投标文件未解密的，视为撤销其投标文件；因投标人</w:t>
      </w:r>
      <w:r>
        <w:rPr>
          <w:rFonts w:hint="eastAsia" w:ascii="宋体" w:hAnsi="宋体" w:eastAsia="宋体" w:cs="宋体"/>
          <w:color w:val="auto"/>
          <w:szCs w:val="21"/>
          <w:highlight w:val="none"/>
        </w:rPr>
        <w:t>之外的</w:t>
      </w:r>
      <w:r>
        <w:rPr>
          <w:rFonts w:hint="eastAsia" w:ascii="宋体" w:hAnsi="宋体" w:eastAsia="宋体" w:cs="宋体"/>
          <w:color w:val="auto"/>
          <w:szCs w:val="21"/>
          <w:highlight w:val="none"/>
          <w:lang w:val="zh-CN"/>
        </w:rPr>
        <w:t>原因造成投标文件未解密的，视为撤回其投标文件。投标文件解密需要由法定代表人或其授权代表进行人脸识别完成解密。</w:t>
      </w:r>
      <w:r>
        <w:rPr>
          <w:rFonts w:hint="eastAsia" w:ascii="宋体" w:hAnsi="宋体" w:eastAsia="宋体" w:cs="宋体"/>
          <w:color w:val="auto"/>
          <w:szCs w:val="21"/>
          <w:highlight w:val="none"/>
        </w:rPr>
        <w:t>（注：投标人在网上签到时须关联的法定代表人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rPr>
        <w:t>为本项目法定代表人授权书列明的被授权人。）</w:t>
      </w:r>
    </w:p>
    <w:p w14:paraId="196A9B2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23.6 由招标人及其委托的招标代理机构开启投标文件的报价信封进行唱标。</w:t>
      </w:r>
    </w:p>
    <w:p w14:paraId="323C989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xml:space="preserve">7 </w:t>
      </w:r>
      <w:r>
        <w:rPr>
          <w:rFonts w:hint="eastAsia" w:ascii="宋体" w:hAnsi="宋体" w:eastAsia="宋体" w:cs="宋体"/>
          <w:color w:val="auto"/>
          <w:szCs w:val="21"/>
          <w:highlight w:val="none"/>
          <w:lang w:val="zh-CN"/>
        </w:rPr>
        <w:t>招标人将所有已解密的电子投标文件，按要求通过开标系统将进入评标环节的投标文件打包并导入评标系统。</w:t>
      </w:r>
    </w:p>
    <w:p w14:paraId="3E8B5C4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xml:space="preserve">8 </w:t>
      </w:r>
      <w:r>
        <w:rPr>
          <w:rFonts w:hint="eastAsia" w:ascii="宋体" w:hAnsi="宋体" w:eastAsia="宋体" w:cs="宋体"/>
          <w:color w:val="auto"/>
          <w:szCs w:val="21"/>
          <w:highlight w:val="none"/>
          <w:lang w:val="zh-CN"/>
        </w:rPr>
        <w:t>招标人、招标代理工作人员、监督部门（如有）等有关人员在开标记录上签字确认，开标记录封存。</w:t>
      </w:r>
    </w:p>
    <w:p w14:paraId="52EA2868">
      <w:pPr>
        <w:tabs>
          <w:tab w:val="left" w:pos="567"/>
        </w:tabs>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16E8703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2" w:name="_Toc450662874"/>
      <w:bookmarkStart w:id="253" w:name="_Toc23059"/>
      <w:bookmarkStart w:id="254" w:name="_Toc29774"/>
      <w:bookmarkStart w:id="255" w:name="_Toc12165_WPSOffice_Level3"/>
      <w:bookmarkStart w:id="256" w:name="_Toc32534"/>
      <w:bookmarkStart w:id="257" w:name="_Toc22579"/>
      <w:bookmarkStart w:id="258" w:name="_Toc486167689"/>
      <w:bookmarkStart w:id="259" w:name="_Toc195714244"/>
      <w:bookmarkStart w:id="260" w:name="_Toc142508339"/>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52"/>
      <w:bookmarkEnd w:id="253"/>
      <w:bookmarkEnd w:id="254"/>
      <w:bookmarkEnd w:id="255"/>
      <w:bookmarkEnd w:id="256"/>
      <w:bookmarkEnd w:id="257"/>
      <w:bookmarkEnd w:id="258"/>
      <w:bookmarkEnd w:id="259"/>
      <w:bookmarkEnd w:id="260"/>
    </w:p>
    <w:p w14:paraId="6F65556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1265BA3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2418DF9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13D89E8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1" w:name="_Toc28318"/>
      <w:bookmarkStart w:id="262" w:name="_Toc16920"/>
      <w:bookmarkStart w:id="263" w:name="_Toc15565_WPSOffice_Level3"/>
      <w:bookmarkStart w:id="264" w:name="_Toc800"/>
      <w:bookmarkStart w:id="265" w:name="_Toc142508340"/>
      <w:bookmarkStart w:id="266" w:name="_Toc486167690"/>
      <w:bookmarkStart w:id="267" w:name="_Toc195714245"/>
      <w:bookmarkStart w:id="268" w:name="_Toc450662875"/>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 xml:space="preserve"> 评标委员会</w:t>
      </w:r>
      <w:bookmarkEnd w:id="261"/>
      <w:bookmarkEnd w:id="262"/>
      <w:bookmarkEnd w:id="263"/>
      <w:bookmarkEnd w:id="264"/>
      <w:bookmarkEnd w:id="265"/>
      <w:bookmarkEnd w:id="266"/>
      <w:bookmarkEnd w:id="267"/>
      <w:bookmarkEnd w:id="268"/>
    </w:p>
    <w:p w14:paraId="216BE9C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4E7E74A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32E0A259">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5F292DD7">
      <w:pPr>
        <w:autoSpaceDE w:val="0"/>
        <w:autoSpaceDN w:val="0"/>
        <w:adjustRightInd w:val="0"/>
        <w:spacing w:line="360" w:lineRule="auto"/>
        <w:ind w:left="357" w:leftChars="-100" w:hanging="567"/>
        <w:outlineLvl w:val="2"/>
        <w:rPr>
          <w:rFonts w:ascii="宋体" w:hAnsi="宋体" w:eastAsia="宋体" w:cs="宋体"/>
          <w:color w:val="auto"/>
          <w:szCs w:val="21"/>
          <w:highlight w:val="none"/>
          <w:lang w:val="zh-CN"/>
        </w:rPr>
      </w:pPr>
      <w:bookmarkStart w:id="269" w:name="_Toc27753"/>
      <w:bookmarkStart w:id="270" w:name="_Toc195714246"/>
      <w:bookmarkStart w:id="271" w:name="_Toc4946"/>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bookmarkEnd w:id="269"/>
      <w:bookmarkEnd w:id="270"/>
      <w:bookmarkEnd w:id="271"/>
    </w:p>
    <w:p w14:paraId="22187BB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26.1开标（评标）时，投标文件出现下列情形之一的，应当作为无效投标文件：</w:t>
      </w:r>
    </w:p>
    <w:p w14:paraId="3DBE21E9">
      <w:pPr>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272" w:name="_Toc1252"/>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上传的投标文件损坏或无法读取的；</w:t>
      </w:r>
      <w:bookmarkEnd w:id="272"/>
    </w:p>
    <w:p w14:paraId="73A7111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经招标人确认，投标人在公共资源交易企业库填报的与本项目密切相关的信息与事实不相符的；</w:t>
      </w:r>
    </w:p>
    <w:p w14:paraId="15EF77FE">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rPr>
        <w:t>26.1.3投标文件中使用的本项目招标文件版本，与交易系统上发布的本项目招标文件的最新版本不一致的；</w:t>
      </w:r>
    </w:p>
    <w:p w14:paraId="7B97D83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投标文件签名使用的数字证书与签到的投标人名称不一致的；</w:t>
      </w:r>
    </w:p>
    <w:p w14:paraId="25A8517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投标人的投标编制MAC信息、投标编制CPU序列号、投标编制硬盘序列号均与其他投标人相同的；</w:t>
      </w:r>
    </w:p>
    <w:p w14:paraId="2F2C58A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投标文件附有招标人不能接受的条件的；</w:t>
      </w:r>
    </w:p>
    <w:p w14:paraId="3363CCD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投标人资格不满足本投标人须知第</w:t>
      </w:r>
      <w:r>
        <w:rPr>
          <w:rFonts w:hint="eastAsia" w:ascii="宋体" w:hAnsi="宋体" w:eastAsia="宋体" w:cs="宋体"/>
          <w:color w:val="auto"/>
          <w:szCs w:val="21"/>
          <w:highlight w:val="none"/>
        </w:rPr>
        <w:t>2条</w:t>
      </w:r>
      <w:r>
        <w:rPr>
          <w:rFonts w:hint="eastAsia" w:ascii="宋体" w:hAnsi="宋体" w:eastAsia="宋体" w:cs="宋体"/>
          <w:color w:val="auto"/>
          <w:szCs w:val="21"/>
          <w:highlight w:val="none"/>
          <w:lang w:val="zh-CN"/>
        </w:rPr>
        <w:t>的要求；</w:t>
      </w:r>
    </w:p>
    <w:p w14:paraId="3BCBE38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投标人未按招标文件要求交纳投标保证金的；</w:t>
      </w:r>
    </w:p>
    <w:p w14:paraId="2EA3D7C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投标文件报价信封中填报的投标报价高于不含税最高投标限价的；</w:t>
      </w:r>
    </w:p>
    <w:p w14:paraId="23B3225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投标人以低于企业成本价报价，且投标人不能合理说明或不能提供相关证明材料；</w:t>
      </w:r>
    </w:p>
    <w:p w14:paraId="525871A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投标人递交两份或多份内容不同的投标文件，或在一份投标文件中报有两个或多个报价，且未书面声明哪一个有效；</w:t>
      </w:r>
    </w:p>
    <w:p w14:paraId="2864182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投标文件未按</w:t>
      </w: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val="zh-CN"/>
        </w:rPr>
        <w:t>投标人须知第17</w:t>
      </w:r>
      <w:r>
        <w:rPr>
          <w:rFonts w:hint="eastAsia" w:ascii="宋体" w:hAnsi="宋体" w:eastAsia="宋体" w:cs="宋体"/>
          <w:color w:val="auto"/>
          <w:szCs w:val="21"/>
          <w:highlight w:val="none"/>
        </w:rPr>
        <w:t>条</w:t>
      </w:r>
      <w:r>
        <w:rPr>
          <w:rFonts w:hint="eastAsia" w:ascii="宋体" w:hAnsi="宋体" w:eastAsia="宋体" w:cs="宋体"/>
          <w:color w:val="auto"/>
          <w:szCs w:val="21"/>
          <w:highlight w:val="none"/>
          <w:lang w:val="zh-CN"/>
        </w:rPr>
        <w:t>的要求编制、使用企业数字证书或个人数字证书电子签名的；</w:t>
      </w:r>
    </w:p>
    <w:p w14:paraId="04D053AB">
      <w:pPr>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273" w:name="_Toc30574"/>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投标有效期限不符合要求；</w:t>
      </w:r>
      <w:bookmarkEnd w:id="273"/>
    </w:p>
    <w:p w14:paraId="2201C6F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投标文件未对招标范围内的全部内容进行投标报价或投标方案不是唯一；</w:t>
      </w:r>
    </w:p>
    <w:p w14:paraId="040E541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未提供或虚假填写《合同条款偏离表》，或对《合同条款偏离表》有负偏离的；</w:t>
      </w:r>
    </w:p>
    <w:p w14:paraId="5DCE4003">
      <w:pPr>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274" w:name="_Toc3291"/>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未填写或虚假填写《用户需求偏离表》的；</w:t>
      </w:r>
      <w:bookmarkEnd w:id="274"/>
    </w:p>
    <w:p w14:paraId="71CFF05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未响应招标文件提出的实质性要求和条件（标注★的条款）；</w:t>
      </w:r>
    </w:p>
    <w:p w14:paraId="36498A6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lang w:val="zh-CN"/>
        </w:rPr>
        <w:t>属于招标文件中规定为无效标的；属于法律、法规、规章规定的应作无效投标文件处理的。</w:t>
      </w:r>
    </w:p>
    <w:p w14:paraId="0CCB3450">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6525CE8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75" w:name="_Toc195714247"/>
      <w:bookmarkStart w:id="276" w:name="_Toc142508341"/>
      <w:bookmarkStart w:id="277" w:name="_Toc12715"/>
      <w:bookmarkStart w:id="278" w:name="_Toc28910_WPSOffice_Level3"/>
      <w:bookmarkStart w:id="279" w:name="_Toc450662876"/>
      <w:bookmarkStart w:id="280" w:name="_Toc18668"/>
      <w:bookmarkStart w:id="281" w:name="_Toc8692"/>
      <w:bookmarkStart w:id="282" w:name="_Toc7829"/>
      <w:bookmarkStart w:id="283" w:name="_Toc486167691"/>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 xml:space="preserve"> 投标文件的初审</w:t>
      </w:r>
      <w:bookmarkEnd w:id="275"/>
      <w:bookmarkEnd w:id="276"/>
      <w:bookmarkEnd w:id="277"/>
      <w:bookmarkEnd w:id="278"/>
      <w:bookmarkEnd w:id="279"/>
      <w:bookmarkEnd w:id="280"/>
      <w:bookmarkEnd w:id="281"/>
      <w:bookmarkEnd w:id="282"/>
      <w:bookmarkEnd w:id="283"/>
    </w:p>
    <w:p w14:paraId="1CCD8780">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资格性检查：依据法律法规和招标文件的规定，对投标文件中的资格证明、投标保证金等进行审查，以确定投标人是否具备投标资格。</w:t>
      </w:r>
    </w:p>
    <w:p w14:paraId="596555A7">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符合性检查：依据招标文件的规定，从投标文件的有效性、完整性和对招标文件的响应程度进行审查，以确定是否对招标文件的实质性要求作出响应。</w:t>
      </w:r>
    </w:p>
    <w:p w14:paraId="34481849">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1267D1C8">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4" w:name="_Toc30225"/>
      <w:bookmarkStart w:id="285" w:name="_Toc4837"/>
      <w:bookmarkStart w:id="286" w:name="_Toc338_WPSOffice_Level3"/>
      <w:bookmarkStart w:id="287" w:name="_Toc6362"/>
      <w:bookmarkStart w:id="288" w:name="_Toc142508342"/>
      <w:bookmarkStart w:id="289" w:name="_Toc195714248"/>
      <w:bookmarkStart w:id="290" w:name="_Toc486167692"/>
      <w:bookmarkStart w:id="291" w:name="_Toc31067"/>
      <w:bookmarkStart w:id="292" w:name="_Toc45066287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 投标文件的澄清</w:t>
      </w:r>
      <w:bookmarkEnd w:id="284"/>
      <w:bookmarkEnd w:id="285"/>
      <w:bookmarkEnd w:id="286"/>
      <w:bookmarkEnd w:id="287"/>
      <w:bookmarkEnd w:id="288"/>
      <w:bookmarkEnd w:id="289"/>
      <w:bookmarkEnd w:id="290"/>
      <w:bookmarkEnd w:id="291"/>
      <w:bookmarkEnd w:id="292"/>
    </w:p>
    <w:p w14:paraId="7CC9197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131DFC6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93" w:name="_Toc45066287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w:t>
      </w:r>
      <w:r>
        <w:rPr>
          <w:rFonts w:hint="eastAsia" w:ascii="宋体" w:hAnsi="宋体" w:eastAsia="宋体" w:cs="宋体"/>
          <w:color w:val="auto"/>
          <w:szCs w:val="21"/>
          <w:highlight w:val="none"/>
        </w:rPr>
        <w:t>第六篇</w:t>
      </w:r>
      <w:r>
        <w:rPr>
          <w:rFonts w:hint="eastAsia" w:ascii="宋体" w:hAnsi="宋体" w:eastAsia="宋体" w:cs="宋体"/>
          <w:color w:val="auto"/>
          <w:szCs w:val="21"/>
          <w:highlight w:val="none"/>
          <w:lang w:val="zh-CN"/>
        </w:rPr>
        <w:t>投标文件格式“投标函”</w:t>
      </w:r>
      <w:r>
        <w:rPr>
          <w:rFonts w:hint="eastAsia" w:ascii="宋体" w:hAnsi="宋体" w:eastAsia="宋体" w:cs="宋体"/>
          <w:color w:val="auto"/>
          <w:szCs w:val="21"/>
          <w:highlight w:val="none"/>
        </w:rPr>
        <w:t>和“法定代表人授权书”</w:t>
      </w:r>
      <w:r>
        <w:rPr>
          <w:rFonts w:hint="eastAsia" w:ascii="宋体" w:hAnsi="宋体" w:eastAsia="宋体" w:cs="宋体"/>
          <w:color w:val="auto"/>
          <w:szCs w:val="21"/>
          <w:highlight w:val="none"/>
          <w:lang w:val="zh-CN"/>
        </w:rPr>
        <w:t>中的</w:t>
      </w:r>
      <w:r>
        <w:rPr>
          <w:rFonts w:hint="eastAsia" w:ascii="宋体" w:hAnsi="宋体" w:eastAsia="宋体" w:cs="宋体"/>
          <w:color w:val="auto"/>
          <w:szCs w:val="21"/>
          <w:highlight w:val="none"/>
        </w:rPr>
        <w:t>联系方式及电子邮箱</w:t>
      </w:r>
      <w:r>
        <w:rPr>
          <w:rFonts w:hint="eastAsia" w:ascii="宋体" w:hAnsi="宋体" w:eastAsia="宋体" w:cs="宋体"/>
          <w:color w:val="auto"/>
          <w:szCs w:val="21"/>
          <w:highlight w:val="none"/>
          <w:lang w:val="zh-CN"/>
        </w:rPr>
        <w:t>，以便能及时收到澄清通知。</w:t>
      </w:r>
    </w:p>
    <w:p w14:paraId="184885B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293"/>
    <w:p w14:paraId="3036A23A">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4" w:name="_Toc10292"/>
      <w:bookmarkStart w:id="295" w:name="_Toc10967"/>
      <w:bookmarkStart w:id="296" w:name="_Toc31063"/>
      <w:bookmarkStart w:id="297" w:name="_Toc22065"/>
      <w:bookmarkStart w:id="298" w:name="_Toc142508343"/>
      <w:bookmarkStart w:id="299" w:name="_Toc521918096"/>
      <w:bookmarkStart w:id="300" w:name="_Toc195714249"/>
      <w:bookmarkStart w:id="301" w:name="_Toc522047355"/>
      <w:bookmarkStart w:id="302" w:name="_Toc18368_WPSOffice_Level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 xml:space="preserve"> 对投标文件的比较和评价</w:t>
      </w:r>
      <w:bookmarkEnd w:id="294"/>
      <w:bookmarkEnd w:id="295"/>
      <w:bookmarkEnd w:id="296"/>
      <w:bookmarkEnd w:id="297"/>
      <w:bookmarkEnd w:id="298"/>
      <w:bookmarkEnd w:id="299"/>
      <w:bookmarkEnd w:id="300"/>
      <w:bookmarkEnd w:id="301"/>
      <w:bookmarkEnd w:id="302"/>
    </w:p>
    <w:p w14:paraId="281E13AB">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评标委员会将对资格性检查和符合性检查合格的投标文件进行比较和评价，包括商务、技术、价格</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详细评审。</w:t>
      </w:r>
    </w:p>
    <w:p w14:paraId="25DC341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427F7B7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02B08EB7">
      <w:pPr>
        <w:autoSpaceDE w:val="0"/>
        <w:autoSpaceDN w:val="0"/>
        <w:adjustRightInd w:val="0"/>
        <w:spacing w:line="360" w:lineRule="auto"/>
        <w:ind w:left="330" w:leftChars="-100" w:right="15" w:rightChars="7" w:hanging="54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29.4 </w:t>
      </w:r>
      <w:r>
        <w:rPr>
          <w:rFonts w:hint="eastAsia" w:ascii="宋体" w:hAnsi="宋体" w:eastAsia="宋体" w:cs="宋体"/>
          <w:color w:val="auto"/>
          <w:szCs w:val="21"/>
          <w:highlight w:val="none"/>
          <w:lang w:val="zh-CN"/>
        </w:rPr>
        <w:t>对投标价格的评审详见评标工作大纲。</w:t>
      </w:r>
    </w:p>
    <w:p w14:paraId="1EB755A3">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2178DD3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0ECC9CB2">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03" w:name="_Toc521918097"/>
      <w:bookmarkStart w:id="304" w:name="_Toc522047356"/>
    </w:p>
    <w:p w14:paraId="2385CF7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5" w:name="_Toc14804"/>
      <w:bookmarkStart w:id="306" w:name="_Toc18614"/>
      <w:bookmarkStart w:id="307" w:name="_Toc195714250"/>
      <w:bookmarkStart w:id="308" w:name="_Toc21460_WPSOffice_Level3"/>
      <w:bookmarkStart w:id="309" w:name="_Toc23529"/>
      <w:bookmarkStart w:id="310" w:name="_Toc27026"/>
      <w:bookmarkStart w:id="311" w:name="_Toc142508344"/>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评标原则及方法</w:t>
      </w:r>
      <w:bookmarkEnd w:id="303"/>
      <w:bookmarkEnd w:id="304"/>
      <w:bookmarkEnd w:id="305"/>
      <w:bookmarkEnd w:id="306"/>
      <w:bookmarkEnd w:id="307"/>
      <w:bookmarkEnd w:id="308"/>
      <w:bookmarkEnd w:id="309"/>
      <w:bookmarkEnd w:id="310"/>
      <w:bookmarkEnd w:id="311"/>
    </w:p>
    <w:p w14:paraId="445B25D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6D47D8A7">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bookmarkStart w:id="312" w:name="_Toc4225"/>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.2 评标严格按照招标文件的要求和条件进行。</w:t>
      </w:r>
      <w:bookmarkEnd w:id="312"/>
    </w:p>
    <w:p w14:paraId="0E1C681D">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w:t>
      </w: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条，采用综合评分法的评审方法，对所有实质响应性投标文件进行综合打分。</w:t>
      </w:r>
    </w:p>
    <w:p w14:paraId="5C4B19CE">
      <w:pPr>
        <w:tabs>
          <w:tab w:val="left" w:pos="360"/>
        </w:tabs>
        <w:autoSpaceDE w:val="0"/>
        <w:autoSpaceDN w:val="0"/>
        <w:adjustRightInd w:val="0"/>
        <w:spacing w:line="360" w:lineRule="auto"/>
        <w:ind w:left="330" w:leftChars="-100" w:right="44" w:rightChars="21" w:hanging="54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30</w:t>
      </w:r>
      <w:r>
        <w:rPr>
          <w:rFonts w:hint="eastAsia" w:ascii="宋体" w:hAnsi="宋体" w:eastAsia="宋体" w:cs="宋体"/>
          <w:b/>
          <w:bCs/>
          <w:color w:val="auto"/>
          <w:szCs w:val="21"/>
          <w:highlight w:val="none"/>
          <w:lang w:val="zh-CN"/>
        </w:rPr>
        <w:t>.3 （1）若本次招标过程中，参与投标的投标人不足3个时，本项目公开招标失败。</w:t>
      </w:r>
    </w:p>
    <w:p w14:paraId="69685085">
      <w:pPr>
        <w:tabs>
          <w:tab w:val="left" w:pos="360"/>
        </w:tabs>
        <w:autoSpaceDE/>
        <w:autoSpaceDN/>
        <w:adjustRightInd w:val="0"/>
        <w:spacing w:line="360" w:lineRule="auto"/>
        <w:ind w:left="854" w:leftChars="150" w:right="44" w:rightChars="21" w:hanging="53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（2）当参与投标的投标人不少于3个，经评标委员会评审，有效投标人只有2个时，经评标委员会对招标文件进行论证，招标文件没有不合理条款、招标程序符合规定的，本项目将根据招标文件附件一</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lang w:val="zh-CN"/>
        </w:rPr>
        <w:t>评标工作大纲的要求继续进行评审；当有效投标人只有1个时，本项目公开招标失败。</w:t>
      </w:r>
    </w:p>
    <w:p w14:paraId="635C4ECB">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670E71EF">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3" w:name="_Toc4689"/>
      <w:bookmarkStart w:id="314" w:name="_Toc142508345"/>
      <w:bookmarkStart w:id="315" w:name="_Toc486167694"/>
      <w:bookmarkStart w:id="316" w:name="_Toc195714251"/>
      <w:bookmarkStart w:id="317" w:name="_Toc4819"/>
      <w:bookmarkStart w:id="318" w:name="_Toc15217"/>
      <w:bookmarkStart w:id="319" w:name="_Toc465358969"/>
      <w:bookmarkStart w:id="320" w:name="_Toc32498_WPSOffice_Level3"/>
      <w:bookmarkStart w:id="321" w:name="_Toc11615"/>
      <w:bookmarkStart w:id="322" w:name="_Toc466882017"/>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评标结果公示及异议、投诉</w:t>
      </w:r>
      <w:bookmarkEnd w:id="313"/>
      <w:bookmarkEnd w:id="314"/>
      <w:bookmarkEnd w:id="315"/>
      <w:bookmarkEnd w:id="316"/>
      <w:bookmarkEnd w:id="317"/>
      <w:bookmarkEnd w:id="318"/>
      <w:bookmarkEnd w:id="319"/>
      <w:bookmarkEnd w:id="320"/>
      <w:bookmarkEnd w:id="321"/>
      <w:bookmarkEnd w:id="322"/>
    </w:p>
    <w:p w14:paraId="4001ED6C">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.1 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1CFED0D0">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w:t>
      </w:r>
      <w:r>
        <w:rPr>
          <w:rFonts w:hint="eastAsia" w:ascii="宋体" w:hAnsi="宋体" w:eastAsia="宋体" w:cs="宋体"/>
          <w:color w:val="auto"/>
          <w:szCs w:val="21"/>
          <w:highlight w:val="none"/>
        </w:rPr>
        <w:t>复印件</w:t>
      </w:r>
      <w:r>
        <w:rPr>
          <w:rFonts w:hint="eastAsia" w:ascii="宋体" w:hAnsi="宋体" w:eastAsia="宋体" w:cs="宋体"/>
          <w:color w:val="auto"/>
          <w:szCs w:val="21"/>
          <w:highlight w:val="none"/>
          <w:lang w:val="zh-CN"/>
        </w:rPr>
        <w:t>（加盖法人公章）、以及合法来源的证据证明材料</w:t>
      </w:r>
      <w:r>
        <w:rPr>
          <w:rFonts w:hint="eastAsia" w:ascii="宋体" w:hAnsi="宋体" w:eastAsia="宋体" w:cs="宋体"/>
          <w:color w:val="auto"/>
          <w:kern w:val="0"/>
          <w:szCs w:val="21"/>
          <w:highlight w:val="none"/>
          <w:lang w:val="zh-CN"/>
        </w:rPr>
        <w:t>。</w:t>
      </w:r>
    </w:p>
    <w:p w14:paraId="017364B0">
      <w:pPr>
        <w:autoSpaceDE w:val="0"/>
        <w:autoSpaceDN w:val="0"/>
        <w:adjustRightInd w:val="0"/>
        <w:spacing w:line="360" w:lineRule="auto"/>
        <w:ind w:left="284" w:hanging="568"/>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31.2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467E2601">
      <w:pPr>
        <w:autoSpaceDE w:val="0"/>
        <w:autoSpaceDN w:val="0"/>
        <w:adjustRightInd w:val="0"/>
        <w:snapToGrid w:val="0"/>
        <w:spacing w:line="360" w:lineRule="auto"/>
        <w:ind w:left="246" w:leftChars="117" w:firstLine="422" w:firstLineChars="200"/>
        <w:jc w:val="lef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第一中标候选人未能在招标人（或其委托的招标代理机构)书面要求的时间(一般不少于三个工作日)内提供完整的材料原件进行核查的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066D666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CF0B14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2E95216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6C02A73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15077EC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3FCAF96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2A67C44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48DB8C0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2886068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2CA7454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w:t>
      </w:r>
      <w:r>
        <w:rPr>
          <w:rFonts w:hint="eastAsia" w:ascii="宋体" w:hAnsi="宋体" w:eastAsia="宋体" w:cs="宋体"/>
          <w:bCs/>
          <w:color w:val="auto"/>
          <w:szCs w:val="21"/>
          <w:highlight w:val="none"/>
        </w:rPr>
        <w:t>东莞市水务环境投资控股集团有限公司</w:t>
      </w:r>
      <w:r>
        <w:rPr>
          <w:rFonts w:hint="eastAsia" w:ascii="宋体" w:hAnsi="宋体" w:eastAsia="宋体" w:cs="宋体"/>
          <w:color w:val="auto"/>
          <w:szCs w:val="21"/>
          <w:highlight w:val="none"/>
          <w:lang w:val="zh-CN"/>
        </w:rPr>
        <w:t>，联系人：邓先生，联系电话：0769-28823251。</w:t>
      </w:r>
    </w:p>
    <w:p w14:paraId="2489D469">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03D1C69C">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23" w:name="_Toc26283"/>
      <w:bookmarkStart w:id="324" w:name="_Toc942"/>
      <w:bookmarkStart w:id="325" w:name="_Toc466882018"/>
      <w:bookmarkStart w:id="326" w:name="_Toc486167695"/>
      <w:bookmarkStart w:id="327" w:name="_Toc3154"/>
      <w:bookmarkStart w:id="328" w:name="_Toc1848_WPSOffice_Level3"/>
      <w:bookmarkStart w:id="329" w:name="_Toc195714252"/>
      <w:bookmarkStart w:id="330" w:name="_Toc142508346"/>
      <w:bookmarkStart w:id="331" w:name="_Toc465358970"/>
      <w:bookmarkStart w:id="332" w:name="_Toc26354"/>
      <w:r>
        <w:rPr>
          <w:rFonts w:hint="eastAsia" w:ascii="宋体" w:hAnsi="宋体" w:eastAsia="宋体" w:cs="宋体"/>
          <w:b/>
          <w:color w:val="auto"/>
          <w:szCs w:val="21"/>
          <w:highlight w:val="none"/>
        </w:rPr>
        <w:t>32</w:t>
      </w:r>
      <w:r>
        <w:rPr>
          <w:rFonts w:hint="eastAsia" w:ascii="宋体" w:hAnsi="宋体" w:eastAsia="宋体" w:cs="宋体"/>
          <w:b/>
          <w:color w:val="auto"/>
          <w:szCs w:val="21"/>
          <w:highlight w:val="none"/>
          <w:lang w:val="zh-CN"/>
        </w:rPr>
        <w:t xml:space="preserve"> 真实性审查</w:t>
      </w:r>
      <w:bookmarkEnd w:id="323"/>
      <w:bookmarkEnd w:id="324"/>
      <w:bookmarkEnd w:id="325"/>
      <w:bookmarkEnd w:id="326"/>
      <w:bookmarkEnd w:id="327"/>
      <w:bookmarkEnd w:id="328"/>
      <w:bookmarkEnd w:id="329"/>
      <w:bookmarkEnd w:id="330"/>
      <w:bookmarkEnd w:id="331"/>
      <w:bookmarkEnd w:id="332"/>
    </w:p>
    <w:p w14:paraId="04591C73">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7A1A88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65DED39">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32.3 若投标人在投标或履约过程中存在提供虚假材料、虚假响应招标文件要求等弄虚作假行为，或未能根据本须知31.2款约定按时提供原件进行核查的，或不按照投标文件承诺履约或撤销投标或放弃中标资格或不按要求与招标人签订合同等影响中标结果的行为，因此导致投标人无法参与东莞市水务环境投资控股集团有限公司相关招标采购等活动的，由投标人自行承担全部后果。</w:t>
      </w:r>
    </w:p>
    <w:p w14:paraId="36092E05">
      <w:pPr>
        <w:autoSpaceDE w:val="0"/>
        <w:autoSpaceDN w:val="0"/>
        <w:adjustRightInd w:val="0"/>
        <w:snapToGrid w:val="0"/>
        <w:spacing w:line="360" w:lineRule="auto"/>
        <w:jc w:val="left"/>
        <w:rPr>
          <w:rFonts w:ascii="宋体" w:hAnsi="宋体" w:eastAsia="宋体" w:cs="宋体"/>
          <w:color w:val="auto"/>
          <w:szCs w:val="21"/>
          <w:highlight w:val="none"/>
        </w:rPr>
      </w:pPr>
      <w:bookmarkStart w:id="333" w:name="_Toc465358971"/>
      <w:bookmarkStart w:id="334" w:name="_Toc466882019"/>
    </w:p>
    <w:p w14:paraId="75BCF264">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35" w:name="_Toc23672"/>
      <w:bookmarkStart w:id="336" w:name="_Toc8654"/>
      <w:bookmarkStart w:id="337" w:name="_Toc195714253"/>
      <w:bookmarkStart w:id="338" w:name="_Toc10867_WPSOffice_Level3"/>
      <w:bookmarkStart w:id="339" w:name="_Toc486167696"/>
      <w:bookmarkStart w:id="340" w:name="_Toc9484"/>
      <w:bookmarkStart w:id="341" w:name="_Toc142508347"/>
      <w:bookmarkStart w:id="342" w:name="_Toc6704"/>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bookmarkEnd w:id="333"/>
      <w:bookmarkEnd w:id="334"/>
      <w:bookmarkEnd w:id="335"/>
      <w:bookmarkEnd w:id="336"/>
      <w:bookmarkEnd w:id="337"/>
      <w:bookmarkEnd w:id="338"/>
      <w:bookmarkEnd w:id="339"/>
      <w:bookmarkEnd w:id="340"/>
      <w:bookmarkEnd w:id="341"/>
      <w:bookmarkEnd w:id="342"/>
    </w:p>
    <w:p w14:paraId="160F1E0E">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1F530B11">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p>
    <w:bookmarkEnd w:id="248"/>
    <w:p w14:paraId="0EDC6993">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343" w:name="_Toc140596907"/>
      <w:bookmarkStart w:id="344" w:name="_Toc142508348"/>
      <w:bookmarkStart w:id="345" w:name="_Toc25011"/>
      <w:bookmarkStart w:id="346" w:name="_Toc1791"/>
      <w:bookmarkStart w:id="347" w:name="_Toc486167697"/>
      <w:bookmarkStart w:id="348" w:name="_Toc27936"/>
      <w:bookmarkStart w:id="349" w:name="_Toc16789"/>
      <w:bookmarkStart w:id="350" w:name="_Toc195714254"/>
      <w:bookmarkStart w:id="351" w:name="_Toc16848_WPSOffice_Level2"/>
      <w:bookmarkStart w:id="352" w:name="_Toc466882025"/>
      <w:bookmarkStart w:id="353" w:name="_Toc465358977"/>
      <w:r>
        <w:rPr>
          <w:rFonts w:hint="eastAsia" w:ascii="宋体" w:hAnsi="宋体" w:eastAsia="宋体" w:cs="宋体"/>
          <w:b/>
          <w:bCs/>
          <w:color w:val="auto"/>
          <w:kern w:val="44"/>
          <w:szCs w:val="21"/>
          <w:highlight w:val="none"/>
          <w:lang w:val="zh-CN"/>
        </w:rPr>
        <w:t>六、授予合同</w:t>
      </w:r>
      <w:bookmarkEnd w:id="343"/>
      <w:bookmarkEnd w:id="344"/>
      <w:bookmarkEnd w:id="345"/>
      <w:bookmarkEnd w:id="346"/>
      <w:bookmarkEnd w:id="347"/>
      <w:bookmarkEnd w:id="348"/>
      <w:bookmarkEnd w:id="349"/>
      <w:bookmarkEnd w:id="350"/>
      <w:bookmarkEnd w:id="351"/>
    </w:p>
    <w:p w14:paraId="79F5C3E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4" w:name="_Toc450662881"/>
      <w:bookmarkStart w:id="355" w:name="_Toc6401_WPSOffice_Level3"/>
      <w:bookmarkStart w:id="356" w:name="_Toc195714255"/>
      <w:bookmarkStart w:id="357" w:name="_Toc29383"/>
      <w:bookmarkStart w:id="358" w:name="_Toc8164"/>
      <w:bookmarkStart w:id="359" w:name="_Toc31713"/>
      <w:bookmarkStart w:id="360" w:name="_Toc142508349"/>
      <w:bookmarkStart w:id="361" w:name="_Toc23475"/>
      <w:bookmarkStart w:id="362" w:name="_Toc486167698"/>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授予合同的准则</w:t>
      </w:r>
      <w:bookmarkEnd w:id="354"/>
      <w:bookmarkEnd w:id="355"/>
      <w:bookmarkEnd w:id="356"/>
      <w:bookmarkEnd w:id="357"/>
      <w:bookmarkEnd w:id="358"/>
      <w:bookmarkEnd w:id="359"/>
      <w:bookmarkEnd w:id="360"/>
      <w:bookmarkEnd w:id="361"/>
      <w:bookmarkEnd w:id="362"/>
    </w:p>
    <w:p w14:paraId="0CCAFFD1">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w:t>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条、</w:t>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33</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0C5948AF">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1AE6D80A">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564F708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63" w:name="_Toc450662885"/>
    </w:p>
    <w:p w14:paraId="618F3EF5">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64" w:name="_Toc6726_WPSOffice_Level3"/>
      <w:bookmarkStart w:id="365" w:name="_Toc142508350"/>
      <w:bookmarkStart w:id="366" w:name="_Toc18984"/>
      <w:bookmarkStart w:id="367" w:name="_Toc8196"/>
      <w:bookmarkStart w:id="368" w:name="_Toc13906"/>
      <w:bookmarkStart w:id="369" w:name="_Toc486167699"/>
      <w:bookmarkStart w:id="370" w:name="_Toc195714256"/>
      <w:bookmarkStart w:id="371" w:name="_Toc18399"/>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 xml:space="preserve"> 中标通知</w:t>
      </w:r>
      <w:bookmarkEnd w:id="363"/>
      <w:bookmarkEnd w:id="364"/>
      <w:bookmarkEnd w:id="365"/>
      <w:bookmarkEnd w:id="366"/>
      <w:bookmarkEnd w:id="367"/>
      <w:bookmarkEnd w:id="368"/>
      <w:bookmarkEnd w:id="369"/>
      <w:bookmarkEnd w:id="370"/>
      <w:bookmarkEnd w:id="371"/>
    </w:p>
    <w:p w14:paraId="6FFE530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72" w:name="_Toc45066288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76AC2E9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11AB9A2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45490CD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3" w:name="_Toc28020"/>
      <w:bookmarkStart w:id="374" w:name="_Toc195714257"/>
      <w:bookmarkStart w:id="375" w:name="_Toc142508351"/>
      <w:bookmarkStart w:id="376" w:name="_Toc486167700"/>
      <w:bookmarkStart w:id="377" w:name="_Toc19127"/>
      <w:bookmarkStart w:id="378" w:name="_Toc30389"/>
      <w:bookmarkStart w:id="379" w:name="_Toc9694_WPSOffice_Level3"/>
      <w:bookmarkStart w:id="380" w:name="_Toc472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签署合同</w:t>
      </w:r>
      <w:bookmarkEnd w:id="372"/>
      <w:bookmarkEnd w:id="373"/>
      <w:bookmarkEnd w:id="374"/>
      <w:bookmarkEnd w:id="375"/>
      <w:bookmarkEnd w:id="376"/>
      <w:bookmarkEnd w:id="377"/>
      <w:bookmarkEnd w:id="378"/>
      <w:bookmarkEnd w:id="379"/>
      <w:bookmarkEnd w:id="380"/>
    </w:p>
    <w:p w14:paraId="57AD2B32">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中标人在自中标通知书发出之日起30日内，按照招标文件和中标人的投标文件的约定，与招标人（东莞市水务环境投资控股集团净水有限公司）及</w:t>
      </w:r>
      <w:r>
        <w:rPr>
          <w:rFonts w:hint="eastAsia" w:ascii="宋体" w:hAnsi="宋体" w:eastAsia="宋体" w:cs="宋体"/>
          <w:b/>
          <w:bCs/>
          <w:color w:val="auto"/>
          <w:szCs w:val="21"/>
          <w:highlight w:val="none"/>
          <w:u w:val="single"/>
          <w:lang w:val="zh-CN"/>
        </w:rPr>
        <w:t>招标人权属子公司</w:t>
      </w:r>
      <w:r>
        <w:rPr>
          <w:rFonts w:hint="eastAsia" w:ascii="宋体" w:hAnsi="宋体" w:eastAsia="宋体" w:cs="宋体"/>
          <w:b/>
          <w:bCs/>
          <w:color w:val="auto"/>
          <w:szCs w:val="21"/>
          <w:highlight w:val="none"/>
          <w:u w:val="single"/>
          <w:lang w:eastAsia="zh-CN"/>
        </w:rPr>
        <w:t>（</w:t>
      </w:r>
      <w:r>
        <w:rPr>
          <w:rFonts w:hint="eastAsia" w:ascii="宋体" w:hAnsi="宋体" w:eastAsia="宋体" w:cs="宋体"/>
          <w:b/>
          <w:color w:val="auto"/>
          <w:szCs w:val="21"/>
          <w:highlight w:val="none"/>
          <w:u w:val="single"/>
          <w:lang w:val="zh-CN"/>
        </w:rPr>
        <w:t>东莞市石鼓净水有限公司、东莞市清源净水科技有限公司、东莞市莞水装备科技有限公司、东莞市众源环境投资有限公司、东莞市樟村水质净化有限公司</w:t>
      </w:r>
      <w:r>
        <w:rPr>
          <w:rFonts w:hint="eastAsia" w:ascii="宋体" w:hAnsi="宋体" w:eastAsia="宋体" w:cs="宋体"/>
          <w:b/>
          <w:color w:val="auto"/>
          <w:szCs w:val="21"/>
          <w:highlight w:val="none"/>
          <w:u w:val="single"/>
        </w:rPr>
        <w:t>）</w:t>
      </w:r>
      <w:r>
        <w:rPr>
          <w:rFonts w:hint="eastAsia" w:ascii="宋体" w:hAnsi="宋体" w:eastAsia="宋体" w:cs="宋体"/>
          <w:b/>
          <w:color w:val="auto"/>
          <w:szCs w:val="21"/>
          <w:highlight w:val="none"/>
          <w:u w:val="single"/>
          <w:lang w:val="zh-CN"/>
        </w:rPr>
        <w:t>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491259CC">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36.2 在签署合同前，招标人可对中标人投标报价明细及附表内的算术性错误进行修正，修正原则为：</w:t>
      </w:r>
    </w:p>
    <w:p w14:paraId="006D3652">
      <w:pPr>
        <w:tabs>
          <w:tab w:val="left" w:pos="540"/>
        </w:tabs>
        <w:autoSpaceDE w:val="0"/>
        <w:autoSpaceDN w:val="0"/>
        <w:adjustRightInd w:val="0"/>
        <w:spacing w:line="360" w:lineRule="auto"/>
        <w:ind w:left="333" w:leftChars="102" w:right="15" w:rightChars="7" w:hanging="119" w:hangingChars="5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1）当以数字表示的金额与以文字表示的金额不一致时，以文字表示的金额为准；（2）分项报价表内投标报价金额与按综合单价计算的总金额不一致的，以综合单价计算结果为准，综合单价金额小数点有明显错位的，应以总价为准，并修正综合单价。按前述修正原则排序依次进行修正至唯一值后的报价表经双方确认后，作为合同文件的组成部分</w:t>
      </w:r>
      <w:r>
        <w:rPr>
          <w:rFonts w:hint="eastAsia" w:ascii="宋体" w:hAnsi="宋体" w:eastAsia="宋体" w:cs="宋体"/>
          <w:color w:val="auto"/>
          <w:szCs w:val="21"/>
          <w:highlight w:val="none"/>
          <w:lang w:val="zh-CN"/>
        </w:rPr>
        <w:t>。</w:t>
      </w:r>
    </w:p>
    <w:p w14:paraId="387B55F5">
      <w:pPr>
        <w:autoSpaceDE w:val="0"/>
        <w:autoSpaceDN w:val="0"/>
        <w:adjustRightInd w:val="0"/>
        <w:snapToGrid w:val="0"/>
        <w:spacing w:line="360" w:lineRule="auto"/>
        <w:ind w:left="315" w:leftChars="-100" w:right="0" w:rightChars="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本项目供货单位（即中标人）合同履约期间，如因供货单位（即中标人）存在违约行为或因其他合同约定或法定事由，导致招标人依法依规解除本合同的，招标人有权按照本项目综合评审结果，从以下方式中择一确定后续安排：</w:t>
      </w:r>
    </w:p>
    <w:p w14:paraId="754D50AB">
      <w:pPr>
        <w:keepNext w:val="0"/>
        <w:keepLines w:val="0"/>
        <w:pageBreakBefore w:val="0"/>
        <w:widowControl w:val="0"/>
        <w:kinsoku/>
        <w:wordWrap/>
        <w:overflowPunct/>
        <w:topLinePunct w:val="0"/>
        <w:autoSpaceDE w:val="0"/>
        <w:autoSpaceDN w:val="0"/>
        <w:bidi w:val="0"/>
        <w:adjustRightInd w:val="0"/>
        <w:snapToGrid w:val="0"/>
        <w:spacing w:line="360" w:lineRule="auto"/>
        <w:ind w:left="315" w:leftChars="150" w:right="0" w:rightChars="0" w:firstLine="0" w:firstLineChars="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w:t>
      </w:r>
      <w:r>
        <w:rPr>
          <w:rFonts w:hint="eastAsia" w:ascii="宋体" w:hAnsi="宋体" w:eastAsia="宋体" w:cs="宋体"/>
          <w:b/>
          <w:bCs/>
          <w:color w:val="auto"/>
          <w:szCs w:val="21"/>
          <w:highlight w:val="none"/>
          <w:lang w:val="zh-CN"/>
        </w:rPr>
        <w:t>替补投标人承接</w:t>
      </w:r>
      <w:r>
        <w:rPr>
          <w:rFonts w:hint="eastAsia" w:ascii="宋体" w:hAnsi="宋体" w:eastAsia="宋体" w:cs="宋体"/>
          <w:color w:val="auto"/>
          <w:szCs w:val="21"/>
          <w:highlight w:val="none"/>
          <w:lang w:val="zh-CN"/>
        </w:rPr>
        <w:t>：招标人有权根据剩余有效投标人数量，在原评审排名基础上邀请相应投标人，通过谈判或其他招标人认可的方式，择优确定新的供货单位承接本合同项下未履行部分的服务内容，邀请规则如下：当剩余有效投标人为2家时，邀请综合评审排名第2名及第3名的投标人，当剩余有效投标人≥3家时，邀请综合评审排名第2名至第4名的投标人。替补供货单位一经确定，应与招标人另行签订书面合同，供货标准、履约要求原则上不得低于投标时承诺的标准。</w:t>
      </w:r>
    </w:p>
    <w:p w14:paraId="465A3D3D">
      <w:pPr>
        <w:keepNext w:val="0"/>
        <w:keepLines w:val="0"/>
        <w:pageBreakBefore w:val="0"/>
        <w:widowControl w:val="0"/>
        <w:kinsoku/>
        <w:wordWrap/>
        <w:overflowPunct/>
        <w:topLinePunct w:val="0"/>
        <w:autoSpaceDE w:val="0"/>
        <w:autoSpaceDN w:val="0"/>
        <w:bidi w:val="0"/>
        <w:adjustRightInd w:val="0"/>
        <w:snapToGrid w:val="0"/>
        <w:spacing w:line="360" w:lineRule="auto"/>
        <w:ind w:left="315" w:leftChars="150" w:right="0" w:rightChars="0" w:firstLine="0" w:firstLineChars="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w:t>
      </w:r>
      <w:r>
        <w:rPr>
          <w:rFonts w:hint="eastAsia" w:ascii="宋体" w:hAnsi="宋体" w:eastAsia="宋体" w:cs="宋体"/>
          <w:b/>
          <w:bCs/>
          <w:color w:val="auto"/>
          <w:szCs w:val="21"/>
          <w:highlight w:val="none"/>
          <w:lang w:val="zh-CN"/>
        </w:rPr>
        <w:t>重新招标</w:t>
      </w:r>
      <w:r>
        <w:rPr>
          <w:rFonts w:hint="eastAsia" w:ascii="宋体" w:hAnsi="宋体" w:eastAsia="宋体" w:cs="宋体"/>
          <w:color w:val="auto"/>
          <w:szCs w:val="21"/>
          <w:highlight w:val="none"/>
          <w:lang w:val="zh-CN"/>
        </w:rPr>
        <w:t>：招标人亦有权根据实际情况，重新组织招标。</w:t>
      </w:r>
    </w:p>
    <w:p w14:paraId="4D132B9D">
      <w:pPr>
        <w:autoSpaceDE w:val="0"/>
        <w:autoSpaceDN w:val="0"/>
        <w:adjustRightInd w:val="0"/>
        <w:snapToGrid w:val="0"/>
        <w:spacing w:line="360" w:lineRule="auto"/>
        <w:ind w:left="315" w:leftChars="100" w:hanging="105" w:hangingChars="50"/>
        <w:jc w:val="left"/>
        <w:rPr>
          <w:rFonts w:ascii="宋体" w:hAnsi="宋体" w:eastAsia="宋体" w:cs="宋体"/>
          <w:color w:val="auto"/>
          <w:szCs w:val="21"/>
          <w:highlight w:val="none"/>
          <w:lang w:val="zh-CN"/>
        </w:rPr>
      </w:pPr>
    </w:p>
    <w:p w14:paraId="0F67744D">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1" w:name="_Toc142508352"/>
      <w:bookmarkStart w:id="382" w:name="_Toc450662887"/>
      <w:bookmarkStart w:id="383" w:name="_Toc10513_WPSOffice_Level3"/>
      <w:bookmarkStart w:id="384" w:name="_Toc486167701"/>
      <w:bookmarkStart w:id="385" w:name="_Toc5304"/>
      <w:bookmarkStart w:id="386" w:name="_Toc10371"/>
      <w:bookmarkStart w:id="387" w:name="_Toc195714258"/>
      <w:bookmarkStart w:id="388" w:name="_Toc8181"/>
      <w:bookmarkStart w:id="389" w:name="_Toc14736"/>
      <w:r>
        <w:rPr>
          <w:rFonts w:hint="eastAsia" w:ascii="宋体" w:hAnsi="宋体" w:eastAsia="宋体" w:cs="宋体"/>
          <w:color w:val="auto"/>
          <w:szCs w:val="21"/>
          <w:highlight w:val="none"/>
        </w:rPr>
        <w:t xml:space="preserve">37 </w:t>
      </w:r>
      <w:r>
        <w:rPr>
          <w:rFonts w:hint="eastAsia" w:ascii="宋体" w:hAnsi="宋体" w:eastAsia="宋体" w:cs="宋体"/>
          <w:color w:val="auto"/>
          <w:szCs w:val="21"/>
          <w:highlight w:val="none"/>
          <w:lang w:val="zh-CN"/>
        </w:rPr>
        <w:t>履约担保</w:t>
      </w:r>
      <w:bookmarkEnd w:id="381"/>
      <w:bookmarkEnd w:id="382"/>
      <w:bookmarkEnd w:id="383"/>
      <w:bookmarkEnd w:id="384"/>
      <w:bookmarkEnd w:id="385"/>
      <w:bookmarkEnd w:id="386"/>
      <w:bookmarkEnd w:id="387"/>
      <w:bookmarkEnd w:id="388"/>
      <w:bookmarkEnd w:id="389"/>
    </w:p>
    <w:p w14:paraId="31AC3590">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r>
        <w:rPr>
          <w:rFonts w:hint="eastAsia" w:ascii="宋体" w:hAnsi="宋体" w:eastAsia="宋体" w:cs="宋体"/>
          <w:bCs/>
          <w:color w:val="auto"/>
          <w:szCs w:val="21"/>
          <w:highlight w:val="none"/>
        </w:rPr>
        <w:t>37</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中标人应在签订合同前，按本招标文件规定金额及形式要求，向招标人或招标人权属子公司提交不可撤销银行履约保函（或履约保证金</w:t>
      </w:r>
      <w:r>
        <w:rPr>
          <w:rFonts w:hint="eastAsia" w:ascii="宋体" w:hAnsi="宋体" w:eastAsia="宋体" w:cs="宋体"/>
          <w:b/>
          <w:bCs/>
          <w:color w:val="auto"/>
          <w:szCs w:val="21"/>
          <w:highlight w:val="none"/>
          <w:u w:val="single"/>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w:t>
      </w:r>
      <w:r>
        <w:rPr>
          <w:rFonts w:hint="eastAsia" w:ascii="宋体" w:hAnsi="宋体" w:eastAsia="宋体" w:cs="宋体"/>
          <w:b/>
          <w:bCs/>
          <w:color w:val="auto"/>
          <w:szCs w:val="21"/>
          <w:highlight w:val="none"/>
          <w:u w:val="single"/>
        </w:rPr>
        <w:t>不含税暂定合同价</w:t>
      </w:r>
      <w:r>
        <w:rPr>
          <w:rFonts w:hint="eastAsia" w:ascii="宋体" w:hAnsi="宋体" w:eastAsia="宋体" w:cs="宋体"/>
          <w:b/>
          <w:bCs/>
          <w:color w:val="auto"/>
          <w:szCs w:val="21"/>
          <w:highlight w:val="none"/>
          <w:u w:val="single"/>
          <w:lang w:val="zh-CN"/>
        </w:rPr>
        <w:t>的5%，统一由东莞市石鼓净水有限公司收取；采用不可撤销银行履约保函（或履约保证保险）形式的金额为</w:t>
      </w:r>
      <w:r>
        <w:rPr>
          <w:rFonts w:hint="eastAsia" w:ascii="宋体" w:hAnsi="宋体" w:eastAsia="宋体" w:cs="宋体"/>
          <w:b/>
          <w:bCs/>
          <w:color w:val="auto"/>
          <w:szCs w:val="21"/>
          <w:highlight w:val="none"/>
          <w:u w:val="single"/>
        </w:rPr>
        <w:t>不含税暂定合同价</w:t>
      </w:r>
      <w:r>
        <w:rPr>
          <w:rFonts w:hint="eastAsia" w:ascii="宋体" w:hAnsi="宋体" w:eastAsia="宋体" w:cs="宋体"/>
          <w:b/>
          <w:bCs/>
          <w:color w:val="auto"/>
          <w:szCs w:val="21"/>
          <w:highlight w:val="none"/>
          <w:u w:val="single"/>
          <w:lang w:val="zh-CN"/>
        </w:rPr>
        <w:t>的8%，</w:t>
      </w:r>
      <w:r>
        <w:rPr>
          <w:rFonts w:hint="eastAsia" w:ascii="宋体" w:hAnsi="宋体" w:eastAsia="宋体" w:cs="Times New Roman"/>
          <w:b/>
          <w:bCs/>
          <w:color w:val="auto"/>
          <w:szCs w:val="21"/>
          <w:highlight w:val="none"/>
          <w:u w:val="single"/>
          <w:lang w:val="zh-CN"/>
        </w:rPr>
        <w:t>中标人需开具一份受益人为东莞市石鼓净水有限公司的不可撤销银行履约保函（或履约保证保险）；</w:t>
      </w:r>
      <w:r>
        <w:rPr>
          <w:rFonts w:hint="eastAsia" w:ascii="宋体" w:hAnsi="宋体" w:eastAsia="宋体" w:cs="宋体"/>
          <w:b/>
          <w:bCs/>
          <w:color w:val="auto"/>
          <w:szCs w:val="21"/>
          <w:highlight w:val="none"/>
          <w:u w:val="single"/>
          <w:lang w:val="zh-CN"/>
        </w:rPr>
        <w:t>采用担保公司履约担保书形式的金额为</w:t>
      </w:r>
      <w:r>
        <w:rPr>
          <w:rFonts w:hint="eastAsia" w:ascii="宋体" w:hAnsi="宋体" w:eastAsia="宋体" w:cs="宋体"/>
          <w:b/>
          <w:bCs/>
          <w:color w:val="auto"/>
          <w:szCs w:val="21"/>
          <w:highlight w:val="none"/>
          <w:u w:val="single"/>
        </w:rPr>
        <w:t>不含税暂定合同价</w:t>
      </w:r>
      <w:r>
        <w:rPr>
          <w:rFonts w:hint="eastAsia" w:ascii="宋体" w:hAnsi="宋体" w:eastAsia="宋体" w:cs="宋体"/>
          <w:b/>
          <w:bCs/>
          <w:color w:val="auto"/>
          <w:szCs w:val="21"/>
          <w:highlight w:val="none"/>
          <w:u w:val="single"/>
          <w:lang w:val="zh-CN"/>
        </w:rPr>
        <w:t>的10%</w:t>
      </w:r>
      <w:bookmarkStart w:id="390" w:name="OLE_LINK387"/>
      <w:r>
        <w:rPr>
          <w:rFonts w:hint="eastAsia" w:ascii="宋体" w:hAnsi="宋体" w:eastAsia="宋体" w:cs="宋体"/>
          <w:b/>
          <w:bCs/>
          <w:color w:val="auto"/>
          <w:szCs w:val="21"/>
          <w:highlight w:val="none"/>
          <w:u w:val="single"/>
          <w:lang w:val="zh-CN"/>
        </w:rPr>
        <w:t>，中标人需开具一份受益人为东莞市石鼓净水有限公司的履约担保书。任何一个合同甲方均有权就全部的担保金额进行索赔。</w:t>
      </w:r>
      <w:bookmarkEnd w:id="390"/>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给招标人或招标人权属子公司造成的损失超过履约担保数额的，中标人还应当对超过部分予以赔偿，招标人或招标人权属子公司并依法追究中标人的相应责任。</w:t>
      </w:r>
    </w:p>
    <w:p w14:paraId="2478D72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37.2 履约担保用于补偿招标人或招标人权属子公司因中标人不能完全履行其合同义务而蒙受的损失或其他合同约定的事项。如发生下列任一情况时，招标人或招标人权属子公司有权依合同追究违约责任外，同时有权提取履约担保并进行相应处理：</w:t>
      </w:r>
    </w:p>
    <w:p w14:paraId="5B9A1FB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（1）在合同履行期间，因中标人货物、服务质量问题造成损害、侵权损失（包括但不限于招标人</w:t>
      </w:r>
      <w:r>
        <w:rPr>
          <w:rFonts w:hint="eastAsia" w:ascii="宋体" w:hAnsi="宋体" w:eastAsia="宋体" w:cs="宋体"/>
          <w:color w:val="auto"/>
          <w:kern w:val="0"/>
          <w:szCs w:val="24"/>
          <w:highlight w:val="none"/>
        </w:rPr>
        <w:t>或招标人权属子公司</w:t>
      </w:r>
      <w:r>
        <w:rPr>
          <w:rFonts w:hint="eastAsia" w:ascii="宋体" w:hAnsi="宋体" w:eastAsia="宋体" w:cs="宋体"/>
          <w:color w:val="auto"/>
          <w:kern w:val="0"/>
          <w:szCs w:val="21"/>
          <w:highlight w:val="none"/>
        </w:rPr>
        <w:t>经济损失、第三人人身财产损失等）、拖欠原材料供应商货款或与其所雇用员工发生劳资纠纷、上访、闹事或其他影响招标人或招标人权属子公司生产经营等情况而其未及时妥善处理的，招标人</w:t>
      </w:r>
      <w:r>
        <w:rPr>
          <w:rFonts w:hint="eastAsia" w:ascii="宋体" w:hAnsi="宋体" w:eastAsia="宋体" w:cs="Arial"/>
          <w:color w:val="auto"/>
          <w:kern w:val="0"/>
          <w:szCs w:val="24"/>
          <w:highlight w:val="none"/>
        </w:rPr>
        <w:t>或招标人权属子公司</w:t>
      </w:r>
      <w:r>
        <w:rPr>
          <w:rFonts w:hint="eastAsia" w:ascii="宋体" w:hAnsi="宋体" w:eastAsia="宋体" w:cs="宋体"/>
          <w:color w:val="auto"/>
          <w:kern w:val="0"/>
          <w:szCs w:val="21"/>
          <w:highlight w:val="none"/>
        </w:rPr>
        <w:t>有权使用履约担保予以支付或作出相应处理，由此产生的一切法律后果和经济损失由中标人承担。</w:t>
      </w:r>
    </w:p>
    <w:p w14:paraId="39AA589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（2）在合同履行期间，中标人违约产生的违约金、赔偿、罚款或其他应付费用等款项，招标人</w:t>
      </w:r>
      <w:r>
        <w:rPr>
          <w:rFonts w:hint="eastAsia" w:ascii="宋体" w:hAnsi="宋体" w:eastAsia="宋体" w:cs="Arial"/>
          <w:color w:val="auto"/>
          <w:kern w:val="0"/>
          <w:szCs w:val="24"/>
          <w:highlight w:val="none"/>
        </w:rPr>
        <w:t>或招标人权属子公司</w:t>
      </w:r>
      <w:r>
        <w:rPr>
          <w:rFonts w:hint="eastAsia" w:ascii="宋体" w:hAnsi="宋体" w:eastAsia="宋体" w:cs="宋体"/>
          <w:color w:val="auto"/>
          <w:kern w:val="0"/>
          <w:szCs w:val="21"/>
          <w:highlight w:val="none"/>
        </w:rPr>
        <w:t>有权直接从未付款项中直接扣除或启用履约担保予以支付。</w:t>
      </w:r>
    </w:p>
    <w:p w14:paraId="28665A8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（3）合同期内，中标人不能及时完成合同某项义务的，招标人</w:t>
      </w:r>
      <w:r>
        <w:rPr>
          <w:rFonts w:hint="eastAsia" w:ascii="宋体" w:hAnsi="宋体" w:eastAsia="宋体" w:cs="Arial"/>
          <w:color w:val="auto"/>
          <w:kern w:val="0"/>
          <w:szCs w:val="24"/>
          <w:highlight w:val="none"/>
        </w:rPr>
        <w:t>或招标人权属子公司</w:t>
      </w:r>
      <w:r>
        <w:rPr>
          <w:rFonts w:hint="eastAsia" w:ascii="宋体" w:hAnsi="宋体" w:eastAsia="宋体" w:cs="宋体"/>
          <w:color w:val="auto"/>
          <w:kern w:val="0"/>
          <w:szCs w:val="21"/>
          <w:highlight w:val="none"/>
        </w:rPr>
        <w:t>有权提取履约担保用于处理该项工作。</w:t>
      </w:r>
    </w:p>
    <w:p w14:paraId="7305F8D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（4）其他根据本合同约定或法律规定，招标人</w:t>
      </w:r>
      <w:r>
        <w:rPr>
          <w:rFonts w:hint="eastAsia" w:ascii="宋体" w:hAnsi="宋体" w:eastAsia="宋体" w:cs="Arial"/>
          <w:color w:val="auto"/>
          <w:kern w:val="0"/>
          <w:szCs w:val="24"/>
          <w:highlight w:val="none"/>
        </w:rPr>
        <w:t>或招标人权属子公司</w:t>
      </w:r>
      <w:r>
        <w:rPr>
          <w:rFonts w:hint="eastAsia" w:ascii="宋体" w:hAnsi="宋体" w:eastAsia="宋体" w:cs="宋体"/>
          <w:color w:val="auto"/>
          <w:kern w:val="0"/>
          <w:szCs w:val="21"/>
          <w:highlight w:val="none"/>
        </w:rPr>
        <w:t>可启用履约担保的情形。</w:t>
      </w:r>
    </w:p>
    <w:p w14:paraId="0C7C277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bookmarkStart w:id="391" w:name="_Toc32290"/>
      <w:r>
        <w:rPr>
          <w:rFonts w:hint="eastAsia" w:ascii="宋体" w:hAnsi="宋体" w:eastAsia="宋体" w:cs="宋体"/>
          <w:color w:val="auto"/>
          <w:kern w:val="0"/>
          <w:szCs w:val="21"/>
          <w:highlight w:val="none"/>
        </w:rPr>
        <w:t>37.3  履约担保应符合如下规定：</w:t>
      </w:r>
      <w:bookmarkEnd w:id="391"/>
    </w:p>
    <w:p w14:paraId="24E212B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（1）出具履约保函的银行必须是境内支行一级以上机构，并经招标人或招标人权属子公司同意，执行本款时所发生的费用由中标人承担。</w:t>
      </w:r>
    </w:p>
    <w:p w14:paraId="2DD2C99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或招标人权属子公司的书面同意。</w:t>
      </w:r>
    </w:p>
    <w:p w14:paraId="6FB7A8D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书的担保机构经济性质须为国有企业，或政府性融资担保机构（中标人须提供能证明其属于政府性融资担保机构的证明文件），并经招标人或招标人权属子公司同意，执行本款时所发生的费用由中标人承担。如招标人或招标人权属子公司合同条款接受担保公司预付款担保函的，对担保机构要求参照本条执行。</w:t>
      </w:r>
    </w:p>
    <w:p w14:paraId="7ED652D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或招标人权属子公司要求的履约担保延期手续，否则视为中标人违约，招标人或招标人权属子公司有权在不可撤销银行履约保函或履约保证保险或担保公司履约担保书到期前向出具履约担保的机构提取履约担保金。在不可撤销银行履约保函（或履约保证保险或担保公司履约担保书）到期后中标人未按招标人或招标人权属子公司要求重新提供的，中标人应向招标人或招标人权属子公司支付【</w:t>
      </w:r>
      <w:r>
        <w:rPr>
          <w:rFonts w:ascii="宋体" w:hAnsi="宋体" w:eastAsia="宋体" w:cs="宋体"/>
          <w:color w:val="auto"/>
          <w:kern w:val="0"/>
          <w:szCs w:val="21"/>
          <w:highlight w:val="none"/>
        </w:rPr>
        <w:t>25,000.00】元</w:t>
      </w:r>
      <w:r>
        <w:rPr>
          <w:rFonts w:hint="eastAsia" w:ascii="宋体" w:hAnsi="宋体" w:eastAsia="宋体" w:cs="宋体"/>
          <w:color w:val="auto"/>
          <w:kern w:val="0"/>
          <w:szCs w:val="21"/>
          <w:highlight w:val="none"/>
        </w:rPr>
        <w:t>违约金，违约金可直接从未付采购合同费用中扣除。在中标人重新提供前，招标人或招标人权属子公司无需向中标人支付合同款项，且不视为招标人或招标人权属子公司违约，中标人也不得以此为由拒绝或迟延履行合同义务。</w:t>
      </w:r>
    </w:p>
    <w:p w14:paraId="0DCE193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或招标人权属子公司有权按需补足的金额要求中标人承担违约金，并要求中标人限期补足，在中标人补足前，招标人或招标人权属子公司</w:t>
      </w:r>
      <w:r>
        <w:rPr>
          <w:rFonts w:hint="eastAsia" w:ascii="宋体" w:hAnsi="宋体" w:eastAsia="宋体" w:cs="宋体"/>
          <w:color w:val="auto"/>
          <w:szCs w:val="21"/>
          <w:highlight w:val="none"/>
        </w:rPr>
        <w:t>无需向中标人支付合同款项，且不视为招标人或招标人权属子公司违约</w:t>
      </w:r>
      <w:r>
        <w:rPr>
          <w:rFonts w:hint="eastAsia" w:ascii="宋体" w:hAnsi="宋体" w:eastAsia="宋体" w:cs="宋体"/>
          <w:color w:val="auto"/>
          <w:kern w:val="0"/>
          <w:szCs w:val="21"/>
          <w:highlight w:val="none"/>
        </w:rPr>
        <w:t>。</w:t>
      </w:r>
    </w:p>
    <w:p w14:paraId="0C32AA8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或签订合同前）至合同期限届满并全部货物经最终验收合格，招标人或招标人权属子公司向中标人支付全部货款（除质保金）后二十八（28）日内保持有效。</w:t>
      </w:r>
    </w:p>
    <w:p w14:paraId="6334182E">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bookmarkStart w:id="392" w:name="_Toc26730"/>
      <w:r>
        <w:rPr>
          <w:rFonts w:hint="eastAsia" w:ascii="宋体" w:hAnsi="宋体" w:eastAsia="宋体" w:cs="宋体"/>
          <w:color w:val="auto"/>
          <w:kern w:val="0"/>
          <w:szCs w:val="21"/>
          <w:highlight w:val="none"/>
        </w:rPr>
        <w:t>37.4  履约保证金应用本合同货币。</w:t>
      </w:r>
      <w:bookmarkEnd w:id="392"/>
    </w:p>
    <w:p w14:paraId="4A068816">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37.5  中标人也可以按招标文件约定的额度和时间，向招标人或招标人权属子公司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488D6FEE">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bookmarkStart w:id="393" w:name="_Toc26661"/>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bookmarkEnd w:id="393"/>
    </w:p>
    <w:p w14:paraId="53C2364A">
      <w:pPr>
        <w:autoSpaceDE w:val="0"/>
        <w:autoSpaceDN w:val="0"/>
        <w:adjustRightInd w:val="0"/>
        <w:snapToGri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开户名称：东莞市石鼓净水有限公司</w:t>
      </w:r>
    </w:p>
    <w:p w14:paraId="0DCB1279">
      <w:pPr>
        <w:autoSpaceDE w:val="0"/>
        <w:autoSpaceDN w:val="0"/>
        <w:adjustRightInd w:val="0"/>
        <w:snapToGri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银行账号：944004010000157127</w:t>
      </w:r>
    </w:p>
    <w:p w14:paraId="23DDD184">
      <w:pPr>
        <w:autoSpaceDE w:val="0"/>
        <w:autoSpaceDN w:val="0"/>
        <w:adjustRightInd w:val="0"/>
        <w:snapToGri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开户银行：中国邮政储蓄银行股份有限公司东莞市分行</w:t>
      </w:r>
    </w:p>
    <w:p w14:paraId="5F3543B1">
      <w:pPr>
        <w:snapToGrid w:val="0"/>
        <w:spacing w:line="360" w:lineRule="auto"/>
        <w:ind w:left="399" w:leftChars="190" w:firstLine="211" w:firstLineChars="1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特别约定：</w:t>
      </w:r>
      <w:r>
        <w:rPr>
          <w:rFonts w:hint="eastAsia" w:ascii="宋体" w:hAnsi="宋体" w:eastAsia="宋体" w:cs="宋体"/>
          <w:b/>
          <w:color w:val="auto"/>
          <w:szCs w:val="21"/>
          <w:highlight w:val="none"/>
        </w:rPr>
        <w:t>中标人知悉并同意，在本合同履行期间，一旦发生中标人违反本合同约定义务，无需另行征得中标人同意，各招标人主体及作为新增合同主体的招标人关联公司均有权就全部的履约担保金额单独或共同进行索赔，索赔方之间的担保金额分配由其内部协商确定，中标人不得以此为由提出任何异议。东莞市石鼓净水有限公司作为履约担保的收取方或受益人，负责办理履约担保的索赔提取手续，并将相应款项支付给对应索赔方。</w:t>
      </w:r>
    </w:p>
    <w:bookmarkEnd w:id="352"/>
    <w:bookmarkEnd w:id="353"/>
    <w:p w14:paraId="2E62FCE8">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37.6  中标</w:t>
      </w:r>
      <w:r>
        <w:rPr>
          <w:rFonts w:hint="eastAsia" w:ascii="宋体" w:hAnsi="宋体" w:eastAsia="宋体" w:cs="宋体"/>
          <w:color w:val="auto"/>
          <w:kern w:val="0"/>
          <w:szCs w:val="24"/>
          <w:highlight w:val="none"/>
        </w:rPr>
        <w:t>单位提交了履约担保后，当履约保证金转达招标人或招标人权属子公司履约保证金账户后，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交给招标人或招标人权属子公司，由招标人或招标人权属子公司在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w:t>
      </w:r>
      <w:r>
        <w:rPr>
          <w:rFonts w:hint="eastAsia" w:ascii="宋体" w:hAnsi="宋体" w:eastAsia="宋体" w:cs="宋体"/>
          <w:color w:val="auto"/>
          <w:kern w:val="0"/>
          <w:szCs w:val="24"/>
          <w:highlight w:val="none"/>
        </w:rPr>
        <w:t>复印</w:t>
      </w:r>
      <w:r>
        <w:rPr>
          <w:rFonts w:hint="eastAsia" w:ascii="宋体" w:hAnsi="宋体" w:eastAsia="宋体" w:cs="宋体"/>
          <w:color w:val="auto"/>
          <w:szCs w:val="21"/>
          <w:highlight w:val="none"/>
          <w:lang w:val="zh-CN"/>
        </w:rPr>
        <w:t>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10E76699">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4"/>
          <w:highlight w:val="none"/>
        </w:rPr>
        <w:t xml:space="preserve">37.7  </w:t>
      </w:r>
      <w:r>
        <w:rPr>
          <w:rFonts w:hint="eastAsia" w:ascii="宋体" w:hAnsi="宋体" w:eastAsia="宋体" w:cs="宋体"/>
          <w:color w:val="auto"/>
          <w:kern w:val="0"/>
          <w:szCs w:val="21"/>
          <w:highlight w:val="none"/>
          <w:lang w:eastAsia="zh-CN"/>
        </w:rPr>
        <w:t>中标人</w:t>
      </w:r>
      <w:r>
        <w:rPr>
          <w:rFonts w:hint="eastAsia" w:ascii="宋体" w:hAnsi="宋体" w:eastAsia="宋体" w:cs="宋体"/>
          <w:color w:val="auto"/>
          <w:kern w:val="0"/>
          <w:szCs w:val="21"/>
          <w:highlight w:val="none"/>
        </w:rPr>
        <w:t>以履约保证金（银行转账形式）提供履约担保的，自合同签订日起满一年后，在</w:t>
      </w:r>
      <w:r>
        <w:rPr>
          <w:rFonts w:hint="eastAsia" w:ascii="宋体" w:hAnsi="宋体" w:eastAsia="宋体" w:cs="宋体"/>
          <w:color w:val="auto"/>
          <w:kern w:val="0"/>
          <w:szCs w:val="21"/>
          <w:highlight w:val="none"/>
          <w:lang w:eastAsia="zh-CN"/>
        </w:rPr>
        <w:t>中标人</w:t>
      </w:r>
      <w:r>
        <w:rPr>
          <w:rFonts w:hint="eastAsia" w:ascii="宋体" w:hAnsi="宋体" w:eastAsia="宋体" w:cs="宋体"/>
          <w:color w:val="auto"/>
          <w:kern w:val="0"/>
          <w:szCs w:val="21"/>
          <w:highlight w:val="none"/>
        </w:rPr>
        <w:t>所供应全部货物经最终验收合格、</w:t>
      </w:r>
      <w:r>
        <w:rPr>
          <w:rFonts w:hint="eastAsia" w:ascii="宋体" w:hAnsi="宋体" w:eastAsia="宋体" w:cs="宋体"/>
          <w:color w:val="auto"/>
          <w:kern w:val="0"/>
          <w:szCs w:val="21"/>
          <w:highlight w:val="none"/>
          <w:lang w:eastAsia="zh-CN"/>
        </w:rPr>
        <w:t>招标人或招标人权属子公司</w:t>
      </w: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eastAsia="zh-CN"/>
        </w:rPr>
        <w:t>中标人</w:t>
      </w:r>
      <w:r>
        <w:rPr>
          <w:rFonts w:hint="eastAsia" w:ascii="宋体" w:hAnsi="宋体" w:eastAsia="宋体" w:cs="宋体"/>
          <w:color w:val="auto"/>
          <w:kern w:val="0"/>
          <w:szCs w:val="21"/>
          <w:highlight w:val="none"/>
        </w:rPr>
        <w:t>的履约评价合格，经</w:t>
      </w:r>
      <w:r>
        <w:rPr>
          <w:rFonts w:hint="eastAsia" w:ascii="宋体" w:hAnsi="宋体" w:eastAsia="宋体" w:cs="宋体"/>
          <w:color w:val="auto"/>
          <w:kern w:val="0"/>
          <w:szCs w:val="21"/>
          <w:highlight w:val="none"/>
          <w:lang w:eastAsia="zh-CN"/>
        </w:rPr>
        <w:t>招标人或招标人权属子公司</w:t>
      </w:r>
      <w:r>
        <w:rPr>
          <w:rFonts w:hint="eastAsia" w:ascii="宋体" w:hAnsi="宋体" w:eastAsia="宋体" w:cs="宋体"/>
          <w:color w:val="auto"/>
          <w:kern w:val="0"/>
          <w:szCs w:val="21"/>
          <w:highlight w:val="none"/>
        </w:rPr>
        <w:t>确认，在</w:t>
      </w:r>
      <w:r>
        <w:rPr>
          <w:rFonts w:hint="eastAsia" w:ascii="宋体" w:hAnsi="宋体" w:eastAsia="宋体" w:cs="宋体"/>
          <w:color w:val="auto"/>
          <w:kern w:val="0"/>
          <w:szCs w:val="21"/>
          <w:highlight w:val="none"/>
          <w:lang w:eastAsia="zh-CN"/>
        </w:rPr>
        <w:t>中标人</w:t>
      </w:r>
      <w:r>
        <w:rPr>
          <w:rFonts w:hint="eastAsia" w:ascii="宋体" w:hAnsi="宋体" w:eastAsia="宋体" w:cs="宋体"/>
          <w:color w:val="auto"/>
          <w:kern w:val="0"/>
          <w:szCs w:val="21"/>
          <w:highlight w:val="none"/>
        </w:rPr>
        <w:t>的履约保证金未被扣除的情况下，</w:t>
      </w:r>
      <w:r>
        <w:rPr>
          <w:rFonts w:hint="eastAsia" w:ascii="宋体" w:hAnsi="宋体" w:eastAsia="宋体" w:cs="宋体"/>
          <w:color w:val="auto"/>
          <w:kern w:val="0"/>
          <w:szCs w:val="21"/>
          <w:highlight w:val="none"/>
          <w:lang w:eastAsia="zh-CN"/>
        </w:rPr>
        <w:t>中标人</w:t>
      </w:r>
      <w:r>
        <w:rPr>
          <w:rFonts w:hint="eastAsia" w:ascii="宋体" w:hAnsi="宋体" w:eastAsia="宋体" w:cs="宋体"/>
          <w:color w:val="auto"/>
          <w:kern w:val="0"/>
          <w:szCs w:val="21"/>
          <w:highlight w:val="none"/>
        </w:rPr>
        <w:t>可向</w:t>
      </w:r>
      <w:r>
        <w:rPr>
          <w:rFonts w:hint="eastAsia" w:ascii="宋体" w:hAnsi="宋体" w:eastAsia="宋体" w:cs="宋体"/>
          <w:color w:val="auto"/>
          <w:kern w:val="0"/>
          <w:szCs w:val="21"/>
          <w:highlight w:val="none"/>
          <w:lang w:eastAsia="zh-CN"/>
        </w:rPr>
        <w:t>招标人或招标人权属子公司</w:t>
      </w:r>
      <w:r>
        <w:rPr>
          <w:rFonts w:hint="eastAsia" w:ascii="宋体" w:hAnsi="宋体" w:eastAsia="宋体" w:cs="宋体"/>
          <w:color w:val="auto"/>
          <w:kern w:val="0"/>
          <w:szCs w:val="21"/>
          <w:highlight w:val="none"/>
        </w:rPr>
        <w:t>提交退回履约保证金40%的申请。</w:t>
      </w:r>
      <w:r>
        <w:rPr>
          <w:rFonts w:hint="eastAsia" w:ascii="宋体" w:hAnsi="宋体" w:eastAsia="宋体" w:cs="宋体"/>
          <w:color w:val="auto"/>
          <w:kern w:val="0"/>
          <w:szCs w:val="21"/>
          <w:highlight w:val="none"/>
          <w:lang w:eastAsia="zh-CN"/>
        </w:rPr>
        <w:t>招标人或招标人权属子公司</w:t>
      </w:r>
      <w:r>
        <w:rPr>
          <w:rFonts w:hint="eastAsia" w:ascii="宋体" w:hAnsi="宋体" w:eastAsia="宋体" w:cs="宋体"/>
          <w:color w:val="auto"/>
          <w:kern w:val="0"/>
          <w:szCs w:val="21"/>
          <w:highlight w:val="none"/>
        </w:rPr>
        <w:t>审核无异议后，办理退回履约保证金40%的手续。假如履约保证金被扣除（无论扣除数额大小），</w:t>
      </w:r>
      <w:r>
        <w:rPr>
          <w:rFonts w:hint="eastAsia" w:ascii="宋体" w:hAnsi="宋体" w:eastAsia="宋体" w:cs="宋体"/>
          <w:color w:val="auto"/>
          <w:kern w:val="0"/>
          <w:szCs w:val="21"/>
          <w:highlight w:val="none"/>
          <w:lang w:eastAsia="zh-CN"/>
        </w:rPr>
        <w:t>招标人或招标人权属子公司</w:t>
      </w:r>
      <w:r>
        <w:rPr>
          <w:rFonts w:hint="eastAsia" w:ascii="宋体" w:hAnsi="宋体" w:eastAsia="宋体" w:cs="宋体"/>
          <w:color w:val="auto"/>
          <w:kern w:val="0"/>
          <w:szCs w:val="21"/>
          <w:highlight w:val="none"/>
        </w:rPr>
        <w:t>不退回任何履约保证金。</w:t>
      </w:r>
    </w:p>
    <w:p w14:paraId="2EDC7456">
      <w:pPr>
        <w:keepNext w:val="0"/>
        <w:keepLines w:val="0"/>
        <w:pageBreakBefore w:val="0"/>
        <w:widowControl w:val="0"/>
        <w:tabs>
          <w:tab w:val="left" w:pos="360"/>
          <w:tab w:val="left" w:pos="4725"/>
        </w:tabs>
        <w:kinsoku/>
        <w:wordWrap/>
        <w:overflowPunct/>
        <w:topLinePunct w:val="0"/>
        <w:autoSpaceDE w:val="0"/>
        <w:autoSpaceDN w:val="0"/>
        <w:bidi w:val="0"/>
        <w:adjustRightInd w:val="0"/>
        <w:snapToGrid/>
        <w:spacing w:line="360" w:lineRule="auto"/>
        <w:ind w:left="420" w:leftChars="200" w:firstLine="210" w:firstLineChars="1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剩余的履约保证金，在合同期限届满、全部货物经最终验收合格、</w:t>
      </w:r>
      <w:r>
        <w:rPr>
          <w:rFonts w:hint="eastAsia" w:ascii="宋体" w:hAnsi="宋体" w:eastAsia="宋体" w:cs="宋体"/>
          <w:color w:val="auto"/>
          <w:kern w:val="0"/>
          <w:szCs w:val="21"/>
          <w:highlight w:val="none"/>
          <w:lang w:eastAsia="zh-CN"/>
        </w:rPr>
        <w:t>招标人或招标人权属子公司</w:t>
      </w: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eastAsia="zh-CN"/>
        </w:rPr>
        <w:t>中标人</w:t>
      </w:r>
      <w:r>
        <w:rPr>
          <w:rFonts w:hint="eastAsia" w:ascii="宋体" w:hAnsi="宋体" w:eastAsia="宋体" w:cs="宋体"/>
          <w:color w:val="auto"/>
          <w:kern w:val="0"/>
          <w:szCs w:val="21"/>
          <w:highlight w:val="none"/>
        </w:rPr>
        <w:t>的履约评价合格、</w:t>
      </w:r>
      <w:r>
        <w:rPr>
          <w:rFonts w:hint="eastAsia" w:ascii="宋体" w:hAnsi="宋体" w:eastAsia="宋体" w:cs="宋体"/>
          <w:color w:val="auto"/>
          <w:kern w:val="0"/>
          <w:szCs w:val="21"/>
          <w:highlight w:val="none"/>
          <w:lang w:eastAsia="zh-CN"/>
        </w:rPr>
        <w:t>招标人或招标人权属子公司</w:t>
      </w:r>
      <w:r>
        <w:rPr>
          <w:rFonts w:hint="eastAsia" w:ascii="宋体" w:hAnsi="宋体" w:eastAsia="宋体" w:cs="宋体"/>
          <w:color w:val="auto"/>
          <w:kern w:val="0"/>
          <w:szCs w:val="21"/>
          <w:highlight w:val="none"/>
        </w:rPr>
        <w:t>支付了全部货款（除质保金）后二十八（28）日后，经</w:t>
      </w:r>
      <w:r>
        <w:rPr>
          <w:rFonts w:hint="eastAsia" w:ascii="宋体" w:hAnsi="宋体" w:eastAsia="宋体" w:cs="宋体"/>
          <w:color w:val="auto"/>
          <w:kern w:val="0"/>
          <w:szCs w:val="21"/>
          <w:highlight w:val="none"/>
          <w:lang w:eastAsia="zh-CN"/>
        </w:rPr>
        <w:t>招标人或招标人权属子公司</w:t>
      </w:r>
      <w:r>
        <w:rPr>
          <w:rFonts w:hint="eastAsia" w:ascii="宋体" w:hAnsi="宋体" w:eastAsia="宋体" w:cs="宋体"/>
          <w:color w:val="auto"/>
          <w:kern w:val="0"/>
          <w:szCs w:val="21"/>
          <w:highlight w:val="none"/>
        </w:rPr>
        <w:t>确认，</w:t>
      </w:r>
      <w:r>
        <w:rPr>
          <w:rFonts w:hint="eastAsia" w:ascii="宋体" w:hAnsi="宋体" w:eastAsia="宋体" w:cs="宋体"/>
          <w:color w:val="auto"/>
          <w:kern w:val="0"/>
          <w:szCs w:val="21"/>
          <w:highlight w:val="none"/>
          <w:lang w:eastAsia="zh-CN"/>
        </w:rPr>
        <w:t>中标人</w:t>
      </w:r>
      <w:r>
        <w:rPr>
          <w:rFonts w:hint="eastAsia" w:ascii="宋体" w:hAnsi="宋体" w:eastAsia="宋体" w:cs="宋体"/>
          <w:color w:val="auto"/>
          <w:kern w:val="0"/>
          <w:szCs w:val="21"/>
          <w:highlight w:val="none"/>
        </w:rPr>
        <w:t>可向</w:t>
      </w:r>
      <w:r>
        <w:rPr>
          <w:rFonts w:hint="eastAsia" w:ascii="宋体" w:hAnsi="宋体" w:eastAsia="宋体" w:cs="宋体"/>
          <w:color w:val="auto"/>
          <w:kern w:val="0"/>
          <w:szCs w:val="21"/>
          <w:highlight w:val="none"/>
          <w:lang w:eastAsia="zh-CN"/>
        </w:rPr>
        <w:t>招标人或招标人权属子公司</w:t>
      </w:r>
      <w:r>
        <w:rPr>
          <w:rFonts w:hint="eastAsia" w:ascii="宋体" w:hAnsi="宋体" w:eastAsia="宋体" w:cs="宋体"/>
          <w:color w:val="auto"/>
          <w:kern w:val="0"/>
          <w:szCs w:val="21"/>
          <w:highlight w:val="none"/>
        </w:rPr>
        <w:t>提交退回剩余履约保证金的申请。</w:t>
      </w:r>
      <w:r>
        <w:rPr>
          <w:rFonts w:hint="eastAsia" w:ascii="宋体" w:hAnsi="宋体" w:eastAsia="宋体" w:cs="宋体"/>
          <w:color w:val="auto"/>
          <w:kern w:val="0"/>
          <w:szCs w:val="21"/>
          <w:highlight w:val="none"/>
          <w:lang w:eastAsia="zh-CN"/>
        </w:rPr>
        <w:t>招标人或招标人权属子公司</w:t>
      </w:r>
      <w:r>
        <w:rPr>
          <w:rFonts w:hint="eastAsia" w:ascii="宋体" w:hAnsi="宋体" w:eastAsia="宋体" w:cs="宋体"/>
          <w:color w:val="auto"/>
          <w:kern w:val="0"/>
          <w:szCs w:val="21"/>
          <w:highlight w:val="none"/>
        </w:rPr>
        <w:t>审核无异议并在扣除相应的费用（若有）后，办理退回剩余履约保证金的手续。</w:t>
      </w:r>
    </w:p>
    <w:p w14:paraId="7548BAA5">
      <w:pPr>
        <w:keepNext w:val="0"/>
        <w:keepLines w:val="0"/>
        <w:pageBreakBefore w:val="0"/>
        <w:widowControl w:val="0"/>
        <w:tabs>
          <w:tab w:val="left" w:pos="360"/>
          <w:tab w:val="left" w:pos="4725"/>
        </w:tabs>
        <w:kinsoku/>
        <w:wordWrap/>
        <w:overflowPunct/>
        <w:topLinePunct w:val="0"/>
        <w:autoSpaceDE w:val="0"/>
        <w:autoSpaceDN w:val="0"/>
        <w:bidi w:val="0"/>
        <w:adjustRightInd w:val="0"/>
        <w:snapToGrid/>
        <w:spacing w:line="360" w:lineRule="auto"/>
        <w:ind w:left="420" w:leftChars="200" w:firstLine="210" w:firstLineChars="100"/>
        <w:jc w:val="left"/>
        <w:textAlignment w:val="auto"/>
        <w:rPr>
          <w:rFonts w:ascii="宋体" w:hAnsi="宋体" w:eastAsia="宋体" w:cs="宋体"/>
          <w:color w:val="auto"/>
          <w:kern w:val="0"/>
          <w:szCs w:val="24"/>
          <w:highlight w:val="none"/>
        </w:rPr>
      </w:pPr>
      <w:r>
        <w:rPr>
          <w:rFonts w:hint="eastAsia" w:ascii="宋体" w:hAnsi="宋体" w:eastAsia="宋体" w:cs="宋体"/>
          <w:color w:val="auto"/>
          <w:kern w:val="0"/>
          <w:szCs w:val="21"/>
          <w:highlight w:val="none"/>
        </w:rPr>
        <w:t>退回时一律以银行转账的形式无息退回到</w:t>
      </w:r>
      <w:r>
        <w:rPr>
          <w:rFonts w:hint="eastAsia" w:ascii="宋体" w:hAnsi="宋体" w:eastAsia="宋体" w:cs="宋体"/>
          <w:color w:val="auto"/>
          <w:kern w:val="0"/>
          <w:szCs w:val="21"/>
          <w:highlight w:val="none"/>
          <w:lang w:eastAsia="zh-CN"/>
        </w:rPr>
        <w:t>中标人</w:t>
      </w:r>
      <w:r>
        <w:rPr>
          <w:rFonts w:hint="eastAsia" w:ascii="宋体" w:hAnsi="宋体" w:eastAsia="宋体" w:cs="宋体"/>
          <w:color w:val="auto"/>
          <w:kern w:val="0"/>
          <w:szCs w:val="21"/>
          <w:highlight w:val="none"/>
        </w:rPr>
        <w:t>的账户。如履约保证金被扣除，则只退回扣除后的余额，如全部扣除完毕，则</w:t>
      </w:r>
      <w:r>
        <w:rPr>
          <w:rFonts w:hint="eastAsia" w:ascii="宋体" w:hAnsi="宋体" w:eastAsia="宋体" w:cs="宋体"/>
          <w:color w:val="auto"/>
          <w:kern w:val="0"/>
          <w:szCs w:val="21"/>
          <w:highlight w:val="none"/>
          <w:lang w:eastAsia="zh-CN"/>
        </w:rPr>
        <w:t>招标人或招标人权属子公司</w:t>
      </w:r>
      <w:r>
        <w:rPr>
          <w:rFonts w:hint="eastAsia" w:ascii="宋体" w:hAnsi="宋体" w:eastAsia="宋体" w:cs="宋体"/>
          <w:color w:val="auto"/>
          <w:kern w:val="0"/>
          <w:szCs w:val="21"/>
          <w:highlight w:val="none"/>
        </w:rPr>
        <w:t>不退回履约保证金。</w:t>
      </w:r>
    </w:p>
    <w:p w14:paraId="0E742C7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34E2AB0E">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94" w:name="_Toc10548"/>
      <w:bookmarkStart w:id="395" w:name="_Toc3311"/>
      <w:bookmarkStart w:id="396" w:name="_Toc142508353"/>
      <w:bookmarkStart w:id="397" w:name="_Toc195714259"/>
      <w:bookmarkStart w:id="398" w:name="_Toc27162"/>
      <w:bookmarkStart w:id="399" w:name="_Toc486167702"/>
      <w:bookmarkStart w:id="400" w:name="_Toc18071"/>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bookmarkEnd w:id="394"/>
      <w:bookmarkEnd w:id="395"/>
      <w:bookmarkEnd w:id="396"/>
      <w:bookmarkEnd w:id="397"/>
      <w:bookmarkEnd w:id="398"/>
      <w:bookmarkEnd w:id="399"/>
      <w:bookmarkEnd w:id="400"/>
    </w:p>
    <w:p w14:paraId="52875F07">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38.1 合同履行中，招标人</w:t>
      </w:r>
      <w:r>
        <w:rPr>
          <w:rFonts w:hint="eastAsia" w:ascii="宋体" w:hAnsi="宋体" w:eastAsia="宋体" w:cs="Times New Roman"/>
          <w:color w:val="auto"/>
          <w:kern w:val="0"/>
          <w:szCs w:val="24"/>
          <w:highlight w:val="none"/>
        </w:rPr>
        <w:t>或招标人权属子公司</w:t>
      </w:r>
      <w:r>
        <w:rPr>
          <w:rFonts w:hint="eastAsia" w:ascii="宋体" w:hAnsi="宋体" w:eastAsia="宋体" w:cs="宋体"/>
          <w:color w:val="auto"/>
          <w:kern w:val="0"/>
          <w:szCs w:val="21"/>
          <w:highlight w:val="none"/>
        </w:rPr>
        <w:t>在合同约定的范围内，招标人或招标人权属子公司有权根据项目实际情况及有关法律法规、政策的规定对采购范围进行变更调整，变更采购范围后，投标人应遵照执行。</w:t>
      </w:r>
    </w:p>
    <w:p w14:paraId="1D9B09D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01" w:name="_Toc450662888"/>
    </w:p>
    <w:p w14:paraId="3274E320">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100" w:right="0" w:rightChars="0" w:hanging="210" w:hangingChars="100"/>
        <w:textAlignment w:val="auto"/>
        <w:rPr>
          <w:rFonts w:hint="default" w:ascii="宋体" w:hAnsi="宋体" w:eastAsia="宋体" w:cs="宋体"/>
          <w:color w:val="auto"/>
          <w:szCs w:val="21"/>
          <w:highlight w:val="none"/>
          <w:lang w:val="en-US" w:eastAsia="zh-CN"/>
        </w:rPr>
      </w:pPr>
      <w:bookmarkStart w:id="402" w:name="_Toc2401"/>
      <w:bookmarkStart w:id="403" w:name="_Toc195714260"/>
      <w:bookmarkStart w:id="404" w:name="_Toc14850"/>
      <w:bookmarkStart w:id="405" w:name="_Toc142508354"/>
      <w:bookmarkStart w:id="406" w:name="_Toc486167703"/>
      <w:bookmarkStart w:id="407" w:name="_Toc23218"/>
      <w:bookmarkStart w:id="408" w:name="_Toc28921_WPSOffice_Level3"/>
      <w:r>
        <w:rPr>
          <w:rFonts w:hint="eastAsia" w:ascii="宋体" w:hAnsi="宋体" w:eastAsia="宋体" w:cs="宋体"/>
          <w:color w:val="auto"/>
          <w:szCs w:val="21"/>
          <w:highlight w:val="none"/>
        </w:rPr>
        <w:t>39</w:t>
      </w:r>
      <w:r>
        <w:rPr>
          <w:rFonts w:hint="eastAsia" w:ascii="宋体" w:hAnsi="宋体" w:eastAsia="宋体" w:cs="宋体"/>
          <w:color w:val="auto"/>
          <w:szCs w:val="21"/>
          <w:highlight w:val="none"/>
          <w:lang w:val="zh-CN"/>
        </w:rPr>
        <w:t xml:space="preserve"> </w:t>
      </w:r>
      <w:bookmarkEnd w:id="401"/>
      <w:bookmarkEnd w:id="402"/>
      <w:bookmarkEnd w:id="403"/>
      <w:bookmarkEnd w:id="404"/>
      <w:bookmarkEnd w:id="405"/>
      <w:bookmarkEnd w:id="406"/>
      <w:bookmarkEnd w:id="407"/>
      <w:bookmarkEnd w:id="408"/>
      <w:bookmarkStart w:id="409" w:name="_Toc450662889"/>
      <w:r>
        <w:rPr>
          <w:rFonts w:hint="eastAsia" w:ascii="宋体" w:hAnsi="宋体" w:eastAsia="宋体" w:cs="宋体"/>
          <w:color w:val="auto"/>
          <w:szCs w:val="21"/>
          <w:highlight w:val="none"/>
          <w:lang w:val="en-US" w:eastAsia="zh-CN"/>
        </w:rPr>
        <w:t>中标服务费</w:t>
      </w:r>
    </w:p>
    <w:p w14:paraId="1801352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right="0" w:rightChars="0" w:hanging="567" w:hangingChars="270"/>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color w:val="auto"/>
          <w:szCs w:val="21"/>
          <w:highlight w:val="none"/>
        </w:rPr>
        <w:t>39.1 中标人应向招标代理机构一次性交纳中标服务费（以中标通知书中不含税中标总价金额为计费额，本项目业务性质：按货物类招标代理服务收费），依次按以下第（1）（2）款计算得出服务费基价，服务费基价实行全额分档折扣计算，按第（3）款计算折扣得出代理服务费，具体如下。</w:t>
      </w:r>
    </w:p>
    <w:p w14:paraId="786D25E4">
      <w:pPr>
        <w:tabs>
          <w:tab w:val="left" w:pos="567"/>
        </w:tabs>
        <w:autoSpaceDE w:val="0"/>
        <w:autoSpaceDN w:val="0"/>
        <w:adjustRightInd w:val="0"/>
        <w:spacing w:line="360" w:lineRule="auto"/>
        <w:ind w:left="0" w:leftChars="0" w:firstLine="420" w:firstLineChars="200"/>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（1）</w:t>
      </w:r>
      <w:r>
        <w:rPr>
          <w:rFonts w:hint="eastAsia" w:ascii="宋体" w:hAnsi="宋体" w:eastAsia="宋体" w:cs="宋体"/>
          <w:b w:val="0"/>
          <w:color w:val="auto"/>
          <w:szCs w:val="21"/>
          <w:highlight w:val="none"/>
          <w:lang w:val="zh-CN"/>
        </w:rPr>
        <w:t>参照</w:t>
      </w:r>
      <w:r>
        <w:rPr>
          <w:rFonts w:hint="eastAsia" w:ascii="宋体" w:hAnsi="宋体" w:eastAsia="宋体" w:cs="宋体"/>
          <w:b w:val="0"/>
          <w:color w:val="auto"/>
          <w:szCs w:val="21"/>
          <w:highlight w:val="none"/>
          <w:lang w:val="en-US" w:eastAsia="zh-CN"/>
        </w:rPr>
        <w:t>以下标准按差额定率累进法计算：</w:t>
      </w:r>
    </w:p>
    <w:tbl>
      <w:tblPr>
        <w:tblStyle w:val="37"/>
        <w:tblW w:w="4999"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0"/>
        <w:gridCol w:w="2461"/>
        <w:gridCol w:w="2461"/>
        <w:gridCol w:w="2466"/>
      </w:tblGrid>
      <w:tr w14:paraId="680D84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vMerge w:val="restart"/>
            <w:shd w:val="clear" w:color="auto" w:fill="auto"/>
            <w:tcMar>
              <w:top w:w="0" w:type="dxa"/>
              <w:left w:w="0" w:type="dxa"/>
              <w:bottom w:w="0" w:type="dxa"/>
              <w:right w:w="0" w:type="dxa"/>
            </w:tcMar>
            <w:vAlign w:val="center"/>
          </w:tcPr>
          <w:p w14:paraId="5AF7C7CB">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lang w:val="en-US" w:eastAsia="zh-CN" w:bidi="ar"/>
              </w:rPr>
              <w:t>中标金额（万元）</w:t>
            </w:r>
          </w:p>
        </w:tc>
        <w:tc>
          <w:tcPr>
            <w:tcW w:w="3750" w:type="pct"/>
            <w:gridSpan w:val="3"/>
            <w:shd w:val="clear" w:color="auto" w:fill="auto"/>
            <w:tcMar>
              <w:top w:w="0" w:type="dxa"/>
              <w:left w:w="0" w:type="dxa"/>
              <w:bottom w:w="0" w:type="dxa"/>
              <w:right w:w="0" w:type="dxa"/>
            </w:tcMar>
            <w:vAlign w:val="center"/>
          </w:tcPr>
          <w:p w14:paraId="09F49799">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lang w:val="en-US" w:eastAsia="zh-CN" w:bidi="ar"/>
              </w:rPr>
              <w:t>服务类型</w:t>
            </w:r>
          </w:p>
        </w:tc>
      </w:tr>
      <w:tr w14:paraId="07D309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continue"/>
            <w:shd w:val="clear" w:color="auto" w:fill="auto"/>
            <w:tcMar>
              <w:top w:w="0" w:type="dxa"/>
              <w:left w:w="0" w:type="dxa"/>
              <w:bottom w:w="0" w:type="dxa"/>
              <w:right w:w="0" w:type="dxa"/>
            </w:tcMar>
            <w:vAlign w:val="center"/>
          </w:tcPr>
          <w:p w14:paraId="53517143">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p>
        </w:tc>
        <w:tc>
          <w:tcPr>
            <w:tcW w:w="3750" w:type="pct"/>
            <w:gridSpan w:val="3"/>
            <w:shd w:val="clear" w:color="auto" w:fill="auto"/>
            <w:tcMar>
              <w:top w:w="0" w:type="dxa"/>
              <w:left w:w="0" w:type="dxa"/>
              <w:bottom w:w="0" w:type="dxa"/>
              <w:right w:w="0" w:type="dxa"/>
            </w:tcMar>
            <w:vAlign w:val="center"/>
          </w:tcPr>
          <w:p w14:paraId="1B559267">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lang w:val="en-US" w:eastAsia="zh-CN" w:bidi="ar"/>
              </w:rPr>
              <w:t>费率</w:t>
            </w:r>
          </w:p>
        </w:tc>
      </w:tr>
      <w:tr w14:paraId="49D286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continue"/>
            <w:shd w:val="clear" w:color="auto" w:fill="auto"/>
            <w:tcMar>
              <w:top w:w="0" w:type="dxa"/>
              <w:left w:w="0" w:type="dxa"/>
              <w:bottom w:w="0" w:type="dxa"/>
              <w:right w:w="0" w:type="dxa"/>
            </w:tcMar>
            <w:vAlign w:val="center"/>
          </w:tcPr>
          <w:p w14:paraId="03307C8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p>
        </w:tc>
        <w:tc>
          <w:tcPr>
            <w:tcW w:w="1249" w:type="pct"/>
            <w:shd w:val="clear" w:color="auto" w:fill="auto"/>
            <w:tcMar>
              <w:top w:w="0" w:type="dxa"/>
              <w:left w:w="0" w:type="dxa"/>
              <w:bottom w:w="0" w:type="dxa"/>
              <w:right w:w="0" w:type="dxa"/>
            </w:tcMar>
            <w:vAlign w:val="center"/>
          </w:tcPr>
          <w:p w14:paraId="1A997E47">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lang w:val="en-US" w:eastAsia="zh-CN" w:bidi="ar"/>
              </w:rPr>
              <w:t>货物招标</w:t>
            </w:r>
          </w:p>
        </w:tc>
        <w:tc>
          <w:tcPr>
            <w:tcW w:w="1249" w:type="pct"/>
            <w:shd w:val="clear" w:color="auto" w:fill="auto"/>
            <w:tcMar>
              <w:top w:w="0" w:type="dxa"/>
              <w:left w:w="0" w:type="dxa"/>
              <w:bottom w:w="0" w:type="dxa"/>
              <w:right w:w="0" w:type="dxa"/>
            </w:tcMar>
            <w:vAlign w:val="center"/>
          </w:tcPr>
          <w:p w14:paraId="12136517">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lang w:val="en-US" w:eastAsia="zh-CN" w:bidi="ar"/>
              </w:rPr>
              <w:t>服务招标</w:t>
            </w:r>
          </w:p>
        </w:tc>
        <w:tc>
          <w:tcPr>
            <w:tcW w:w="1251" w:type="pct"/>
            <w:shd w:val="clear" w:color="auto" w:fill="auto"/>
            <w:tcMar>
              <w:top w:w="0" w:type="dxa"/>
              <w:left w:w="0" w:type="dxa"/>
              <w:bottom w:w="0" w:type="dxa"/>
              <w:right w:w="0" w:type="dxa"/>
            </w:tcMar>
            <w:vAlign w:val="center"/>
          </w:tcPr>
          <w:p w14:paraId="10C832FE">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lang w:val="en-US" w:eastAsia="zh-CN" w:bidi="ar"/>
              </w:rPr>
              <w:t>工程招标</w:t>
            </w:r>
          </w:p>
        </w:tc>
      </w:tr>
      <w:tr w14:paraId="2643A8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4D936C4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100以下</w:t>
            </w:r>
          </w:p>
        </w:tc>
        <w:tc>
          <w:tcPr>
            <w:tcW w:w="1249" w:type="pct"/>
            <w:shd w:val="clear" w:color="auto" w:fill="auto"/>
            <w:tcMar>
              <w:top w:w="0" w:type="dxa"/>
              <w:left w:w="0" w:type="dxa"/>
              <w:bottom w:w="0" w:type="dxa"/>
              <w:right w:w="0" w:type="dxa"/>
            </w:tcMar>
            <w:vAlign w:val="center"/>
          </w:tcPr>
          <w:p w14:paraId="605F0E7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w:t>
            </w:r>
          </w:p>
        </w:tc>
        <w:tc>
          <w:tcPr>
            <w:tcW w:w="1249" w:type="pct"/>
            <w:shd w:val="clear" w:color="auto" w:fill="auto"/>
            <w:tcMar>
              <w:top w:w="0" w:type="dxa"/>
              <w:left w:w="0" w:type="dxa"/>
              <w:bottom w:w="0" w:type="dxa"/>
              <w:right w:w="0" w:type="dxa"/>
            </w:tcMar>
            <w:vAlign w:val="center"/>
          </w:tcPr>
          <w:p w14:paraId="365D22BA">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w:t>
            </w:r>
          </w:p>
        </w:tc>
        <w:tc>
          <w:tcPr>
            <w:tcW w:w="1251" w:type="pct"/>
            <w:shd w:val="clear" w:color="auto" w:fill="auto"/>
            <w:tcMar>
              <w:top w:w="0" w:type="dxa"/>
              <w:left w:w="0" w:type="dxa"/>
              <w:bottom w:w="0" w:type="dxa"/>
              <w:right w:w="0" w:type="dxa"/>
            </w:tcMar>
            <w:vAlign w:val="center"/>
          </w:tcPr>
          <w:p w14:paraId="2EB2327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w:t>
            </w:r>
          </w:p>
        </w:tc>
      </w:tr>
      <w:tr w14:paraId="3C66BF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1CBC8C2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100-500</w:t>
            </w:r>
          </w:p>
        </w:tc>
        <w:tc>
          <w:tcPr>
            <w:tcW w:w="1249" w:type="pct"/>
            <w:shd w:val="clear" w:color="auto" w:fill="auto"/>
            <w:tcMar>
              <w:top w:w="0" w:type="dxa"/>
              <w:left w:w="0" w:type="dxa"/>
              <w:bottom w:w="0" w:type="dxa"/>
              <w:right w:w="0" w:type="dxa"/>
            </w:tcMar>
            <w:vAlign w:val="center"/>
          </w:tcPr>
          <w:p w14:paraId="7DEA803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1.1%</w:t>
            </w:r>
          </w:p>
        </w:tc>
        <w:tc>
          <w:tcPr>
            <w:tcW w:w="1249" w:type="pct"/>
            <w:shd w:val="clear" w:color="auto" w:fill="auto"/>
            <w:tcMar>
              <w:top w:w="0" w:type="dxa"/>
              <w:left w:w="0" w:type="dxa"/>
              <w:bottom w:w="0" w:type="dxa"/>
              <w:right w:w="0" w:type="dxa"/>
            </w:tcMar>
            <w:vAlign w:val="center"/>
          </w:tcPr>
          <w:p w14:paraId="695EA79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0.8%</w:t>
            </w:r>
          </w:p>
        </w:tc>
        <w:tc>
          <w:tcPr>
            <w:tcW w:w="1251" w:type="pct"/>
            <w:shd w:val="clear" w:color="auto" w:fill="auto"/>
            <w:tcMar>
              <w:top w:w="0" w:type="dxa"/>
              <w:left w:w="0" w:type="dxa"/>
              <w:bottom w:w="0" w:type="dxa"/>
              <w:right w:w="0" w:type="dxa"/>
            </w:tcMar>
            <w:vAlign w:val="center"/>
          </w:tcPr>
          <w:p w14:paraId="13D01EE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0.7%</w:t>
            </w:r>
          </w:p>
        </w:tc>
      </w:tr>
      <w:tr w14:paraId="3089E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3E8BCB5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500-1000</w:t>
            </w:r>
          </w:p>
        </w:tc>
        <w:tc>
          <w:tcPr>
            <w:tcW w:w="1249" w:type="pct"/>
            <w:shd w:val="clear" w:color="auto" w:fill="auto"/>
            <w:tcMar>
              <w:top w:w="0" w:type="dxa"/>
              <w:left w:w="0" w:type="dxa"/>
              <w:bottom w:w="0" w:type="dxa"/>
              <w:right w:w="0" w:type="dxa"/>
            </w:tcMar>
            <w:vAlign w:val="center"/>
          </w:tcPr>
          <w:p w14:paraId="4F4E8A17">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0.8%</w:t>
            </w:r>
          </w:p>
        </w:tc>
        <w:tc>
          <w:tcPr>
            <w:tcW w:w="1249" w:type="pct"/>
            <w:shd w:val="clear" w:color="auto" w:fill="auto"/>
            <w:tcMar>
              <w:top w:w="0" w:type="dxa"/>
              <w:left w:w="0" w:type="dxa"/>
              <w:bottom w:w="0" w:type="dxa"/>
              <w:right w:w="0" w:type="dxa"/>
            </w:tcMar>
            <w:vAlign w:val="center"/>
          </w:tcPr>
          <w:p w14:paraId="2CD8C59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0.45%</w:t>
            </w:r>
          </w:p>
        </w:tc>
        <w:tc>
          <w:tcPr>
            <w:tcW w:w="1251" w:type="pct"/>
            <w:shd w:val="clear" w:color="auto" w:fill="auto"/>
            <w:tcMar>
              <w:top w:w="0" w:type="dxa"/>
              <w:left w:w="0" w:type="dxa"/>
              <w:bottom w:w="0" w:type="dxa"/>
              <w:right w:w="0" w:type="dxa"/>
            </w:tcMar>
            <w:vAlign w:val="center"/>
          </w:tcPr>
          <w:p w14:paraId="2AEEBA2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0.55%</w:t>
            </w:r>
          </w:p>
        </w:tc>
      </w:tr>
      <w:tr w14:paraId="6035C8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5980E27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1000-5000</w:t>
            </w:r>
          </w:p>
        </w:tc>
        <w:tc>
          <w:tcPr>
            <w:tcW w:w="1249" w:type="pct"/>
            <w:shd w:val="clear" w:color="auto" w:fill="auto"/>
            <w:tcMar>
              <w:top w:w="0" w:type="dxa"/>
              <w:left w:w="0" w:type="dxa"/>
              <w:bottom w:w="0" w:type="dxa"/>
              <w:right w:w="0" w:type="dxa"/>
            </w:tcMar>
            <w:vAlign w:val="center"/>
          </w:tcPr>
          <w:p w14:paraId="74E0AA8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0.5%</w:t>
            </w:r>
          </w:p>
        </w:tc>
        <w:tc>
          <w:tcPr>
            <w:tcW w:w="1249" w:type="pct"/>
            <w:shd w:val="clear" w:color="auto" w:fill="auto"/>
            <w:tcMar>
              <w:top w:w="0" w:type="dxa"/>
              <w:left w:w="0" w:type="dxa"/>
              <w:bottom w:w="0" w:type="dxa"/>
              <w:right w:w="0" w:type="dxa"/>
            </w:tcMar>
            <w:vAlign w:val="center"/>
          </w:tcPr>
          <w:p w14:paraId="47A535B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0.25%</w:t>
            </w:r>
          </w:p>
        </w:tc>
        <w:tc>
          <w:tcPr>
            <w:tcW w:w="1251" w:type="pct"/>
            <w:shd w:val="clear" w:color="auto" w:fill="auto"/>
            <w:tcMar>
              <w:top w:w="0" w:type="dxa"/>
              <w:left w:w="0" w:type="dxa"/>
              <w:bottom w:w="0" w:type="dxa"/>
              <w:right w:w="0" w:type="dxa"/>
            </w:tcMar>
            <w:vAlign w:val="center"/>
          </w:tcPr>
          <w:p w14:paraId="39F81917">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0.36%</w:t>
            </w:r>
          </w:p>
        </w:tc>
      </w:tr>
      <w:tr w14:paraId="06F8EB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42E3CF5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5000-10000</w:t>
            </w:r>
          </w:p>
        </w:tc>
        <w:tc>
          <w:tcPr>
            <w:tcW w:w="1249" w:type="pct"/>
            <w:shd w:val="clear" w:color="auto" w:fill="auto"/>
            <w:tcMar>
              <w:top w:w="0" w:type="dxa"/>
              <w:left w:w="0" w:type="dxa"/>
              <w:bottom w:w="0" w:type="dxa"/>
              <w:right w:w="0" w:type="dxa"/>
            </w:tcMar>
            <w:vAlign w:val="center"/>
          </w:tcPr>
          <w:p w14:paraId="577BDC0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0.25%</w:t>
            </w:r>
          </w:p>
        </w:tc>
        <w:tc>
          <w:tcPr>
            <w:tcW w:w="1249" w:type="pct"/>
            <w:shd w:val="clear" w:color="auto" w:fill="auto"/>
            <w:tcMar>
              <w:top w:w="0" w:type="dxa"/>
              <w:left w:w="0" w:type="dxa"/>
              <w:bottom w:w="0" w:type="dxa"/>
              <w:right w:w="0" w:type="dxa"/>
            </w:tcMar>
            <w:vAlign w:val="center"/>
          </w:tcPr>
          <w:p w14:paraId="2AF6C2CB">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0.1%</w:t>
            </w:r>
          </w:p>
        </w:tc>
        <w:tc>
          <w:tcPr>
            <w:tcW w:w="1251" w:type="pct"/>
            <w:shd w:val="clear" w:color="auto" w:fill="auto"/>
            <w:tcMar>
              <w:top w:w="0" w:type="dxa"/>
              <w:left w:w="0" w:type="dxa"/>
              <w:bottom w:w="0" w:type="dxa"/>
              <w:right w:w="0" w:type="dxa"/>
            </w:tcMar>
            <w:vAlign w:val="center"/>
          </w:tcPr>
          <w:p w14:paraId="41ADA52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w:t>
            </w:r>
          </w:p>
        </w:tc>
      </w:tr>
      <w:tr w14:paraId="6AC563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37BA06B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10000-100000</w:t>
            </w:r>
          </w:p>
        </w:tc>
        <w:tc>
          <w:tcPr>
            <w:tcW w:w="1249" w:type="pct"/>
            <w:shd w:val="clear" w:color="auto" w:fill="auto"/>
            <w:tcMar>
              <w:top w:w="0" w:type="dxa"/>
              <w:left w:w="0" w:type="dxa"/>
              <w:bottom w:w="0" w:type="dxa"/>
              <w:right w:w="0" w:type="dxa"/>
            </w:tcMar>
            <w:vAlign w:val="center"/>
          </w:tcPr>
          <w:p w14:paraId="41B5BE8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c>
          <w:tcPr>
            <w:tcW w:w="1249" w:type="pct"/>
            <w:shd w:val="clear" w:color="auto" w:fill="auto"/>
            <w:tcMar>
              <w:top w:w="0" w:type="dxa"/>
              <w:left w:w="0" w:type="dxa"/>
              <w:bottom w:w="0" w:type="dxa"/>
              <w:right w:w="0" w:type="dxa"/>
            </w:tcMar>
            <w:vAlign w:val="center"/>
          </w:tcPr>
          <w:p w14:paraId="3CA1289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c>
          <w:tcPr>
            <w:tcW w:w="1251" w:type="pct"/>
            <w:shd w:val="clear" w:color="auto" w:fill="auto"/>
            <w:tcMar>
              <w:top w:w="0" w:type="dxa"/>
              <w:left w:w="0" w:type="dxa"/>
              <w:bottom w:w="0" w:type="dxa"/>
              <w:right w:w="0" w:type="dxa"/>
            </w:tcMar>
            <w:vAlign w:val="center"/>
          </w:tcPr>
          <w:p w14:paraId="1137549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r>
      <w:tr w14:paraId="17F134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4D55EC2A">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1000000以上</w:t>
            </w:r>
          </w:p>
        </w:tc>
        <w:tc>
          <w:tcPr>
            <w:tcW w:w="1249" w:type="pct"/>
            <w:shd w:val="clear" w:color="auto" w:fill="auto"/>
            <w:tcMar>
              <w:top w:w="0" w:type="dxa"/>
              <w:left w:w="0" w:type="dxa"/>
              <w:bottom w:w="0" w:type="dxa"/>
              <w:right w:w="0" w:type="dxa"/>
            </w:tcMar>
            <w:vAlign w:val="center"/>
          </w:tcPr>
          <w:p w14:paraId="4A2D4F5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c>
          <w:tcPr>
            <w:tcW w:w="1249" w:type="pct"/>
            <w:shd w:val="clear" w:color="auto" w:fill="auto"/>
            <w:tcMar>
              <w:top w:w="0" w:type="dxa"/>
              <w:left w:w="0" w:type="dxa"/>
              <w:bottom w:w="0" w:type="dxa"/>
              <w:right w:w="0" w:type="dxa"/>
            </w:tcMar>
            <w:vAlign w:val="center"/>
          </w:tcPr>
          <w:p w14:paraId="17A9623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c>
          <w:tcPr>
            <w:tcW w:w="1251" w:type="pct"/>
            <w:shd w:val="clear" w:color="auto" w:fill="auto"/>
            <w:tcMar>
              <w:top w:w="0" w:type="dxa"/>
              <w:left w:w="0" w:type="dxa"/>
              <w:bottom w:w="0" w:type="dxa"/>
              <w:right w:w="0" w:type="dxa"/>
            </w:tcMar>
            <w:vAlign w:val="center"/>
          </w:tcPr>
          <w:p w14:paraId="2C8319B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r>
    </w:tbl>
    <w:p w14:paraId="46A36661">
      <w:pPr>
        <w:keepNext w:val="0"/>
        <w:keepLines w:val="0"/>
        <w:pageBreakBefore w:val="0"/>
        <w:widowControl/>
        <w:tabs>
          <w:tab w:val="left" w:pos="567"/>
        </w:tabs>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color w:val="auto"/>
          <w:szCs w:val="21"/>
          <w:highlight w:val="none"/>
          <w:lang w:val="en-US"/>
        </w:rPr>
      </w:pPr>
      <w:r>
        <w:rPr>
          <w:rFonts w:hint="eastAsia" w:ascii="宋体" w:hAnsi="宋体" w:eastAsia="宋体" w:cs="宋体"/>
          <w:b w:val="0"/>
          <w:color w:val="auto"/>
          <w:szCs w:val="21"/>
          <w:highlight w:val="none"/>
          <w:lang w:val="en-US" w:eastAsia="zh-CN"/>
        </w:rPr>
        <w:t>（2）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p>
    <w:p w14:paraId="03189121">
      <w:pPr>
        <w:tabs>
          <w:tab w:val="left" w:pos="567"/>
        </w:tabs>
        <w:autoSpaceDE w:val="0"/>
        <w:autoSpaceDN w:val="0"/>
        <w:adjustRightInd w:val="0"/>
        <w:spacing w:line="360" w:lineRule="auto"/>
        <w:ind w:left="0" w:leftChars="0" w:firstLine="420" w:firstLineChars="200"/>
        <w:jc w:val="left"/>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3）服务费基价实行全额分档折扣计算，得出代理服务费。具体为：服务费基价10万元（不含）以下的，按80%执行；服务费基价10万元（含）—20万元（不含）的，按70%执行；服务费基价20万元（含）—30万元（不含）的，按60%执行；服务费基价30万元（含）以上的，按50%计取，且单个项目最高代理费为30万元封顶</w:t>
      </w:r>
      <w:r>
        <w:rPr>
          <w:rFonts w:hint="eastAsia" w:ascii="宋体" w:hAnsi="宋体" w:eastAsia="宋体" w:cs="宋体"/>
          <w:b w:val="0"/>
          <w:color w:val="auto"/>
          <w:szCs w:val="21"/>
          <w:highlight w:val="none"/>
          <w:lang w:val="en-US"/>
        </w:rPr>
        <w:t>。</w:t>
      </w:r>
      <w:r>
        <w:rPr>
          <w:rFonts w:hint="eastAsia" w:ascii="宋体" w:hAnsi="宋体" w:eastAsia="宋体" w:cs="宋体"/>
          <w:b w:val="0"/>
          <w:color w:val="auto"/>
          <w:szCs w:val="21"/>
          <w:highlight w:val="none"/>
          <w:lang w:val="en-US" w:eastAsia="zh-CN"/>
        </w:rPr>
        <w:t>同时，为保障项目服务质量与库管理的可持续性，设置单个项目代理费最低为8000元，即按上述收费标准计取后不足8000元的，以8000元作为代理费。</w:t>
      </w:r>
    </w:p>
    <w:p w14:paraId="242EAF69">
      <w:pPr>
        <w:tabs>
          <w:tab w:val="left" w:pos="567"/>
        </w:tabs>
        <w:autoSpaceDE w:val="0"/>
        <w:autoSpaceDN w:val="0"/>
        <w:adjustRightInd w:val="0"/>
        <w:spacing w:line="360" w:lineRule="auto"/>
        <w:ind w:left="0" w:leftChars="0" w:firstLine="420" w:firstLineChars="200"/>
        <w:jc w:val="left"/>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例子：某项目招标代理业务中标金额为2000万元（货物类），计算代理服务费额如下：</w:t>
      </w:r>
    </w:p>
    <w:p w14:paraId="2DE91EFE">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×1.5</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=15000元</w:t>
      </w:r>
    </w:p>
    <w:p w14:paraId="3C4C5E54">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500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：400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=44000元</w:t>
      </w:r>
    </w:p>
    <w:p w14:paraId="291D68B6">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500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1000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：500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×0.8</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=40000元</w:t>
      </w:r>
    </w:p>
    <w:p w14:paraId="511695C6">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1000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2000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：1000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×0.5</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=50000元</w:t>
      </w:r>
    </w:p>
    <w:p w14:paraId="281D3E05">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各</w:t>
      </w:r>
      <w:r>
        <w:rPr>
          <w:rFonts w:hint="eastAsia" w:ascii="宋体" w:hAnsi="宋体" w:eastAsia="宋体" w:cs="宋体"/>
          <w:color w:val="auto"/>
          <w:szCs w:val="21"/>
          <w:highlight w:val="none"/>
          <w:lang w:val="en-US" w:eastAsia="zh-CN"/>
        </w:rPr>
        <w:t>部分</w:t>
      </w:r>
      <w:r>
        <w:rPr>
          <w:rFonts w:hint="default" w:ascii="宋体" w:hAnsi="宋体" w:eastAsia="宋体" w:cs="宋体"/>
          <w:color w:val="auto"/>
          <w:szCs w:val="21"/>
          <w:highlight w:val="none"/>
        </w:rPr>
        <w:t>累计得</w:t>
      </w:r>
      <w:r>
        <w:rPr>
          <w:rFonts w:hint="eastAsia" w:ascii="宋体" w:hAnsi="宋体" w:eastAsia="宋体" w:cs="宋体"/>
          <w:color w:val="auto"/>
          <w:szCs w:val="21"/>
          <w:highlight w:val="none"/>
          <w:lang w:val="en-US" w:eastAsia="zh-CN"/>
        </w:rPr>
        <w:t>出</w:t>
      </w:r>
      <w:r>
        <w:rPr>
          <w:rFonts w:hint="eastAsia" w:ascii="宋体" w:hAnsi="宋体" w:eastAsia="宋体" w:cs="宋体"/>
          <w:b w:val="0"/>
          <w:color w:val="auto"/>
          <w:szCs w:val="21"/>
          <w:highlight w:val="none"/>
          <w:lang w:val="en-US" w:eastAsia="zh-CN"/>
        </w:rPr>
        <w:t>服务费基价</w:t>
      </w:r>
      <w:r>
        <w:rPr>
          <w:rFonts w:hint="default" w:ascii="宋体" w:hAnsi="宋体" w:eastAsia="宋体" w:cs="宋体"/>
          <w:color w:val="auto"/>
          <w:szCs w:val="21"/>
          <w:highlight w:val="none"/>
        </w:rPr>
        <w:t>：149000.00元</w:t>
      </w:r>
    </w:p>
    <w:p w14:paraId="227876EC">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7</w:t>
      </w:r>
      <w:r>
        <w:rPr>
          <w:rFonts w:hint="default"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计算得</w:t>
      </w:r>
      <w:r>
        <w:rPr>
          <w:rFonts w:hint="eastAsia" w:ascii="宋体" w:hAnsi="宋体" w:eastAsia="宋体" w:cs="宋体"/>
          <w:color w:val="auto"/>
          <w:szCs w:val="21"/>
          <w:highlight w:val="none"/>
          <w:lang w:val="en-US" w:eastAsia="zh-CN"/>
        </w:rPr>
        <w:t>出代理服务费</w:t>
      </w:r>
      <w:r>
        <w:rPr>
          <w:rFonts w:hint="default" w:ascii="宋体" w:hAnsi="宋体" w:eastAsia="宋体" w:cs="宋体"/>
          <w:color w:val="auto"/>
          <w:szCs w:val="21"/>
          <w:highlight w:val="none"/>
        </w:rPr>
        <w:t>：149000</w:t>
      </w:r>
      <w:r>
        <w:rPr>
          <w:rFonts w:hint="eastAsia" w:ascii="宋体" w:hAnsi="宋体" w:eastAsia="宋体" w:cs="宋体"/>
          <w:color w:val="auto"/>
          <w:szCs w:val="21"/>
          <w:highlight w:val="none"/>
          <w:lang w:val="en-US" w:eastAsia="zh-CN"/>
        </w:rPr>
        <w:t>元</w:t>
      </w:r>
      <w:r>
        <w:rPr>
          <w:rFonts w:hint="default"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70%=104300</w:t>
      </w:r>
      <w:r>
        <w:rPr>
          <w:rFonts w:hint="default" w:ascii="宋体" w:hAnsi="宋体" w:eastAsia="宋体" w:cs="宋体"/>
          <w:color w:val="auto"/>
          <w:szCs w:val="21"/>
          <w:highlight w:val="none"/>
        </w:rPr>
        <w:t>元</w:t>
      </w:r>
    </w:p>
    <w:p w14:paraId="4D164502">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39.2 中标人收到中标通知后，须在15日内向招标代理机构交纳中标服务费用。</w:t>
      </w:r>
    </w:p>
    <w:p w14:paraId="6245D07D">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39.3 中标服务费只接受以银行转账、电汇方式交纳</w:t>
      </w:r>
    </w:p>
    <w:p w14:paraId="372FC7D5">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w:t>
      </w:r>
      <w:r>
        <w:rPr>
          <w:rFonts w:hint="eastAsia" w:ascii="宋体" w:hAnsi="宋体" w:eastAsia="宋体" w:cs="宋体"/>
          <w:b/>
          <w:bCs/>
          <w:color w:val="auto"/>
          <w:szCs w:val="21"/>
          <w:highlight w:val="none"/>
        </w:rPr>
        <w:t>特别提醒，本账户非投标保证金汇入账户</w:t>
      </w:r>
      <w:r>
        <w:rPr>
          <w:rFonts w:hint="eastAsia" w:ascii="宋体" w:hAnsi="宋体" w:eastAsia="宋体" w:cs="宋体"/>
          <w:color w:val="auto"/>
          <w:szCs w:val="21"/>
          <w:highlight w:val="none"/>
        </w:rPr>
        <w:t>)：</w:t>
      </w:r>
    </w:p>
    <w:p w14:paraId="577E3259">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开户名称：广东一方项目管理有限公司</w:t>
      </w:r>
      <w:r>
        <w:rPr>
          <w:rFonts w:hint="eastAsia" w:ascii="宋体" w:hAnsi="宋体" w:eastAsia="宋体" w:cs="宋体"/>
          <w:color w:val="auto"/>
          <w:kern w:val="0"/>
          <w:szCs w:val="21"/>
          <w:highlight w:val="none"/>
          <w:lang w:val="en-US" w:eastAsia="zh-CN"/>
        </w:rPr>
        <w:t xml:space="preserve"> </w:t>
      </w:r>
    </w:p>
    <w:p w14:paraId="758635FD">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银行账号：2010045009100046540</w:t>
      </w:r>
      <w:r>
        <w:rPr>
          <w:rFonts w:hint="eastAsia" w:ascii="宋体" w:hAnsi="宋体" w:eastAsia="宋体" w:cs="宋体"/>
          <w:color w:val="auto"/>
          <w:kern w:val="0"/>
          <w:szCs w:val="21"/>
          <w:highlight w:val="none"/>
          <w:lang w:val="en-US" w:eastAsia="zh-CN"/>
        </w:rPr>
        <w:t xml:space="preserve"> </w:t>
      </w:r>
    </w:p>
    <w:p w14:paraId="248335BC">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开户银行：中国工商银行股份有限公司东莞新基支行</w:t>
      </w:r>
    </w:p>
    <w:p w14:paraId="4D497478">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39.4 中标人如未按第39.1款、第39.2款规定办理，将不予退还其投标保证金。</w:t>
      </w:r>
    </w:p>
    <w:p w14:paraId="05F593F1">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p>
    <w:p w14:paraId="747A544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77EF7F3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10" w:name="_Toc21985"/>
      <w:bookmarkStart w:id="411" w:name="_Toc5033"/>
      <w:bookmarkStart w:id="412" w:name="_Toc195714261"/>
      <w:bookmarkStart w:id="413" w:name="_Toc142508355"/>
      <w:bookmarkStart w:id="414" w:name="_Toc486167704"/>
      <w:bookmarkStart w:id="415" w:name="_Toc6764_WPSOffice_Level3"/>
      <w:bookmarkStart w:id="416" w:name="_Toc31030"/>
      <w:bookmarkStart w:id="417" w:name="_Toc6796"/>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bookmarkEnd w:id="409"/>
      <w:bookmarkEnd w:id="410"/>
      <w:bookmarkEnd w:id="411"/>
      <w:bookmarkEnd w:id="412"/>
      <w:bookmarkEnd w:id="413"/>
      <w:bookmarkEnd w:id="414"/>
      <w:bookmarkEnd w:id="415"/>
      <w:bookmarkEnd w:id="416"/>
      <w:bookmarkEnd w:id="417"/>
    </w:p>
    <w:p w14:paraId="2966E2D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.1</w:t>
      </w:r>
      <w:bookmarkStart w:id="418" w:name="_Toc486167705"/>
      <w:bookmarkStart w:id="419" w:name="_Toc31106_WPSOffice_Level3"/>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该项目获得中标的中标人在执行合同过程中，向招标人</w:t>
      </w:r>
      <w:r>
        <w:rPr>
          <w:rFonts w:hint="eastAsia" w:ascii="宋体" w:hAnsi="宋体" w:eastAsia="宋体" w:cs="宋体"/>
          <w:color w:val="auto"/>
          <w:kern w:val="0"/>
          <w:szCs w:val="21"/>
          <w:highlight w:val="none"/>
        </w:rPr>
        <w:t>或招标人权属子公司</w:t>
      </w:r>
      <w:r>
        <w:rPr>
          <w:rFonts w:hint="eastAsia" w:ascii="宋体" w:hAnsi="宋体" w:eastAsia="宋体" w:cs="宋体"/>
          <w:color w:val="auto"/>
          <w:szCs w:val="21"/>
          <w:highlight w:val="none"/>
          <w:lang w:val="zh-CN"/>
        </w:rPr>
        <w:t>出具的发票必须是由中标人开具，不得以其他单位或个人名义出具，本项目中标人向招标人或招标人权属子公司出具的发票类型为增值税专用发票。</w:t>
      </w:r>
    </w:p>
    <w:p w14:paraId="31CB480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7EFD8E5E">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420" w:name="_Toc142508356"/>
      <w:bookmarkStart w:id="421" w:name="_Toc10243"/>
      <w:bookmarkStart w:id="422" w:name="_Toc8619"/>
      <w:bookmarkStart w:id="423" w:name="_Toc24547"/>
      <w:bookmarkStart w:id="424" w:name="_Toc195714262"/>
      <w:bookmarkStart w:id="425" w:name="_Toc12592"/>
      <w:r>
        <w:rPr>
          <w:rFonts w:hint="eastAsia" w:ascii="宋体" w:hAnsi="宋体" w:eastAsia="宋体" w:cs="宋体"/>
          <w:b/>
          <w:color w:val="auto"/>
          <w:szCs w:val="21"/>
          <w:highlight w:val="none"/>
        </w:rPr>
        <w:t>41 招标相关补充约定</w:t>
      </w:r>
      <w:bookmarkEnd w:id="420"/>
      <w:bookmarkEnd w:id="421"/>
      <w:bookmarkEnd w:id="422"/>
      <w:bookmarkEnd w:id="423"/>
      <w:bookmarkEnd w:id="424"/>
      <w:bookmarkEnd w:id="425"/>
    </w:p>
    <w:p w14:paraId="04BC6E19">
      <w:pPr>
        <w:autoSpaceDE w:val="0"/>
        <w:autoSpaceDN w:val="0"/>
        <w:adjustRightInd w:val="0"/>
        <w:snapToGrid w:val="0"/>
        <w:spacing w:line="360" w:lineRule="auto"/>
        <w:ind w:left="317" w:leftChars="-100" w:hanging="527" w:hangingChars="250"/>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41.1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14:paraId="5698E2BB">
      <w:pPr>
        <w:autoSpaceDE w:val="0"/>
        <w:autoSpaceDN w:val="0"/>
        <w:adjustRightInd w:val="0"/>
        <w:snapToGrid w:val="0"/>
        <w:spacing w:line="360" w:lineRule="auto"/>
        <w:jc w:val="left"/>
        <w:rPr>
          <w:rFonts w:ascii="宋体" w:hAnsi="宋体" w:eastAsia="宋体" w:cs="宋体"/>
          <w:color w:val="auto"/>
          <w:szCs w:val="21"/>
          <w:highlight w:val="none"/>
        </w:rPr>
      </w:pPr>
    </w:p>
    <w:p w14:paraId="3EC1F460">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426" w:name="_Toc29758"/>
      <w:bookmarkStart w:id="427" w:name="_Toc26594"/>
      <w:bookmarkStart w:id="428" w:name="_Toc142508357"/>
      <w:bookmarkStart w:id="429" w:name="_Toc195714263"/>
      <w:bookmarkStart w:id="430" w:name="_Toc26327"/>
      <w:bookmarkStart w:id="431" w:name="_Toc22346"/>
      <w:r>
        <w:rPr>
          <w:rFonts w:hint="eastAsia" w:ascii="宋体" w:hAnsi="宋体" w:eastAsia="宋体" w:cs="宋体"/>
          <w:color w:val="auto"/>
          <w:szCs w:val="21"/>
          <w:highlight w:val="none"/>
        </w:rPr>
        <w:t>42 本次招标活动的最终解释权归招标代理机构及招标人所有。</w:t>
      </w:r>
      <w:bookmarkEnd w:id="418"/>
      <w:bookmarkEnd w:id="419"/>
      <w:bookmarkEnd w:id="426"/>
      <w:bookmarkEnd w:id="427"/>
      <w:bookmarkEnd w:id="428"/>
      <w:bookmarkEnd w:id="429"/>
      <w:bookmarkEnd w:id="430"/>
      <w:bookmarkEnd w:id="431"/>
    </w:p>
    <w:p w14:paraId="696DA79C">
      <w:pPr>
        <w:autoSpaceDE w:val="0"/>
        <w:autoSpaceDN w:val="0"/>
        <w:adjustRightInd w:val="0"/>
        <w:spacing w:line="360" w:lineRule="auto"/>
        <w:ind w:firstLine="5775" w:firstLineChars="2750"/>
        <w:jc w:val="left"/>
        <w:rPr>
          <w:rFonts w:ascii="宋体" w:hAnsi="宋体" w:eastAsia="宋体" w:cs="宋体"/>
          <w:color w:val="auto"/>
          <w:kern w:val="0"/>
          <w:szCs w:val="21"/>
          <w:highlight w:val="none"/>
        </w:rPr>
      </w:pPr>
    </w:p>
    <w:p w14:paraId="069AA8F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357052C6">
      <w:pPr>
        <w:pageBreakBefore/>
        <w:numPr>
          <w:ilvl w:val="0"/>
          <w:numId w:val="2"/>
        </w:numPr>
        <w:tabs>
          <w:tab w:val="left" w:pos="1080"/>
        </w:tabs>
        <w:autoSpaceDE w:val="0"/>
        <w:autoSpaceDN w:val="0"/>
        <w:adjustRightInd w:val="0"/>
        <w:spacing w:line="360" w:lineRule="auto"/>
        <w:ind w:left="357" w:leftChars="-100" w:hanging="567"/>
        <w:jc w:val="center"/>
        <w:outlineLvl w:val="1"/>
        <w:rPr>
          <w:rFonts w:hint="eastAsia" w:ascii="宋体" w:hAnsi="宋体" w:eastAsia="宋体" w:cs="宋体"/>
          <w:b/>
          <w:bCs/>
          <w:color w:val="auto"/>
          <w:kern w:val="44"/>
          <w:sz w:val="32"/>
          <w:szCs w:val="32"/>
          <w:highlight w:val="none"/>
          <w:lang w:val="zh-CN"/>
        </w:rPr>
      </w:pPr>
      <w:bookmarkStart w:id="432" w:name="_Toc1505"/>
      <w:bookmarkStart w:id="433" w:name="_Toc450662891"/>
      <w:bookmarkStart w:id="434" w:name="_Toc4217"/>
      <w:bookmarkStart w:id="435" w:name="_Toc12014"/>
      <w:bookmarkStart w:id="436" w:name="_Toc486167706"/>
      <w:bookmarkStart w:id="437" w:name="_Toc29361"/>
      <w:bookmarkStart w:id="438" w:name="_Toc27939_WPSOffice_Level1"/>
      <w:bookmarkStart w:id="439" w:name="_Toc142508358"/>
      <w:bookmarkStart w:id="440" w:name="_Toc28218"/>
      <w:bookmarkStart w:id="441" w:name="_Toc450662895"/>
      <w:bookmarkStart w:id="442" w:name="_Toc142508361"/>
      <w:bookmarkStart w:id="443" w:name="_Toc32761_WPSOffice_Level1"/>
      <w:bookmarkStart w:id="444" w:name="_Toc9840"/>
      <w:bookmarkStart w:id="445" w:name="_Toc15817"/>
      <w:bookmarkStart w:id="446" w:name="_Toc486167708"/>
      <w:r>
        <w:rPr>
          <w:rFonts w:hint="eastAsia" w:ascii="宋体" w:hAnsi="宋体" w:eastAsia="宋体" w:cs="宋体"/>
          <w:b/>
          <w:bCs/>
          <w:color w:val="auto"/>
          <w:kern w:val="44"/>
          <w:sz w:val="32"/>
          <w:szCs w:val="32"/>
          <w:highlight w:val="none"/>
          <w:lang w:val="zh-CN"/>
        </w:rPr>
        <w:t>用户需求书</w:t>
      </w:r>
      <w:bookmarkEnd w:id="432"/>
    </w:p>
    <w:p w14:paraId="1ACB02A1">
      <w:pPr>
        <w:numPr>
          <w:ilvl w:val="0"/>
          <w:numId w:val="0"/>
        </w:numPr>
        <w:autoSpaceDE/>
        <w:autoSpaceDN/>
        <w:adjustRightInd/>
        <w:spacing w:line="360" w:lineRule="auto"/>
        <w:ind w:left="0" w:leftChars="0" w:firstLine="0" w:firstLineChars="0"/>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一、</w:t>
      </w:r>
      <w:r>
        <w:rPr>
          <w:rFonts w:hint="eastAsia" w:ascii="宋体" w:hAnsi="宋体" w:eastAsia="宋体" w:cs="宋体"/>
          <w:b/>
          <w:color w:val="auto"/>
          <w:sz w:val="21"/>
          <w:szCs w:val="21"/>
          <w:highlight w:val="none"/>
        </w:rPr>
        <w:t>基本招标要求</w:t>
      </w:r>
    </w:p>
    <w:p w14:paraId="5945CB8A">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w:t>
      </w:r>
      <w:r>
        <w:rPr>
          <w:rFonts w:hint="eastAsia" w:ascii="宋体" w:hAnsi="宋体" w:eastAsia="宋体" w:cs="宋体"/>
          <w:color w:val="auto"/>
          <w:sz w:val="21"/>
          <w:szCs w:val="21"/>
          <w:highlight w:val="none"/>
          <w:lang w:eastAsia="zh-CN"/>
        </w:rPr>
        <w:t>东莞市水务环境投资控股集团净水有限公司</w:t>
      </w:r>
      <w:r>
        <w:rPr>
          <w:rFonts w:hint="eastAsia" w:ascii="宋体" w:hAnsi="宋体" w:eastAsia="宋体" w:cs="宋体"/>
          <w:color w:val="auto"/>
          <w:kern w:val="2"/>
          <w:sz w:val="21"/>
          <w:szCs w:val="21"/>
          <w:highlight w:val="none"/>
          <w:lang w:val="en-US" w:eastAsia="zh-CN"/>
        </w:rPr>
        <w:t>（以下称作“招标人”）</w:t>
      </w:r>
      <w:r>
        <w:rPr>
          <w:rFonts w:hint="eastAsia" w:ascii="宋体" w:hAnsi="宋体" w:eastAsia="宋体" w:cs="宋体"/>
          <w:color w:val="auto"/>
          <w:sz w:val="21"/>
          <w:szCs w:val="21"/>
          <w:highlight w:val="none"/>
        </w:rPr>
        <w:t>旗下运营项目所需生产药剂：</w:t>
      </w:r>
      <w:r>
        <w:rPr>
          <w:rFonts w:hint="eastAsia" w:ascii="宋体" w:hAnsi="宋体" w:eastAsia="宋体" w:cs="宋体"/>
          <w:color w:val="auto"/>
          <w:szCs w:val="21"/>
          <w:highlight w:val="none"/>
        </w:rPr>
        <w:t>液</w:t>
      </w:r>
      <w:r>
        <w:rPr>
          <w:rFonts w:hint="eastAsia" w:ascii="宋体" w:hAnsi="宋体" w:eastAsia="宋体" w:cs="宋体"/>
          <w:color w:val="auto"/>
          <w:szCs w:val="21"/>
          <w:highlight w:val="none"/>
          <w:lang w:val="en-US" w:eastAsia="zh-CN"/>
        </w:rPr>
        <w:t>体</w:t>
      </w:r>
      <w:r>
        <w:rPr>
          <w:rFonts w:hint="eastAsia" w:ascii="宋体" w:hAnsi="宋体" w:eastAsia="宋体" w:cs="宋体"/>
          <w:color w:val="auto"/>
          <w:szCs w:val="21"/>
          <w:highlight w:val="none"/>
        </w:rPr>
        <w:t>聚</w:t>
      </w:r>
      <w:r>
        <w:rPr>
          <w:rFonts w:hint="eastAsia" w:ascii="宋体" w:hAnsi="宋体" w:eastAsia="宋体" w:cs="宋体"/>
          <w:color w:val="auto"/>
          <w:szCs w:val="21"/>
          <w:highlight w:val="none"/>
          <w:lang w:val="en-US" w:eastAsia="zh-CN"/>
        </w:rPr>
        <w:t>合</w:t>
      </w:r>
      <w:r>
        <w:rPr>
          <w:rFonts w:hint="eastAsia" w:ascii="宋体" w:hAnsi="宋体" w:eastAsia="宋体" w:cs="宋体"/>
          <w:color w:val="auto"/>
          <w:szCs w:val="21"/>
          <w:highlight w:val="none"/>
        </w:rPr>
        <w:t>氯化铝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液体聚合氯化铝铁</w:t>
      </w:r>
      <w:r>
        <w:rPr>
          <w:rFonts w:hint="eastAsia" w:ascii="宋体" w:hAnsi="宋体" w:eastAsia="宋体" w:cs="宋体"/>
          <w:color w:val="auto"/>
          <w:sz w:val="21"/>
          <w:szCs w:val="21"/>
          <w:highlight w:val="none"/>
        </w:rPr>
        <w:t>。根据实际运营中药剂使用情况，招标人</w:t>
      </w:r>
      <w:r>
        <w:rPr>
          <w:rFonts w:hint="eastAsia" w:ascii="宋体" w:hAnsi="宋体" w:eastAsia="宋体" w:cs="宋体"/>
          <w:color w:val="auto"/>
          <w:kern w:val="2"/>
          <w:sz w:val="21"/>
          <w:szCs w:val="21"/>
          <w:highlight w:val="none"/>
          <w:lang w:val="en-US" w:eastAsia="zh-CN"/>
        </w:rPr>
        <w:t>旗下运营项目包括</w:t>
      </w:r>
      <w:r>
        <w:rPr>
          <w:rFonts w:hint="eastAsia" w:ascii="宋体" w:hAnsi="宋体" w:eastAsia="宋体" w:cs="宋体"/>
          <w:color w:val="auto"/>
          <w:sz w:val="21"/>
          <w:szCs w:val="21"/>
          <w:highlight w:val="none"/>
        </w:rPr>
        <w:t>污水处理厂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污水处理厂提标项目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污泥减量化项目</w:t>
      </w:r>
      <w:r>
        <w:rPr>
          <w:rFonts w:hint="eastAsia" w:ascii="宋体" w:hAnsi="宋体" w:eastAsia="宋体" w:cs="宋体"/>
          <w:color w:val="auto"/>
          <w:sz w:val="21"/>
          <w:szCs w:val="21"/>
          <w:highlight w:val="none"/>
        </w:rPr>
        <w:t>（以下称作“运营项目”）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使用</w:t>
      </w:r>
      <w:r>
        <w:rPr>
          <w:rFonts w:hint="eastAsia" w:ascii="宋体" w:hAnsi="宋体" w:eastAsia="宋体" w:cs="宋体"/>
          <w:color w:val="auto"/>
          <w:szCs w:val="21"/>
          <w:highlight w:val="none"/>
        </w:rPr>
        <w:t>液</w:t>
      </w:r>
      <w:r>
        <w:rPr>
          <w:rFonts w:hint="eastAsia" w:ascii="宋体" w:hAnsi="宋体" w:eastAsia="宋体" w:cs="宋体"/>
          <w:color w:val="auto"/>
          <w:szCs w:val="21"/>
          <w:highlight w:val="none"/>
          <w:lang w:val="en-US" w:eastAsia="zh-CN"/>
        </w:rPr>
        <w:t>体</w:t>
      </w:r>
      <w:r>
        <w:rPr>
          <w:rFonts w:hint="eastAsia" w:ascii="宋体" w:hAnsi="宋体" w:eastAsia="宋体" w:cs="宋体"/>
          <w:color w:val="auto"/>
          <w:szCs w:val="21"/>
          <w:highlight w:val="none"/>
        </w:rPr>
        <w:t>聚</w:t>
      </w:r>
      <w:r>
        <w:rPr>
          <w:rFonts w:hint="eastAsia" w:ascii="宋体" w:hAnsi="宋体" w:eastAsia="宋体" w:cs="宋体"/>
          <w:color w:val="auto"/>
          <w:szCs w:val="21"/>
          <w:highlight w:val="none"/>
          <w:lang w:val="en-US" w:eastAsia="zh-CN"/>
        </w:rPr>
        <w:t>合</w:t>
      </w:r>
      <w:r>
        <w:rPr>
          <w:rFonts w:hint="eastAsia" w:ascii="宋体" w:hAnsi="宋体" w:eastAsia="宋体" w:cs="宋体"/>
          <w:color w:val="auto"/>
          <w:szCs w:val="21"/>
          <w:highlight w:val="none"/>
        </w:rPr>
        <w:t>氯化铝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液体聚合氯化铝铁</w:t>
      </w:r>
      <w:r>
        <w:rPr>
          <w:rFonts w:hint="eastAsia" w:ascii="宋体" w:hAnsi="宋体" w:eastAsia="宋体" w:cs="宋体"/>
          <w:color w:val="auto"/>
          <w:sz w:val="21"/>
          <w:szCs w:val="21"/>
          <w:highlight w:val="none"/>
        </w:rPr>
        <w:t>（以下简称“生产药剂”）</w:t>
      </w:r>
      <w:r>
        <w:rPr>
          <w:rFonts w:hint="eastAsia" w:ascii="宋体" w:hAnsi="宋体" w:eastAsia="宋体" w:cs="宋体"/>
          <w:color w:val="auto"/>
          <w:szCs w:val="21"/>
          <w:highlight w:val="none"/>
        </w:rPr>
        <w:t>作为混凝剂，以强化沉淀效果，以保证出水总磷、悬浮物达标</w:t>
      </w:r>
      <w:r>
        <w:rPr>
          <w:rFonts w:hint="eastAsia" w:ascii="宋体" w:hAnsi="宋体" w:eastAsia="宋体" w:cs="宋体"/>
          <w:color w:val="auto"/>
          <w:sz w:val="21"/>
          <w:szCs w:val="21"/>
          <w:highlight w:val="none"/>
        </w:rPr>
        <w:t>。具体供货项目和供货量根据实际运营需求，并结合招标人运营项目使用中标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提供的药剂样品所做的小试、项目实际使用效果确定。</w:t>
      </w:r>
    </w:p>
    <w:p w14:paraId="6B14EBD6">
      <w:pPr>
        <w:pStyle w:val="130"/>
        <w:autoSpaceDE/>
        <w:autoSpaceDN/>
        <w:adjustRightInd/>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本次招标人以公开招标方式确定1家供货单位，分别向招标人运营项目供货。</w:t>
      </w:r>
      <w:bookmarkStart w:id="447" w:name="OLE_LINK13"/>
      <w:r>
        <w:rPr>
          <w:rFonts w:hint="eastAsia" w:ascii="宋体" w:hAnsi="宋体" w:eastAsia="宋体" w:cs="宋体"/>
          <w:color w:val="auto"/>
          <w:sz w:val="21"/>
          <w:szCs w:val="21"/>
          <w:highlight w:val="none"/>
          <w:lang w:val="en-US" w:eastAsia="zh-CN"/>
        </w:rPr>
        <w:t>招标人或招标人权属子公司与中标人签订采购合同。</w:t>
      </w:r>
      <w:bookmarkEnd w:id="447"/>
    </w:p>
    <w:p w14:paraId="11E6E5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供货期自合同签订之日起至202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日止</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收到招标人通知后必须无条件按照招标人</w:t>
      </w:r>
      <w:r>
        <w:rPr>
          <w:rFonts w:hint="eastAsia" w:ascii="宋体" w:hAnsi="宋体" w:eastAsia="宋体" w:cs="宋体"/>
          <w:color w:val="auto"/>
          <w:sz w:val="21"/>
          <w:szCs w:val="21"/>
          <w:highlight w:val="none"/>
        </w:rPr>
        <w:t>或招标人权属子公司</w:t>
      </w:r>
      <w:r>
        <w:rPr>
          <w:rFonts w:hint="eastAsia" w:ascii="宋体" w:hAnsi="宋体" w:eastAsia="宋体" w:cs="宋体"/>
          <w:color w:val="auto"/>
          <w:szCs w:val="21"/>
          <w:highlight w:val="none"/>
        </w:rPr>
        <w:t>的要求开始供货</w:t>
      </w:r>
      <w:r>
        <w:rPr>
          <w:rFonts w:ascii="宋体" w:hAnsi="宋体" w:eastAsia="宋体" w:cs="宋体"/>
          <w:color w:val="auto"/>
          <w:szCs w:val="21"/>
          <w:highlight w:val="none"/>
        </w:rPr>
        <w:t>。</w:t>
      </w:r>
    </w:p>
    <w:p w14:paraId="17B7F76E">
      <w:pPr>
        <w:numPr>
          <w:ilvl w:val="0"/>
          <w:numId w:val="0"/>
        </w:numPr>
        <w:autoSpaceDE/>
        <w:autoSpaceDN/>
        <w:adjustRightInd/>
        <w:spacing w:line="360" w:lineRule="auto"/>
        <w:ind w:left="0" w:leftChars="0" w:firstLine="0" w:firstLineChars="0"/>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二、</w:t>
      </w:r>
      <w:r>
        <w:rPr>
          <w:rFonts w:hint="eastAsia" w:ascii="宋体" w:hAnsi="宋体" w:eastAsia="宋体" w:cs="宋体"/>
          <w:b/>
          <w:color w:val="auto"/>
          <w:sz w:val="21"/>
          <w:szCs w:val="21"/>
          <w:highlight w:val="none"/>
        </w:rPr>
        <w:t>标的物</w:t>
      </w:r>
    </w:p>
    <w:p w14:paraId="36EB327F">
      <w:pPr>
        <w:numPr>
          <w:ilvl w:val="0"/>
          <w:numId w:val="0"/>
        </w:numPr>
        <w:autoSpaceDE/>
        <w:autoSpaceDN/>
        <w:adjustRightInd/>
        <w:spacing w:line="360" w:lineRule="auto"/>
        <w:ind w:firstLine="422"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2"/>
          <w:sz w:val="21"/>
          <w:szCs w:val="21"/>
          <w:highlight w:val="none"/>
          <w:lang w:val="en-US" w:eastAsia="zh-CN" w:bidi="ar-SA"/>
        </w:rPr>
        <w:t>1.采购货物清单</w:t>
      </w:r>
    </w:p>
    <w:tbl>
      <w:tblPr>
        <w:tblStyle w:val="37"/>
        <w:tblW w:w="45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1266"/>
        <w:gridCol w:w="2051"/>
        <w:gridCol w:w="3317"/>
      </w:tblGrid>
      <w:tr w14:paraId="657F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361" w:type="pct"/>
            <w:vMerge w:val="restart"/>
            <w:tcBorders>
              <w:top w:val="single" w:color="auto" w:sz="4" w:space="0"/>
              <w:left w:val="single" w:color="auto" w:sz="4" w:space="0"/>
              <w:right w:val="single" w:color="auto" w:sz="4" w:space="0"/>
            </w:tcBorders>
            <w:vAlign w:val="center"/>
          </w:tcPr>
          <w:p w14:paraId="7C6A9637">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货物名称</w:t>
            </w:r>
          </w:p>
        </w:tc>
        <w:tc>
          <w:tcPr>
            <w:tcW w:w="1790" w:type="pct"/>
            <w:gridSpan w:val="2"/>
            <w:tcBorders>
              <w:top w:val="single" w:color="auto" w:sz="4" w:space="0"/>
              <w:left w:val="single" w:color="auto" w:sz="4" w:space="0"/>
              <w:bottom w:val="single" w:color="auto" w:sz="4" w:space="0"/>
              <w:right w:val="single" w:color="auto" w:sz="4" w:space="0"/>
            </w:tcBorders>
            <w:vAlign w:val="center"/>
          </w:tcPr>
          <w:p w14:paraId="05BE713A">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暂定采购数量（吨）</w:t>
            </w:r>
          </w:p>
        </w:tc>
        <w:tc>
          <w:tcPr>
            <w:tcW w:w="1848" w:type="pct"/>
            <w:vMerge w:val="restart"/>
            <w:tcBorders>
              <w:top w:val="single" w:color="auto" w:sz="4" w:space="0"/>
              <w:left w:val="single" w:color="auto" w:sz="4" w:space="0"/>
              <w:right w:val="single" w:color="auto" w:sz="4" w:space="0"/>
            </w:tcBorders>
            <w:vAlign w:val="center"/>
          </w:tcPr>
          <w:p w14:paraId="6CA8DCB9">
            <w:pPr>
              <w:snapToGrid w:val="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使用单位</w:t>
            </w:r>
          </w:p>
          <w:p w14:paraId="515B8E08">
            <w:pPr>
              <w:snapToGrid w:val="0"/>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（招标人</w:t>
            </w:r>
            <w:r>
              <w:rPr>
                <w:rFonts w:hint="eastAsia" w:ascii="宋体" w:hAnsi="宋体" w:eastAsia="宋体" w:cs="宋体"/>
                <w:b/>
                <w:color w:val="auto"/>
                <w:szCs w:val="21"/>
                <w:highlight w:val="none"/>
              </w:rPr>
              <w:t>权属子公司</w:t>
            </w:r>
            <w:r>
              <w:rPr>
                <w:rFonts w:hint="eastAsia" w:ascii="宋体" w:hAnsi="宋体" w:eastAsia="宋体" w:cs="宋体"/>
                <w:b/>
                <w:color w:val="auto"/>
                <w:szCs w:val="21"/>
                <w:highlight w:val="none"/>
                <w:lang w:eastAsia="zh-CN"/>
              </w:rPr>
              <w:t>）</w:t>
            </w:r>
          </w:p>
        </w:tc>
      </w:tr>
      <w:tr w14:paraId="7213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361" w:type="pct"/>
            <w:vMerge w:val="continue"/>
            <w:tcBorders>
              <w:left w:val="single" w:color="auto" w:sz="4" w:space="0"/>
              <w:bottom w:val="single" w:color="auto" w:sz="4" w:space="0"/>
              <w:right w:val="single" w:color="auto" w:sz="4" w:space="0"/>
            </w:tcBorders>
            <w:vAlign w:val="center"/>
          </w:tcPr>
          <w:p w14:paraId="4502B19D">
            <w:pPr>
              <w:snapToGrid w:val="0"/>
              <w:jc w:val="center"/>
              <w:rPr>
                <w:rFonts w:hint="eastAsia" w:ascii="宋体" w:hAnsi="宋体" w:eastAsia="宋体" w:cs="宋体"/>
                <w:b/>
                <w:color w:val="auto"/>
                <w:szCs w:val="21"/>
                <w:highlight w:val="none"/>
              </w:rPr>
            </w:pPr>
          </w:p>
        </w:tc>
        <w:tc>
          <w:tcPr>
            <w:tcW w:w="640" w:type="pct"/>
            <w:tcBorders>
              <w:top w:val="single" w:color="auto" w:sz="4" w:space="0"/>
              <w:left w:val="single" w:color="auto" w:sz="4" w:space="0"/>
              <w:bottom w:val="single" w:color="auto" w:sz="4" w:space="0"/>
              <w:right w:val="single" w:color="auto" w:sz="4" w:space="0"/>
            </w:tcBorders>
            <w:vAlign w:val="center"/>
          </w:tcPr>
          <w:p w14:paraId="13FD211A">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合计</w:t>
            </w:r>
          </w:p>
        </w:tc>
        <w:tc>
          <w:tcPr>
            <w:tcW w:w="1149" w:type="pct"/>
            <w:tcBorders>
              <w:top w:val="single" w:color="auto" w:sz="4" w:space="0"/>
              <w:left w:val="single" w:color="auto" w:sz="4" w:space="0"/>
              <w:bottom w:val="single" w:color="auto" w:sz="4" w:space="0"/>
              <w:right w:val="single" w:color="auto" w:sz="4" w:space="0"/>
            </w:tcBorders>
            <w:vAlign w:val="center"/>
          </w:tcPr>
          <w:p w14:paraId="5B490A32">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小计</w:t>
            </w:r>
          </w:p>
        </w:tc>
        <w:tc>
          <w:tcPr>
            <w:tcW w:w="1848" w:type="pct"/>
            <w:vMerge w:val="continue"/>
            <w:tcBorders>
              <w:left w:val="single" w:color="auto" w:sz="4" w:space="0"/>
              <w:bottom w:val="single" w:color="auto" w:sz="4" w:space="0"/>
              <w:right w:val="single" w:color="auto" w:sz="4" w:space="0"/>
            </w:tcBorders>
            <w:vAlign w:val="center"/>
          </w:tcPr>
          <w:p w14:paraId="69CDEBE0">
            <w:pPr>
              <w:snapToGrid w:val="0"/>
              <w:jc w:val="center"/>
              <w:rPr>
                <w:rFonts w:hint="eastAsia" w:ascii="宋体" w:hAnsi="宋体" w:eastAsia="宋体" w:cs="宋体"/>
                <w:b/>
                <w:color w:val="auto"/>
                <w:szCs w:val="21"/>
                <w:highlight w:val="none"/>
                <w:u w:val="words"/>
              </w:rPr>
            </w:pPr>
          </w:p>
        </w:tc>
      </w:tr>
      <w:tr w14:paraId="168F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68" w:type="dxa"/>
            <w:vMerge w:val="restart"/>
            <w:tcBorders>
              <w:top w:val="single" w:color="auto" w:sz="4" w:space="0"/>
              <w:left w:val="single" w:color="auto" w:sz="4" w:space="0"/>
              <w:right w:val="single" w:color="auto" w:sz="4" w:space="0"/>
            </w:tcBorders>
            <w:vAlign w:val="center"/>
          </w:tcPr>
          <w:p w14:paraId="0DBE7E83">
            <w:pPr>
              <w:snapToGrid w:val="0"/>
              <w:jc w:val="center"/>
              <w:rPr>
                <w:rFonts w:hint="eastAsia" w:ascii="宋体" w:hAnsi="宋体" w:eastAsia="宋体" w:cs="宋体"/>
                <w:color w:val="auto"/>
                <w:szCs w:val="21"/>
                <w:highlight w:val="none"/>
                <w:u w:val="words"/>
              </w:rPr>
            </w:pPr>
            <w:r>
              <w:rPr>
                <w:rFonts w:hint="eastAsia" w:ascii="宋体" w:hAnsi="宋体" w:eastAsia="宋体" w:cs="宋体"/>
                <w:color w:val="auto"/>
                <w:szCs w:val="21"/>
                <w:highlight w:val="none"/>
              </w:rPr>
              <w:t>液</w:t>
            </w:r>
            <w:r>
              <w:rPr>
                <w:rFonts w:hint="eastAsia" w:ascii="宋体" w:hAnsi="宋体" w:eastAsia="宋体" w:cs="宋体"/>
                <w:color w:val="auto"/>
                <w:szCs w:val="21"/>
                <w:highlight w:val="none"/>
                <w:lang w:val="en-US" w:eastAsia="zh-CN"/>
              </w:rPr>
              <w:t>体</w:t>
            </w:r>
            <w:r>
              <w:rPr>
                <w:rFonts w:hint="eastAsia" w:ascii="宋体" w:hAnsi="宋体" w:eastAsia="宋体" w:cs="宋体"/>
                <w:color w:val="auto"/>
                <w:szCs w:val="21"/>
                <w:highlight w:val="none"/>
              </w:rPr>
              <w:t>聚</w:t>
            </w:r>
            <w:r>
              <w:rPr>
                <w:rFonts w:hint="eastAsia" w:ascii="宋体" w:hAnsi="宋体" w:eastAsia="宋体" w:cs="宋体"/>
                <w:color w:val="auto"/>
                <w:szCs w:val="21"/>
                <w:highlight w:val="none"/>
                <w:lang w:val="en-US" w:eastAsia="zh-CN"/>
              </w:rPr>
              <w:t>合</w:t>
            </w:r>
            <w:r>
              <w:rPr>
                <w:rFonts w:hint="eastAsia" w:ascii="宋体" w:hAnsi="宋体" w:eastAsia="宋体" w:cs="宋体"/>
                <w:color w:val="auto"/>
                <w:szCs w:val="21"/>
                <w:highlight w:val="none"/>
              </w:rPr>
              <w:t>氯化铝</w:t>
            </w:r>
          </w:p>
        </w:tc>
        <w:tc>
          <w:tcPr>
            <w:tcW w:w="1161" w:type="dxa"/>
            <w:vMerge w:val="restart"/>
            <w:tcBorders>
              <w:top w:val="single" w:color="auto" w:sz="4" w:space="0"/>
              <w:left w:val="single" w:color="auto" w:sz="4" w:space="0"/>
              <w:right w:val="single" w:color="auto" w:sz="4" w:space="0"/>
            </w:tcBorders>
            <w:vAlign w:val="center"/>
          </w:tcPr>
          <w:p w14:paraId="191C0C50">
            <w:pPr>
              <w:keepNext w:val="0"/>
              <w:keepLines w:val="0"/>
              <w:widowControl/>
              <w:suppressLineNumbers w:val="0"/>
              <w:snapToGrid w:val="0"/>
              <w:jc w:val="center"/>
              <w:textAlignment w:val="auto"/>
              <w:rPr>
                <w:rFonts w:hint="eastAsia" w:ascii="宋体" w:hAnsi="宋体" w:eastAsia="宋体" w:cs="宋体"/>
                <w:color w:val="auto"/>
                <w:szCs w:val="21"/>
                <w:highlight w:val="none"/>
                <w:u w:val="none"/>
              </w:rPr>
            </w:pPr>
            <w:r>
              <w:rPr>
                <w:rFonts w:hint="eastAsia" w:ascii="宋体" w:hAnsi="宋体" w:eastAsia="宋体" w:cs="宋体"/>
                <w:i w:val="0"/>
                <w:iCs w:val="0"/>
                <w:color w:val="auto"/>
                <w:kern w:val="2"/>
                <w:sz w:val="21"/>
                <w:szCs w:val="21"/>
                <w:highlight w:val="none"/>
                <w:u w:val="none"/>
                <w:lang w:val="en-US" w:eastAsia="zh-CN" w:bidi="ar"/>
              </w:rPr>
              <w:t xml:space="preserve">72,135.933 </w:t>
            </w:r>
          </w:p>
        </w:tc>
        <w:tc>
          <w:tcPr>
            <w:tcW w:w="2086" w:type="dxa"/>
            <w:tcBorders>
              <w:top w:val="single" w:color="auto" w:sz="4" w:space="0"/>
              <w:left w:val="single" w:color="auto" w:sz="4" w:space="0"/>
              <w:bottom w:val="single" w:color="auto" w:sz="4" w:space="0"/>
              <w:right w:val="single" w:color="auto" w:sz="4" w:space="0"/>
            </w:tcBorders>
            <w:vAlign w:val="center"/>
          </w:tcPr>
          <w:p w14:paraId="431154B1">
            <w:pPr>
              <w:keepNext w:val="0"/>
              <w:keepLines w:val="0"/>
              <w:widowControl/>
              <w:suppressLineNumbers w:val="0"/>
              <w:snapToGrid w:val="0"/>
              <w:jc w:val="center"/>
              <w:textAlignment w:val="auto"/>
              <w:rPr>
                <w:rFonts w:hint="eastAsia" w:ascii="宋体" w:hAnsi="宋体" w:eastAsia="宋体" w:cs="宋体"/>
                <w:color w:val="auto"/>
                <w:szCs w:val="21"/>
                <w:highlight w:val="none"/>
              </w:rPr>
            </w:pPr>
            <w:r>
              <w:rPr>
                <w:rFonts w:hint="eastAsia" w:ascii="宋体" w:hAnsi="宋体" w:eastAsia="宋体" w:cs="宋体"/>
                <w:i w:val="0"/>
                <w:iCs w:val="0"/>
                <w:color w:val="auto"/>
                <w:kern w:val="2"/>
                <w:sz w:val="21"/>
                <w:szCs w:val="21"/>
                <w:highlight w:val="none"/>
                <w:u w:val="none"/>
                <w:lang w:val="en-US" w:eastAsia="zh-CN" w:bidi="ar"/>
              </w:rPr>
              <w:t xml:space="preserve">47,687.789 </w:t>
            </w:r>
          </w:p>
        </w:tc>
        <w:tc>
          <w:tcPr>
            <w:tcW w:w="1848" w:type="pct"/>
            <w:tcBorders>
              <w:top w:val="single" w:color="auto" w:sz="4" w:space="0"/>
              <w:left w:val="single" w:color="auto" w:sz="4" w:space="0"/>
              <w:bottom w:val="single" w:color="auto" w:sz="4" w:space="0"/>
              <w:right w:val="single" w:color="auto" w:sz="4" w:space="0"/>
            </w:tcBorders>
            <w:vAlign w:val="center"/>
          </w:tcPr>
          <w:p w14:paraId="4AE6927D">
            <w:pPr>
              <w:keepNext w:val="0"/>
              <w:keepLines w:val="0"/>
              <w:widowControl/>
              <w:suppressLineNumbers w:val="0"/>
              <w:snapToGrid w:val="0"/>
              <w:jc w:val="center"/>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东莞市石鼓净水有限公司</w:t>
            </w:r>
          </w:p>
        </w:tc>
      </w:tr>
      <w:tr w14:paraId="0298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68" w:type="dxa"/>
            <w:vMerge w:val="continue"/>
            <w:tcBorders>
              <w:left w:val="single" w:color="auto" w:sz="4" w:space="0"/>
              <w:right w:val="single" w:color="auto" w:sz="4" w:space="0"/>
            </w:tcBorders>
            <w:vAlign w:val="center"/>
          </w:tcPr>
          <w:p w14:paraId="1C8299DB">
            <w:pPr>
              <w:snapToGrid w:val="0"/>
              <w:jc w:val="center"/>
              <w:rPr>
                <w:rFonts w:hint="eastAsia" w:ascii="宋体" w:hAnsi="宋体" w:eastAsia="宋体" w:cs="宋体"/>
                <w:color w:val="auto"/>
                <w:szCs w:val="21"/>
                <w:highlight w:val="none"/>
              </w:rPr>
            </w:pPr>
          </w:p>
        </w:tc>
        <w:tc>
          <w:tcPr>
            <w:tcW w:w="1161" w:type="dxa"/>
            <w:vMerge w:val="continue"/>
            <w:tcBorders>
              <w:left w:val="single" w:color="auto" w:sz="4" w:space="0"/>
              <w:right w:val="single" w:color="auto" w:sz="4" w:space="0"/>
            </w:tcBorders>
            <w:vAlign w:val="center"/>
          </w:tcPr>
          <w:p w14:paraId="26428890">
            <w:pPr>
              <w:jc w:val="right"/>
              <w:rPr>
                <w:rFonts w:hint="eastAsia" w:ascii="宋体" w:hAnsi="宋体" w:eastAsia="宋体" w:cs="宋体"/>
                <w:color w:val="auto"/>
                <w:szCs w:val="21"/>
                <w:highlight w:val="none"/>
              </w:rPr>
            </w:pPr>
          </w:p>
        </w:tc>
        <w:tc>
          <w:tcPr>
            <w:tcW w:w="2086" w:type="dxa"/>
            <w:tcBorders>
              <w:top w:val="single" w:color="auto" w:sz="4" w:space="0"/>
              <w:left w:val="single" w:color="auto" w:sz="4" w:space="0"/>
              <w:bottom w:val="single" w:color="auto" w:sz="4" w:space="0"/>
              <w:right w:val="single" w:color="auto" w:sz="4" w:space="0"/>
            </w:tcBorders>
            <w:vAlign w:val="center"/>
          </w:tcPr>
          <w:p w14:paraId="4FCF28EF">
            <w:pPr>
              <w:keepNext w:val="0"/>
              <w:keepLines w:val="0"/>
              <w:widowControl/>
              <w:suppressLineNumbers w:val="0"/>
              <w:snapToGrid w:val="0"/>
              <w:jc w:val="center"/>
              <w:textAlignment w:val="auto"/>
              <w:rPr>
                <w:rFonts w:hint="eastAsia" w:ascii="宋体" w:hAnsi="宋体" w:eastAsia="宋体" w:cs="宋体"/>
                <w:color w:val="auto"/>
                <w:szCs w:val="21"/>
                <w:highlight w:val="none"/>
              </w:rPr>
            </w:pPr>
            <w:r>
              <w:rPr>
                <w:rFonts w:hint="eastAsia" w:ascii="宋体" w:hAnsi="宋体" w:eastAsia="宋体" w:cs="宋体"/>
                <w:i w:val="0"/>
                <w:iCs w:val="0"/>
                <w:color w:val="auto"/>
                <w:kern w:val="2"/>
                <w:sz w:val="21"/>
                <w:szCs w:val="21"/>
                <w:highlight w:val="none"/>
                <w:u w:val="none"/>
                <w:lang w:val="en-US" w:eastAsia="zh-CN" w:bidi="ar"/>
              </w:rPr>
              <w:t xml:space="preserve">2,124.929 </w:t>
            </w:r>
          </w:p>
        </w:tc>
        <w:tc>
          <w:tcPr>
            <w:tcW w:w="1848" w:type="pct"/>
            <w:tcBorders>
              <w:top w:val="single" w:color="auto" w:sz="4" w:space="0"/>
              <w:left w:val="single" w:color="auto" w:sz="4" w:space="0"/>
              <w:bottom w:val="single" w:color="auto" w:sz="4" w:space="0"/>
              <w:right w:val="single" w:color="auto" w:sz="4" w:space="0"/>
            </w:tcBorders>
            <w:vAlign w:val="center"/>
          </w:tcPr>
          <w:p w14:paraId="75DA4489">
            <w:pPr>
              <w:keepNext w:val="0"/>
              <w:keepLines w:val="0"/>
              <w:widowControl/>
              <w:suppressLineNumbers w:val="0"/>
              <w:snapToGrid w:val="0"/>
              <w:jc w:val="center"/>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东莞市清源净水科技有限公司</w:t>
            </w:r>
          </w:p>
        </w:tc>
      </w:tr>
      <w:tr w14:paraId="015F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68" w:type="dxa"/>
            <w:vMerge w:val="continue"/>
            <w:tcBorders>
              <w:left w:val="single" w:color="auto" w:sz="4" w:space="0"/>
              <w:right w:val="single" w:color="auto" w:sz="4" w:space="0"/>
            </w:tcBorders>
            <w:vAlign w:val="center"/>
          </w:tcPr>
          <w:p w14:paraId="6843CC40">
            <w:pPr>
              <w:snapToGrid w:val="0"/>
              <w:jc w:val="center"/>
              <w:rPr>
                <w:rFonts w:hint="eastAsia" w:ascii="宋体" w:hAnsi="宋体" w:eastAsia="宋体" w:cs="宋体"/>
                <w:color w:val="auto"/>
                <w:szCs w:val="21"/>
                <w:highlight w:val="none"/>
              </w:rPr>
            </w:pPr>
          </w:p>
        </w:tc>
        <w:tc>
          <w:tcPr>
            <w:tcW w:w="1161" w:type="dxa"/>
            <w:vMerge w:val="continue"/>
            <w:tcBorders>
              <w:left w:val="single" w:color="auto" w:sz="4" w:space="0"/>
              <w:right w:val="single" w:color="auto" w:sz="4" w:space="0"/>
            </w:tcBorders>
            <w:vAlign w:val="center"/>
          </w:tcPr>
          <w:p w14:paraId="2ABAE458">
            <w:pPr>
              <w:jc w:val="right"/>
              <w:rPr>
                <w:rFonts w:hint="eastAsia" w:ascii="宋体" w:hAnsi="宋体" w:eastAsia="宋体" w:cs="宋体"/>
                <w:color w:val="auto"/>
                <w:szCs w:val="21"/>
                <w:highlight w:val="none"/>
              </w:rPr>
            </w:pPr>
          </w:p>
        </w:tc>
        <w:tc>
          <w:tcPr>
            <w:tcW w:w="2086" w:type="dxa"/>
            <w:tcBorders>
              <w:top w:val="single" w:color="auto" w:sz="4" w:space="0"/>
              <w:left w:val="single" w:color="auto" w:sz="4" w:space="0"/>
              <w:bottom w:val="single" w:color="auto" w:sz="4" w:space="0"/>
              <w:right w:val="single" w:color="auto" w:sz="4" w:space="0"/>
            </w:tcBorders>
            <w:vAlign w:val="center"/>
          </w:tcPr>
          <w:p w14:paraId="15F3B790">
            <w:pPr>
              <w:keepNext w:val="0"/>
              <w:keepLines w:val="0"/>
              <w:widowControl/>
              <w:suppressLineNumbers w:val="0"/>
              <w:snapToGrid w:val="0"/>
              <w:jc w:val="center"/>
              <w:textAlignment w:val="auto"/>
              <w:rPr>
                <w:rFonts w:hint="eastAsia" w:ascii="宋体" w:hAnsi="宋体" w:eastAsia="宋体" w:cs="宋体"/>
                <w:color w:val="auto"/>
                <w:szCs w:val="21"/>
                <w:highlight w:val="none"/>
              </w:rPr>
            </w:pPr>
            <w:r>
              <w:rPr>
                <w:rFonts w:hint="eastAsia" w:ascii="宋体" w:hAnsi="宋体" w:eastAsia="宋体" w:cs="宋体"/>
                <w:i w:val="0"/>
                <w:iCs w:val="0"/>
                <w:color w:val="auto"/>
                <w:kern w:val="2"/>
                <w:sz w:val="21"/>
                <w:szCs w:val="21"/>
                <w:highlight w:val="none"/>
                <w:u w:val="none"/>
                <w:lang w:val="en-US" w:eastAsia="zh-CN" w:bidi="ar"/>
              </w:rPr>
              <w:t xml:space="preserve">80.755 </w:t>
            </w:r>
          </w:p>
        </w:tc>
        <w:tc>
          <w:tcPr>
            <w:tcW w:w="1848" w:type="pct"/>
            <w:tcBorders>
              <w:top w:val="single" w:color="auto" w:sz="4" w:space="0"/>
              <w:left w:val="single" w:color="auto" w:sz="4" w:space="0"/>
              <w:bottom w:val="single" w:color="auto" w:sz="4" w:space="0"/>
              <w:right w:val="single" w:color="auto" w:sz="4" w:space="0"/>
            </w:tcBorders>
            <w:vAlign w:val="center"/>
          </w:tcPr>
          <w:p w14:paraId="15E7279C">
            <w:pPr>
              <w:keepNext w:val="0"/>
              <w:keepLines w:val="0"/>
              <w:widowControl/>
              <w:suppressLineNumbers w:val="0"/>
              <w:snapToGrid w:val="0"/>
              <w:jc w:val="center"/>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东莞市莞水装备科技有限公司</w:t>
            </w:r>
          </w:p>
        </w:tc>
      </w:tr>
      <w:tr w14:paraId="588A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68" w:type="dxa"/>
            <w:vMerge w:val="continue"/>
            <w:tcBorders>
              <w:left w:val="single" w:color="auto" w:sz="4" w:space="0"/>
              <w:bottom w:val="single" w:color="auto" w:sz="4" w:space="0"/>
              <w:right w:val="single" w:color="auto" w:sz="4" w:space="0"/>
            </w:tcBorders>
            <w:vAlign w:val="center"/>
          </w:tcPr>
          <w:p w14:paraId="14733FD6">
            <w:pPr>
              <w:snapToGrid w:val="0"/>
              <w:jc w:val="center"/>
              <w:rPr>
                <w:rFonts w:hint="eastAsia" w:ascii="宋体" w:hAnsi="宋体" w:eastAsia="宋体" w:cs="宋体"/>
                <w:color w:val="auto"/>
                <w:szCs w:val="21"/>
                <w:highlight w:val="none"/>
              </w:rPr>
            </w:pPr>
          </w:p>
        </w:tc>
        <w:tc>
          <w:tcPr>
            <w:tcW w:w="1161" w:type="dxa"/>
            <w:vMerge w:val="continue"/>
            <w:tcBorders>
              <w:left w:val="single" w:color="auto" w:sz="4" w:space="0"/>
              <w:bottom w:val="single" w:color="auto" w:sz="4" w:space="0"/>
              <w:right w:val="single" w:color="auto" w:sz="4" w:space="0"/>
            </w:tcBorders>
            <w:vAlign w:val="center"/>
          </w:tcPr>
          <w:p w14:paraId="57592652">
            <w:pPr>
              <w:jc w:val="right"/>
              <w:rPr>
                <w:rFonts w:hint="eastAsia" w:ascii="宋体" w:hAnsi="宋体" w:eastAsia="宋体" w:cs="宋体"/>
                <w:color w:val="auto"/>
                <w:szCs w:val="21"/>
                <w:highlight w:val="none"/>
              </w:rPr>
            </w:pPr>
          </w:p>
        </w:tc>
        <w:tc>
          <w:tcPr>
            <w:tcW w:w="2086" w:type="dxa"/>
            <w:tcBorders>
              <w:top w:val="single" w:color="auto" w:sz="4" w:space="0"/>
              <w:left w:val="single" w:color="auto" w:sz="4" w:space="0"/>
              <w:bottom w:val="single" w:color="auto" w:sz="4" w:space="0"/>
              <w:right w:val="single" w:color="auto" w:sz="4" w:space="0"/>
            </w:tcBorders>
            <w:vAlign w:val="center"/>
          </w:tcPr>
          <w:p w14:paraId="601A27FB">
            <w:pPr>
              <w:keepNext w:val="0"/>
              <w:keepLines w:val="0"/>
              <w:widowControl/>
              <w:suppressLineNumbers w:val="0"/>
              <w:snapToGrid w:val="0"/>
              <w:jc w:val="center"/>
              <w:textAlignment w:val="auto"/>
              <w:rPr>
                <w:rFonts w:hint="eastAsia" w:ascii="宋体" w:hAnsi="宋体" w:eastAsia="宋体" w:cs="宋体"/>
                <w:color w:val="auto"/>
                <w:szCs w:val="21"/>
                <w:highlight w:val="none"/>
              </w:rPr>
            </w:pPr>
            <w:r>
              <w:rPr>
                <w:rFonts w:hint="eastAsia" w:ascii="宋体" w:hAnsi="宋体" w:eastAsia="宋体" w:cs="宋体"/>
                <w:i w:val="0"/>
                <w:iCs w:val="0"/>
                <w:color w:val="auto"/>
                <w:kern w:val="2"/>
                <w:sz w:val="21"/>
                <w:szCs w:val="21"/>
                <w:highlight w:val="none"/>
                <w:u w:val="none"/>
                <w:lang w:val="en-US" w:eastAsia="zh-CN" w:bidi="ar"/>
              </w:rPr>
              <w:t xml:space="preserve">22,242.460 </w:t>
            </w:r>
          </w:p>
        </w:tc>
        <w:tc>
          <w:tcPr>
            <w:tcW w:w="1848" w:type="pct"/>
            <w:tcBorders>
              <w:top w:val="single" w:color="auto" w:sz="4" w:space="0"/>
              <w:left w:val="single" w:color="auto" w:sz="4" w:space="0"/>
              <w:bottom w:val="single" w:color="auto" w:sz="4" w:space="0"/>
              <w:right w:val="single" w:color="auto" w:sz="4" w:space="0"/>
            </w:tcBorders>
            <w:vAlign w:val="center"/>
          </w:tcPr>
          <w:p w14:paraId="2943E55C">
            <w:pPr>
              <w:keepNext w:val="0"/>
              <w:keepLines w:val="0"/>
              <w:widowControl/>
              <w:suppressLineNumbers w:val="0"/>
              <w:snapToGrid w:val="0"/>
              <w:jc w:val="center"/>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东莞市众源环境投资有限公司</w:t>
            </w:r>
          </w:p>
        </w:tc>
      </w:tr>
      <w:tr w14:paraId="4B70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68" w:type="dxa"/>
            <w:vMerge w:val="restart"/>
            <w:tcBorders>
              <w:top w:val="single" w:color="auto" w:sz="4" w:space="0"/>
              <w:left w:val="single" w:color="auto" w:sz="4" w:space="0"/>
              <w:right w:val="single" w:color="auto" w:sz="4" w:space="0"/>
            </w:tcBorders>
            <w:vAlign w:val="center"/>
          </w:tcPr>
          <w:p w14:paraId="15BBFF14">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液</w:t>
            </w:r>
            <w:r>
              <w:rPr>
                <w:rFonts w:hint="eastAsia" w:ascii="宋体" w:hAnsi="宋体" w:eastAsia="宋体" w:cs="宋体"/>
                <w:color w:val="auto"/>
                <w:szCs w:val="21"/>
                <w:highlight w:val="none"/>
                <w:lang w:val="en-US" w:eastAsia="zh-CN"/>
              </w:rPr>
              <w:t>体</w:t>
            </w:r>
            <w:r>
              <w:rPr>
                <w:rFonts w:hint="eastAsia" w:ascii="宋体" w:hAnsi="宋体" w:eastAsia="宋体" w:cs="宋体"/>
                <w:color w:val="auto"/>
                <w:szCs w:val="21"/>
                <w:highlight w:val="none"/>
              </w:rPr>
              <w:t>聚</w:t>
            </w:r>
            <w:r>
              <w:rPr>
                <w:rFonts w:hint="eastAsia" w:ascii="宋体" w:hAnsi="宋体" w:eastAsia="宋体" w:cs="宋体"/>
                <w:color w:val="auto"/>
                <w:szCs w:val="21"/>
                <w:highlight w:val="none"/>
                <w:lang w:val="en-US" w:eastAsia="zh-CN"/>
              </w:rPr>
              <w:t>合</w:t>
            </w:r>
            <w:r>
              <w:rPr>
                <w:rFonts w:hint="eastAsia" w:ascii="宋体" w:hAnsi="宋体" w:eastAsia="宋体" w:cs="宋体"/>
                <w:color w:val="auto"/>
                <w:szCs w:val="21"/>
                <w:highlight w:val="none"/>
              </w:rPr>
              <w:t>氯化铝铁</w:t>
            </w:r>
          </w:p>
        </w:tc>
        <w:tc>
          <w:tcPr>
            <w:tcW w:w="1161" w:type="dxa"/>
            <w:vMerge w:val="restart"/>
            <w:tcBorders>
              <w:top w:val="single" w:color="auto" w:sz="4" w:space="0"/>
              <w:left w:val="single" w:color="auto" w:sz="4" w:space="0"/>
              <w:right w:val="single" w:color="auto" w:sz="4" w:space="0"/>
            </w:tcBorders>
            <w:vAlign w:val="center"/>
          </w:tcPr>
          <w:p w14:paraId="3E6533E1">
            <w:pPr>
              <w:keepNext w:val="0"/>
              <w:keepLines w:val="0"/>
              <w:widowControl/>
              <w:suppressLineNumbers w:val="0"/>
              <w:snapToGrid w:val="0"/>
              <w:jc w:val="center"/>
              <w:textAlignment w:val="auto"/>
              <w:rPr>
                <w:rFonts w:hint="eastAsia" w:ascii="宋体" w:hAnsi="宋体" w:eastAsia="宋体" w:cs="宋体"/>
                <w:color w:val="auto"/>
                <w:szCs w:val="21"/>
                <w:highlight w:val="none"/>
                <w:u w:val="none"/>
              </w:rPr>
            </w:pPr>
            <w:r>
              <w:rPr>
                <w:rFonts w:hint="eastAsia" w:ascii="宋体" w:hAnsi="宋体" w:eastAsia="宋体" w:cs="宋体"/>
                <w:i w:val="0"/>
                <w:iCs w:val="0"/>
                <w:color w:val="auto"/>
                <w:kern w:val="2"/>
                <w:sz w:val="21"/>
                <w:szCs w:val="21"/>
                <w:highlight w:val="none"/>
                <w:u w:val="none"/>
                <w:lang w:val="en-US" w:eastAsia="zh-CN" w:bidi="ar"/>
              </w:rPr>
              <w:t xml:space="preserve">27,410.257 </w:t>
            </w:r>
          </w:p>
        </w:tc>
        <w:tc>
          <w:tcPr>
            <w:tcW w:w="2086" w:type="dxa"/>
            <w:tcBorders>
              <w:top w:val="single" w:color="auto" w:sz="4" w:space="0"/>
              <w:left w:val="single" w:color="auto" w:sz="4" w:space="0"/>
              <w:bottom w:val="single" w:color="auto" w:sz="4" w:space="0"/>
              <w:right w:val="single" w:color="auto" w:sz="4" w:space="0"/>
            </w:tcBorders>
            <w:vAlign w:val="center"/>
          </w:tcPr>
          <w:p w14:paraId="7097FA0D">
            <w:pPr>
              <w:keepNext w:val="0"/>
              <w:keepLines w:val="0"/>
              <w:widowControl/>
              <w:suppressLineNumbers w:val="0"/>
              <w:snapToGrid w:val="0"/>
              <w:jc w:val="center"/>
              <w:textAlignment w:val="auto"/>
              <w:rPr>
                <w:rFonts w:hint="eastAsia" w:ascii="宋体" w:hAnsi="宋体" w:eastAsia="宋体" w:cs="宋体"/>
                <w:color w:val="auto"/>
                <w:szCs w:val="21"/>
                <w:highlight w:val="none"/>
              </w:rPr>
            </w:pPr>
            <w:r>
              <w:rPr>
                <w:rFonts w:hint="eastAsia" w:ascii="宋体" w:hAnsi="宋体" w:eastAsia="宋体" w:cs="宋体"/>
                <w:i w:val="0"/>
                <w:iCs w:val="0"/>
                <w:color w:val="auto"/>
                <w:kern w:val="2"/>
                <w:sz w:val="21"/>
                <w:szCs w:val="21"/>
                <w:highlight w:val="none"/>
                <w:u w:val="none"/>
                <w:lang w:val="en-US" w:eastAsia="zh-CN" w:bidi="ar"/>
              </w:rPr>
              <w:t xml:space="preserve">16,483.803 </w:t>
            </w:r>
          </w:p>
        </w:tc>
        <w:tc>
          <w:tcPr>
            <w:tcW w:w="1848" w:type="pct"/>
            <w:tcBorders>
              <w:top w:val="single" w:color="auto" w:sz="4" w:space="0"/>
              <w:left w:val="single" w:color="auto" w:sz="4" w:space="0"/>
              <w:bottom w:val="single" w:color="auto" w:sz="4" w:space="0"/>
              <w:right w:val="single" w:color="auto" w:sz="4" w:space="0"/>
            </w:tcBorders>
            <w:vAlign w:val="center"/>
          </w:tcPr>
          <w:p w14:paraId="3C47C0AD">
            <w:pPr>
              <w:keepNext w:val="0"/>
              <w:keepLines w:val="0"/>
              <w:widowControl/>
              <w:suppressLineNumbers w:val="0"/>
              <w:snapToGrid w:val="0"/>
              <w:jc w:val="center"/>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东莞市石鼓净水有限公司</w:t>
            </w:r>
          </w:p>
        </w:tc>
      </w:tr>
      <w:tr w14:paraId="406B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468" w:type="dxa"/>
            <w:vMerge w:val="continue"/>
            <w:tcBorders>
              <w:left w:val="single" w:color="auto" w:sz="4" w:space="0"/>
              <w:bottom w:val="single" w:color="auto" w:sz="4" w:space="0"/>
              <w:right w:val="single" w:color="auto" w:sz="4" w:space="0"/>
            </w:tcBorders>
            <w:vAlign w:val="center"/>
          </w:tcPr>
          <w:p w14:paraId="1F4F281B">
            <w:pPr>
              <w:snapToGrid w:val="0"/>
              <w:jc w:val="center"/>
              <w:rPr>
                <w:rFonts w:hint="eastAsia" w:ascii="宋体" w:hAnsi="宋体" w:eastAsia="宋体" w:cs="宋体"/>
                <w:color w:val="auto"/>
                <w:szCs w:val="21"/>
                <w:highlight w:val="none"/>
              </w:rPr>
            </w:pPr>
          </w:p>
        </w:tc>
        <w:tc>
          <w:tcPr>
            <w:tcW w:w="1161" w:type="dxa"/>
            <w:vMerge w:val="continue"/>
            <w:tcBorders>
              <w:left w:val="single" w:color="auto" w:sz="4" w:space="0"/>
              <w:bottom w:val="single" w:color="auto" w:sz="4" w:space="0"/>
              <w:right w:val="single" w:color="auto" w:sz="4" w:space="0"/>
            </w:tcBorders>
            <w:vAlign w:val="center"/>
          </w:tcPr>
          <w:p w14:paraId="11C372E5">
            <w:pPr>
              <w:keepNext w:val="0"/>
              <w:keepLines w:val="0"/>
              <w:widowControl/>
              <w:suppressLineNumbers w:val="0"/>
              <w:snapToGrid w:val="0"/>
              <w:jc w:val="center"/>
              <w:textAlignment w:val="auto"/>
              <w:rPr>
                <w:rFonts w:hint="eastAsia" w:ascii="宋体" w:hAnsi="宋体" w:eastAsia="宋体" w:cs="宋体"/>
                <w:color w:val="auto"/>
                <w:szCs w:val="21"/>
                <w:highlight w:val="none"/>
                <w:u w:val="none"/>
              </w:rPr>
            </w:pPr>
          </w:p>
        </w:tc>
        <w:tc>
          <w:tcPr>
            <w:tcW w:w="2086" w:type="dxa"/>
            <w:tcBorders>
              <w:top w:val="single" w:color="auto" w:sz="4" w:space="0"/>
              <w:left w:val="single" w:color="auto" w:sz="4" w:space="0"/>
              <w:bottom w:val="single" w:color="auto" w:sz="4" w:space="0"/>
              <w:right w:val="single" w:color="auto" w:sz="4" w:space="0"/>
            </w:tcBorders>
            <w:vAlign w:val="center"/>
          </w:tcPr>
          <w:p w14:paraId="205E9D7E">
            <w:pPr>
              <w:keepNext w:val="0"/>
              <w:keepLines w:val="0"/>
              <w:widowControl/>
              <w:suppressLineNumbers w:val="0"/>
              <w:snapToGrid w:val="0"/>
              <w:jc w:val="center"/>
              <w:textAlignment w:val="auto"/>
              <w:rPr>
                <w:rFonts w:hint="eastAsia" w:ascii="宋体" w:hAnsi="宋体" w:eastAsia="宋体" w:cs="宋体"/>
                <w:color w:val="auto"/>
                <w:szCs w:val="21"/>
                <w:highlight w:val="none"/>
              </w:rPr>
            </w:pPr>
            <w:r>
              <w:rPr>
                <w:rFonts w:hint="eastAsia" w:ascii="宋体" w:hAnsi="宋体" w:eastAsia="宋体" w:cs="宋体"/>
                <w:i w:val="0"/>
                <w:iCs w:val="0"/>
                <w:color w:val="auto"/>
                <w:kern w:val="2"/>
                <w:sz w:val="21"/>
                <w:szCs w:val="21"/>
                <w:highlight w:val="none"/>
                <w:u w:val="none"/>
                <w:lang w:val="en-US" w:eastAsia="zh-CN" w:bidi="ar"/>
              </w:rPr>
              <w:t xml:space="preserve">10,926.454 </w:t>
            </w:r>
          </w:p>
        </w:tc>
        <w:tc>
          <w:tcPr>
            <w:tcW w:w="1848" w:type="pct"/>
            <w:tcBorders>
              <w:top w:val="single" w:color="auto" w:sz="4" w:space="0"/>
              <w:left w:val="single" w:color="auto" w:sz="4" w:space="0"/>
              <w:bottom w:val="single" w:color="auto" w:sz="4" w:space="0"/>
              <w:right w:val="single" w:color="auto" w:sz="4" w:space="0"/>
            </w:tcBorders>
            <w:vAlign w:val="center"/>
          </w:tcPr>
          <w:p w14:paraId="32DBFD01">
            <w:pPr>
              <w:keepNext w:val="0"/>
              <w:keepLines w:val="0"/>
              <w:widowControl/>
              <w:suppressLineNumbers w:val="0"/>
              <w:snapToGrid w:val="0"/>
              <w:jc w:val="center"/>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东莞市樟村水质净化有限公司</w:t>
            </w:r>
          </w:p>
        </w:tc>
      </w:tr>
    </w:tbl>
    <w:p w14:paraId="0DD422B1">
      <w:pPr>
        <w:pStyle w:val="47"/>
        <w:rPr>
          <w:rFonts w:hint="eastAsia" w:ascii="宋体" w:hAnsi="宋体" w:eastAsia="宋体" w:cs="宋体"/>
          <w:color w:val="auto"/>
          <w:sz w:val="21"/>
          <w:szCs w:val="21"/>
          <w:highlight w:val="none"/>
          <w:lang w:val="en-US" w:eastAsia="zh-CN"/>
        </w:rPr>
      </w:pPr>
    </w:p>
    <w:p w14:paraId="0B9F4A8C">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color w:val="auto"/>
          <w:sz w:val="21"/>
          <w:szCs w:val="21"/>
          <w:highlight w:val="none"/>
        </w:rPr>
        <w:t>本次采购涉及招标人运营项目及采购数量为暂定，仅为便于计算暂定合同价使用，不作为招标人</w:t>
      </w:r>
      <w:r>
        <w:rPr>
          <w:rFonts w:hint="eastAsia" w:ascii="宋体" w:hAnsi="宋体" w:eastAsia="宋体" w:cs="宋体"/>
          <w:b/>
          <w:color w:val="auto"/>
          <w:sz w:val="21"/>
          <w:szCs w:val="21"/>
          <w:highlight w:val="none"/>
          <w:lang w:eastAsia="zh-CN"/>
        </w:rPr>
        <w:t>权属子公司</w:t>
      </w:r>
      <w:r>
        <w:rPr>
          <w:rFonts w:hint="eastAsia" w:ascii="宋体" w:hAnsi="宋体" w:eastAsia="宋体" w:cs="宋体"/>
          <w:b/>
          <w:color w:val="auto"/>
          <w:sz w:val="21"/>
          <w:szCs w:val="21"/>
          <w:highlight w:val="none"/>
        </w:rPr>
        <w:t>最终采购数量的保证，招标人保留根据运营项目实际情况，对采购数量进行灵活调整的权利。实际</w:t>
      </w:r>
      <w:r>
        <w:rPr>
          <w:rFonts w:hint="eastAsia" w:ascii="宋体" w:hAnsi="宋体" w:eastAsia="宋体" w:cs="宋体"/>
          <w:b/>
          <w:bCs/>
          <w:color w:val="auto"/>
          <w:kern w:val="2"/>
          <w:sz w:val="21"/>
          <w:szCs w:val="21"/>
          <w:highlight w:val="none"/>
        </w:rPr>
        <w:t>招标人运营项目</w:t>
      </w:r>
      <w:r>
        <w:rPr>
          <w:rFonts w:hint="eastAsia" w:ascii="宋体" w:hAnsi="宋体" w:eastAsia="宋体" w:cs="宋体"/>
          <w:b/>
          <w:color w:val="auto"/>
          <w:sz w:val="21"/>
          <w:szCs w:val="21"/>
          <w:highlight w:val="none"/>
        </w:rPr>
        <w:t>根据项目工艺及性质，结合项目实际使用效果选用，招标人权属子公司实际需求数量以招标人运营项目每次的供货通知为准，在供货期内</w:t>
      </w:r>
      <w:r>
        <w:rPr>
          <w:rFonts w:hint="eastAsia" w:ascii="宋体" w:hAnsi="宋体" w:eastAsia="宋体" w:cs="宋体"/>
          <w:b/>
          <w:color w:val="auto"/>
          <w:sz w:val="21"/>
          <w:szCs w:val="21"/>
          <w:highlight w:val="none"/>
          <w:lang w:eastAsia="zh-CN"/>
        </w:rPr>
        <w:t>中标人</w:t>
      </w:r>
      <w:r>
        <w:rPr>
          <w:rFonts w:hint="eastAsia" w:ascii="宋体" w:hAnsi="宋体" w:eastAsia="宋体" w:cs="宋体"/>
          <w:b/>
          <w:color w:val="auto"/>
          <w:sz w:val="21"/>
          <w:szCs w:val="21"/>
          <w:highlight w:val="none"/>
        </w:rPr>
        <w:t>不得因招标人</w:t>
      </w:r>
      <w:r>
        <w:rPr>
          <w:rFonts w:hint="eastAsia" w:ascii="宋体" w:hAnsi="宋体" w:eastAsia="宋体" w:cs="宋体"/>
          <w:b/>
          <w:color w:val="auto"/>
          <w:sz w:val="21"/>
          <w:szCs w:val="21"/>
          <w:highlight w:val="none"/>
          <w:lang w:eastAsia="zh-CN"/>
        </w:rPr>
        <w:t>权属子公司</w:t>
      </w:r>
      <w:r>
        <w:rPr>
          <w:rFonts w:hint="eastAsia" w:ascii="宋体" w:hAnsi="宋体" w:eastAsia="宋体" w:cs="宋体"/>
          <w:b/>
          <w:color w:val="auto"/>
          <w:sz w:val="21"/>
          <w:szCs w:val="21"/>
          <w:highlight w:val="none"/>
        </w:rPr>
        <w:t>实际采购数量的减少或增加而要求提供任何形式的补偿或赔偿，或要求招标人权属子公司按暂定采购数量采购相应货物</w:t>
      </w:r>
      <w:r>
        <w:rPr>
          <w:rFonts w:hint="eastAsia" w:ascii="宋体" w:hAnsi="宋体" w:eastAsia="宋体" w:cs="宋体"/>
          <w:b/>
          <w:bCs/>
          <w:color w:val="auto"/>
          <w:kern w:val="2"/>
          <w:sz w:val="21"/>
          <w:szCs w:val="21"/>
          <w:highlight w:val="none"/>
          <w:lang w:val="en-US" w:eastAsia="zh-CN" w:bidi="ar"/>
        </w:rPr>
        <w:t>。</w:t>
      </w:r>
    </w:p>
    <w:p w14:paraId="23DDDC21">
      <w:pPr>
        <w:autoSpaceDE/>
        <w:autoSpaceDN/>
        <w:adjustRightInd/>
        <w:spacing w:line="360" w:lineRule="auto"/>
        <w:ind w:firstLine="422" w:firstLineChars="200"/>
        <w:jc w:val="both"/>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、采购货物</w:t>
      </w:r>
      <w:r>
        <w:rPr>
          <w:rFonts w:hint="eastAsia" w:ascii="宋体" w:hAnsi="宋体" w:eastAsia="宋体" w:cs="宋体"/>
          <w:b/>
          <w:color w:val="auto"/>
          <w:sz w:val="21"/>
          <w:szCs w:val="21"/>
          <w:highlight w:val="none"/>
          <w:lang w:val="en-US" w:eastAsia="zh-CN"/>
        </w:rPr>
        <w:t>主要技术指标</w:t>
      </w:r>
    </w:p>
    <w:p w14:paraId="7DF6ECD5">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3.1、液体聚合氯化铝</w:t>
      </w:r>
      <w:r>
        <w:rPr>
          <w:rFonts w:hint="eastAsia" w:ascii="宋体" w:hAnsi="宋体" w:eastAsia="宋体" w:cs="宋体"/>
          <w:b/>
          <w:color w:val="auto"/>
          <w:sz w:val="21"/>
          <w:szCs w:val="21"/>
          <w:highlight w:val="none"/>
        </w:rPr>
        <w:t>主要技术指标</w:t>
      </w:r>
    </w:p>
    <w:p w14:paraId="0942A251">
      <w:pPr>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（1）外观：液</w:t>
      </w:r>
      <w:r>
        <w:rPr>
          <w:rFonts w:hint="eastAsia" w:ascii="宋体" w:hAnsi="宋体" w:eastAsia="宋体" w:cs="宋体"/>
          <w:b/>
          <w:color w:val="auto"/>
          <w:sz w:val="21"/>
          <w:szCs w:val="21"/>
          <w:highlight w:val="none"/>
          <w:lang w:val="en-US" w:eastAsia="zh-CN"/>
        </w:rPr>
        <w:t>体</w:t>
      </w:r>
      <w:r>
        <w:rPr>
          <w:rFonts w:hint="eastAsia" w:ascii="宋体" w:hAnsi="宋体" w:eastAsia="宋体" w:cs="宋体"/>
          <w:b/>
          <w:color w:val="auto"/>
          <w:sz w:val="21"/>
          <w:szCs w:val="21"/>
          <w:highlight w:val="none"/>
        </w:rPr>
        <w:t>聚</w:t>
      </w:r>
      <w:r>
        <w:rPr>
          <w:rFonts w:hint="eastAsia" w:ascii="宋体" w:hAnsi="宋体" w:eastAsia="宋体" w:cs="宋体"/>
          <w:b/>
          <w:color w:val="auto"/>
          <w:sz w:val="21"/>
          <w:szCs w:val="21"/>
          <w:highlight w:val="none"/>
          <w:lang w:val="en-US" w:eastAsia="zh-CN"/>
        </w:rPr>
        <w:t>合</w:t>
      </w:r>
      <w:r>
        <w:rPr>
          <w:rFonts w:hint="eastAsia" w:ascii="宋体" w:hAnsi="宋体" w:eastAsia="宋体" w:cs="宋体"/>
          <w:b/>
          <w:color w:val="auto"/>
          <w:sz w:val="21"/>
          <w:szCs w:val="21"/>
          <w:highlight w:val="none"/>
        </w:rPr>
        <w:t>氯化铝应为无色至黄色或黄褐色液体，无异味。</w:t>
      </w:r>
    </w:p>
    <w:p w14:paraId="4D26402D">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（2）液</w:t>
      </w:r>
      <w:r>
        <w:rPr>
          <w:rFonts w:hint="eastAsia" w:ascii="宋体" w:hAnsi="宋体" w:eastAsia="宋体" w:cs="宋体"/>
          <w:b/>
          <w:color w:val="auto"/>
          <w:sz w:val="21"/>
          <w:szCs w:val="21"/>
          <w:highlight w:val="none"/>
          <w:lang w:val="en-US" w:eastAsia="zh-CN"/>
        </w:rPr>
        <w:t>体</w:t>
      </w:r>
      <w:r>
        <w:rPr>
          <w:rFonts w:hint="eastAsia" w:ascii="宋体" w:hAnsi="宋体" w:eastAsia="宋体" w:cs="宋体"/>
          <w:b/>
          <w:color w:val="auto"/>
          <w:sz w:val="21"/>
          <w:szCs w:val="21"/>
          <w:highlight w:val="none"/>
        </w:rPr>
        <w:t>聚</w:t>
      </w:r>
      <w:r>
        <w:rPr>
          <w:rFonts w:hint="eastAsia" w:ascii="宋体" w:hAnsi="宋体" w:eastAsia="宋体" w:cs="宋体"/>
          <w:b/>
          <w:color w:val="auto"/>
          <w:sz w:val="21"/>
          <w:szCs w:val="21"/>
          <w:highlight w:val="none"/>
          <w:lang w:val="en-US" w:eastAsia="zh-CN"/>
        </w:rPr>
        <w:t>合</w:t>
      </w:r>
      <w:r>
        <w:rPr>
          <w:rFonts w:hint="eastAsia" w:ascii="宋体" w:hAnsi="宋体" w:eastAsia="宋体" w:cs="宋体"/>
          <w:b/>
          <w:color w:val="auto"/>
          <w:sz w:val="21"/>
          <w:szCs w:val="21"/>
          <w:highlight w:val="none"/>
        </w:rPr>
        <w:t>氯化铝必须符合《水处理剂 聚氯化铝》（GB/T 22627-2022）产品质量及检测标准，技术指标要求如下：</w:t>
      </w:r>
    </w:p>
    <w:p w14:paraId="4329640B">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表1  </w:t>
      </w:r>
      <w:r>
        <w:rPr>
          <w:rFonts w:hint="eastAsia" w:ascii="宋体" w:hAnsi="宋体" w:eastAsia="宋体" w:cs="宋体"/>
          <w:b/>
          <w:color w:val="auto"/>
          <w:szCs w:val="21"/>
          <w:highlight w:val="none"/>
        </w:rPr>
        <w:t>液</w:t>
      </w:r>
      <w:r>
        <w:rPr>
          <w:rFonts w:hint="eastAsia" w:ascii="宋体" w:hAnsi="宋体" w:eastAsia="宋体" w:cs="宋体"/>
          <w:b/>
          <w:color w:val="auto"/>
          <w:szCs w:val="21"/>
          <w:highlight w:val="none"/>
          <w:lang w:val="en-US" w:eastAsia="zh-CN"/>
        </w:rPr>
        <w:t>体</w:t>
      </w:r>
      <w:r>
        <w:rPr>
          <w:rFonts w:hint="eastAsia" w:ascii="宋体" w:hAnsi="宋体" w:eastAsia="宋体" w:cs="宋体"/>
          <w:b/>
          <w:color w:val="auto"/>
          <w:szCs w:val="21"/>
          <w:highlight w:val="none"/>
        </w:rPr>
        <w:t>聚</w:t>
      </w:r>
      <w:r>
        <w:rPr>
          <w:rFonts w:hint="eastAsia" w:ascii="宋体" w:hAnsi="宋体" w:eastAsia="宋体" w:cs="宋体"/>
          <w:b/>
          <w:color w:val="auto"/>
          <w:szCs w:val="21"/>
          <w:highlight w:val="none"/>
          <w:lang w:val="en-US" w:eastAsia="zh-CN"/>
        </w:rPr>
        <w:t>合</w:t>
      </w:r>
      <w:r>
        <w:rPr>
          <w:rFonts w:hint="eastAsia" w:ascii="宋体" w:hAnsi="宋体" w:eastAsia="宋体" w:cs="宋体"/>
          <w:b/>
          <w:color w:val="auto"/>
          <w:szCs w:val="21"/>
          <w:highlight w:val="none"/>
        </w:rPr>
        <w:t>氯化铝主要技术指标</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3"/>
        <w:gridCol w:w="5313"/>
      </w:tblGrid>
      <w:tr w14:paraId="535B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353" w:type="pct"/>
            <w:vAlign w:val="center"/>
          </w:tcPr>
          <w:p w14:paraId="5BEEAC58">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指标项目</w:t>
            </w:r>
          </w:p>
        </w:tc>
        <w:tc>
          <w:tcPr>
            <w:tcW w:w="2646" w:type="pct"/>
            <w:vAlign w:val="center"/>
          </w:tcPr>
          <w:p w14:paraId="7AFC8FBE">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w:t>
            </w:r>
          </w:p>
        </w:tc>
      </w:tr>
      <w:tr w14:paraId="74D1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353" w:type="pct"/>
            <w:vAlign w:val="center"/>
          </w:tcPr>
          <w:p w14:paraId="2DFB1B74">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氧化铝（Al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）的质量分数，%</w:t>
            </w:r>
          </w:p>
        </w:tc>
        <w:tc>
          <w:tcPr>
            <w:tcW w:w="2646" w:type="pct"/>
            <w:vAlign w:val="center"/>
          </w:tcPr>
          <w:p w14:paraId="475D2850">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≥10</w:t>
            </w:r>
          </w:p>
        </w:tc>
      </w:tr>
      <w:tr w14:paraId="36F8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353" w:type="pct"/>
            <w:vAlign w:val="center"/>
          </w:tcPr>
          <w:p w14:paraId="106023BE">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密度（20℃），g/cm</w:t>
            </w:r>
            <w:r>
              <w:rPr>
                <w:rFonts w:hint="eastAsia" w:ascii="宋体" w:hAnsi="宋体" w:eastAsia="宋体" w:cs="宋体"/>
                <w:b/>
                <w:color w:val="auto"/>
                <w:szCs w:val="21"/>
                <w:highlight w:val="none"/>
                <w:vertAlign w:val="superscript"/>
              </w:rPr>
              <w:t>3</w:t>
            </w:r>
          </w:p>
        </w:tc>
        <w:tc>
          <w:tcPr>
            <w:tcW w:w="2646" w:type="pct"/>
            <w:vAlign w:val="center"/>
          </w:tcPr>
          <w:p w14:paraId="5A7A0294">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≥1.12</w:t>
            </w:r>
          </w:p>
        </w:tc>
      </w:tr>
      <w:tr w14:paraId="6C1B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2353" w:type="pct"/>
            <w:vAlign w:val="center"/>
          </w:tcPr>
          <w:p w14:paraId="1FBE951B">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盐基度，%</w:t>
            </w:r>
          </w:p>
        </w:tc>
        <w:tc>
          <w:tcPr>
            <w:tcW w:w="2646" w:type="pct"/>
            <w:vAlign w:val="center"/>
          </w:tcPr>
          <w:p w14:paraId="7326A8B9">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20~98</w:t>
            </w:r>
          </w:p>
        </w:tc>
      </w:tr>
      <w:tr w14:paraId="7E00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vAlign w:val="center"/>
          </w:tcPr>
          <w:p w14:paraId="23136E51">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水不溶物的质量分数，%</w:t>
            </w:r>
          </w:p>
        </w:tc>
        <w:tc>
          <w:tcPr>
            <w:tcW w:w="2646" w:type="pct"/>
            <w:vAlign w:val="center"/>
          </w:tcPr>
          <w:p w14:paraId="7066F23A">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≤0.4</w:t>
            </w:r>
          </w:p>
        </w:tc>
      </w:tr>
      <w:tr w14:paraId="511E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vAlign w:val="center"/>
          </w:tcPr>
          <w:p w14:paraId="10C34556">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pH值（10g/L水溶液）</w:t>
            </w:r>
          </w:p>
        </w:tc>
        <w:tc>
          <w:tcPr>
            <w:tcW w:w="2646" w:type="pct"/>
            <w:vAlign w:val="center"/>
          </w:tcPr>
          <w:p w14:paraId="14DC6B3D">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3.5~5.0</w:t>
            </w:r>
          </w:p>
        </w:tc>
      </w:tr>
      <w:tr w14:paraId="335D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vAlign w:val="center"/>
          </w:tcPr>
          <w:p w14:paraId="1EF9A01F">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铁（Fe）的质量分数，%</w:t>
            </w:r>
          </w:p>
        </w:tc>
        <w:tc>
          <w:tcPr>
            <w:tcW w:w="2646" w:type="pct"/>
            <w:vAlign w:val="center"/>
          </w:tcPr>
          <w:p w14:paraId="3EEE52F1">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≤1.5</w:t>
            </w:r>
          </w:p>
        </w:tc>
      </w:tr>
      <w:tr w14:paraId="65E1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vAlign w:val="center"/>
          </w:tcPr>
          <w:p w14:paraId="1DC5637E">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氨氮（以N计）的质量分数，%</w:t>
            </w:r>
          </w:p>
        </w:tc>
        <w:tc>
          <w:tcPr>
            <w:tcW w:w="2646" w:type="pct"/>
            <w:vAlign w:val="center"/>
          </w:tcPr>
          <w:p w14:paraId="385D1738">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≤0.05</w:t>
            </w:r>
          </w:p>
        </w:tc>
      </w:tr>
      <w:tr w14:paraId="074A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tcPr>
          <w:p w14:paraId="047F1590">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砷（As）的质量分数，%</w:t>
            </w:r>
          </w:p>
        </w:tc>
        <w:tc>
          <w:tcPr>
            <w:tcW w:w="2646" w:type="pct"/>
            <w:vAlign w:val="center"/>
          </w:tcPr>
          <w:p w14:paraId="6D23188C">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≤0.0005</w:t>
            </w:r>
          </w:p>
        </w:tc>
      </w:tr>
      <w:tr w14:paraId="3F31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tcPr>
          <w:p w14:paraId="0E05F0DB">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铅（Pb）的质量分数，%</w:t>
            </w:r>
          </w:p>
        </w:tc>
        <w:tc>
          <w:tcPr>
            <w:tcW w:w="2646" w:type="pct"/>
            <w:vAlign w:val="center"/>
          </w:tcPr>
          <w:p w14:paraId="7CCB028F">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≤0.002</w:t>
            </w:r>
          </w:p>
        </w:tc>
      </w:tr>
      <w:tr w14:paraId="5134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tcPr>
          <w:p w14:paraId="229AF3F8">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镉（Cd）的质量分数，%</w:t>
            </w:r>
          </w:p>
        </w:tc>
        <w:tc>
          <w:tcPr>
            <w:tcW w:w="2646" w:type="pct"/>
            <w:vAlign w:val="center"/>
          </w:tcPr>
          <w:p w14:paraId="7AA9067D">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≤0.0005</w:t>
            </w:r>
          </w:p>
        </w:tc>
      </w:tr>
      <w:tr w14:paraId="0430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tcPr>
          <w:p w14:paraId="6A3E9643">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汞（Hg）的质量分数，%</w:t>
            </w:r>
          </w:p>
        </w:tc>
        <w:tc>
          <w:tcPr>
            <w:tcW w:w="2646" w:type="pct"/>
            <w:vAlign w:val="center"/>
          </w:tcPr>
          <w:p w14:paraId="79C2A670">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≤0.00005</w:t>
            </w:r>
          </w:p>
        </w:tc>
      </w:tr>
      <w:tr w14:paraId="3876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tcPr>
          <w:p w14:paraId="2A8765C7">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铬（Cr）的质量分数，%</w:t>
            </w:r>
          </w:p>
        </w:tc>
        <w:tc>
          <w:tcPr>
            <w:tcW w:w="2646" w:type="pct"/>
            <w:vAlign w:val="center"/>
          </w:tcPr>
          <w:p w14:paraId="09572426">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≤0.005</w:t>
            </w:r>
          </w:p>
        </w:tc>
      </w:tr>
      <w:tr w14:paraId="369E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tcPr>
          <w:p w14:paraId="63D24BBC">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总磷（以P计），mg/L</w:t>
            </w:r>
          </w:p>
        </w:tc>
        <w:tc>
          <w:tcPr>
            <w:tcW w:w="2646" w:type="pct"/>
            <w:vAlign w:val="center"/>
          </w:tcPr>
          <w:p w14:paraId="1D7E14D6">
            <w:pPr>
              <w:spacing w:line="360" w:lineRule="auto"/>
              <w:ind w:firstLine="276" w:firstLineChars="131"/>
              <w:jc w:val="center"/>
              <w:rPr>
                <w:rFonts w:hint="default" w:ascii="Times New Roman" w:hAnsi="Times New Roman" w:eastAsia="宋体" w:cs="Times New Roman"/>
                <w:b/>
                <w:color w:val="auto"/>
                <w:szCs w:val="21"/>
                <w:highlight w:val="none"/>
                <w:lang w:val="en-US" w:eastAsia="zh-CN"/>
              </w:rPr>
            </w:pPr>
            <w:r>
              <w:rPr>
                <w:rFonts w:hint="default" w:ascii="Times New Roman" w:hAnsi="Times New Roman" w:eastAsia="宋体" w:cs="Times New Roman"/>
                <w:b/>
                <w:color w:val="auto"/>
                <w:szCs w:val="21"/>
                <w:highlight w:val="none"/>
                <w:lang w:val="en-US" w:eastAsia="zh-CN"/>
              </w:rPr>
              <w:t>≤1200</w:t>
            </w:r>
          </w:p>
        </w:tc>
      </w:tr>
      <w:tr w14:paraId="2DF6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22278D42">
            <w:pPr>
              <w:spacing w:line="360" w:lineRule="auto"/>
              <w:ind w:firstLine="276" w:firstLineChars="131"/>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注：表中所列产品的不溶物、铁、氨氮、砷、铅、镉、汞、铬的指标均按Al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质量分数为10%计算。Al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含量≠10%时，应按实际含量折算成Al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为10%产品比例，计算各项杂质指标。</w:t>
            </w:r>
          </w:p>
        </w:tc>
      </w:tr>
    </w:tbl>
    <w:p w14:paraId="56E08E41">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、液</w:t>
      </w:r>
      <w:r>
        <w:rPr>
          <w:rFonts w:hint="eastAsia" w:ascii="宋体" w:hAnsi="宋体" w:eastAsia="宋体" w:cs="宋体"/>
          <w:b/>
          <w:color w:val="auto"/>
          <w:sz w:val="21"/>
          <w:szCs w:val="21"/>
          <w:highlight w:val="none"/>
          <w:lang w:val="en-US" w:eastAsia="zh-CN"/>
        </w:rPr>
        <w:t>体</w:t>
      </w:r>
      <w:r>
        <w:rPr>
          <w:rFonts w:hint="eastAsia" w:ascii="宋体" w:hAnsi="宋体" w:eastAsia="宋体" w:cs="宋体"/>
          <w:b/>
          <w:color w:val="auto"/>
          <w:sz w:val="21"/>
          <w:szCs w:val="21"/>
          <w:highlight w:val="none"/>
        </w:rPr>
        <w:t>聚</w:t>
      </w:r>
      <w:r>
        <w:rPr>
          <w:rFonts w:hint="eastAsia" w:ascii="宋体" w:hAnsi="宋体" w:eastAsia="宋体" w:cs="宋体"/>
          <w:b/>
          <w:color w:val="auto"/>
          <w:sz w:val="21"/>
          <w:szCs w:val="21"/>
          <w:highlight w:val="none"/>
          <w:lang w:val="en-US" w:eastAsia="zh-CN"/>
        </w:rPr>
        <w:t>合</w:t>
      </w:r>
      <w:r>
        <w:rPr>
          <w:rFonts w:hint="eastAsia" w:ascii="宋体" w:hAnsi="宋体" w:eastAsia="宋体" w:cs="宋体"/>
          <w:b/>
          <w:color w:val="auto"/>
          <w:sz w:val="21"/>
          <w:szCs w:val="21"/>
          <w:highlight w:val="none"/>
        </w:rPr>
        <w:t>氯化铝</w:t>
      </w:r>
      <w:r>
        <w:rPr>
          <w:rFonts w:hint="eastAsia" w:ascii="宋体" w:hAnsi="宋体" w:eastAsia="宋体" w:cs="宋体"/>
          <w:b/>
          <w:color w:val="auto"/>
          <w:sz w:val="21"/>
          <w:szCs w:val="21"/>
          <w:highlight w:val="none"/>
          <w:lang w:val="en-US" w:eastAsia="zh-CN"/>
        </w:rPr>
        <w:t>铁</w:t>
      </w:r>
      <w:r>
        <w:rPr>
          <w:rFonts w:hint="eastAsia" w:ascii="宋体" w:hAnsi="宋体" w:eastAsia="宋体" w:cs="宋体"/>
          <w:b/>
          <w:color w:val="auto"/>
          <w:sz w:val="21"/>
          <w:szCs w:val="21"/>
          <w:highlight w:val="none"/>
        </w:rPr>
        <w:t>主要技术指标</w:t>
      </w:r>
    </w:p>
    <w:p w14:paraId="2898CD2E">
      <w:pPr>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（1）液</w:t>
      </w:r>
      <w:r>
        <w:rPr>
          <w:rFonts w:hint="eastAsia" w:ascii="宋体" w:hAnsi="宋体" w:eastAsia="宋体" w:cs="宋体"/>
          <w:b/>
          <w:color w:val="auto"/>
          <w:sz w:val="21"/>
          <w:szCs w:val="21"/>
          <w:highlight w:val="none"/>
          <w:lang w:val="en-US" w:eastAsia="zh-CN"/>
        </w:rPr>
        <w:t>体</w:t>
      </w:r>
      <w:r>
        <w:rPr>
          <w:rFonts w:hint="eastAsia" w:ascii="宋体" w:hAnsi="宋体" w:eastAsia="宋体" w:cs="宋体"/>
          <w:b/>
          <w:color w:val="auto"/>
          <w:sz w:val="21"/>
          <w:szCs w:val="21"/>
          <w:highlight w:val="none"/>
        </w:rPr>
        <w:t>聚</w:t>
      </w:r>
      <w:r>
        <w:rPr>
          <w:rFonts w:hint="eastAsia" w:ascii="宋体" w:hAnsi="宋体" w:eastAsia="宋体" w:cs="宋体"/>
          <w:b/>
          <w:color w:val="auto"/>
          <w:sz w:val="21"/>
          <w:szCs w:val="21"/>
          <w:highlight w:val="none"/>
          <w:lang w:val="en-US" w:eastAsia="zh-CN"/>
        </w:rPr>
        <w:t>合</w:t>
      </w:r>
      <w:r>
        <w:rPr>
          <w:rFonts w:hint="eastAsia" w:ascii="宋体" w:hAnsi="宋体" w:eastAsia="宋体" w:cs="宋体"/>
          <w:b/>
          <w:color w:val="auto"/>
          <w:sz w:val="21"/>
          <w:szCs w:val="21"/>
          <w:highlight w:val="none"/>
        </w:rPr>
        <w:t>氯化铝</w:t>
      </w:r>
      <w:r>
        <w:rPr>
          <w:rFonts w:hint="eastAsia" w:ascii="宋体" w:hAnsi="宋体" w:eastAsia="宋体" w:cs="宋体"/>
          <w:b/>
          <w:color w:val="auto"/>
          <w:sz w:val="21"/>
          <w:szCs w:val="21"/>
          <w:highlight w:val="none"/>
          <w:lang w:val="en-US" w:eastAsia="zh-CN"/>
        </w:rPr>
        <w:t>铁</w:t>
      </w:r>
      <w:r>
        <w:rPr>
          <w:rFonts w:hint="eastAsia" w:ascii="宋体" w:hAnsi="宋体" w:eastAsia="宋体" w:cs="宋体"/>
          <w:b/>
          <w:color w:val="auto"/>
          <w:sz w:val="21"/>
          <w:szCs w:val="21"/>
          <w:highlight w:val="none"/>
        </w:rPr>
        <w:t>产品为黄褐色至褐色液体。</w:t>
      </w:r>
    </w:p>
    <w:p w14:paraId="51F0E111">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（2）液</w:t>
      </w:r>
      <w:r>
        <w:rPr>
          <w:rFonts w:hint="eastAsia" w:ascii="宋体" w:hAnsi="宋体" w:eastAsia="宋体" w:cs="宋体"/>
          <w:b/>
          <w:color w:val="auto"/>
          <w:sz w:val="21"/>
          <w:szCs w:val="21"/>
          <w:highlight w:val="none"/>
          <w:lang w:val="en-US" w:eastAsia="zh-CN"/>
        </w:rPr>
        <w:t>体</w:t>
      </w:r>
      <w:r>
        <w:rPr>
          <w:rFonts w:hint="eastAsia" w:ascii="宋体" w:hAnsi="宋体" w:eastAsia="宋体" w:cs="宋体"/>
          <w:b/>
          <w:color w:val="auto"/>
          <w:sz w:val="21"/>
          <w:szCs w:val="21"/>
          <w:highlight w:val="none"/>
        </w:rPr>
        <w:t>聚</w:t>
      </w:r>
      <w:r>
        <w:rPr>
          <w:rFonts w:hint="eastAsia" w:ascii="宋体" w:hAnsi="宋体" w:eastAsia="宋体" w:cs="宋体"/>
          <w:b/>
          <w:color w:val="auto"/>
          <w:sz w:val="21"/>
          <w:szCs w:val="21"/>
          <w:highlight w:val="none"/>
          <w:lang w:val="en-US" w:eastAsia="zh-CN"/>
        </w:rPr>
        <w:t>合</w:t>
      </w:r>
      <w:r>
        <w:rPr>
          <w:rFonts w:hint="eastAsia" w:ascii="宋体" w:hAnsi="宋体" w:eastAsia="宋体" w:cs="宋体"/>
          <w:b/>
          <w:color w:val="auto"/>
          <w:sz w:val="21"/>
          <w:szCs w:val="21"/>
          <w:highlight w:val="none"/>
        </w:rPr>
        <w:t>氯化铝</w:t>
      </w:r>
      <w:r>
        <w:rPr>
          <w:rFonts w:hint="eastAsia" w:ascii="宋体" w:hAnsi="宋体" w:eastAsia="宋体" w:cs="宋体"/>
          <w:b/>
          <w:color w:val="auto"/>
          <w:sz w:val="21"/>
          <w:szCs w:val="21"/>
          <w:highlight w:val="none"/>
          <w:lang w:val="en-US" w:eastAsia="zh-CN"/>
        </w:rPr>
        <w:t>铁</w:t>
      </w:r>
      <w:r>
        <w:rPr>
          <w:rFonts w:hint="eastAsia" w:ascii="宋体" w:hAnsi="宋体" w:eastAsia="宋体" w:cs="宋体"/>
          <w:b/>
          <w:color w:val="auto"/>
          <w:sz w:val="21"/>
          <w:szCs w:val="21"/>
          <w:highlight w:val="none"/>
        </w:rPr>
        <w:t>产品必须符合《水处理剂 聚氯化铝铁》（HG/T 5359-2018）质量及检测标准，技术指标要求如下：</w:t>
      </w:r>
    </w:p>
    <w:p w14:paraId="54BACF36">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表</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Cs w:val="21"/>
          <w:highlight w:val="none"/>
        </w:rPr>
        <w:t>液</w:t>
      </w:r>
      <w:r>
        <w:rPr>
          <w:rFonts w:hint="eastAsia" w:ascii="宋体" w:hAnsi="宋体" w:eastAsia="宋体" w:cs="宋体"/>
          <w:b/>
          <w:color w:val="auto"/>
          <w:szCs w:val="21"/>
          <w:highlight w:val="none"/>
          <w:lang w:val="en-US" w:eastAsia="zh-CN"/>
        </w:rPr>
        <w:t>体</w:t>
      </w:r>
      <w:r>
        <w:rPr>
          <w:rFonts w:hint="eastAsia" w:ascii="宋体" w:hAnsi="宋体" w:eastAsia="宋体" w:cs="宋体"/>
          <w:b/>
          <w:color w:val="auto"/>
          <w:szCs w:val="21"/>
          <w:highlight w:val="none"/>
        </w:rPr>
        <w:t>聚</w:t>
      </w:r>
      <w:r>
        <w:rPr>
          <w:rFonts w:hint="eastAsia" w:ascii="宋体" w:hAnsi="宋体" w:eastAsia="宋体" w:cs="宋体"/>
          <w:b/>
          <w:color w:val="auto"/>
          <w:szCs w:val="21"/>
          <w:highlight w:val="none"/>
          <w:lang w:val="en-US" w:eastAsia="zh-CN"/>
        </w:rPr>
        <w:t>合</w:t>
      </w:r>
      <w:r>
        <w:rPr>
          <w:rFonts w:hint="eastAsia" w:ascii="宋体" w:hAnsi="宋体" w:eastAsia="宋体" w:cs="宋体"/>
          <w:b/>
          <w:color w:val="auto"/>
          <w:szCs w:val="21"/>
          <w:highlight w:val="none"/>
        </w:rPr>
        <w:t>氯化铝</w:t>
      </w:r>
      <w:r>
        <w:rPr>
          <w:rFonts w:hint="eastAsia" w:ascii="宋体" w:hAnsi="宋体" w:eastAsia="宋体" w:cs="宋体"/>
          <w:b/>
          <w:color w:val="auto"/>
          <w:szCs w:val="21"/>
          <w:highlight w:val="none"/>
          <w:lang w:val="en-US" w:eastAsia="zh-CN"/>
        </w:rPr>
        <w:t>铁</w:t>
      </w:r>
      <w:r>
        <w:rPr>
          <w:rFonts w:hint="eastAsia" w:ascii="宋体" w:hAnsi="宋体" w:eastAsia="宋体" w:cs="宋体"/>
          <w:b/>
          <w:color w:val="auto"/>
          <w:szCs w:val="21"/>
          <w:highlight w:val="none"/>
        </w:rPr>
        <w:t>主要技术指标</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2"/>
        <w:gridCol w:w="3992"/>
      </w:tblGrid>
      <w:tr w14:paraId="542C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011" w:type="pct"/>
            <w:vAlign w:val="center"/>
          </w:tcPr>
          <w:p w14:paraId="2AC96B15">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指标项目</w:t>
            </w:r>
          </w:p>
        </w:tc>
        <w:tc>
          <w:tcPr>
            <w:tcW w:w="1988" w:type="pct"/>
            <w:vAlign w:val="center"/>
          </w:tcPr>
          <w:p w14:paraId="6DC2E286">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w:t>
            </w:r>
          </w:p>
        </w:tc>
      </w:tr>
      <w:tr w14:paraId="1B20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011" w:type="pct"/>
            <w:vAlign w:val="center"/>
          </w:tcPr>
          <w:p w14:paraId="208EE5F6">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氧化铝（铁、铝合量，以Al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vertAlign w:val="baseline"/>
                <w:lang w:val="en-US" w:eastAsia="zh-CN"/>
              </w:rPr>
              <w:t>计</w:t>
            </w:r>
            <w:r>
              <w:rPr>
                <w:rFonts w:hint="eastAsia" w:ascii="宋体" w:hAnsi="宋体" w:eastAsia="宋体" w:cs="宋体"/>
                <w:b/>
                <w:color w:val="auto"/>
                <w:szCs w:val="21"/>
                <w:highlight w:val="none"/>
              </w:rPr>
              <w:t>）的质量分数，%</w:t>
            </w:r>
          </w:p>
        </w:tc>
        <w:tc>
          <w:tcPr>
            <w:tcW w:w="1988" w:type="pct"/>
            <w:vAlign w:val="center"/>
          </w:tcPr>
          <w:p w14:paraId="1FF8A399">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≥10</w:t>
            </w:r>
          </w:p>
        </w:tc>
      </w:tr>
      <w:tr w14:paraId="4AA5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011" w:type="pct"/>
            <w:vAlign w:val="center"/>
          </w:tcPr>
          <w:p w14:paraId="618111F4">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全铁（Fe）的质量分数，%</w:t>
            </w:r>
          </w:p>
        </w:tc>
        <w:tc>
          <w:tcPr>
            <w:tcW w:w="1988" w:type="pct"/>
            <w:vAlign w:val="center"/>
          </w:tcPr>
          <w:p w14:paraId="4D4037BB">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1.5~5.0</w:t>
            </w:r>
          </w:p>
        </w:tc>
      </w:tr>
      <w:tr w14:paraId="6765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14:paraId="7272EC72">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亚铁（Fe</w:t>
            </w:r>
            <w:r>
              <w:rPr>
                <w:rFonts w:hint="eastAsia" w:ascii="宋体" w:hAnsi="宋体" w:eastAsia="宋体" w:cs="宋体"/>
                <w:b/>
                <w:color w:val="auto"/>
                <w:szCs w:val="21"/>
                <w:highlight w:val="none"/>
                <w:vertAlign w:val="superscript"/>
              </w:rPr>
              <w:t>2+</w:t>
            </w:r>
            <w:r>
              <w:rPr>
                <w:rFonts w:hint="eastAsia" w:ascii="宋体" w:hAnsi="宋体" w:eastAsia="宋体" w:cs="宋体"/>
                <w:b/>
                <w:color w:val="auto"/>
                <w:szCs w:val="21"/>
                <w:highlight w:val="none"/>
              </w:rPr>
              <w:t>）的质量分数，%</w:t>
            </w:r>
          </w:p>
        </w:tc>
        <w:tc>
          <w:tcPr>
            <w:tcW w:w="1988" w:type="pct"/>
            <w:vAlign w:val="center"/>
          </w:tcPr>
          <w:p w14:paraId="441362C1">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≤0.2</w:t>
            </w:r>
          </w:p>
        </w:tc>
      </w:tr>
      <w:tr w14:paraId="36CE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14:paraId="733448EA">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盐基度，%</w:t>
            </w:r>
          </w:p>
        </w:tc>
        <w:tc>
          <w:tcPr>
            <w:tcW w:w="1988" w:type="pct"/>
            <w:vAlign w:val="center"/>
          </w:tcPr>
          <w:p w14:paraId="3E33EE6C">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20.0~85.0</w:t>
            </w:r>
          </w:p>
        </w:tc>
      </w:tr>
      <w:tr w14:paraId="1BD8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14:paraId="65DB79A4">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密度（20℃）/（g/cm3）</w:t>
            </w:r>
          </w:p>
        </w:tc>
        <w:tc>
          <w:tcPr>
            <w:tcW w:w="1988" w:type="pct"/>
            <w:vAlign w:val="center"/>
          </w:tcPr>
          <w:p w14:paraId="0EF0FBDE">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≥1.19</w:t>
            </w:r>
          </w:p>
        </w:tc>
      </w:tr>
      <w:tr w14:paraId="12FA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14:paraId="43CE4233">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不溶物的质量分数，%</w:t>
            </w:r>
          </w:p>
        </w:tc>
        <w:tc>
          <w:tcPr>
            <w:tcW w:w="1988" w:type="pct"/>
            <w:vAlign w:val="center"/>
          </w:tcPr>
          <w:p w14:paraId="219BC409">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≤0.5</w:t>
            </w:r>
          </w:p>
        </w:tc>
      </w:tr>
      <w:tr w14:paraId="646A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14:paraId="5FB41FC5">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pH值（10g/L水溶液）</w:t>
            </w:r>
          </w:p>
        </w:tc>
        <w:tc>
          <w:tcPr>
            <w:tcW w:w="1988" w:type="pct"/>
            <w:vAlign w:val="center"/>
          </w:tcPr>
          <w:p w14:paraId="602D7F22">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3.5~5.0</w:t>
            </w:r>
          </w:p>
        </w:tc>
      </w:tr>
      <w:tr w14:paraId="330A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14:paraId="7E386B8A">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砷（As）的质量分数，%</w:t>
            </w:r>
          </w:p>
        </w:tc>
        <w:tc>
          <w:tcPr>
            <w:tcW w:w="1988" w:type="pct"/>
            <w:vAlign w:val="center"/>
          </w:tcPr>
          <w:p w14:paraId="7F204032">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≤0.0005</w:t>
            </w:r>
          </w:p>
        </w:tc>
      </w:tr>
      <w:tr w14:paraId="7E8A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14:paraId="1E4F61F9">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铅（Pb）的质量分数，%</w:t>
            </w:r>
          </w:p>
        </w:tc>
        <w:tc>
          <w:tcPr>
            <w:tcW w:w="1988" w:type="pct"/>
            <w:vAlign w:val="center"/>
          </w:tcPr>
          <w:p w14:paraId="0E085D3B">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≤0.002</w:t>
            </w:r>
          </w:p>
        </w:tc>
      </w:tr>
      <w:tr w14:paraId="297A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14:paraId="12EFC449">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镉（Cd）的质量分数，%</w:t>
            </w:r>
          </w:p>
        </w:tc>
        <w:tc>
          <w:tcPr>
            <w:tcW w:w="1988" w:type="pct"/>
            <w:vAlign w:val="center"/>
          </w:tcPr>
          <w:p w14:paraId="3CB030B3">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≤0.0002</w:t>
            </w:r>
          </w:p>
        </w:tc>
      </w:tr>
      <w:tr w14:paraId="19BD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14:paraId="5BB1C25D">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汞（Hg）的质量分数，%</w:t>
            </w:r>
          </w:p>
        </w:tc>
        <w:tc>
          <w:tcPr>
            <w:tcW w:w="1988" w:type="pct"/>
            <w:vAlign w:val="center"/>
          </w:tcPr>
          <w:p w14:paraId="207C5219">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≤0.00002</w:t>
            </w:r>
          </w:p>
        </w:tc>
      </w:tr>
      <w:tr w14:paraId="05C7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14:paraId="3B0CA093">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铬（Cr）的质量分数，%</w:t>
            </w:r>
          </w:p>
        </w:tc>
        <w:tc>
          <w:tcPr>
            <w:tcW w:w="1988" w:type="pct"/>
            <w:vAlign w:val="center"/>
          </w:tcPr>
          <w:p w14:paraId="0DFBC921">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≤0.005</w:t>
            </w:r>
          </w:p>
        </w:tc>
      </w:tr>
      <w:tr w14:paraId="1D92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14:paraId="27A09F75">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锌（Zn）的质量分数，%</w:t>
            </w:r>
          </w:p>
        </w:tc>
        <w:tc>
          <w:tcPr>
            <w:tcW w:w="1988" w:type="pct"/>
            <w:vAlign w:val="center"/>
          </w:tcPr>
          <w:p w14:paraId="68558354">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≤0.02</w:t>
            </w:r>
          </w:p>
        </w:tc>
      </w:tr>
      <w:tr w14:paraId="596C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14:paraId="3B57B096">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镍（Ni）的质量分数，%</w:t>
            </w:r>
          </w:p>
        </w:tc>
        <w:tc>
          <w:tcPr>
            <w:tcW w:w="1988" w:type="pct"/>
            <w:vAlign w:val="center"/>
          </w:tcPr>
          <w:p w14:paraId="52B16F6B">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≤0.001</w:t>
            </w:r>
          </w:p>
        </w:tc>
      </w:tr>
      <w:tr w14:paraId="5CDF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14:paraId="578356AE">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总磷（以P计），mg/L</w:t>
            </w:r>
          </w:p>
        </w:tc>
        <w:tc>
          <w:tcPr>
            <w:tcW w:w="1988" w:type="pct"/>
            <w:vAlign w:val="center"/>
          </w:tcPr>
          <w:p w14:paraId="5D1FA4DB">
            <w:pPr>
              <w:spacing w:line="360" w:lineRule="auto"/>
              <w:ind w:firstLine="276" w:firstLineChars="131"/>
              <w:jc w:val="center"/>
              <w:rPr>
                <w:rFonts w:hint="default" w:ascii="Times New Roman" w:hAnsi="Times New Roman" w:eastAsia="宋体" w:cs="Times New Roman"/>
                <w:b/>
                <w:color w:val="auto"/>
                <w:szCs w:val="21"/>
                <w:highlight w:val="none"/>
                <w:lang w:val="en-US" w:eastAsia="zh-CN"/>
              </w:rPr>
            </w:pPr>
            <w:r>
              <w:rPr>
                <w:rFonts w:hint="default" w:ascii="Times New Roman" w:hAnsi="Times New Roman" w:eastAsia="宋体" w:cs="Times New Roman"/>
                <w:b/>
                <w:color w:val="auto"/>
                <w:szCs w:val="21"/>
                <w:highlight w:val="none"/>
                <w:lang w:val="en-US" w:eastAsia="zh-CN"/>
              </w:rPr>
              <w:t>≤1200</w:t>
            </w:r>
          </w:p>
        </w:tc>
      </w:tr>
      <w:tr w14:paraId="143C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14:paraId="6B01E81A">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注：表中产品所列的全铁、不溶物、As、Pb、Cd、Hg、Cr、Zn、Ni指标均按Al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10%计算，Al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含量≠10%时应按实际含量折算成Al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10%产品比例计算各项杂质指标。</w:t>
            </w:r>
          </w:p>
        </w:tc>
      </w:tr>
    </w:tbl>
    <w:p w14:paraId="400AFEF8">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供货期间，如有发布最新的行业标准或国家标准，招标人有权根据招标人运营项目实际情况及有关行业标准或国家标准对合同的主要技术指标进行变更调整，投标人应无条件接受。</w:t>
      </w:r>
    </w:p>
    <w:p w14:paraId="6CAAB69E">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投标人所供产品的真实质量，必须满足本用户需求书的所有技术指标。</w:t>
      </w:r>
    </w:p>
    <w:p w14:paraId="0A347384">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投标人须根据招标人运营项目的情况，提供满足各运营项目正常生产运营的投标产品。</w:t>
      </w:r>
    </w:p>
    <w:p w14:paraId="10E9BF95">
      <w:pPr>
        <w:numPr>
          <w:ilvl w:val="0"/>
          <w:numId w:val="0"/>
        </w:numPr>
        <w:autoSpaceDE/>
        <w:autoSpaceDN/>
        <w:adjustRightInd/>
        <w:spacing w:line="360" w:lineRule="auto"/>
        <w:ind w:left="0" w:leftChars="0" w:firstLine="0" w:firstLineChars="0"/>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三、</w:t>
      </w:r>
      <w:r>
        <w:rPr>
          <w:rFonts w:hint="eastAsia" w:ascii="宋体" w:hAnsi="宋体" w:eastAsia="宋体" w:cs="宋体"/>
          <w:b/>
          <w:color w:val="auto"/>
          <w:sz w:val="21"/>
          <w:szCs w:val="21"/>
          <w:highlight w:val="none"/>
        </w:rPr>
        <w:t>交货要求</w:t>
      </w:r>
    </w:p>
    <w:p w14:paraId="66ECD578">
      <w:pPr>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1、交货地点：招标人</w:t>
      </w:r>
      <w:r>
        <w:rPr>
          <w:rFonts w:hint="eastAsia" w:ascii="宋体" w:hAnsi="宋体" w:eastAsia="宋体" w:cs="宋体"/>
          <w:color w:val="auto"/>
          <w:kern w:val="2"/>
          <w:sz w:val="21"/>
          <w:szCs w:val="21"/>
          <w:highlight w:val="none"/>
        </w:rPr>
        <w:t>在东莞市范围内的</w:t>
      </w:r>
      <w:r>
        <w:rPr>
          <w:rFonts w:hint="eastAsia" w:ascii="宋体" w:hAnsi="宋体" w:eastAsia="宋体" w:cs="宋体"/>
          <w:color w:val="auto"/>
          <w:sz w:val="21"/>
          <w:szCs w:val="21"/>
          <w:highlight w:val="none"/>
        </w:rPr>
        <w:t>运营项目。</w:t>
      </w:r>
    </w:p>
    <w:p w14:paraId="32E3F5B4">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2、交货时间：日常供货（非加急供货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为接到供货通知24小时内，加急供货为接到供货通知4小时内，具体交货时间以招标人运营项目供货通知为准。招标人</w:t>
      </w:r>
      <w:r>
        <w:rPr>
          <w:rFonts w:hint="eastAsia" w:ascii="宋体" w:hAnsi="宋体" w:eastAsia="宋体" w:cs="宋体"/>
          <w:b w:val="0"/>
          <w:bCs/>
          <w:color w:val="auto"/>
          <w:sz w:val="21"/>
          <w:szCs w:val="21"/>
          <w:highlight w:val="none"/>
          <w:lang w:val="en-US" w:eastAsia="zh-CN"/>
        </w:rPr>
        <w:t>或</w:t>
      </w:r>
      <w:r>
        <w:rPr>
          <w:rFonts w:hint="eastAsia" w:ascii="宋体" w:hAnsi="宋体" w:eastAsia="宋体" w:cs="宋体"/>
          <w:color w:val="auto"/>
          <w:szCs w:val="21"/>
          <w:highlight w:val="none"/>
        </w:rPr>
        <w:t>招标人权属子公司</w:t>
      </w:r>
      <w:r>
        <w:rPr>
          <w:rFonts w:hint="eastAsia" w:ascii="宋体" w:hAnsi="宋体" w:eastAsia="宋体" w:cs="宋体"/>
          <w:color w:val="auto"/>
          <w:kern w:val="2"/>
          <w:sz w:val="21"/>
          <w:szCs w:val="21"/>
          <w:highlight w:val="none"/>
        </w:rPr>
        <w:t>无需因加急供货而额外支付任何费用。</w:t>
      </w:r>
    </w:p>
    <w:p w14:paraId="5F629B8A">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自行负责将生产药剂运送至招标人运营项目指定位置（生产药剂储存罐），未经招标人</w:t>
      </w:r>
      <w:r>
        <w:rPr>
          <w:rFonts w:hint="eastAsia" w:ascii="宋体" w:hAnsi="宋体" w:eastAsia="宋体" w:cs="宋体"/>
          <w:b w:val="0"/>
          <w:bCs/>
          <w:color w:val="auto"/>
          <w:sz w:val="21"/>
          <w:szCs w:val="21"/>
          <w:highlight w:val="none"/>
          <w:lang w:val="en-US" w:eastAsia="zh-CN"/>
        </w:rPr>
        <w:t>或</w:t>
      </w:r>
      <w:r>
        <w:rPr>
          <w:rFonts w:hint="eastAsia" w:ascii="宋体" w:hAnsi="宋体" w:eastAsia="宋体" w:cs="宋体"/>
          <w:color w:val="auto"/>
          <w:szCs w:val="21"/>
          <w:highlight w:val="none"/>
        </w:rPr>
        <w:t>招标人权属子公司</w:t>
      </w:r>
      <w:r>
        <w:rPr>
          <w:rFonts w:hint="eastAsia" w:ascii="宋体" w:hAnsi="宋体" w:eastAsia="宋体" w:cs="宋体"/>
          <w:color w:val="auto"/>
          <w:kern w:val="2"/>
          <w:sz w:val="21"/>
          <w:szCs w:val="21"/>
          <w:highlight w:val="none"/>
        </w:rPr>
        <w:t>书面同意，</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不得私自将本合同项下的货物运输义务委托第三方个人或企业。</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承担相应的运输、装卸等费用，运输人员应配备足够防护器具。如在运输及装卸过程中，生产药剂发生泄漏，应由</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负责清理收集，避免造成人员伤害或环境污染。</w:t>
      </w:r>
    </w:p>
    <w:p w14:paraId="15AF410D">
      <w:pPr>
        <w:autoSpaceDE/>
        <w:autoSpaceDN/>
        <w:adjustRightInd/>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4、每次送货，</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须提供电子地磅的称重单（含载货时的称重单和卸货后的称重单），相关费用由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承担。实际供货数量以招标人运营项目和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双方确认的电子地磅的称重单为准。</w:t>
      </w:r>
      <w:r>
        <w:rPr>
          <w:rFonts w:hint="eastAsia" w:ascii="宋体" w:hAnsi="宋体" w:eastAsia="宋体" w:cs="宋体"/>
          <w:color w:val="auto"/>
          <w:kern w:val="2"/>
          <w:sz w:val="21"/>
          <w:szCs w:val="21"/>
          <w:highlight w:val="none"/>
        </w:rPr>
        <w:t>招标人运营项目</w:t>
      </w:r>
      <w:r>
        <w:rPr>
          <w:rFonts w:hint="eastAsia" w:ascii="宋体" w:hAnsi="宋体" w:eastAsia="宋体" w:cs="宋体"/>
          <w:color w:val="auto"/>
          <w:kern w:val="2"/>
          <w:sz w:val="21"/>
          <w:szCs w:val="21"/>
          <w:highlight w:val="none"/>
          <w:lang w:val="en-US" w:eastAsia="zh-CN"/>
        </w:rPr>
        <w:t>有电子地磅的，原则上在招标人运营项目过磅；招标人运营项目无电子地磅或电子地磅因检修等原因不可用的，在</w:t>
      </w:r>
      <w:r>
        <w:rPr>
          <w:rFonts w:hint="eastAsia" w:ascii="宋体" w:hAnsi="宋体" w:eastAsia="宋体" w:cs="宋体"/>
          <w:color w:val="auto"/>
          <w:kern w:val="2"/>
          <w:sz w:val="21"/>
          <w:szCs w:val="21"/>
          <w:highlight w:val="none"/>
        </w:rPr>
        <w:t>交货地点附近的</w:t>
      </w:r>
      <w:r>
        <w:rPr>
          <w:rFonts w:hint="eastAsia" w:ascii="宋体" w:hAnsi="宋体" w:eastAsia="宋体" w:cs="宋体"/>
          <w:color w:val="auto"/>
          <w:kern w:val="2"/>
          <w:sz w:val="21"/>
          <w:szCs w:val="21"/>
          <w:highlight w:val="none"/>
          <w:lang w:val="en-US" w:eastAsia="zh-CN"/>
        </w:rPr>
        <w:t>电子地磅过磅。</w:t>
      </w:r>
      <w:r>
        <w:rPr>
          <w:rFonts w:hint="eastAsia" w:ascii="宋体" w:hAnsi="宋体" w:eastAsia="宋体" w:cs="宋体"/>
          <w:color w:val="auto"/>
          <w:szCs w:val="21"/>
          <w:highlight w:val="none"/>
        </w:rPr>
        <w:t>招标人权属子公司电子地磅的称重服务不含税单价为1.51元/吨，称重服务相关条款由招标人权属子公司与中标人签订称重服务合同另行约定。</w:t>
      </w:r>
    </w:p>
    <w:p w14:paraId="66C83F9E">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sz w:val="21"/>
          <w:szCs w:val="21"/>
          <w:highlight w:val="none"/>
        </w:rPr>
        <w:t>每次送货，</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须随货提供生产厂家出具的具有</w:t>
      </w:r>
      <w:r>
        <w:rPr>
          <w:rFonts w:hint="eastAsia" w:ascii="宋体" w:hAnsi="宋体" w:eastAsia="宋体" w:cs="宋体"/>
          <w:b/>
          <w:bCs/>
          <w:color w:val="auto"/>
          <w:szCs w:val="21"/>
          <w:highlight w:val="none"/>
        </w:rPr>
        <w:t>生产厂家、出厂批号、</w:t>
      </w:r>
      <w:bookmarkStart w:id="448" w:name="OLE_LINK42"/>
      <w:r>
        <w:rPr>
          <w:rFonts w:hint="eastAsia" w:ascii="宋体" w:hAnsi="宋体" w:eastAsia="宋体" w:cs="宋体"/>
          <w:b/>
          <w:bCs/>
          <w:color w:val="auto"/>
          <w:szCs w:val="21"/>
          <w:highlight w:val="none"/>
        </w:rPr>
        <w:t>氧化铝的质量分数、盐基度、不溶物的质量分数、pH值、铁的质量分数</w:t>
      </w:r>
      <w:bookmarkEnd w:id="448"/>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液体聚合氯化铝技术指标</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或</w:t>
      </w:r>
      <w:r>
        <w:rPr>
          <w:rFonts w:hint="eastAsia" w:ascii="宋体" w:hAnsi="宋体" w:eastAsia="宋体" w:cs="宋体"/>
          <w:b/>
          <w:bCs/>
          <w:color w:val="auto"/>
          <w:szCs w:val="21"/>
          <w:highlight w:val="none"/>
        </w:rPr>
        <w:t>全铁的质量分数、亚铁的质量分数</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液体聚合氯化铝铁技术指标</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总磷</w:t>
      </w:r>
      <w:r>
        <w:rPr>
          <w:rFonts w:hint="eastAsia" w:ascii="宋体" w:hAnsi="宋体" w:eastAsia="宋体" w:cs="宋体"/>
          <w:b/>
          <w:bCs/>
          <w:color w:val="auto"/>
          <w:szCs w:val="21"/>
          <w:highlight w:val="none"/>
        </w:rPr>
        <w:t>等主要信息</w:t>
      </w:r>
      <w:r>
        <w:rPr>
          <w:rFonts w:hint="eastAsia" w:ascii="宋体" w:hAnsi="宋体" w:eastAsia="宋体" w:cs="宋体"/>
          <w:color w:val="auto"/>
          <w:kern w:val="2"/>
          <w:sz w:val="21"/>
          <w:szCs w:val="21"/>
          <w:highlight w:val="none"/>
        </w:rPr>
        <w:t>的与所供货物对应的</w:t>
      </w:r>
      <w:r>
        <w:rPr>
          <w:rFonts w:hint="eastAsia" w:ascii="宋体" w:hAnsi="宋体" w:eastAsia="宋体" w:cs="宋体"/>
          <w:color w:val="auto"/>
          <w:szCs w:val="21"/>
          <w:highlight w:val="none"/>
        </w:rPr>
        <w:t>符合表1《液体聚合氯化铝主要技术指标》</w:t>
      </w:r>
      <w:r>
        <w:rPr>
          <w:rFonts w:hint="eastAsia" w:ascii="宋体" w:hAnsi="宋体" w:eastAsia="宋体" w:cs="宋体"/>
          <w:color w:val="auto"/>
          <w:szCs w:val="21"/>
          <w:highlight w:val="none"/>
          <w:lang w:val="en-US" w:eastAsia="zh-CN"/>
        </w:rPr>
        <w:t>或表2</w:t>
      </w:r>
      <w:r>
        <w:rPr>
          <w:rFonts w:hint="eastAsia" w:ascii="宋体" w:hAnsi="宋体" w:eastAsia="宋体" w:cs="宋体"/>
          <w:color w:val="auto"/>
          <w:szCs w:val="21"/>
          <w:highlight w:val="none"/>
        </w:rPr>
        <w:t>《液体聚合氯化铝</w:t>
      </w:r>
      <w:r>
        <w:rPr>
          <w:rFonts w:hint="eastAsia" w:ascii="宋体" w:hAnsi="宋体" w:eastAsia="宋体" w:cs="宋体"/>
          <w:color w:val="auto"/>
          <w:szCs w:val="21"/>
          <w:highlight w:val="none"/>
          <w:lang w:val="en-US" w:eastAsia="zh-CN"/>
        </w:rPr>
        <w:t>铁</w:t>
      </w:r>
      <w:r>
        <w:rPr>
          <w:rFonts w:hint="eastAsia" w:ascii="宋体" w:hAnsi="宋体" w:eastAsia="宋体" w:cs="宋体"/>
          <w:color w:val="auto"/>
          <w:szCs w:val="21"/>
          <w:highlight w:val="none"/>
        </w:rPr>
        <w:t>主要技术指标》要求的</w:t>
      </w:r>
      <w:r>
        <w:rPr>
          <w:rFonts w:hint="eastAsia" w:ascii="宋体" w:hAnsi="宋体" w:eastAsia="宋体" w:cs="宋体"/>
          <w:color w:val="auto"/>
          <w:kern w:val="2"/>
          <w:sz w:val="21"/>
          <w:szCs w:val="21"/>
          <w:highlight w:val="none"/>
        </w:rPr>
        <w:t>产品质量检验报告（如出厂检验报告、质量检验报告等）、供货单据等资料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提供的检验报告只作为招标人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参考。</w:t>
      </w:r>
    </w:p>
    <w:p w14:paraId="3E3C3190">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6、供货期间，在收到招标人</w:t>
      </w:r>
      <w:r>
        <w:rPr>
          <w:rFonts w:hint="eastAsia" w:ascii="宋体" w:hAnsi="宋体" w:eastAsia="宋体" w:cs="宋体"/>
          <w:color w:val="auto"/>
          <w:kern w:val="2"/>
          <w:sz w:val="21"/>
          <w:szCs w:val="21"/>
          <w:highlight w:val="none"/>
        </w:rPr>
        <w:t>运营项目供货</w:t>
      </w:r>
      <w:r>
        <w:rPr>
          <w:rFonts w:hint="eastAsia" w:ascii="宋体" w:hAnsi="宋体" w:eastAsia="宋体" w:cs="宋体"/>
          <w:color w:val="auto"/>
          <w:sz w:val="21"/>
          <w:szCs w:val="21"/>
          <w:highlight w:val="none"/>
        </w:rPr>
        <w:t>通知前，</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无需为合同履行做准备工作。招标人运营项目相关信息见附件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，仅供投标人报价参考。</w:t>
      </w:r>
    </w:p>
    <w:p w14:paraId="160EC223">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7、关于生产药剂的贮存装置、贮存条件等要求，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w:t>
      </w:r>
      <w:r>
        <w:rPr>
          <w:rFonts w:hint="eastAsia" w:ascii="宋体" w:hAnsi="宋体" w:eastAsia="宋体" w:cs="宋体"/>
          <w:color w:val="auto"/>
          <w:kern w:val="2"/>
          <w:sz w:val="21"/>
          <w:szCs w:val="21"/>
          <w:highlight w:val="none"/>
        </w:rPr>
        <w:t>以书面形式</w:t>
      </w:r>
      <w:r>
        <w:rPr>
          <w:rFonts w:hint="eastAsia" w:ascii="宋体" w:hAnsi="宋体" w:eastAsia="宋体" w:cs="宋体"/>
          <w:color w:val="auto"/>
          <w:sz w:val="21"/>
          <w:szCs w:val="21"/>
          <w:highlight w:val="none"/>
        </w:rPr>
        <w:t>详细告知招标人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w:t>
      </w:r>
    </w:p>
    <w:p w14:paraId="5F9F7ACF">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8、生产药剂的运送及输送方式应符合国家或行业规范标准。采用聚乙烯塑料桶或专用耐酸耐腐蚀贮罐等密闭容器装运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在运输过程中不得与酸和有毒、有害物品或还原性物品混运，运输过程防止药剂泄漏。其余包装及运输要求需符合</w:t>
      </w:r>
      <w:r>
        <w:rPr>
          <w:rFonts w:hint="eastAsia" w:ascii="宋体" w:hAnsi="宋体" w:eastAsia="宋体" w:cs="宋体"/>
          <w:color w:val="auto"/>
          <w:szCs w:val="21"/>
          <w:highlight w:val="none"/>
        </w:rPr>
        <w:t>所供货物对应的</w:t>
      </w:r>
      <w:r>
        <w:rPr>
          <w:rFonts w:hint="eastAsia" w:ascii="宋体" w:hAnsi="宋体" w:eastAsia="宋体" w:cs="宋体"/>
          <w:color w:val="auto"/>
          <w:sz w:val="21"/>
          <w:szCs w:val="21"/>
          <w:highlight w:val="none"/>
        </w:rPr>
        <w:t>《水处理剂 聚氯化铝》（GB/T 22627-2022）</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Cs w:val="21"/>
          <w:highlight w:val="none"/>
        </w:rPr>
        <w:t>《水处理剂 聚氯化铝铁》（HG/T 5359-2018）</w:t>
      </w:r>
      <w:r>
        <w:rPr>
          <w:rFonts w:hint="eastAsia" w:ascii="宋体" w:hAnsi="宋体" w:eastAsia="宋体" w:cs="宋体"/>
          <w:color w:val="auto"/>
          <w:sz w:val="21"/>
          <w:szCs w:val="21"/>
          <w:highlight w:val="none"/>
        </w:rPr>
        <w:t>。供货单位或其委托的运输单位应当具备国家及行业规定的运输资质。供货期间，如有发布最新的行业标准或国家标准，包装及运输按发布的最新行业标准或国家标准执行。</w:t>
      </w:r>
    </w:p>
    <w:p w14:paraId="76FC3CC2">
      <w:pPr>
        <w:numPr>
          <w:ilvl w:val="0"/>
          <w:numId w:val="0"/>
        </w:numPr>
        <w:autoSpaceDE/>
        <w:autoSpaceDN/>
        <w:adjustRightInd/>
        <w:spacing w:line="360" w:lineRule="auto"/>
        <w:ind w:left="0" w:leftChars="0" w:firstLine="0" w:firstLineChars="0"/>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四、</w:t>
      </w:r>
      <w:r>
        <w:rPr>
          <w:rFonts w:hint="eastAsia" w:ascii="宋体" w:hAnsi="宋体" w:eastAsia="宋体" w:cs="宋体"/>
          <w:b/>
          <w:color w:val="auto"/>
          <w:sz w:val="21"/>
          <w:szCs w:val="21"/>
          <w:highlight w:val="none"/>
        </w:rPr>
        <w:t>验收要求</w:t>
      </w:r>
    </w:p>
    <w:p w14:paraId="311C7C9D">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14:paraId="5A5A0686">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（1）初步验收：</w:t>
      </w:r>
    </w:p>
    <w:p w14:paraId="1F030247">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1）货物运抵交货地点，招标人运营项目、</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共同验货。招标人运营项目按照本项目合同及招标文件，对货物的数量、品种、随车产品质量检验报告、供货单据等进行核对。</w:t>
      </w:r>
    </w:p>
    <w:p w14:paraId="5AB71631">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核对完成</w:t>
      </w:r>
      <w:r>
        <w:rPr>
          <w:rFonts w:hint="eastAsia" w:ascii="宋体" w:hAnsi="宋体" w:eastAsia="宋体" w:cs="宋体"/>
          <w:color w:val="auto"/>
          <w:kern w:val="2"/>
          <w:sz w:val="21"/>
          <w:szCs w:val="21"/>
          <w:highlight w:val="none"/>
        </w:rPr>
        <w:t>后，招标人运营项目、</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双方</w:t>
      </w:r>
      <w:r>
        <w:rPr>
          <w:rFonts w:hint="eastAsia" w:ascii="宋体" w:hAnsi="宋体" w:eastAsia="宋体" w:cs="宋体"/>
          <w:color w:val="auto"/>
          <w:kern w:val="2"/>
          <w:sz w:val="21"/>
          <w:szCs w:val="21"/>
          <w:highlight w:val="none"/>
          <w:lang w:val="en-US" w:eastAsia="zh-CN"/>
        </w:rPr>
        <w:t>对</w:t>
      </w:r>
      <w:r>
        <w:rPr>
          <w:rFonts w:hint="eastAsia" w:ascii="宋体" w:hAnsi="宋体" w:eastAsia="宋体" w:cs="宋体"/>
          <w:color w:val="auto"/>
          <w:kern w:val="2"/>
          <w:sz w:val="21"/>
          <w:szCs w:val="21"/>
          <w:highlight w:val="none"/>
        </w:rPr>
        <w:t>随车产品质量检验报告、供货单据进行签收手续</w:t>
      </w:r>
      <w:r>
        <w:rPr>
          <w:rFonts w:hint="eastAsia" w:ascii="宋体" w:hAnsi="宋体" w:eastAsia="宋体" w:cs="宋体"/>
          <w:color w:val="auto"/>
          <w:kern w:val="2"/>
          <w:sz w:val="21"/>
          <w:szCs w:val="21"/>
          <w:highlight w:val="none"/>
          <w:lang w:val="en-US" w:eastAsia="zh-CN"/>
        </w:rPr>
        <w:t>视为完成初步验收，初步验收仅限于</w:t>
      </w:r>
      <w:r>
        <w:rPr>
          <w:rFonts w:hint="eastAsia" w:ascii="宋体" w:hAnsi="宋体" w:eastAsia="宋体" w:cs="宋体"/>
          <w:color w:val="auto"/>
          <w:kern w:val="2"/>
          <w:sz w:val="21"/>
          <w:szCs w:val="21"/>
          <w:highlight w:val="none"/>
        </w:rPr>
        <w:t>双方共同</w:t>
      </w:r>
      <w:r>
        <w:rPr>
          <w:rFonts w:hint="eastAsia" w:ascii="宋体" w:hAnsi="宋体" w:eastAsia="宋体" w:cs="宋体"/>
          <w:color w:val="auto"/>
          <w:kern w:val="2"/>
          <w:sz w:val="21"/>
          <w:szCs w:val="21"/>
          <w:highlight w:val="none"/>
          <w:lang w:val="en-US" w:eastAsia="zh-CN"/>
        </w:rPr>
        <w:t>对中标人所供货物数量、品种、</w:t>
      </w:r>
      <w:r>
        <w:rPr>
          <w:rFonts w:hint="eastAsia" w:ascii="宋体" w:hAnsi="宋体" w:eastAsia="宋体" w:cs="宋体"/>
          <w:color w:val="auto"/>
          <w:kern w:val="2"/>
          <w:sz w:val="21"/>
          <w:szCs w:val="21"/>
          <w:highlight w:val="none"/>
        </w:rPr>
        <w:t>随车产品质量检验报告</w:t>
      </w:r>
      <w:r>
        <w:rPr>
          <w:rFonts w:hint="eastAsia" w:ascii="宋体" w:hAnsi="宋体" w:eastAsia="宋体" w:cs="宋体"/>
          <w:color w:val="auto"/>
          <w:kern w:val="2"/>
          <w:sz w:val="21"/>
          <w:szCs w:val="21"/>
          <w:highlight w:val="none"/>
          <w:lang w:eastAsia="zh-CN"/>
        </w:rPr>
        <w:t>、供货单据</w:t>
      </w:r>
      <w:r>
        <w:rPr>
          <w:rFonts w:hint="eastAsia" w:ascii="宋体" w:hAnsi="宋体" w:eastAsia="宋体" w:cs="宋体"/>
          <w:color w:val="auto"/>
          <w:kern w:val="2"/>
          <w:sz w:val="21"/>
          <w:szCs w:val="21"/>
          <w:highlight w:val="none"/>
          <w:lang w:val="en-US" w:eastAsia="zh-CN"/>
        </w:rPr>
        <w:t>等符合用户需求书技术指标要求的</w:t>
      </w:r>
      <w:r>
        <w:rPr>
          <w:rFonts w:hint="eastAsia" w:ascii="宋体" w:hAnsi="宋体" w:eastAsia="宋体" w:cs="宋体"/>
          <w:color w:val="auto"/>
          <w:kern w:val="2"/>
          <w:sz w:val="21"/>
          <w:szCs w:val="21"/>
          <w:highlight w:val="none"/>
        </w:rPr>
        <w:t>书面确认。</w:t>
      </w:r>
    </w:p>
    <w:p w14:paraId="015E5912">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（2）最终验收</w:t>
      </w:r>
    </w:p>
    <w:p w14:paraId="08A2700C">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对每次供货货物检验，表1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液体聚合氯化铝主要技术指标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w:t>
      </w:r>
      <w:r>
        <w:rPr>
          <w:rFonts w:hint="eastAsia" w:ascii="宋体" w:hAnsi="宋体" w:eastAsia="宋体" w:cs="宋体"/>
          <w:b/>
          <w:bCs/>
          <w:color w:val="auto"/>
          <w:sz w:val="21"/>
          <w:szCs w:val="21"/>
          <w:highlight w:val="none"/>
        </w:rPr>
        <w:t>氧化铝的质量分数、pH、铁（Fe）、水不溶物</w:t>
      </w:r>
      <w:r>
        <w:rPr>
          <w:rFonts w:hint="eastAsia" w:ascii="宋体" w:hAnsi="宋体" w:eastAsia="宋体" w:cs="宋体"/>
          <w:color w:val="auto"/>
          <w:sz w:val="21"/>
          <w:szCs w:val="21"/>
          <w:highlight w:val="none"/>
        </w:rPr>
        <w:t>为每次</w:t>
      </w:r>
      <w:r>
        <w:rPr>
          <w:rFonts w:hint="eastAsia" w:ascii="宋体" w:hAnsi="宋体" w:eastAsia="宋体" w:cs="宋体"/>
          <w:b/>
          <w:bCs/>
          <w:color w:val="auto"/>
          <w:sz w:val="21"/>
          <w:szCs w:val="21"/>
          <w:highlight w:val="none"/>
          <w:lang w:val="en-US" w:eastAsia="zh-CN"/>
        </w:rPr>
        <w:t>聚合氯化铝</w:t>
      </w:r>
      <w:r>
        <w:rPr>
          <w:rFonts w:hint="eastAsia" w:ascii="宋体" w:hAnsi="宋体" w:eastAsia="宋体" w:cs="宋体"/>
          <w:color w:val="auto"/>
          <w:sz w:val="21"/>
          <w:szCs w:val="21"/>
          <w:highlight w:val="none"/>
        </w:rPr>
        <w:t>供货货物的批检检验指标，表</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液体聚合氯化铝</w:t>
      </w:r>
      <w:r>
        <w:rPr>
          <w:rFonts w:hint="eastAsia" w:ascii="宋体" w:hAnsi="宋体" w:eastAsia="宋体" w:cs="宋体"/>
          <w:color w:val="auto"/>
          <w:sz w:val="21"/>
          <w:szCs w:val="21"/>
          <w:highlight w:val="none"/>
          <w:lang w:val="en-US" w:eastAsia="zh-CN"/>
        </w:rPr>
        <w:t>铁</w:t>
      </w:r>
      <w:r>
        <w:rPr>
          <w:rFonts w:hint="eastAsia" w:ascii="宋体" w:hAnsi="宋体" w:eastAsia="宋体" w:cs="宋体"/>
          <w:color w:val="auto"/>
          <w:sz w:val="21"/>
          <w:szCs w:val="21"/>
          <w:highlight w:val="none"/>
        </w:rPr>
        <w:t>主要技术指标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w:t>
      </w:r>
      <w:r>
        <w:rPr>
          <w:rFonts w:hint="eastAsia" w:ascii="宋体" w:hAnsi="宋体" w:eastAsia="宋体" w:cs="宋体"/>
          <w:b/>
          <w:bCs/>
          <w:color w:val="auto"/>
          <w:sz w:val="21"/>
          <w:szCs w:val="21"/>
          <w:highlight w:val="none"/>
        </w:rPr>
        <w:t>氧化铝的质量分数、pH、</w:t>
      </w:r>
      <w:r>
        <w:rPr>
          <w:rFonts w:hint="eastAsia" w:ascii="宋体" w:hAnsi="宋体" w:eastAsia="宋体" w:cs="宋体"/>
          <w:b/>
          <w:bCs/>
          <w:color w:val="auto"/>
          <w:sz w:val="21"/>
          <w:szCs w:val="21"/>
          <w:highlight w:val="none"/>
          <w:lang w:val="en-US" w:eastAsia="zh-CN"/>
        </w:rPr>
        <w:t>全</w:t>
      </w:r>
      <w:r>
        <w:rPr>
          <w:rFonts w:hint="eastAsia" w:ascii="宋体" w:hAnsi="宋体" w:eastAsia="宋体" w:cs="宋体"/>
          <w:b/>
          <w:bCs/>
          <w:color w:val="auto"/>
          <w:sz w:val="21"/>
          <w:szCs w:val="21"/>
          <w:highlight w:val="none"/>
        </w:rPr>
        <w:t>铁（Fe）、水不溶物</w:t>
      </w:r>
      <w:r>
        <w:rPr>
          <w:rFonts w:hint="eastAsia" w:ascii="宋体" w:hAnsi="宋体" w:eastAsia="宋体" w:cs="宋体"/>
          <w:color w:val="auto"/>
          <w:sz w:val="21"/>
          <w:szCs w:val="21"/>
          <w:highlight w:val="none"/>
        </w:rPr>
        <w:t>为每次</w:t>
      </w:r>
      <w:r>
        <w:rPr>
          <w:rFonts w:hint="eastAsia" w:ascii="宋体" w:hAnsi="宋体" w:eastAsia="宋体" w:cs="宋体"/>
          <w:b/>
          <w:bCs/>
          <w:color w:val="auto"/>
          <w:sz w:val="21"/>
          <w:szCs w:val="21"/>
          <w:highlight w:val="none"/>
          <w:lang w:val="en-US" w:eastAsia="zh-CN"/>
        </w:rPr>
        <w:t>聚合氯化铝铁</w:t>
      </w:r>
      <w:r>
        <w:rPr>
          <w:rFonts w:hint="eastAsia" w:ascii="宋体" w:hAnsi="宋体" w:eastAsia="宋体" w:cs="宋体"/>
          <w:color w:val="auto"/>
          <w:sz w:val="21"/>
          <w:szCs w:val="21"/>
          <w:highlight w:val="none"/>
        </w:rPr>
        <w:t>供货货物的批检检验指标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其余指标为招标人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rPr>
        <w:t>根据需要抽检的按需检验指标，货物批检检验指标和按需检验指标由招标人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rPr>
        <w:t>根据招标人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szCs w:val="21"/>
          <w:highlight w:val="none"/>
        </w:rPr>
        <w:t>每次货到现场时应由双方共同取样封存。若</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无正当理由拒绝或未能</w:t>
      </w:r>
      <w:r>
        <w:rPr>
          <w:rFonts w:hint="eastAsia" w:ascii="宋体" w:hAnsi="宋体" w:eastAsia="宋体" w:cs="宋体"/>
          <w:color w:val="auto"/>
          <w:sz w:val="21"/>
          <w:szCs w:val="21"/>
          <w:highlight w:val="none"/>
        </w:rPr>
        <w:t>按</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kern w:val="2"/>
          <w:sz w:val="21"/>
          <w:szCs w:val="21"/>
          <w:highlight w:val="none"/>
          <w:lang w:val="en-US" w:eastAsia="zh-CN"/>
        </w:rPr>
        <w:t>通知</w:t>
      </w:r>
      <w:r>
        <w:rPr>
          <w:rFonts w:hint="eastAsia" w:ascii="宋体" w:hAnsi="宋体" w:eastAsia="宋体" w:cs="宋体"/>
          <w:color w:val="auto"/>
          <w:szCs w:val="21"/>
          <w:highlight w:val="none"/>
        </w:rPr>
        <w:t>派员参与共同取样，则视为</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授权</w:t>
      </w:r>
      <w:r>
        <w:rPr>
          <w:rFonts w:hint="eastAsia" w:ascii="宋体" w:hAnsi="宋体" w:eastAsia="宋体" w:cs="宋体"/>
          <w:color w:val="auto"/>
          <w:szCs w:val="21"/>
          <w:highlight w:val="none"/>
          <w:lang w:val="en-US" w:eastAsia="zh-CN"/>
        </w:rPr>
        <w:t>招标人运营项目</w:t>
      </w:r>
      <w:r>
        <w:rPr>
          <w:rFonts w:hint="eastAsia" w:ascii="宋体" w:hAnsi="宋体" w:eastAsia="宋体" w:cs="宋体"/>
          <w:color w:val="auto"/>
          <w:szCs w:val="21"/>
          <w:highlight w:val="none"/>
        </w:rPr>
        <w:t>单独取样，该取样结果及据此进行的检验结果对</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具有同等约束力。供货货物合格判定以</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Cs w:val="21"/>
          <w:highlight w:val="none"/>
        </w:rPr>
        <w:t>实验室检验结果为准</w:t>
      </w:r>
      <w:r>
        <w:rPr>
          <w:rFonts w:hint="eastAsia" w:ascii="宋体" w:hAnsi="宋体" w:eastAsia="宋体" w:cs="宋体"/>
          <w:color w:val="auto"/>
          <w:sz w:val="21"/>
          <w:szCs w:val="21"/>
          <w:highlight w:val="none"/>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rPr>
        <w:t>根据需要可委托具有CMA认证资质的第三方检测机构检测，招标人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rPr>
        <w:t>委托的具有CMA认证资质的第三方检测机构的检验结果与招标人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rPr>
        <w:t>实验室不一致的，该次的供货货物质量判定以招标人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rPr>
        <w:t>委托的具有CMA认证资质的第三方检测机构的检验结果为准。若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验收结果有异议，</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应自</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书面告知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检验结果24小时内，书面要求通过</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rPr>
        <w:t>双方确认的具有检测产品CMA认证资质的第三方单位对留样货物进行检测，最终供货产品质量判定以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双方确认的具有检测产品CMA认证资质的第三方检测机构检验结果为准；因此产生的检测费、运输费等全部费用均由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承担。</w:t>
      </w:r>
    </w:p>
    <w:p w14:paraId="048EB65F">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bCs/>
          <w:color w:val="auto"/>
          <w:sz w:val="21"/>
          <w:szCs w:val="21"/>
          <w:highlight w:val="none"/>
          <w:lang w:val="en-US" w:eastAsia="zh-CN"/>
        </w:rPr>
        <w:t>液体聚合氯化铝</w:t>
      </w:r>
      <w:r>
        <w:rPr>
          <w:rFonts w:hint="eastAsia" w:ascii="宋体" w:hAnsi="宋体" w:eastAsia="宋体" w:cs="宋体"/>
          <w:b/>
          <w:bCs/>
          <w:color w:val="auto"/>
          <w:sz w:val="21"/>
          <w:szCs w:val="21"/>
          <w:highlight w:val="none"/>
        </w:rPr>
        <w:t>货物</w:t>
      </w:r>
      <w:r>
        <w:rPr>
          <w:rFonts w:hint="eastAsia" w:ascii="宋体" w:hAnsi="宋体" w:eastAsia="宋体" w:cs="宋体"/>
          <w:b/>
          <w:bCs/>
          <w:color w:val="auto"/>
          <w:sz w:val="21"/>
          <w:szCs w:val="21"/>
          <w:highlight w:val="none"/>
          <w:lang w:val="en-US" w:eastAsia="zh-CN"/>
        </w:rPr>
        <w:t>除总磷外的技术指标</w:t>
      </w:r>
      <w:r>
        <w:rPr>
          <w:rFonts w:hint="eastAsia" w:ascii="宋体" w:hAnsi="宋体" w:eastAsia="宋体" w:cs="宋体"/>
          <w:b/>
          <w:bCs/>
          <w:color w:val="auto"/>
          <w:sz w:val="21"/>
          <w:szCs w:val="21"/>
          <w:highlight w:val="none"/>
        </w:rPr>
        <w:t>检验方法按</w:t>
      </w:r>
      <w:r>
        <w:rPr>
          <w:rFonts w:hint="eastAsia" w:ascii="宋体" w:hAnsi="宋体" w:eastAsia="宋体" w:cs="宋体"/>
          <w:b/>
          <w:bCs/>
          <w:color w:val="auto"/>
          <w:szCs w:val="21"/>
          <w:highlight w:val="none"/>
        </w:rPr>
        <w:t>《水处理剂 聚氯化铝》（GB/T 22627-2022）</w:t>
      </w:r>
      <w:r>
        <w:rPr>
          <w:rFonts w:hint="eastAsia" w:ascii="宋体" w:hAnsi="宋体" w:eastAsia="宋体" w:cs="宋体"/>
          <w:b/>
          <w:bCs/>
          <w:color w:val="auto"/>
          <w:sz w:val="21"/>
          <w:szCs w:val="21"/>
          <w:highlight w:val="none"/>
        </w:rPr>
        <w:t>中的检测方法进行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Cs w:val="21"/>
          <w:highlight w:val="none"/>
        </w:rPr>
        <w:t>液</w:t>
      </w:r>
      <w:r>
        <w:rPr>
          <w:rFonts w:hint="eastAsia" w:ascii="宋体" w:hAnsi="宋体" w:eastAsia="宋体" w:cs="宋体"/>
          <w:b/>
          <w:bCs/>
          <w:color w:val="auto"/>
          <w:szCs w:val="21"/>
          <w:highlight w:val="none"/>
          <w:lang w:val="en-US" w:eastAsia="zh-CN"/>
        </w:rPr>
        <w:t>体</w:t>
      </w:r>
      <w:r>
        <w:rPr>
          <w:rFonts w:hint="eastAsia" w:ascii="宋体" w:hAnsi="宋体" w:eastAsia="宋体" w:cs="宋体"/>
          <w:b/>
          <w:bCs/>
          <w:color w:val="auto"/>
          <w:szCs w:val="21"/>
          <w:highlight w:val="none"/>
        </w:rPr>
        <w:t>聚</w:t>
      </w:r>
      <w:r>
        <w:rPr>
          <w:rFonts w:hint="eastAsia" w:ascii="宋体" w:hAnsi="宋体" w:eastAsia="宋体" w:cs="宋体"/>
          <w:b/>
          <w:bCs/>
          <w:color w:val="auto"/>
          <w:szCs w:val="21"/>
          <w:highlight w:val="none"/>
          <w:lang w:val="en-US" w:eastAsia="zh-CN"/>
        </w:rPr>
        <w:t>合</w:t>
      </w:r>
      <w:r>
        <w:rPr>
          <w:rFonts w:hint="eastAsia" w:ascii="宋体" w:hAnsi="宋体" w:eastAsia="宋体" w:cs="宋体"/>
          <w:b/>
          <w:bCs/>
          <w:color w:val="auto"/>
          <w:szCs w:val="21"/>
          <w:highlight w:val="none"/>
        </w:rPr>
        <w:t>氯化铝铁</w:t>
      </w:r>
      <w:r>
        <w:rPr>
          <w:rFonts w:hint="eastAsia" w:ascii="宋体" w:hAnsi="宋体" w:eastAsia="宋体" w:cs="宋体"/>
          <w:b/>
          <w:bCs/>
          <w:color w:val="auto"/>
          <w:sz w:val="21"/>
          <w:szCs w:val="21"/>
          <w:highlight w:val="none"/>
        </w:rPr>
        <w:t>货物</w:t>
      </w:r>
      <w:r>
        <w:rPr>
          <w:rFonts w:hint="eastAsia" w:ascii="宋体" w:hAnsi="宋体" w:eastAsia="宋体" w:cs="宋体"/>
          <w:b/>
          <w:bCs/>
          <w:color w:val="auto"/>
          <w:sz w:val="21"/>
          <w:szCs w:val="21"/>
          <w:highlight w:val="none"/>
          <w:lang w:val="en-US" w:eastAsia="zh-CN"/>
        </w:rPr>
        <w:t>除总磷外的技术指标</w:t>
      </w:r>
      <w:r>
        <w:rPr>
          <w:rFonts w:hint="eastAsia" w:ascii="宋体" w:hAnsi="宋体" w:eastAsia="宋体" w:cs="宋体"/>
          <w:b/>
          <w:bCs/>
          <w:color w:val="auto"/>
          <w:sz w:val="21"/>
          <w:szCs w:val="21"/>
          <w:highlight w:val="none"/>
        </w:rPr>
        <w:t>检验方法按</w:t>
      </w:r>
      <w:r>
        <w:rPr>
          <w:rFonts w:hint="eastAsia" w:ascii="宋体" w:hAnsi="宋体" w:eastAsia="宋体" w:cs="宋体"/>
          <w:b/>
          <w:bCs/>
          <w:color w:val="auto"/>
          <w:szCs w:val="21"/>
          <w:highlight w:val="none"/>
        </w:rPr>
        <w:t>《水处理剂 聚氯化铝铁》（HG/T 5359-2018）中的检测方法进行</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 w:val="21"/>
          <w:szCs w:val="21"/>
          <w:highlight w:val="none"/>
          <w:lang w:val="en-US" w:eastAsia="zh-CN"/>
        </w:rPr>
        <w:t>液体聚合氯化铝和液体聚合氯化铝铁货物</w:t>
      </w:r>
      <w:r>
        <w:rPr>
          <w:rFonts w:hint="eastAsia" w:ascii="宋体" w:hAnsi="宋体" w:eastAsia="宋体" w:cs="宋体"/>
          <w:b/>
          <w:bCs/>
          <w:color w:val="auto"/>
          <w:szCs w:val="21"/>
          <w:highlight w:val="none"/>
          <w:lang w:eastAsia="zh-CN"/>
        </w:rPr>
        <w:t>总磷检验方法按《水质 总磷的测定 钼酸铵分光光度法》（GB 11893-1989）</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供货期间，如有发布最新的行业标准或国家标准，货物检验方法按发布的最新行业标准或国家标准执行。</w:t>
      </w:r>
    </w:p>
    <w:p w14:paraId="5FD5D387">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w:t>
      </w:r>
      <w:r>
        <w:rPr>
          <w:rFonts w:hint="eastAsia" w:ascii="宋体" w:hAnsi="宋体" w:eastAsia="宋体" w:cs="宋体"/>
          <w:color w:val="auto"/>
          <w:sz w:val="21"/>
          <w:szCs w:val="21"/>
          <w:highlight w:val="none"/>
          <w:lang w:val="en-US" w:eastAsia="zh-CN"/>
        </w:rPr>
        <w:t>对应</w:t>
      </w:r>
      <w:r>
        <w:rPr>
          <w:rFonts w:hint="eastAsia" w:ascii="宋体" w:hAnsi="宋体" w:eastAsia="宋体" w:cs="宋体"/>
          <w:b/>
          <w:bCs/>
          <w:color w:val="auto"/>
          <w:sz w:val="21"/>
          <w:szCs w:val="21"/>
          <w:highlight w:val="none"/>
        </w:rPr>
        <w:t>表1《液体聚合氯化铝主要技术指标》</w:t>
      </w:r>
      <w:r>
        <w:rPr>
          <w:rFonts w:hint="eastAsia" w:ascii="宋体" w:hAnsi="宋体" w:eastAsia="宋体" w:cs="宋体"/>
          <w:b/>
          <w:bCs/>
          <w:color w:val="auto"/>
          <w:sz w:val="21"/>
          <w:szCs w:val="21"/>
          <w:highlight w:val="none"/>
          <w:lang w:val="en-US" w:eastAsia="zh-CN"/>
        </w:rPr>
        <w:t>或</w:t>
      </w:r>
      <w:r>
        <w:rPr>
          <w:rFonts w:hint="eastAsia" w:ascii="宋体" w:hAnsi="宋体" w:eastAsia="宋体" w:cs="宋体"/>
          <w:b/>
          <w:bCs/>
          <w:color w:val="auto"/>
          <w:sz w:val="21"/>
          <w:szCs w:val="21"/>
          <w:highlight w:val="none"/>
        </w:rPr>
        <w:t>表</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《液体聚合氯化铝</w:t>
      </w:r>
      <w:r>
        <w:rPr>
          <w:rFonts w:hint="eastAsia" w:ascii="宋体" w:hAnsi="宋体" w:eastAsia="宋体" w:cs="宋体"/>
          <w:b/>
          <w:bCs/>
          <w:color w:val="auto"/>
          <w:sz w:val="21"/>
          <w:szCs w:val="21"/>
          <w:highlight w:val="none"/>
          <w:lang w:val="en-US" w:eastAsia="zh-CN"/>
        </w:rPr>
        <w:t>铁</w:t>
      </w:r>
      <w:r>
        <w:rPr>
          <w:rFonts w:hint="eastAsia" w:ascii="宋体" w:hAnsi="宋体" w:eastAsia="宋体" w:cs="宋体"/>
          <w:b/>
          <w:bCs/>
          <w:color w:val="auto"/>
          <w:sz w:val="21"/>
          <w:szCs w:val="21"/>
          <w:highlight w:val="none"/>
        </w:rPr>
        <w:t>主要技术指标》</w:t>
      </w:r>
      <w:r>
        <w:rPr>
          <w:rFonts w:hint="eastAsia" w:ascii="宋体" w:hAnsi="宋体" w:eastAsia="宋体" w:cs="宋体"/>
          <w:color w:val="auto"/>
          <w:sz w:val="21"/>
          <w:szCs w:val="21"/>
          <w:highlight w:val="none"/>
        </w:rPr>
        <w:t>要求则最终验收合格。</w:t>
      </w:r>
    </w:p>
    <w:p w14:paraId="34445CA5">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2、货物按上述程序验收后，招标人运营项目向</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出具书面的验收报告并由招标人运营项目</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中标人</w:t>
      </w:r>
      <w:r>
        <w:rPr>
          <w:rFonts w:hint="eastAsia" w:ascii="宋体" w:hAnsi="宋体" w:eastAsia="宋体" w:cs="宋体"/>
          <w:color w:val="auto"/>
          <w:kern w:val="2"/>
          <w:sz w:val="21"/>
          <w:szCs w:val="21"/>
          <w:highlight w:val="none"/>
        </w:rPr>
        <w:t>双方对验收报告共同签字确认</w:t>
      </w:r>
      <w:r>
        <w:rPr>
          <w:rFonts w:hint="eastAsia" w:ascii="宋体" w:hAnsi="宋体" w:eastAsia="宋体" w:cs="宋体"/>
          <w:color w:val="auto"/>
          <w:szCs w:val="21"/>
          <w:highlight w:val="none"/>
          <w:lang w:val="en-US" w:eastAsia="zh-CN"/>
        </w:rPr>
        <w:t>，且</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需对验收报告</w:t>
      </w:r>
      <w:r>
        <w:rPr>
          <w:rFonts w:hint="eastAsia" w:ascii="宋体" w:hAnsi="宋体" w:eastAsia="宋体" w:cs="宋体"/>
          <w:color w:val="auto"/>
          <w:kern w:val="2"/>
          <w:sz w:val="21"/>
          <w:szCs w:val="21"/>
          <w:highlight w:val="none"/>
          <w:lang w:val="en-US" w:eastAsia="zh-CN"/>
        </w:rPr>
        <w:t>加</w:t>
      </w:r>
      <w:r>
        <w:rPr>
          <w:rFonts w:hint="eastAsia" w:ascii="宋体" w:hAnsi="宋体" w:eastAsia="宋体" w:cs="宋体"/>
          <w:color w:val="auto"/>
          <w:kern w:val="2"/>
          <w:sz w:val="21"/>
          <w:szCs w:val="21"/>
          <w:highlight w:val="none"/>
        </w:rPr>
        <w:t>盖</w:t>
      </w:r>
      <w:r>
        <w:rPr>
          <w:rFonts w:hint="eastAsia" w:ascii="宋体" w:hAnsi="宋体" w:eastAsia="宋体" w:cs="宋体"/>
          <w:color w:val="auto"/>
          <w:kern w:val="2"/>
          <w:sz w:val="21"/>
          <w:szCs w:val="21"/>
          <w:highlight w:val="none"/>
          <w:lang w:val="en-US" w:eastAsia="zh-CN"/>
        </w:rPr>
        <w:t>公章或业务</w:t>
      </w:r>
      <w:r>
        <w:rPr>
          <w:rFonts w:hint="eastAsia" w:ascii="宋体" w:hAnsi="宋体" w:eastAsia="宋体" w:cs="宋体"/>
          <w:color w:val="auto"/>
          <w:kern w:val="2"/>
          <w:sz w:val="21"/>
          <w:szCs w:val="21"/>
          <w:highlight w:val="none"/>
        </w:rPr>
        <w:t>章确认，</w:t>
      </w:r>
      <w:r>
        <w:rPr>
          <w:rFonts w:hint="eastAsia" w:ascii="宋体" w:hAnsi="宋体" w:eastAsia="宋体" w:cs="宋体"/>
          <w:color w:val="auto"/>
          <w:szCs w:val="21"/>
          <w:highlight w:val="none"/>
          <w:lang w:val="en-US" w:eastAsia="zh-CN"/>
        </w:rPr>
        <w:t>验收报告（模板）见附件2</w:t>
      </w:r>
      <w:r>
        <w:rPr>
          <w:rFonts w:hint="eastAsia" w:ascii="宋体" w:hAnsi="宋体" w:eastAsia="宋体" w:cs="宋体"/>
          <w:color w:val="auto"/>
          <w:kern w:val="2"/>
          <w:sz w:val="21"/>
          <w:szCs w:val="21"/>
          <w:highlight w:val="none"/>
        </w:rPr>
        <w:t>。验收报告作为对货物供货数量及主要技术指标验收的证明，不代表对货物使用效果的认可。</w:t>
      </w:r>
    </w:p>
    <w:p w14:paraId="04F27A0A">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3、招标人运营项目根据本条规定对货物所做出的验收，仅作为起算付款及质保期之用，</w:t>
      </w:r>
      <w:r>
        <w:rPr>
          <w:rFonts w:hint="eastAsia" w:ascii="宋体" w:hAnsi="宋体" w:eastAsia="宋体" w:cs="宋体"/>
          <w:color w:val="auto"/>
          <w:szCs w:val="21"/>
          <w:highlight w:val="none"/>
        </w:rPr>
        <w:t>不能免除中标人的质量责任，也不能排除其后因产品实际情况与要求不符而导致的招标人运营项目</w:t>
      </w:r>
      <w:r>
        <w:rPr>
          <w:rFonts w:hint="eastAsia" w:ascii="宋体" w:hAnsi="宋体" w:eastAsia="宋体" w:cs="宋体"/>
          <w:color w:val="auto"/>
          <w:szCs w:val="21"/>
          <w:highlight w:val="none"/>
          <w:lang w:val="en-US" w:eastAsia="zh-CN"/>
        </w:rPr>
        <w:t>退货</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仍应在质保期内对产品质量承担保证责任。</w:t>
      </w:r>
    </w:p>
    <w:p w14:paraId="7FB4235A">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承担，如因发生前述情形，导致</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所提供的货物不能通过招标人运营项目验收的，</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应按招标人运营项目要求无条件予以退换货，给招标人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kern w:val="2"/>
          <w:sz w:val="21"/>
          <w:szCs w:val="21"/>
          <w:highlight w:val="none"/>
        </w:rPr>
        <w:t>造成损失的</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须承担全部的赔偿责任。</w:t>
      </w:r>
    </w:p>
    <w:p w14:paraId="360B6AD6">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w:t>
      </w:r>
      <w:bookmarkStart w:id="449" w:name="OLE_LINK11"/>
      <w:r>
        <w:rPr>
          <w:rFonts w:hint="eastAsia" w:ascii="宋体" w:hAnsi="宋体" w:eastAsia="宋体" w:cs="宋体"/>
          <w:b/>
          <w:color w:val="auto"/>
          <w:sz w:val="21"/>
          <w:szCs w:val="21"/>
          <w:highlight w:val="none"/>
        </w:rPr>
        <w:t>资料要求</w:t>
      </w:r>
      <w:bookmarkEnd w:id="449"/>
    </w:p>
    <w:p w14:paraId="3AB5612B">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需向招标人运营项目提供但不限于下述技术资料：</w:t>
      </w:r>
    </w:p>
    <w:p w14:paraId="6D168A3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（1）符合第三条交货要求第5点要求的</w:t>
      </w:r>
      <w:r>
        <w:rPr>
          <w:rFonts w:hint="eastAsia" w:ascii="宋体" w:hAnsi="宋体" w:eastAsia="宋体" w:cs="宋体"/>
          <w:color w:val="auto"/>
          <w:kern w:val="2"/>
          <w:sz w:val="21"/>
          <w:szCs w:val="21"/>
          <w:highlight w:val="none"/>
        </w:rPr>
        <w:t>产品质量检验报告（如出厂检验报告、质量检验报告等）</w:t>
      </w:r>
      <w:r>
        <w:rPr>
          <w:rFonts w:hint="eastAsia" w:ascii="宋体" w:hAnsi="宋体" w:eastAsia="宋体" w:cs="宋体"/>
          <w:color w:val="auto"/>
          <w:sz w:val="21"/>
          <w:szCs w:val="21"/>
          <w:highlight w:val="none"/>
        </w:rPr>
        <w:t>、供货单据；</w:t>
      </w:r>
    </w:p>
    <w:p w14:paraId="5BC7BD9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（2）验收报告；</w:t>
      </w:r>
    </w:p>
    <w:p w14:paraId="139C295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（3）与货物使用相关的其他文件；</w:t>
      </w:r>
    </w:p>
    <w:p w14:paraId="7653CBD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（4）招标人运营项目要求提供的其他技术资料。</w:t>
      </w:r>
    </w:p>
    <w:p w14:paraId="1976454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需将上述资料（若上述资料为复印件的，则须加盖</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公章）在交货时交给招标人运营项目，有关资料的收集和整理由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负责，招标人运营项目予以配合。</w:t>
      </w:r>
    </w:p>
    <w:p w14:paraId="712F5A26">
      <w:pPr>
        <w:autoSpaceDE/>
        <w:autoSpaceDN/>
        <w:adjustRightInd/>
        <w:snapToGrid w:val="0"/>
        <w:spacing w:line="360" w:lineRule="auto"/>
        <w:ind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2"/>
          <w:sz w:val="21"/>
          <w:szCs w:val="21"/>
          <w:highlight w:val="none"/>
        </w:rPr>
        <w:t>供货期内，</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需每季度委托具有CMA认证资质的第三方检测机构对供货期间所供货物进行检测，并提供第三方检测机构出具的</w:t>
      </w:r>
      <w:bookmarkStart w:id="450" w:name="OLE_LINK29"/>
      <w:r>
        <w:rPr>
          <w:rFonts w:hint="eastAsia" w:ascii="宋体" w:hAnsi="宋体" w:eastAsia="宋体" w:cs="宋体"/>
          <w:color w:val="auto"/>
          <w:kern w:val="2"/>
          <w:sz w:val="21"/>
          <w:szCs w:val="21"/>
          <w:highlight w:val="none"/>
          <w:lang w:val="en-US" w:eastAsia="zh-CN"/>
        </w:rPr>
        <w:t>与</w:t>
      </w:r>
      <w:r>
        <w:rPr>
          <w:rFonts w:hint="eastAsia" w:ascii="宋体" w:hAnsi="宋体" w:eastAsia="宋体" w:cs="宋体"/>
          <w:color w:val="auto"/>
          <w:kern w:val="2"/>
          <w:sz w:val="21"/>
          <w:szCs w:val="21"/>
          <w:highlight w:val="none"/>
        </w:rPr>
        <w:t>所供货物对应的</w:t>
      </w:r>
      <w:r>
        <w:rPr>
          <w:rFonts w:hint="eastAsia" w:ascii="宋体" w:hAnsi="宋体" w:eastAsia="宋体" w:cs="宋体"/>
          <w:color w:val="auto"/>
          <w:szCs w:val="21"/>
          <w:highlight w:val="none"/>
        </w:rPr>
        <w:t>符合</w:t>
      </w:r>
      <w:r>
        <w:rPr>
          <w:rFonts w:hint="eastAsia" w:ascii="宋体" w:hAnsi="宋体" w:eastAsia="宋体" w:cs="宋体"/>
          <w:color w:val="auto"/>
          <w:szCs w:val="21"/>
          <w:highlight w:val="none"/>
          <w:lang w:val="en-US" w:eastAsia="zh-CN"/>
        </w:rPr>
        <w:t>对应</w:t>
      </w:r>
      <w:r>
        <w:rPr>
          <w:rFonts w:hint="eastAsia" w:ascii="宋体" w:hAnsi="宋体" w:eastAsia="宋体" w:cs="宋体"/>
          <w:color w:val="auto"/>
          <w:szCs w:val="21"/>
          <w:highlight w:val="none"/>
        </w:rPr>
        <w:t>表1《</w:t>
      </w:r>
      <w:r>
        <w:rPr>
          <w:rFonts w:hint="eastAsia" w:ascii="宋体" w:hAnsi="宋体" w:eastAsia="宋体" w:cs="宋体"/>
          <w:color w:val="auto"/>
          <w:sz w:val="21"/>
          <w:szCs w:val="21"/>
          <w:highlight w:val="none"/>
        </w:rPr>
        <w:t>液体聚合氯化铝主要技术指标</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《液体聚合氯化铝</w:t>
      </w:r>
      <w:r>
        <w:rPr>
          <w:rFonts w:hint="eastAsia" w:ascii="宋体" w:hAnsi="宋体" w:eastAsia="宋体" w:cs="宋体"/>
          <w:color w:val="auto"/>
          <w:sz w:val="21"/>
          <w:szCs w:val="21"/>
          <w:highlight w:val="none"/>
          <w:lang w:val="en-US" w:eastAsia="zh-CN"/>
        </w:rPr>
        <w:t>铁</w:t>
      </w:r>
      <w:r>
        <w:rPr>
          <w:rFonts w:hint="eastAsia" w:ascii="宋体" w:hAnsi="宋体" w:eastAsia="宋体" w:cs="宋体"/>
          <w:color w:val="auto"/>
          <w:sz w:val="21"/>
          <w:szCs w:val="21"/>
          <w:highlight w:val="none"/>
        </w:rPr>
        <w:t>主要技术指标》</w:t>
      </w:r>
      <w:r>
        <w:rPr>
          <w:rFonts w:hint="eastAsia" w:ascii="宋体" w:hAnsi="宋体" w:eastAsia="宋体" w:cs="宋体"/>
          <w:color w:val="auto"/>
          <w:szCs w:val="21"/>
          <w:highlight w:val="none"/>
        </w:rPr>
        <w:t>要求的</w:t>
      </w:r>
      <w:bookmarkEnd w:id="450"/>
      <w:r>
        <w:rPr>
          <w:rFonts w:hint="eastAsia" w:ascii="宋体" w:hAnsi="宋体" w:eastAsia="宋体" w:cs="宋体"/>
          <w:color w:val="auto"/>
          <w:kern w:val="2"/>
          <w:sz w:val="21"/>
          <w:szCs w:val="21"/>
          <w:highlight w:val="none"/>
        </w:rPr>
        <w:t>检验报告，</w:t>
      </w:r>
      <w:r>
        <w:rPr>
          <w:rFonts w:hint="eastAsia" w:ascii="宋体" w:hAnsi="宋体" w:eastAsia="宋体" w:cs="宋体"/>
          <w:b/>
          <w:bCs/>
          <w:color w:val="auto"/>
          <w:sz w:val="21"/>
          <w:szCs w:val="21"/>
          <w:highlight w:val="none"/>
        </w:rPr>
        <w:t>检验报告需体现委托方、生产厂家、送检样品的产品名称、生产批号或生产日期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与所供货物对应的</w:t>
      </w:r>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液体聚合氯化铝主要技术指标</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或表2《液体聚合氯化铝铁主要技术指标》</w:t>
      </w:r>
      <w:r>
        <w:rPr>
          <w:rFonts w:hint="eastAsia" w:ascii="宋体" w:hAnsi="宋体" w:eastAsia="宋体" w:cs="宋体"/>
          <w:b/>
          <w:bCs/>
          <w:color w:val="auto"/>
          <w:sz w:val="21"/>
          <w:szCs w:val="21"/>
          <w:highlight w:val="none"/>
        </w:rPr>
        <w:t>中各指标</w:t>
      </w: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检测结果，</w:t>
      </w:r>
      <w:r>
        <w:rPr>
          <w:rFonts w:hint="eastAsia" w:ascii="宋体" w:hAnsi="宋体" w:eastAsia="宋体" w:cs="宋体"/>
          <w:b/>
          <w:bCs/>
          <w:color w:val="auto"/>
          <w:sz w:val="21"/>
          <w:szCs w:val="21"/>
          <w:highlight w:val="none"/>
          <w:lang w:val="en-US" w:eastAsia="zh-CN"/>
        </w:rPr>
        <w:t>液体聚合氯化铝</w:t>
      </w:r>
      <w:r>
        <w:rPr>
          <w:rFonts w:hint="eastAsia" w:ascii="宋体" w:hAnsi="宋体" w:eastAsia="宋体" w:cs="宋体"/>
          <w:b/>
          <w:bCs/>
          <w:color w:val="auto"/>
          <w:sz w:val="21"/>
          <w:szCs w:val="21"/>
          <w:highlight w:val="none"/>
        </w:rPr>
        <w:t>检验报告</w:t>
      </w:r>
      <w:r>
        <w:rPr>
          <w:rFonts w:hint="eastAsia" w:ascii="宋体" w:hAnsi="宋体" w:eastAsia="宋体" w:cs="宋体"/>
          <w:b/>
          <w:bCs/>
          <w:color w:val="auto"/>
          <w:szCs w:val="21"/>
          <w:highlight w:val="none"/>
        </w:rPr>
        <w:t>除总磷外的技术指标</w:t>
      </w:r>
      <w:r>
        <w:rPr>
          <w:rFonts w:hint="eastAsia" w:ascii="宋体" w:hAnsi="宋体" w:eastAsia="宋体" w:cs="宋体"/>
          <w:b/>
          <w:bCs/>
          <w:color w:val="auto"/>
          <w:kern w:val="2"/>
          <w:sz w:val="21"/>
          <w:szCs w:val="21"/>
          <w:highlight w:val="none"/>
        </w:rPr>
        <w:t>使用的检测方法需符合</w:t>
      </w:r>
      <w:r>
        <w:rPr>
          <w:rFonts w:hint="eastAsia" w:ascii="宋体" w:hAnsi="宋体" w:eastAsia="宋体" w:cs="宋体"/>
          <w:b/>
          <w:bCs/>
          <w:color w:val="auto"/>
          <w:szCs w:val="21"/>
          <w:highlight w:val="none"/>
        </w:rPr>
        <w:t>《水处理剂 聚氯化铝》（GB/T 22627-2022）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液体聚合氯化铝铁</w:t>
      </w:r>
      <w:r>
        <w:rPr>
          <w:rFonts w:hint="eastAsia" w:ascii="宋体" w:hAnsi="宋体" w:eastAsia="宋体" w:cs="宋体"/>
          <w:b/>
          <w:bCs/>
          <w:color w:val="auto"/>
          <w:sz w:val="21"/>
          <w:szCs w:val="21"/>
          <w:highlight w:val="none"/>
        </w:rPr>
        <w:t>检验报告</w:t>
      </w:r>
      <w:r>
        <w:rPr>
          <w:rFonts w:hint="eastAsia" w:ascii="宋体" w:hAnsi="宋体" w:eastAsia="宋体" w:cs="宋体"/>
          <w:b/>
          <w:bCs/>
          <w:color w:val="auto"/>
          <w:szCs w:val="21"/>
          <w:highlight w:val="none"/>
        </w:rPr>
        <w:t>除总磷外的技术指标</w:t>
      </w:r>
      <w:r>
        <w:rPr>
          <w:rFonts w:hint="eastAsia" w:ascii="宋体" w:hAnsi="宋体" w:eastAsia="宋体" w:cs="宋体"/>
          <w:b/>
          <w:bCs/>
          <w:color w:val="auto"/>
          <w:kern w:val="2"/>
          <w:sz w:val="21"/>
          <w:szCs w:val="21"/>
          <w:highlight w:val="none"/>
        </w:rPr>
        <w:t>使用的检测方法需符合</w:t>
      </w:r>
      <w:r>
        <w:rPr>
          <w:rFonts w:hint="eastAsia" w:ascii="宋体" w:hAnsi="宋体" w:eastAsia="宋体" w:cs="宋体"/>
          <w:b/>
          <w:bCs/>
          <w:color w:val="auto"/>
          <w:szCs w:val="21"/>
          <w:highlight w:val="none"/>
        </w:rPr>
        <w:t>《水处理剂 聚氯化铝铁》（HG/T 5359-2018）</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总磷检</w:t>
      </w:r>
      <w:r>
        <w:rPr>
          <w:rFonts w:hint="eastAsia" w:ascii="宋体" w:hAnsi="宋体" w:eastAsia="宋体" w:cs="宋体"/>
          <w:b/>
          <w:bCs/>
          <w:color w:val="auto"/>
          <w:szCs w:val="21"/>
          <w:highlight w:val="none"/>
          <w:lang w:val="en-US" w:eastAsia="zh-CN"/>
        </w:rPr>
        <w:t>测</w:t>
      </w:r>
      <w:r>
        <w:rPr>
          <w:rFonts w:hint="eastAsia" w:ascii="宋体" w:hAnsi="宋体" w:eastAsia="宋体" w:cs="宋体"/>
          <w:b/>
          <w:bCs/>
          <w:color w:val="auto"/>
          <w:szCs w:val="21"/>
          <w:highlight w:val="none"/>
        </w:rPr>
        <w:t>方法</w:t>
      </w:r>
      <w:r>
        <w:rPr>
          <w:rFonts w:hint="eastAsia" w:ascii="宋体" w:hAnsi="宋体" w:eastAsia="宋体" w:cs="宋体"/>
          <w:b/>
          <w:bCs/>
          <w:color w:val="auto"/>
          <w:szCs w:val="21"/>
          <w:highlight w:val="none"/>
          <w:lang w:val="en-US" w:eastAsia="zh-CN"/>
        </w:rPr>
        <w:t>需符合</w:t>
      </w:r>
      <w:r>
        <w:rPr>
          <w:rFonts w:hint="eastAsia" w:ascii="宋体" w:hAnsi="宋体" w:eastAsia="宋体" w:cs="宋体"/>
          <w:b/>
          <w:bCs/>
          <w:color w:val="auto"/>
          <w:szCs w:val="21"/>
          <w:highlight w:val="none"/>
        </w:rPr>
        <w:t>《水质 总磷的测定 钼酸铵分光光度法》（GB 11893-</w:t>
      </w:r>
      <w:r>
        <w:rPr>
          <w:rFonts w:hint="eastAsia" w:ascii="宋体" w:hAnsi="宋体" w:eastAsia="宋体" w:cs="宋体"/>
          <w:b/>
          <w:bCs/>
          <w:color w:val="auto"/>
          <w:szCs w:val="21"/>
          <w:highlight w:val="none"/>
          <w:lang w:val="en-US" w:eastAsia="zh-CN"/>
        </w:rPr>
        <w:t>19</w:t>
      </w:r>
      <w:r>
        <w:rPr>
          <w:rFonts w:hint="eastAsia" w:ascii="宋体" w:hAnsi="宋体" w:eastAsia="宋体" w:cs="宋体"/>
          <w:b/>
          <w:bCs/>
          <w:color w:val="auto"/>
          <w:szCs w:val="21"/>
          <w:highlight w:val="none"/>
        </w:rPr>
        <w:t>89）</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kern w:val="2"/>
          <w:sz w:val="21"/>
          <w:szCs w:val="21"/>
          <w:highlight w:val="none"/>
        </w:rPr>
        <w:t>检验报告中样品送检时间需在供货期内。</w:t>
      </w:r>
      <w:r>
        <w:rPr>
          <w:rFonts w:hint="eastAsia" w:ascii="宋体" w:hAnsi="宋体" w:eastAsia="宋体" w:cs="宋体"/>
          <w:color w:val="auto"/>
          <w:kern w:val="2"/>
          <w:sz w:val="21"/>
          <w:szCs w:val="21"/>
          <w:highlight w:val="none"/>
        </w:rPr>
        <w:t>供货期间，如有发布最新的行业标准或国家标准，货物检验方法按发布的最新行业标准或国家标准执行。</w:t>
      </w:r>
    </w:p>
    <w:p w14:paraId="5D8B5FF7">
      <w:pPr>
        <w:autoSpaceDE/>
        <w:autoSpaceDN/>
        <w:adjustRightInd/>
        <w:snapToGrid w:val="0"/>
        <w:spacing w:line="360" w:lineRule="auto"/>
        <w:ind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提交的技术资料在出现遗漏或发现错误时，应及时补充或更正后提交招标人运营项目。</w:t>
      </w:r>
    </w:p>
    <w:p w14:paraId="461754BD">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六、质量保证及售后要求</w:t>
      </w:r>
    </w:p>
    <w:p w14:paraId="0D5E1BB9">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1、药剂保质期：</w:t>
      </w:r>
      <w:r>
        <w:rPr>
          <w:rFonts w:hint="eastAsia" w:ascii="宋体" w:hAnsi="宋体" w:eastAsia="宋体" w:cs="宋体"/>
          <w:b/>
          <w:bCs/>
          <w:color w:val="auto"/>
          <w:sz w:val="21"/>
          <w:szCs w:val="21"/>
          <w:highlight w:val="none"/>
        </w:rPr>
        <w:t>液</w:t>
      </w:r>
      <w:r>
        <w:rPr>
          <w:rFonts w:hint="eastAsia" w:ascii="宋体" w:hAnsi="宋体" w:eastAsia="宋体" w:cs="宋体"/>
          <w:b/>
          <w:bCs/>
          <w:color w:val="auto"/>
          <w:sz w:val="21"/>
          <w:szCs w:val="21"/>
          <w:highlight w:val="none"/>
          <w:lang w:val="en-US" w:eastAsia="zh-CN"/>
        </w:rPr>
        <w:t>体</w:t>
      </w:r>
      <w:r>
        <w:rPr>
          <w:rFonts w:hint="eastAsia" w:ascii="宋体" w:hAnsi="宋体" w:eastAsia="宋体" w:cs="宋体"/>
          <w:b/>
          <w:bCs/>
          <w:color w:val="auto"/>
          <w:sz w:val="21"/>
          <w:szCs w:val="21"/>
          <w:highlight w:val="none"/>
        </w:rPr>
        <w:t>聚</w:t>
      </w:r>
      <w:r>
        <w:rPr>
          <w:rFonts w:hint="eastAsia" w:ascii="宋体" w:hAnsi="宋体" w:eastAsia="宋体" w:cs="宋体"/>
          <w:b/>
          <w:bCs/>
          <w:color w:val="auto"/>
          <w:sz w:val="21"/>
          <w:szCs w:val="21"/>
          <w:highlight w:val="none"/>
          <w:lang w:val="en-US" w:eastAsia="zh-CN"/>
        </w:rPr>
        <w:t>合</w:t>
      </w:r>
      <w:r>
        <w:rPr>
          <w:rFonts w:hint="eastAsia" w:ascii="宋体" w:hAnsi="宋体" w:eastAsia="宋体" w:cs="宋体"/>
          <w:b/>
          <w:bCs/>
          <w:color w:val="auto"/>
          <w:sz w:val="21"/>
          <w:szCs w:val="21"/>
          <w:highlight w:val="none"/>
        </w:rPr>
        <w:t>氯化铝</w:t>
      </w:r>
      <w:r>
        <w:rPr>
          <w:rFonts w:hint="eastAsia" w:ascii="宋体" w:hAnsi="宋体" w:eastAsia="宋体" w:cs="宋体"/>
          <w:b/>
          <w:bCs/>
          <w:color w:val="auto"/>
          <w:sz w:val="21"/>
          <w:szCs w:val="21"/>
          <w:highlight w:val="none"/>
          <w:lang w:val="en-US" w:eastAsia="zh-CN"/>
        </w:rPr>
        <w:t>以</w:t>
      </w:r>
      <w:r>
        <w:rPr>
          <w:rFonts w:hint="eastAsia" w:ascii="宋体" w:hAnsi="宋体" w:eastAsia="宋体" w:cs="宋体"/>
          <w:b/>
          <w:color w:val="auto"/>
          <w:sz w:val="21"/>
          <w:szCs w:val="21"/>
          <w:highlight w:val="none"/>
          <w:lang w:val="en-US" w:eastAsia="zh-CN"/>
        </w:rPr>
        <w:t>招标人</w:t>
      </w:r>
      <w:r>
        <w:rPr>
          <w:rFonts w:hint="eastAsia" w:ascii="宋体" w:hAnsi="宋体" w:eastAsia="宋体" w:cs="宋体"/>
          <w:b/>
          <w:color w:val="auto"/>
          <w:sz w:val="21"/>
          <w:szCs w:val="21"/>
          <w:highlight w:val="none"/>
        </w:rPr>
        <w:t>运营项目</w:t>
      </w:r>
      <w:r>
        <w:rPr>
          <w:rFonts w:hint="eastAsia" w:ascii="宋体" w:hAnsi="宋体" w:eastAsia="宋体" w:cs="宋体"/>
          <w:b/>
          <w:color w:val="auto"/>
          <w:sz w:val="21"/>
          <w:szCs w:val="21"/>
          <w:highlight w:val="none"/>
          <w:lang w:val="en-US" w:eastAsia="zh-CN"/>
        </w:rPr>
        <w:t>最终</w:t>
      </w:r>
      <w:r>
        <w:rPr>
          <w:rFonts w:hint="eastAsia" w:ascii="宋体" w:hAnsi="宋体" w:eastAsia="宋体" w:cs="宋体"/>
          <w:b/>
          <w:color w:val="auto"/>
          <w:sz w:val="21"/>
          <w:szCs w:val="21"/>
          <w:highlight w:val="none"/>
        </w:rPr>
        <w:t>验收</w:t>
      </w:r>
      <w:r>
        <w:rPr>
          <w:rFonts w:hint="eastAsia" w:ascii="宋体" w:hAnsi="宋体" w:eastAsia="宋体" w:cs="宋体"/>
          <w:b/>
          <w:color w:val="auto"/>
          <w:sz w:val="21"/>
          <w:szCs w:val="21"/>
          <w:highlight w:val="none"/>
          <w:lang w:val="en-US" w:eastAsia="zh-CN"/>
        </w:rPr>
        <w:t>合格</w:t>
      </w:r>
      <w:r>
        <w:rPr>
          <w:rFonts w:hint="eastAsia" w:ascii="宋体" w:hAnsi="宋体" w:eastAsia="宋体" w:cs="宋体"/>
          <w:b/>
          <w:color w:val="auto"/>
          <w:sz w:val="21"/>
          <w:szCs w:val="21"/>
          <w:highlight w:val="none"/>
        </w:rPr>
        <w:t>之日起六个月</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液</w:t>
      </w:r>
      <w:r>
        <w:rPr>
          <w:rFonts w:hint="eastAsia" w:ascii="宋体" w:hAnsi="宋体" w:eastAsia="宋体" w:cs="宋体"/>
          <w:b/>
          <w:bCs/>
          <w:color w:val="auto"/>
          <w:sz w:val="21"/>
          <w:szCs w:val="21"/>
          <w:highlight w:val="none"/>
          <w:lang w:val="en-US" w:eastAsia="zh-CN"/>
        </w:rPr>
        <w:t>体</w:t>
      </w:r>
      <w:r>
        <w:rPr>
          <w:rFonts w:hint="eastAsia" w:ascii="宋体" w:hAnsi="宋体" w:eastAsia="宋体" w:cs="宋体"/>
          <w:b/>
          <w:bCs/>
          <w:color w:val="auto"/>
          <w:sz w:val="21"/>
          <w:szCs w:val="21"/>
          <w:highlight w:val="none"/>
        </w:rPr>
        <w:t>聚</w:t>
      </w:r>
      <w:r>
        <w:rPr>
          <w:rFonts w:hint="eastAsia" w:ascii="宋体" w:hAnsi="宋体" w:eastAsia="宋体" w:cs="宋体"/>
          <w:b/>
          <w:bCs/>
          <w:color w:val="auto"/>
          <w:sz w:val="21"/>
          <w:szCs w:val="21"/>
          <w:highlight w:val="none"/>
          <w:lang w:val="en-US" w:eastAsia="zh-CN"/>
        </w:rPr>
        <w:t>合</w:t>
      </w:r>
      <w:r>
        <w:rPr>
          <w:rFonts w:hint="eastAsia" w:ascii="宋体" w:hAnsi="宋体" w:eastAsia="宋体" w:cs="宋体"/>
          <w:b/>
          <w:bCs/>
          <w:color w:val="auto"/>
          <w:sz w:val="21"/>
          <w:szCs w:val="21"/>
          <w:highlight w:val="none"/>
        </w:rPr>
        <w:t>氯化铝</w:t>
      </w:r>
      <w:r>
        <w:rPr>
          <w:rFonts w:hint="eastAsia" w:ascii="宋体" w:hAnsi="宋体" w:eastAsia="宋体" w:cs="宋体"/>
          <w:b/>
          <w:bCs/>
          <w:color w:val="auto"/>
          <w:sz w:val="21"/>
          <w:szCs w:val="21"/>
          <w:highlight w:val="none"/>
          <w:lang w:val="en-US" w:eastAsia="zh-CN"/>
        </w:rPr>
        <w:t>铁以</w:t>
      </w:r>
      <w:r>
        <w:rPr>
          <w:rFonts w:hint="eastAsia" w:ascii="宋体" w:hAnsi="宋体" w:eastAsia="宋体" w:cs="宋体"/>
          <w:b/>
          <w:color w:val="auto"/>
          <w:sz w:val="21"/>
          <w:szCs w:val="21"/>
          <w:highlight w:val="none"/>
          <w:lang w:val="en-US" w:eastAsia="zh-CN"/>
        </w:rPr>
        <w:t>招标人</w:t>
      </w:r>
      <w:r>
        <w:rPr>
          <w:rFonts w:hint="eastAsia" w:ascii="宋体" w:hAnsi="宋体" w:eastAsia="宋体" w:cs="宋体"/>
          <w:b/>
          <w:color w:val="auto"/>
          <w:sz w:val="21"/>
          <w:szCs w:val="21"/>
          <w:highlight w:val="none"/>
        </w:rPr>
        <w:t>运营项目</w:t>
      </w:r>
      <w:r>
        <w:rPr>
          <w:rFonts w:hint="eastAsia" w:ascii="宋体" w:hAnsi="宋体" w:eastAsia="宋体" w:cs="宋体"/>
          <w:b/>
          <w:color w:val="auto"/>
          <w:sz w:val="21"/>
          <w:szCs w:val="21"/>
          <w:highlight w:val="none"/>
          <w:lang w:val="en-US" w:eastAsia="zh-CN"/>
        </w:rPr>
        <w:t>最终</w:t>
      </w:r>
      <w:r>
        <w:rPr>
          <w:rFonts w:hint="eastAsia" w:ascii="宋体" w:hAnsi="宋体" w:eastAsia="宋体" w:cs="宋体"/>
          <w:b/>
          <w:color w:val="auto"/>
          <w:sz w:val="21"/>
          <w:szCs w:val="21"/>
          <w:highlight w:val="none"/>
        </w:rPr>
        <w:t>验收</w:t>
      </w:r>
      <w:r>
        <w:rPr>
          <w:rFonts w:hint="eastAsia" w:ascii="宋体" w:hAnsi="宋体" w:eastAsia="宋体" w:cs="宋体"/>
          <w:b/>
          <w:color w:val="auto"/>
          <w:sz w:val="21"/>
          <w:szCs w:val="21"/>
          <w:highlight w:val="none"/>
          <w:lang w:val="en-US" w:eastAsia="zh-CN"/>
        </w:rPr>
        <w:t>合格</w:t>
      </w:r>
      <w:r>
        <w:rPr>
          <w:rFonts w:hint="eastAsia" w:ascii="宋体" w:hAnsi="宋体" w:eastAsia="宋体" w:cs="宋体"/>
          <w:b/>
          <w:color w:val="auto"/>
          <w:sz w:val="21"/>
          <w:szCs w:val="21"/>
          <w:highlight w:val="none"/>
        </w:rPr>
        <w:t>之日起</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个月</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rPr>
        <w:t>保质期内产品质量须达到本用户需求书所有技术指标要求。</w:t>
      </w:r>
    </w:p>
    <w:p w14:paraId="00577890">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标人应具有相应的技术人员，具备供货及售前售后的服务能力。</w:t>
      </w:r>
    </w:p>
    <w:p w14:paraId="6B2816E0">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在接到质量问题通知后 4 小时内自费派工程师到达现场对问题进行处理。</w:t>
      </w:r>
    </w:p>
    <w:p w14:paraId="522A53C1">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应根据招标人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需要免费提供培训，相关费用已计入综合单价，招标人无需另行支付任何费用。</w:t>
      </w:r>
    </w:p>
    <w:p w14:paraId="5903886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5、培训地点、规模及时间由招标人运营项目指定，根据培训内容复杂程度，招标人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有权要求</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提供完整的书面培训计划和方案，列明提供培训的技术人员名单及资质，以及培训完成后招标人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人员可达到的水平等。</w:t>
      </w:r>
    </w:p>
    <w:p w14:paraId="484768BE">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6、在交货或合同履行过程中，若因所交货物（包括但不限于品种、型号、规格、质量）不符合招标人运营项目要求、或货物使用过程中出现质量问题，导致</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提供的生产药剂如不能通过招标人运营项目验收的，招标人运营项目可拒绝收货或要求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承担退换货责任。原则上</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应该在不影响招标人运营项目正常生产的情况下，自招标人运营项目</w:t>
      </w:r>
      <w:r>
        <w:rPr>
          <w:rFonts w:hint="eastAsia" w:ascii="宋体" w:hAnsi="宋体" w:eastAsia="宋体" w:cs="宋体"/>
          <w:color w:val="auto"/>
          <w:kern w:val="2"/>
          <w:sz w:val="21"/>
          <w:szCs w:val="21"/>
          <w:highlight w:val="none"/>
        </w:rPr>
        <w:t>通知之时起</w:t>
      </w:r>
      <w:r>
        <w:rPr>
          <w:rFonts w:hint="eastAsia" w:ascii="宋体" w:hAnsi="宋体" w:eastAsia="宋体" w:cs="宋体"/>
          <w:color w:val="auto"/>
          <w:sz w:val="21"/>
          <w:szCs w:val="21"/>
          <w:highlight w:val="none"/>
        </w:rPr>
        <w:t>4小时内无条件予以退换货，招标人</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rPr>
        <w:t>不承担因验收造成的货物损耗</w:t>
      </w:r>
      <w:r>
        <w:rPr>
          <w:rFonts w:hint="eastAsia" w:ascii="宋体" w:hAnsi="宋体" w:eastAsia="宋体" w:cs="宋体"/>
          <w:color w:val="auto"/>
          <w:kern w:val="2"/>
          <w:sz w:val="21"/>
          <w:szCs w:val="21"/>
          <w:highlight w:val="none"/>
        </w:rPr>
        <w:t>及运输等一切</w:t>
      </w:r>
      <w:r>
        <w:rPr>
          <w:rFonts w:hint="eastAsia" w:ascii="宋体" w:hAnsi="宋体" w:eastAsia="宋体" w:cs="宋体"/>
          <w:color w:val="auto"/>
          <w:sz w:val="21"/>
          <w:szCs w:val="21"/>
          <w:highlight w:val="none"/>
        </w:rPr>
        <w:t>费用且不对货物承担保管责任，因此产生的费用及风险由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14:paraId="0D2F14F8">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通知货物检验不合格或货物使用过程中出现质量问题而要求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按照前述条款进行退换货之时起4小时之内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未将不合格货物运离招标人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仓库，招标人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可自行或委托第三方对不合格货物进行处置，该些不合格货物损毁灭失的风险及损失由中标人自行承担，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须承担招标人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rPr>
        <w:t>处置该次不合格货物所需的全部费用，以及给招标人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rPr>
        <w:t>造成的一切损失。</w:t>
      </w:r>
    </w:p>
    <w:p w14:paraId="687E2495">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货物检验不合格或货物使用过程中出现质量问题之时起，招标人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按照加急供货的规定，将等量的合格货物送交招标人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，否则按加急供货的违约规定进行处理。</w:t>
      </w:r>
    </w:p>
    <w:p w14:paraId="31809D4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若因</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所提供的产品导致</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运营项目处理系统生产运行出现异常或故障，妨碍水处理系统正常生产运行，</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rPr>
        <w:t>将根据需要通知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到指定地点提供技术服务，如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接到通知，应在4小时内自费派工程师到达现场，并在</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rPr>
        <w:t>要求的限期内排除故障，确保不影响</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运营项目的生产运营，且</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须承担由此给</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rPr>
        <w:t>造成的一切损失。</w:t>
      </w:r>
    </w:p>
    <w:p w14:paraId="0008E689">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七、货物的结算</w:t>
      </w:r>
    </w:p>
    <w:p w14:paraId="7765638D">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按规定提供了履约担保后，招标人通过以下方式以人民币支付合同款项给</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w:t>
      </w:r>
    </w:p>
    <w:p w14:paraId="07E20939">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1、合同的履约过程中，</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根据本项目合同书约定需向招标人</w:t>
      </w:r>
      <w:bookmarkStart w:id="451" w:name="OLE_LINK27"/>
      <w:r>
        <w:rPr>
          <w:rFonts w:hint="eastAsia" w:ascii="宋体" w:hAnsi="宋体" w:eastAsia="宋体" w:cs="Times New Roman"/>
          <w:b w:val="0"/>
          <w:bCs/>
          <w:color w:val="auto"/>
          <w:szCs w:val="21"/>
          <w:highlight w:val="none"/>
          <w:u w:val="none"/>
          <w:lang w:val="en-US" w:eastAsia="zh-CN"/>
        </w:rPr>
        <w:t>或招标人权属子公司</w:t>
      </w:r>
      <w:bookmarkEnd w:id="451"/>
      <w:r>
        <w:rPr>
          <w:rFonts w:hint="eastAsia" w:ascii="宋体" w:hAnsi="宋体" w:eastAsia="宋体" w:cs="宋体"/>
          <w:color w:val="auto"/>
          <w:sz w:val="21"/>
          <w:szCs w:val="21"/>
          <w:highlight w:val="none"/>
        </w:rPr>
        <w:t>支付违约金、赔偿金、或其他应付费用等款项的，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支付完相关款项后，招标人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才根据合同书约定向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合同价和</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税额。</w:t>
      </w:r>
      <w:r>
        <w:rPr>
          <w:rFonts w:hint="eastAsia" w:ascii="宋体" w:hAnsi="宋体" w:eastAsia="宋体" w:cs="宋体"/>
          <w:color w:val="auto"/>
          <w:sz w:val="21"/>
          <w:szCs w:val="21"/>
          <w:highlight w:val="none"/>
          <w:lang w:val="en-US" w:eastAsia="zh-CN"/>
        </w:rPr>
        <w:t>且不视为</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val="en-US" w:eastAsia="zh-CN"/>
        </w:rPr>
        <w:t>违约</w:t>
      </w:r>
      <w:r>
        <w:rPr>
          <w:rFonts w:hint="eastAsia" w:ascii="宋体" w:hAnsi="宋体" w:eastAsia="宋体" w:cs="宋体"/>
          <w:color w:val="auto"/>
          <w:sz w:val="21"/>
          <w:szCs w:val="21"/>
          <w:highlight w:val="none"/>
          <w:lang w:eastAsia="zh-CN"/>
        </w:rPr>
        <w:t>，中标人也不得以此为由拒绝或迟延履行合同义务，</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必须按照扣除前述费用前的合同价（销售额）开具增值税专用发票，保证增值税税额符合法律规定。</w:t>
      </w:r>
    </w:p>
    <w:p w14:paraId="0DEA5382">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2、货物供货的款项按招标人</w:t>
      </w:r>
      <w:r>
        <w:rPr>
          <w:rFonts w:hint="eastAsia" w:ascii="宋体" w:hAnsi="宋体" w:eastAsia="宋体" w:cs="宋体"/>
          <w:color w:val="auto"/>
          <w:sz w:val="21"/>
          <w:szCs w:val="21"/>
          <w:highlight w:val="none"/>
          <w:lang w:val="en-US" w:eastAsia="zh-CN"/>
        </w:rPr>
        <w:t>单个</w:t>
      </w:r>
      <w:r>
        <w:rPr>
          <w:rFonts w:hint="eastAsia" w:ascii="宋体" w:hAnsi="宋体" w:eastAsia="宋体" w:cs="宋体"/>
          <w:color w:val="auto"/>
          <w:sz w:val="21"/>
          <w:szCs w:val="21"/>
          <w:highlight w:val="none"/>
        </w:rPr>
        <w:t>运营项目</w:t>
      </w:r>
      <w:r>
        <w:rPr>
          <w:rFonts w:hint="eastAsia" w:ascii="宋体" w:hAnsi="宋体" w:eastAsia="宋体" w:cs="宋体"/>
          <w:color w:val="auto"/>
          <w:sz w:val="21"/>
          <w:szCs w:val="21"/>
          <w:highlight w:val="none"/>
          <w:lang w:val="en-US" w:eastAsia="zh-CN"/>
        </w:rPr>
        <w:t>按月</w:t>
      </w:r>
      <w:r>
        <w:rPr>
          <w:rFonts w:hint="eastAsia" w:ascii="宋体" w:hAnsi="宋体" w:eastAsia="宋体" w:cs="宋体"/>
          <w:color w:val="auto"/>
          <w:sz w:val="21"/>
          <w:szCs w:val="21"/>
          <w:highlight w:val="none"/>
        </w:rPr>
        <w:t>结算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各合同甲方</w:t>
      </w:r>
      <w:r>
        <w:rPr>
          <w:rFonts w:hint="eastAsia" w:ascii="宋体" w:hAnsi="宋体" w:eastAsia="宋体" w:cs="宋体"/>
          <w:color w:val="auto"/>
          <w:sz w:val="21"/>
          <w:szCs w:val="21"/>
          <w:highlight w:val="none"/>
        </w:rPr>
        <w:t>分别按照其各自管理的运营项目支付对应</w:t>
      </w:r>
      <w:r>
        <w:rPr>
          <w:rFonts w:hint="eastAsia" w:ascii="宋体" w:hAnsi="宋体" w:eastAsia="宋体" w:cs="宋体"/>
          <w:color w:val="auto"/>
          <w:sz w:val="21"/>
          <w:szCs w:val="21"/>
          <w:highlight w:val="none"/>
          <w:lang w:val="en-US" w:eastAsia="zh-CN"/>
        </w:rPr>
        <w:t>款项</w:t>
      </w:r>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运营项目收到货物并最终验收合格后，每月中旬办理支付上月</w:t>
      </w:r>
      <w:r>
        <w:rPr>
          <w:rFonts w:hint="eastAsia" w:ascii="宋体" w:hAnsi="宋体" w:eastAsia="宋体" w:cs="宋体"/>
          <w:color w:val="auto"/>
          <w:kern w:val="2"/>
          <w:sz w:val="21"/>
          <w:szCs w:val="21"/>
          <w:highlight w:val="none"/>
          <w:lang w:val="en-US" w:eastAsia="zh-CN" w:bidi="ar-SA"/>
        </w:rPr>
        <w:t>经最终验收合格的</w:t>
      </w:r>
      <w:r>
        <w:rPr>
          <w:rFonts w:hint="eastAsia" w:ascii="宋体" w:hAnsi="宋体" w:eastAsia="宋体" w:cs="宋体"/>
          <w:color w:val="auto"/>
          <w:sz w:val="21"/>
          <w:szCs w:val="21"/>
          <w:highlight w:val="none"/>
        </w:rPr>
        <w:t>实际供货量的款项。</w:t>
      </w:r>
    </w:p>
    <w:p w14:paraId="4BACBE24">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向招标人</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运营项目提交请款报告和请款金额等额的合法、有效的增值税专用发票，招标人</w:t>
      </w:r>
      <w:r>
        <w:rPr>
          <w:rFonts w:hint="eastAsia" w:ascii="宋体" w:hAnsi="宋体" w:eastAsia="宋体" w:cs="Times New Roman"/>
          <w:b w:val="0"/>
          <w:bCs/>
          <w:color w:val="auto"/>
          <w:szCs w:val="21"/>
          <w:highlight w:val="none"/>
          <w:u w:val="none"/>
          <w:lang w:val="en-US" w:eastAsia="zh-CN"/>
        </w:rPr>
        <w:t>或招标人权属子公司对应运营项目</w:t>
      </w:r>
      <w:r>
        <w:rPr>
          <w:rFonts w:hint="eastAsia" w:ascii="宋体" w:hAnsi="宋体" w:eastAsia="宋体" w:cs="宋体"/>
          <w:color w:val="auto"/>
          <w:sz w:val="21"/>
          <w:szCs w:val="21"/>
          <w:highlight w:val="none"/>
        </w:rPr>
        <w:t>在收到前述材料并确认无误后30个工作日内</w:t>
      </w:r>
      <w:r>
        <w:rPr>
          <w:rFonts w:hint="eastAsia" w:ascii="宋体" w:hAnsi="宋体" w:eastAsia="宋体" w:cs="宋体"/>
          <w:color w:val="auto"/>
          <w:sz w:val="21"/>
          <w:szCs w:val="21"/>
          <w:highlight w:val="none"/>
          <w:lang w:eastAsia="zh-CN"/>
        </w:rPr>
        <w:t>，由管理该运营项目的</w:t>
      </w:r>
      <w:r>
        <w:rPr>
          <w:rFonts w:hint="eastAsia" w:ascii="宋体" w:hAnsi="宋体" w:eastAsia="宋体" w:cs="宋体"/>
          <w:color w:val="auto"/>
          <w:sz w:val="21"/>
          <w:szCs w:val="21"/>
          <w:highlight w:val="none"/>
          <w:lang w:val="en-US" w:eastAsia="zh-CN"/>
        </w:rPr>
        <w:t>各合同甲方</w:t>
      </w:r>
      <w:r>
        <w:rPr>
          <w:rFonts w:hint="eastAsia" w:ascii="宋体" w:hAnsi="宋体" w:eastAsia="宋体" w:cs="宋体"/>
          <w:color w:val="auto"/>
          <w:sz w:val="21"/>
          <w:szCs w:val="21"/>
          <w:highlight w:val="none"/>
        </w:rPr>
        <w:t>支付结算上月</w:t>
      </w:r>
      <w:r>
        <w:rPr>
          <w:rFonts w:hint="eastAsia" w:ascii="宋体" w:hAnsi="宋体" w:eastAsia="宋体" w:cs="宋体"/>
          <w:color w:val="auto"/>
          <w:kern w:val="2"/>
          <w:sz w:val="21"/>
          <w:szCs w:val="21"/>
          <w:highlight w:val="none"/>
          <w:lang w:val="en-US" w:eastAsia="zh-CN" w:bidi="ar-SA"/>
        </w:rPr>
        <w:t>经最终验收合格的</w:t>
      </w:r>
      <w:r>
        <w:rPr>
          <w:rFonts w:hint="eastAsia" w:ascii="宋体" w:hAnsi="宋体" w:eastAsia="宋体" w:cs="宋体"/>
          <w:color w:val="auto"/>
          <w:sz w:val="21"/>
          <w:szCs w:val="21"/>
          <w:highlight w:val="none"/>
        </w:rPr>
        <w:t>实际供货量的结算货款和该货款对应的税额给</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w:t>
      </w:r>
    </w:p>
    <w:p w14:paraId="4C4289A9">
      <w:pPr>
        <w:pStyle w:val="1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4、支付方式：支付方式为银行转账或银行承兑汇票，汇票期限不超过三个月，每期款项支付方式由</w:t>
      </w:r>
      <w:bookmarkStart w:id="452" w:name="OLE_LINK28"/>
      <w:r>
        <w:rPr>
          <w:rFonts w:hint="eastAsia" w:ascii="宋体" w:hAnsi="宋体" w:eastAsia="宋体" w:cs="宋体"/>
          <w:color w:val="auto"/>
          <w:sz w:val="21"/>
          <w:szCs w:val="21"/>
          <w:highlight w:val="none"/>
          <w:lang w:val="en-US" w:eastAsia="zh-CN"/>
        </w:rPr>
        <w:t>招标人</w:t>
      </w:r>
      <w:r>
        <w:rPr>
          <w:rFonts w:hint="eastAsia" w:ascii="宋体" w:hAnsi="宋体" w:eastAsia="宋体" w:cs="Times New Roman"/>
          <w:b w:val="0"/>
          <w:bCs/>
          <w:color w:val="auto"/>
          <w:szCs w:val="21"/>
          <w:highlight w:val="none"/>
          <w:u w:val="none"/>
          <w:lang w:val="en-US" w:eastAsia="zh-CN"/>
        </w:rPr>
        <w:t>或招标人权属子公司</w:t>
      </w:r>
      <w:bookmarkEnd w:id="452"/>
      <w:r>
        <w:rPr>
          <w:rFonts w:hint="eastAsia" w:ascii="宋体" w:hAnsi="宋体" w:eastAsia="宋体" w:cs="宋体"/>
          <w:color w:val="auto"/>
          <w:sz w:val="21"/>
          <w:szCs w:val="21"/>
          <w:highlight w:val="none"/>
          <w:lang w:val="en-US" w:eastAsia="zh-CN"/>
        </w:rPr>
        <w:t>决定。</w:t>
      </w:r>
    </w:p>
    <w:p w14:paraId="59F9BA12">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迟延提供请款报告及发票或提供的请款报告、发票不符合要求的，招标人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的付款时间可相应顺延，且招标人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不因此承担任何责任，</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不得以此为由拒绝或迟延履行合同义务。因支付产生的相关银行手续费用，根据有关银行规定执行。由于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提供的发票不符合税法规定，给招标人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承担全部的赔偿责任。</w:t>
      </w:r>
    </w:p>
    <w:p w14:paraId="22576511">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八、其它要求</w:t>
      </w:r>
    </w:p>
    <w:p w14:paraId="70DC2F12">
      <w:pPr>
        <w:pStyle w:val="1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1、日常供货（非加急供货）时，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bidi="ar"/>
        </w:rPr>
        <w:t>未在约定的时间内完成交货，或未在规定的时间内承担相应的更换、退货责任的</w:t>
      </w:r>
      <w:r>
        <w:rPr>
          <w:rFonts w:hint="eastAsia" w:ascii="宋体" w:hAnsi="宋体" w:eastAsia="宋体" w:cs="宋体"/>
          <w:color w:val="auto"/>
          <w:sz w:val="21"/>
          <w:szCs w:val="21"/>
          <w:highlight w:val="none"/>
        </w:rPr>
        <w:t>，每逾期2小时，招标人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含税结算</w:t>
      </w:r>
      <w:r>
        <w:rPr>
          <w:rFonts w:hint="eastAsia" w:ascii="宋体" w:hAnsi="宋体" w:eastAsia="宋体" w:cs="宋体"/>
          <w:color w:val="auto"/>
          <w:sz w:val="21"/>
          <w:szCs w:val="21"/>
          <w:highlight w:val="none"/>
        </w:rPr>
        <w:t>货款的1%向招标人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逾期超过12小时的，招标人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额外按该次货物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 5 %向招标人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。以上违约金总额不超过暂定合同价的【0.1】%，</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还需足额赔偿。</w:t>
      </w:r>
    </w:p>
    <w:p w14:paraId="617B623F">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2、加急供货时，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未在约定的时间内完成交货的，或未在规定的时间内承担相应的更换、退货责任的，每逾期1小时，招标人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含税结算</w:t>
      </w:r>
      <w:r>
        <w:rPr>
          <w:rFonts w:hint="eastAsia" w:ascii="宋体" w:hAnsi="宋体" w:eastAsia="宋体" w:cs="宋体"/>
          <w:color w:val="auto"/>
          <w:sz w:val="21"/>
          <w:szCs w:val="21"/>
          <w:highlight w:val="none"/>
        </w:rPr>
        <w:t>货款的10%向招标人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逾期超过4小时的，招标人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有权单方解除合同，并要求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额外按该次货物</w:t>
      </w:r>
      <w:r>
        <w:rPr>
          <w:rFonts w:hint="eastAsia" w:ascii="宋体" w:hAnsi="宋体" w:eastAsia="宋体" w:cs="宋体"/>
          <w:color w:val="auto"/>
          <w:sz w:val="21"/>
          <w:szCs w:val="21"/>
          <w:highlight w:val="none"/>
          <w:lang w:val="en-US" w:eastAsia="zh-CN"/>
        </w:rPr>
        <w:t>含税结算</w:t>
      </w:r>
      <w:r>
        <w:rPr>
          <w:rFonts w:hint="eastAsia" w:ascii="宋体" w:hAnsi="宋体" w:eastAsia="宋体" w:cs="宋体"/>
          <w:color w:val="auto"/>
          <w:sz w:val="21"/>
          <w:szCs w:val="21"/>
          <w:highlight w:val="none"/>
        </w:rPr>
        <w:t>货款的20%向招标人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支付违约金，以上违约金总额不超过暂定合同价的【</w:t>
      </w:r>
      <w:r>
        <w:rPr>
          <w:rFonts w:hint="eastAsia"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还需足额赔偿</w:t>
      </w:r>
      <w:r>
        <w:rPr>
          <w:rFonts w:hint="eastAsia" w:ascii="宋体" w:hAnsi="宋体" w:eastAsia="宋体" w:cs="宋体"/>
          <w:color w:val="auto"/>
          <w:sz w:val="21"/>
          <w:szCs w:val="21"/>
          <w:highlight w:val="none"/>
        </w:rPr>
        <w:t>。</w:t>
      </w:r>
    </w:p>
    <w:p w14:paraId="0D057D75">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453" w:name="OLE_LINK6"/>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所交货物经招标人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或招标人权属子公司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实验室或招标人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或招标人权属子公司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委托的第三方检测机构检验累计出现3次（含）</w:t>
      </w:r>
      <w:bookmarkEnd w:id="453"/>
      <w:r>
        <w:rPr>
          <w:rFonts w:hint="eastAsia" w:ascii="宋体" w:hAnsi="宋体" w:eastAsia="宋体" w:cs="宋体"/>
          <w:color w:val="auto"/>
          <w:sz w:val="21"/>
          <w:szCs w:val="21"/>
          <w:highlight w:val="none"/>
        </w:rPr>
        <w:t>以上不合格的，招标人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color w:val="auto"/>
          <w:sz w:val="21"/>
          <w:szCs w:val="21"/>
          <w:highlight w:val="none"/>
        </w:rPr>
        <w:t>】元的违约金。</w:t>
      </w:r>
    </w:p>
    <w:p w14:paraId="2BB1A7DA">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如因</w:t>
      </w:r>
      <w:r>
        <w:rPr>
          <w:rFonts w:hint="eastAsia" w:ascii="宋体" w:hAnsi="宋体" w:eastAsia="宋体" w:cs="宋体"/>
          <w:color w:val="auto"/>
          <w:sz w:val="21"/>
          <w:szCs w:val="21"/>
          <w:highlight w:val="none"/>
          <w:lang w:val="en-US" w:eastAsia="zh-CN"/>
        </w:rPr>
        <w:t>中标人提供的</w:t>
      </w:r>
      <w:r>
        <w:rPr>
          <w:rFonts w:hint="eastAsia" w:ascii="宋体" w:hAnsi="宋体" w:eastAsia="宋体" w:cs="宋体"/>
          <w:color w:val="auto"/>
          <w:sz w:val="21"/>
          <w:szCs w:val="21"/>
          <w:highlight w:val="none"/>
        </w:rPr>
        <w:t>药剂问题对招标人</w:t>
      </w:r>
      <w:r>
        <w:rPr>
          <w:rFonts w:hint="eastAsia" w:ascii="宋体" w:hAnsi="宋体" w:eastAsia="宋体" w:cs="宋体"/>
          <w:color w:val="auto"/>
          <w:sz w:val="21"/>
          <w:szCs w:val="21"/>
          <w:highlight w:val="none"/>
          <w:lang w:val="en-US" w:eastAsia="zh-CN"/>
        </w:rPr>
        <w:t>运营项目</w:t>
      </w:r>
      <w:r>
        <w:rPr>
          <w:rFonts w:hint="eastAsia" w:ascii="宋体" w:hAnsi="宋体" w:eastAsia="宋体" w:cs="宋体"/>
          <w:color w:val="auto"/>
          <w:sz w:val="21"/>
          <w:szCs w:val="21"/>
          <w:highlight w:val="none"/>
        </w:rPr>
        <w:t>生产、成本造成影响，未造成</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运营项目出水水质指标超标等严重影响</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运营项目生产的情况，招标人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含税结算</w:t>
      </w:r>
      <w:r>
        <w:rPr>
          <w:rFonts w:hint="eastAsia" w:ascii="宋体" w:hAnsi="宋体" w:eastAsia="宋体" w:cs="宋体"/>
          <w:color w:val="auto"/>
          <w:sz w:val="21"/>
          <w:szCs w:val="21"/>
          <w:highlight w:val="none"/>
        </w:rPr>
        <w:t>货款的20%向招标人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val="en-US" w:eastAsia="zh-CN"/>
        </w:rPr>
        <w:t>前述</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需</w:t>
      </w:r>
      <w:r>
        <w:rPr>
          <w:rFonts w:hint="eastAsia" w:ascii="宋体" w:hAnsi="宋体" w:eastAsia="宋体" w:cs="宋体"/>
          <w:color w:val="auto"/>
          <w:sz w:val="21"/>
          <w:szCs w:val="21"/>
          <w:highlight w:val="none"/>
          <w:lang w:val="en-US" w:eastAsia="zh-CN"/>
        </w:rPr>
        <w:t>足额</w:t>
      </w:r>
      <w:r>
        <w:rPr>
          <w:rFonts w:hint="eastAsia" w:ascii="宋体" w:hAnsi="宋体" w:eastAsia="宋体" w:cs="宋体"/>
          <w:color w:val="auto"/>
          <w:sz w:val="21"/>
          <w:szCs w:val="21"/>
          <w:highlight w:val="none"/>
        </w:rPr>
        <w:t>赔偿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造成招标人运营项目出水水质指标超标</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严重影响招标人运营项目生产的情况，招标人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有权追究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由此造成的损失，并有权单方面中止或解除合同，取消其供货资格，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lang w:val="en-US" w:eastAsia="zh-CN"/>
        </w:rPr>
        <w:t>100,000.00</w:t>
      </w:r>
      <w:r>
        <w:rPr>
          <w:rFonts w:hint="eastAsia" w:ascii="宋体" w:hAnsi="宋体" w:eastAsia="宋体" w:cs="宋体"/>
          <w:color w:val="auto"/>
          <w:sz w:val="21"/>
          <w:szCs w:val="21"/>
          <w:highlight w:val="none"/>
        </w:rPr>
        <w:t>】元的违约金。</w:t>
      </w:r>
    </w:p>
    <w:p w14:paraId="74CBC68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、对于货物最终验收不合格且招标人运营项目已经开始使用或者使用完毕无法退换的，货款按照以下方式处理：①若招标人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已支付货款的，则</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退还已支付的货款；②若招标人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未支付货款的，则招标人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无需支付货款。</w:t>
      </w:r>
    </w:p>
    <w:p w14:paraId="27C4BE42">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、授予合同前或合同履行中，招标人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有权实地核查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在投标时提供的分支机构或服务机构的场地、生产/储存/运输设备设施及能力等材料的符合性，若发现虚假将取消中标资格，且招标人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有权终止合同。因此给招标人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造成损失的，全部由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14:paraId="5A299559">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自行承担。凡由于货物包装不良、运输方式不当或非法运输造成的事故、损失、行政处罚和由此产生的其他全部费用均由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全部承担。</w:t>
      </w:r>
    </w:p>
    <w:p w14:paraId="21255400">
      <w:pPr>
        <w:pStyle w:val="130"/>
        <w:widowControl/>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有义务接受招标人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的监督、评价及考核，且同意招标人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关于供货资格供应商的管理规则及要求。 招标人</w:t>
      </w:r>
      <w:r>
        <w:rPr>
          <w:rFonts w:hint="eastAsia" w:ascii="宋体" w:hAnsi="宋体" w:eastAsia="宋体" w:cs="宋体"/>
          <w:color w:val="auto"/>
          <w:sz w:val="21"/>
          <w:szCs w:val="21"/>
          <w:highlight w:val="none"/>
          <w:lang w:val="en-US" w:eastAsia="zh-CN" w:bidi="ar"/>
        </w:rPr>
        <w:t>各</w:t>
      </w:r>
      <w:r>
        <w:rPr>
          <w:rFonts w:hint="eastAsia" w:ascii="宋体" w:hAnsi="宋体" w:eastAsia="宋体" w:cs="宋体"/>
          <w:color w:val="auto"/>
          <w:sz w:val="21"/>
          <w:szCs w:val="21"/>
          <w:highlight w:val="none"/>
          <w:lang w:bidi="ar"/>
        </w:rPr>
        <w:t>运营项目每月在付款手续前对</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的履约情况进行评价，填写《</w:t>
      </w:r>
      <w:bookmarkStart w:id="454" w:name="OLE_LINK15"/>
      <w:r>
        <w:rPr>
          <w:rFonts w:hint="eastAsia" w:ascii="宋体" w:hAnsi="宋体" w:eastAsia="宋体" w:cs="宋体"/>
          <w:color w:val="auto"/>
          <w:sz w:val="21"/>
          <w:szCs w:val="21"/>
          <w:highlight w:val="none"/>
          <w:lang w:bidi="ar"/>
        </w:rPr>
        <w:t>供应商履约评价表</w:t>
      </w:r>
      <w:bookmarkEnd w:id="454"/>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详见附件3</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。考核评分满分为100分，若招标人某运营项目对中标人的考核评分分数低于80分、达到60分时，</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bookmarkStart w:id="455" w:name="OLE_LINK30"/>
      <w:r>
        <w:rPr>
          <w:rFonts w:hint="eastAsia" w:ascii="宋体" w:hAnsi="宋体" w:eastAsia="宋体" w:cs="宋体"/>
          <w:color w:val="auto"/>
          <w:sz w:val="21"/>
          <w:szCs w:val="21"/>
          <w:highlight w:val="none"/>
          <w:lang w:val="en-US" w:eastAsia="zh-CN" w:bidi="ar"/>
        </w:rPr>
        <w:t>含税</w:t>
      </w:r>
      <w:bookmarkEnd w:id="455"/>
      <w:r>
        <w:rPr>
          <w:rFonts w:hint="eastAsia" w:ascii="宋体" w:hAnsi="宋体" w:eastAsia="宋体" w:cs="宋体"/>
          <w:color w:val="auto"/>
          <w:sz w:val="21"/>
          <w:szCs w:val="21"/>
          <w:highlight w:val="none"/>
          <w:lang w:val="en-US" w:eastAsia="zh-CN" w:bidi="ar"/>
        </w:rPr>
        <w:t>结算</w:t>
      </w:r>
      <w:r>
        <w:rPr>
          <w:rFonts w:hint="eastAsia" w:ascii="宋体" w:hAnsi="宋体" w:eastAsia="宋体" w:cs="宋体"/>
          <w:color w:val="auto"/>
          <w:sz w:val="21"/>
          <w:szCs w:val="21"/>
          <w:highlight w:val="none"/>
          <w:lang w:bidi="ar"/>
        </w:rPr>
        <w:t>货款的20%向</w:t>
      </w:r>
      <w:bookmarkStart w:id="456" w:name="OLE_LINK10"/>
      <w:r>
        <w:rPr>
          <w:rFonts w:hint="eastAsia" w:ascii="宋体" w:hAnsi="宋体" w:eastAsia="宋体" w:cs="宋体"/>
          <w:color w:val="auto"/>
          <w:sz w:val="21"/>
          <w:szCs w:val="21"/>
          <w:highlight w:val="none"/>
          <w:lang w:bidi="ar"/>
        </w:rPr>
        <w:t>管理该运营项目的招标人</w:t>
      </w:r>
      <w:r>
        <w:rPr>
          <w:rFonts w:hint="eastAsia" w:ascii="宋体" w:hAnsi="宋体" w:eastAsia="宋体" w:cs="Times New Roman"/>
          <w:b w:val="0"/>
          <w:bCs/>
          <w:color w:val="auto"/>
          <w:szCs w:val="21"/>
          <w:highlight w:val="none"/>
          <w:u w:val="none"/>
          <w:lang w:val="en-US" w:eastAsia="zh-CN"/>
        </w:rPr>
        <w:t>或招标人权属子公司</w:t>
      </w:r>
      <w:bookmarkEnd w:id="456"/>
      <w:r>
        <w:rPr>
          <w:rFonts w:hint="eastAsia" w:ascii="宋体" w:hAnsi="宋体" w:eastAsia="宋体" w:cs="宋体"/>
          <w:color w:val="auto"/>
          <w:sz w:val="21"/>
          <w:szCs w:val="21"/>
          <w:highlight w:val="none"/>
          <w:lang w:bidi="ar"/>
        </w:rPr>
        <w:t>支付违约金；若招标人某运营项目对中标人的考核评分分数低于60分时，</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含税结算</w:t>
      </w:r>
      <w:r>
        <w:rPr>
          <w:rFonts w:hint="eastAsia" w:ascii="宋体" w:hAnsi="宋体" w:eastAsia="宋体" w:cs="宋体"/>
          <w:color w:val="auto"/>
          <w:sz w:val="21"/>
          <w:szCs w:val="21"/>
          <w:highlight w:val="none"/>
          <w:lang w:bidi="ar"/>
        </w:rPr>
        <w:t>货款的30%向管理该运营项目的招标人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支付违约金。以上违约金总额不超过暂定合同价的【</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若供货期内累计出现3次</w:t>
      </w:r>
      <w:r>
        <w:rPr>
          <w:rFonts w:hint="eastAsia" w:ascii="宋体" w:hAnsi="宋体" w:eastAsia="宋体" w:cs="宋体"/>
          <w:color w:val="auto"/>
          <w:kern w:val="2"/>
          <w:sz w:val="21"/>
          <w:szCs w:val="21"/>
          <w:highlight w:val="none"/>
        </w:rPr>
        <w:t>（含）以上</w:t>
      </w:r>
      <w:r>
        <w:rPr>
          <w:rFonts w:hint="eastAsia" w:ascii="宋体" w:hAnsi="宋体" w:eastAsia="宋体" w:cs="宋体"/>
          <w:color w:val="auto"/>
          <w:sz w:val="21"/>
          <w:szCs w:val="21"/>
          <w:highlight w:val="none"/>
          <w:lang w:bidi="ar"/>
        </w:rPr>
        <w:t>评审结论为不合格的</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考核评分分数低于</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0分</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有权取消</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的供货资格并单方解除合同、</w:t>
      </w:r>
      <w:r>
        <w:rPr>
          <w:rFonts w:hint="eastAsia" w:ascii="宋体" w:hAnsi="宋体" w:eastAsia="宋体" w:cs="宋体"/>
          <w:color w:val="auto"/>
          <w:sz w:val="21"/>
          <w:szCs w:val="21"/>
          <w:highlight w:val="none"/>
          <w:lang w:val="en-US" w:eastAsia="zh-CN" w:bidi="ar"/>
        </w:rPr>
        <w:t>并</w:t>
      </w:r>
      <w:r>
        <w:rPr>
          <w:rFonts w:hint="eastAsia" w:ascii="宋体" w:hAnsi="宋体" w:eastAsia="宋体" w:cs="宋体"/>
          <w:color w:val="auto"/>
          <w:sz w:val="21"/>
          <w:szCs w:val="21"/>
          <w:highlight w:val="none"/>
          <w:lang w:bidi="ar"/>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lang w:bidi="ar"/>
        </w:rPr>
        <w:t>一次性支付【</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lang w:bidi="ar"/>
        </w:rPr>
        <w:t>】元的违约金。</w:t>
      </w:r>
    </w:p>
    <w:p w14:paraId="25EB6F56">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：招标人运营项目相关信息</w:t>
      </w:r>
    </w:p>
    <w:p w14:paraId="665E0670">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附件2：验收报告（模板）</w:t>
      </w:r>
    </w:p>
    <w:p w14:paraId="001F5EA8">
      <w:pPr>
        <w:spacing w:line="360" w:lineRule="auto"/>
        <w:ind w:firstLine="420" w:firstLineChars="200"/>
        <w:rPr>
          <w:rFonts w:hint="eastAsia" w:ascii="宋体" w:hAnsi="宋体" w:eastAsia="宋体" w:cs="宋体"/>
          <w:color w:val="auto"/>
          <w:szCs w:val="21"/>
          <w:highlight w:val="none"/>
          <w:lang w:bidi="ar"/>
        </w:rPr>
        <w:sectPr>
          <w:footerReference r:id="rId4" w:type="first"/>
          <w:footerReference r:id="rId3" w:type="default"/>
          <w:pgSz w:w="11906" w:h="16838"/>
          <w:pgMar w:top="1191" w:right="1043" w:bottom="1191" w:left="1043" w:header="720" w:footer="720" w:gutter="0"/>
          <w:cols w:space="720" w:num="1"/>
          <w:titlePg/>
          <w:docGrid w:linePitch="326" w:charSpace="0"/>
        </w:sectPr>
      </w:pPr>
      <w:r>
        <w:rPr>
          <w:rFonts w:hint="eastAsia" w:ascii="宋体" w:hAnsi="宋体" w:eastAsia="宋体" w:cs="宋体"/>
          <w:color w:val="auto"/>
          <w:szCs w:val="21"/>
          <w:highlight w:val="none"/>
          <w:lang w:val="en-US" w:eastAsia="zh-CN"/>
        </w:rPr>
        <w:t>附件3：</w:t>
      </w:r>
      <w:r>
        <w:rPr>
          <w:rFonts w:hint="eastAsia" w:ascii="宋体" w:hAnsi="宋体" w:eastAsia="宋体" w:cs="宋体"/>
          <w:color w:val="auto"/>
          <w:szCs w:val="21"/>
          <w:highlight w:val="none"/>
          <w:lang w:bidi="ar"/>
        </w:rPr>
        <w:t>供应商履约评价表</w:t>
      </w:r>
    </w:p>
    <w:p w14:paraId="6CE7F453">
      <w:pPr>
        <w:pageBreakBefore/>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附件</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rPr>
        <w:t>招标人</w:t>
      </w:r>
      <w:r>
        <w:rPr>
          <w:rFonts w:hint="eastAsia" w:ascii="宋体" w:hAnsi="宋体" w:eastAsia="宋体" w:cs="宋体"/>
          <w:b/>
          <w:color w:val="auto"/>
          <w:sz w:val="21"/>
          <w:szCs w:val="21"/>
          <w:highlight w:val="none"/>
          <w:lang w:val="zh-CN"/>
        </w:rPr>
        <w:t>运营项目</w:t>
      </w:r>
      <w:r>
        <w:rPr>
          <w:rFonts w:hint="eastAsia" w:ascii="宋体" w:hAnsi="宋体" w:eastAsia="宋体" w:cs="宋体"/>
          <w:b/>
          <w:color w:val="auto"/>
          <w:sz w:val="21"/>
          <w:szCs w:val="21"/>
          <w:highlight w:val="none"/>
        </w:rPr>
        <w:t>相关信息</w:t>
      </w:r>
    </w:p>
    <w:p w14:paraId="16BAAEB0">
      <w:pPr>
        <w:pStyle w:val="47"/>
        <w:jc w:val="center"/>
        <w:rPr>
          <w:rFonts w:hint="default" w:ascii="宋体" w:hAnsi="宋体" w:eastAsia="宋体" w:cs="宋体"/>
          <w:b/>
          <w:bCs/>
          <w:color w:val="auto"/>
          <w:kern w:val="0"/>
          <w:szCs w:val="21"/>
          <w:highlight w:val="none"/>
          <w:u w:val="none"/>
          <w:lang w:val="en-US" w:eastAsia="zh-CN" w:bidi="ar"/>
        </w:rPr>
      </w:pPr>
      <w:r>
        <w:rPr>
          <w:rFonts w:hint="eastAsia" w:ascii="宋体" w:hAnsi="宋体" w:eastAsia="宋体" w:cs="宋体"/>
          <w:b/>
          <w:bCs/>
          <w:color w:val="auto"/>
          <w:kern w:val="0"/>
          <w:szCs w:val="21"/>
          <w:highlight w:val="none"/>
          <w:u w:val="none"/>
          <w:lang w:val="en-US" w:eastAsia="zh-CN" w:bidi="ar"/>
        </w:rPr>
        <w:t>表1.液体聚合氯化铝暂定量</w:t>
      </w:r>
    </w:p>
    <w:tbl>
      <w:tblPr>
        <w:tblStyle w:val="37"/>
        <w:tblW w:w="5135" w:type="pct"/>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3372"/>
        <w:gridCol w:w="3998"/>
        <w:gridCol w:w="2432"/>
      </w:tblGrid>
      <w:tr w14:paraId="4657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7C91A0C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83" w:type="pct"/>
            <w:shd w:val="clear" w:color="auto" w:fill="FFFFFF"/>
            <w:noWrap w:val="0"/>
            <w:vAlign w:val="center"/>
          </w:tcPr>
          <w:p w14:paraId="227737D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1876" w:type="pct"/>
            <w:shd w:val="clear" w:color="auto" w:fill="FFFFFF"/>
            <w:noWrap w:val="0"/>
            <w:vAlign w:val="center"/>
          </w:tcPr>
          <w:p w14:paraId="4ACD830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项目地址</w:t>
            </w:r>
          </w:p>
        </w:tc>
        <w:tc>
          <w:tcPr>
            <w:tcW w:w="1141" w:type="pct"/>
            <w:shd w:val="clear" w:color="auto" w:fill="FFFFFF"/>
            <w:noWrap w:val="0"/>
            <w:vAlign w:val="center"/>
          </w:tcPr>
          <w:p w14:paraId="5ABE2F6E">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预计总送货量（吨）</w:t>
            </w:r>
          </w:p>
        </w:tc>
      </w:tr>
      <w:tr w14:paraId="689A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858" w:type="pct"/>
            <w:gridSpan w:val="3"/>
            <w:shd w:val="clear" w:color="auto" w:fill="FFFFFF"/>
            <w:noWrap w:val="0"/>
            <w:vAlign w:val="center"/>
          </w:tcPr>
          <w:p w14:paraId="52275F1A">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color w:val="auto"/>
                <w:kern w:val="0"/>
                <w:szCs w:val="21"/>
                <w:highlight w:val="none"/>
                <w:u w:val="none"/>
                <w:lang w:val="en-US" w:eastAsia="zh-CN" w:bidi="ar"/>
              </w:rPr>
              <w:t>一、</w:t>
            </w:r>
            <w:r>
              <w:rPr>
                <w:rFonts w:hint="eastAsia" w:ascii="宋体" w:hAnsi="宋体" w:eastAsia="宋体" w:cs="宋体"/>
                <w:b/>
                <w:bCs/>
                <w:color w:val="auto"/>
                <w:kern w:val="0"/>
                <w:szCs w:val="21"/>
                <w:highlight w:val="none"/>
                <w:u w:val="none"/>
                <w:lang w:bidi="ar"/>
              </w:rPr>
              <w:t>东莞市石鼓净水有限公司</w:t>
            </w:r>
          </w:p>
        </w:tc>
        <w:tc>
          <w:tcPr>
            <w:tcW w:w="1141" w:type="pct"/>
            <w:shd w:val="clear" w:color="auto" w:fill="FFFFFF"/>
            <w:noWrap w:val="0"/>
            <w:vAlign w:val="center"/>
          </w:tcPr>
          <w:p w14:paraId="3183BD5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2"/>
                <w:sz w:val="21"/>
                <w:szCs w:val="21"/>
                <w:highlight w:val="none"/>
                <w:u w:val="none"/>
                <w:lang w:val="en-US" w:eastAsia="zh-CN" w:bidi="ar"/>
              </w:rPr>
              <w:t>47687.789</w:t>
            </w:r>
          </w:p>
        </w:tc>
      </w:tr>
      <w:tr w14:paraId="615B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4"/>
            <w:shd w:val="clear" w:color="auto" w:fill="FFFFFF"/>
            <w:noWrap w:val="0"/>
            <w:vAlign w:val="center"/>
          </w:tcPr>
          <w:p w14:paraId="7E5E708F">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（一）污水处理厂项目</w:t>
            </w:r>
          </w:p>
        </w:tc>
      </w:tr>
      <w:tr w14:paraId="0DBE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0F714F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83" w:type="pct"/>
            <w:shd w:val="clear" w:color="auto" w:fill="FFFFFF"/>
            <w:noWrap w:val="0"/>
            <w:vAlign w:val="center"/>
          </w:tcPr>
          <w:p w14:paraId="5B67EF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市区污水处理厂一二期</w:t>
            </w:r>
          </w:p>
        </w:tc>
        <w:tc>
          <w:tcPr>
            <w:tcW w:w="1876" w:type="pct"/>
            <w:shd w:val="clear" w:color="auto" w:fill="FFFFFF"/>
            <w:noWrap w:val="0"/>
            <w:vAlign w:val="center"/>
          </w:tcPr>
          <w:p w14:paraId="35C5A7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东莞市南城街道滨河路100号</w:t>
            </w:r>
          </w:p>
        </w:tc>
        <w:tc>
          <w:tcPr>
            <w:tcW w:w="1141" w:type="pct"/>
            <w:vMerge w:val="restart"/>
            <w:shd w:val="clear" w:color="auto" w:fill="FFFFFF"/>
            <w:noWrap w:val="0"/>
            <w:vAlign w:val="center"/>
          </w:tcPr>
          <w:p w14:paraId="4C0C9903">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3503.992 </w:t>
            </w:r>
          </w:p>
        </w:tc>
      </w:tr>
      <w:tr w14:paraId="475E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1E3BD0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83" w:type="pct"/>
            <w:shd w:val="clear" w:color="auto" w:fill="FFFFFF"/>
            <w:noWrap w:val="0"/>
            <w:vAlign w:val="center"/>
          </w:tcPr>
          <w:p w14:paraId="115A63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市区厂污水处理厂三期</w:t>
            </w:r>
          </w:p>
        </w:tc>
        <w:tc>
          <w:tcPr>
            <w:tcW w:w="1876" w:type="pct"/>
            <w:shd w:val="clear" w:color="auto" w:fill="FFFFFF"/>
            <w:noWrap w:val="0"/>
            <w:vAlign w:val="center"/>
          </w:tcPr>
          <w:p w14:paraId="3C8FD0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东莞市南城街道滨河路100号</w:t>
            </w:r>
          </w:p>
        </w:tc>
        <w:tc>
          <w:tcPr>
            <w:tcW w:w="1141" w:type="pct"/>
            <w:vMerge w:val="continue"/>
            <w:shd w:val="clear" w:color="auto" w:fill="FFFFFF"/>
            <w:noWrap w:val="0"/>
            <w:vAlign w:val="center"/>
          </w:tcPr>
          <w:p w14:paraId="199B21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17C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5DC592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83" w:type="pct"/>
            <w:shd w:val="clear" w:color="auto" w:fill="FFFFFF"/>
            <w:noWrap w:val="0"/>
            <w:vAlign w:val="center"/>
          </w:tcPr>
          <w:p w14:paraId="23615D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石碣沙腰污水处理厂二期</w:t>
            </w:r>
          </w:p>
        </w:tc>
        <w:tc>
          <w:tcPr>
            <w:tcW w:w="1876" w:type="pct"/>
            <w:shd w:val="clear" w:color="auto" w:fill="FFFFFF"/>
            <w:noWrap w:val="0"/>
            <w:vAlign w:val="center"/>
          </w:tcPr>
          <w:p w14:paraId="394520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c>
          <w:tcPr>
            <w:tcW w:w="1141" w:type="pct"/>
            <w:shd w:val="clear" w:color="auto" w:fill="FFFFFF"/>
            <w:noWrap w:val="0"/>
            <w:vAlign w:val="center"/>
          </w:tcPr>
          <w:p w14:paraId="6AED78C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0.000 </w:t>
            </w:r>
          </w:p>
        </w:tc>
      </w:tr>
      <w:tr w14:paraId="14B7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74ED58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583" w:type="pct"/>
            <w:shd w:val="clear" w:color="auto" w:fill="FFFFFF"/>
            <w:noWrap w:val="0"/>
            <w:vAlign w:val="center"/>
          </w:tcPr>
          <w:p w14:paraId="7A339C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万江污水处理厂二期</w:t>
            </w:r>
          </w:p>
        </w:tc>
        <w:tc>
          <w:tcPr>
            <w:tcW w:w="1876" w:type="pct"/>
            <w:shd w:val="clear" w:color="auto" w:fill="FFFFFF"/>
            <w:noWrap w:val="0"/>
            <w:vAlign w:val="center"/>
          </w:tcPr>
          <w:p w14:paraId="687120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东莞市万江区流涌尾村大兴工业路3号</w:t>
            </w:r>
          </w:p>
        </w:tc>
        <w:tc>
          <w:tcPr>
            <w:tcW w:w="1141" w:type="pct"/>
            <w:shd w:val="clear" w:color="auto" w:fill="FFFFFF"/>
            <w:noWrap w:val="0"/>
            <w:vAlign w:val="center"/>
          </w:tcPr>
          <w:p w14:paraId="5786E02E">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1117.614 </w:t>
            </w:r>
          </w:p>
        </w:tc>
      </w:tr>
      <w:tr w14:paraId="1CA2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321543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583" w:type="pct"/>
            <w:shd w:val="clear" w:color="auto" w:fill="FFFFFF"/>
            <w:noWrap w:val="0"/>
            <w:vAlign w:val="center"/>
          </w:tcPr>
          <w:p w14:paraId="40338E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中堂污水处理厂二期</w:t>
            </w:r>
          </w:p>
        </w:tc>
        <w:tc>
          <w:tcPr>
            <w:tcW w:w="1876" w:type="pct"/>
            <w:shd w:val="clear" w:color="auto" w:fill="FFFFFF"/>
            <w:noWrap w:val="0"/>
            <w:vAlign w:val="center"/>
          </w:tcPr>
          <w:p w14:paraId="684336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中堂镇东向村滨河东路68号101室</w:t>
            </w:r>
          </w:p>
        </w:tc>
        <w:tc>
          <w:tcPr>
            <w:tcW w:w="1141" w:type="pct"/>
            <w:shd w:val="clear" w:color="auto" w:fill="FFFFFF"/>
            <w:noWrap w:val="0"/>
            <w:vAlign w:val="center"/>
          </w:tcPr>
          <w:p w14:paraId="0DDC3B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309.851 </w:t>
            </w:r>
          </w:p>
        </w:tc>
      </w:tr>
      <w:tr w14:paraId="349C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6550EB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583" w:type="pct"/>
            <w:shd w:val="clear" w:color="auto" w:fill="FFFFFF"/>
            <w:noWrap w:val="0"/>
            <w:vAlign w:val="center"/>
          </w:tcPr>
          <w:p w14:paraId="5BC841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麻涌污水处理厂二期</w:t>
            </w:r>
          </w:p>
        </w:tc>
        <w:tc>
          <w:tcPr>
            <w:tcW w:w="1876" w:type="pct"/>
            <w:shd w:val="clear" w:color="auto" w:fill="FFFFFF"/>
            <w:noWrap w:val="0"/>
            <w:vAlign w:val="center"/>
          </w:tcPr>
          <w:p w14:paraId="6CF212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东莞市麻涌镇新沙公园南一路9号</w:t>
            </w:r>
          </w:p>
        </w:tc>
        <w:tc>
          <w:tcPr>
            <w:tcW w:w="1141" w:type="pct"/>
            <w:shd w:val="clear" w:color="auto" w:fill="FFFFFF"/>
            <w:noWrap w:val="0"/>
            <w:vAlign w:val="center"/>
          </w:tcPr>
          <w:p w14:paraId="0B965C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589.817 </w:t>
            </w:r>
          </w:p>
        </w:tc>
      </w:tr>
      <w:tr w14:paraId="0E5A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001D8A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583" w:type="pct"/>
            <w:shd w:val="clear" w:color="auto" w:fill="FFFFFF"/>
            <w:noWrap w:val="0"/>
            <w:vAlign w:val="center"/>
          </w:tcPr>
          <w:p w14:paraId="77A6D0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高埗污水处理厂二期</w:t>
            </w:r>
          </w:p>
        </w:tc>
        <w:tc>
          <w:tcPr>
            <w:tcW w:w="1876" w:type="pct"/>
            <w:shd w:val="clear" w:color="auto" w:fill="FFFFFF"/>
            <w:noWrap w:val="0"/>
            <w:vAlign w:val="center"/>
          </w:tcPr>
          <w:p w14:paraId="28C041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东莞市高埗镇高埗洲头路13号</w:t>
            </w:r>
          </w:p>
        </w:tc>
        <w:tc>
          <w:tcPr>
            <w:tcW w:w="1141" w:type="pct"/>
            <w:shd w:val="clear" w:color="auto" w:fill="FFFFFF"/>
            <w:noWrap w:val="0"/>
            <w:vAlign w:val="center"/>
          </w:tcPr>
          <w:p w14:paraId="4CC2EE27">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1010.498 </w:t>
            </w:r>
          </w:p>
        </w:tc>
      </w:tr>
      <w:tr w14:paraId="37DA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48DC11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583" w:type="pct"/>
            <w:noWrap w:val="0"/>
            <w:vAlign w:val="center"/>
          </w:tcPr>
          <w:p w14:paraId="28EC83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长安新区污水处理厂</w:t>
            </w:r>
          </w:p>
        </w:tc>
        <w:tc>
          <w:tcPr>
            <w:tcW w:w="1876" w:type="pct"/>
            <w:noWrap w:val="0"/>
            <w:vAlign w:val="center"/>
          </w:tcPr>
          <w:p w14:paraId="0B5B93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东莞市长安镇乌沙社区兴发南路尽头</w:t>
            </w:r>
          </w:p>
        </w:tc>
        <w:tc>
          <w:tcPr>
            <w:tcW w:w="1141" w:type="pct"/>
            <w:noWrap w:val="0"/>
            <w:vAlign w:val="center"/>
          </w:tcPr>
          <w:p w14:paraId="28ECB0A8">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0.000 </w:t>
            </w:r>
          </w:p>
        </w:tc>
      </w:tr>
      <w:tr w14:paraId="05EA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095A2B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583" w:type="pct"/>
            <w:shd w:val="clear" w:color="auto" w:fill="FFFFFF"/>
            <w:noWrap w:val="0"/>
            <w:vAlign w:val="center"/>
          </w:tcPr>
          <w:p w14:paraId="64F798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厚街沙塘污水处理厂二期</w:t>
            </w:r>
          </w:p>
        </w:tc>
        <w:tc>
          <w:tcPr>
            <w:tcW w:w="1876" w:type="pct"/>
            <w:shd w:val="clear" w:color="auto" w:fill="FFFFFF"/>
            <w:noWrap w:val="0"/>
            <w:vAlign w:val="center"/>
          </w:tcPr>
          <w:p w14:paraId="30C404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东莞市厚街镇沙塘村沙隆路39号</w:t>
            </w:r>
          </w:p>
        </w:tc>
        <w:tc>
          <w:tcPr>
            <w:tcW w:w="1141" w:type="pct"/>
            <w:shd w:val="clear" w:color="auto" w:fill="FFFFFF"/>
            <w:noWrap w:val="0"/>
            <w:vAlign w:val="center"/>
          </w:tcPr>
          <w:p w14:paraId="3A6DB0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3247.765 </w:t>
            </w:r>
          </w:p>
        </w:tc>
      </w:tr>
      <w:tr w14:paraId="6955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6B31FA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583" w:type="pct"/>
            <w:shd w:val="clear" w:color="auto" w:fill="FFFFFF"/>
            <w:noWrap w:val="0"/>
            <w:vAlign w:val="center"/>
          </w:tcPr>
          <w:p w14:paraId="579D26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虎门宁洲污水处理厂二期</w:t>
            </w:r>
          </w:p>
        </w:tc>
        <w:tc>
          <w:tcPr>
            <w:tcW w:w="1876" w:type="pct"/>
            <w:shd w:val="clear" w:color="auto" w:fill="FFFFFF"/>
            <w:noWrap w:val="0"/>
            <w:vAlign w:val="center"/>
          </w:tcPr>
          <w:p w14:paraId="174EBB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虎门镇南栅社区民昌路第六工业区九巷5号</w:t>
            </w:r>
          </w:p>
        </w:tc>
        <w:tc>
          <w:tcPr>
            <w:tcW w:w="1141" w:type="pct"/>
            <w:shd w:val="clear" w:color="auto" w:fill="FFFFFF"/>
            <w:noWrap w:val="0"/>
            <w:vAlign w:val="center"/>
          </w:tcPr>
          <w:p w14:paraId="665B57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2447.887 </w:t>
            </w:r>
          </w:p>
        </w:tc>
      </w:tr>
      <w:tr w14:paraId="3A88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5A9A6C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583" w:type="pct"/>
            <w:shd w:val="clear" w:color="auto" w:fill="FFFFFF"/>
            <w:noWrap w:val="0"/>
            <w:vAlign w:val="center"/>
          </w:tcPr>
          <w:p w14:paraId="3261B2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虎门宁洲污水处理厂三期</w:t>
            </w:r>
          </w:p>
        </w:tc>
        <w:tc>
          <w:tcPr>
            <w:tcW w:w="1876" w:type="pct"/>
            <w:shd w:val="clear" w:color="auto" w:fill="FFFFFF"/>
            <w:noWrap w:val="0"/>
            <w:vAlign w:val="center"/>
          </w:tcPr>
          <w:p w14:paraId="126342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虎门镇南栅社区民昌路第六工业区九巷5号</w:t>
            </w:r>
          </w:p>
        </w:tc>
        <w:tc>
          <w:tcPr>
            <w:tcW w:w="1141" w:type="pct"/>
            <w:shd w:val="clear" w:color="auto" w:fill="FFFFFF"/>
            <w:noWrap w:val="0"/>
            <w:vAlign w:val="center"/>
          </w:tcPr>
          <w:p w14:paraId="29B477B0">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2291.924 </w:t>
            </w:r>
          </w:p>
        </w:tc>
      </w:tr>
      <w:tr w14:paraId="073E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3C3B81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583" w:type="pct"/>
            <w:shd w:val="clear" w:color="auto" w:fill="FFFFFF"/>
            <w:noWrap w:val="0"/>
            <w:vAlign w:val="center"/>
          </w:tcPr>
          <w:p w14:paraId="220BB4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东城牛山污水处理厂二期</w:t>
            </w:r>
          </w:p>
        </w:tc>
        <w:tc>
          <w:tcPr>
            <w:tcW w:w="1876" w:type="pct"/>
            <w:shd w:val="clear" w:color="auto" w:fill="FFFFFF"/>
            <w:noWrap w:val="0"/>
            <w:vAlign w:val="center"/>
          </w:tcPr>
          <w:p w14:paraId="3CF8A7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东莞市东城街道象山路7号2栋101室</w:t>
            </w:r>
          </w:p>
        </w:tc>
        <w:tc>
          <w:tcPr>
            <w:tcW w:w="1141" w:type="pct"/>
            <w:shd w:val="clear" w:color="auto" w:fill="FFFFFF"/>
            <w:noWrap w:val="0"/>
            <w:vAlign w:val="center"/>
          </w:tcPr>
          <w:p w14:paraId="4DB47596">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351.144 </w:t>
            </w:r>
          </w:p>
        </w:tc>
      </w:tr>
      <w:tr w14:paraId="46DA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27E289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583" w:type="pct"/>
            <w:shd w:val="clear" w:color="auto" w:fill="FFFFFF"/>
            <w:noWrap w:val="0"/>
            <w:vAlign w:val="center"/>
          </w:tcPr>
          <w:p w14:paraId="1041E4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虎门港立沙岛污水处理厂</w:t>
            </w:r>
          </w:p>
        </w:tc>
        <w:tc>
          <w:tcPr>
            <w:tcW w:w="1876" w:type="pct"/>
            <w:shd w:val="clear" w:color="auto" w:fill="FFFFFF"/>
            <w:noWrap w:val="0"/>
            <w:vAlign w:val="center"/>
          </w:tcPr>
          <w:p w14:paraId="225A14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东莞市沙田镇大流村下涌</w:t>
            </w:r>
          </w:p>
        </w:tc>
        <w:tc>
          <w:tcPr>
            <w:tcW w:w="1141" w:type="pct"/>
            <w:shd w:val="clear" w:color="auto" w:fill="FFFFFF"/>
            <w:noWrap w:val="0"/>
            <w:vAlign w:val="center"/>
          </w:tcPr>
          <w:p w14:paraId="5634BA02">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99.479 </w:t>
            </w:r>
          </w:p>
        </w:tc>
      </w:tr>
      <w:tr w14:paraId="76DE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0043AE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583" w:type="pct"/>
            <w:shd w:val="clear" w:color="auto" w:fill="FFFFFF"/>
            <w:noWrap w:val="0"/>
            <w:vAlign w:val="center"/>
          </w:tcPr>
          <w:p w14:paraId="446A0C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沙田福禄沙污水处理厂二期</w:t>
            </w:r>
          </w:p>
        </w:tc>
        <w:tc>
          <w:tcPr>
            <w:tcW w:w="1876" w:type="pct"/>
            <w:shd w:val="clear" w:color="auto" w:fill="FFFFFF"/>
            <w:noWrap w:val="0"/>
            <w:vAlign w:val="center"/>
          </w:tcPr>
          <w:p w14:paraId="686045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东莞市沙田镇洲仔路1号2栋101室</w:t>
            </w:r>
          </w:p>
        </w:tc>
        <w:tc>
          <w:tcPr>
            <w:tcW w:w="1141" w:type="pct"/>
            <w:shd w:val="clear" w:color="auto" w:fill="FFFFFF"/>
            <w:noWrap w:val="0"/>
            <w:vAlign w:val="center"/>
          </w:tcPr>
          <w:p w14:paraId="2BD74EA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23D5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04C319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583" w:type="pct"/>
            <w:shd w:val="clear" w:color="auto" w:fill="FFFFFF"/>
            <w:noWrap w:val="0"/>
            <w:vAlign w:val="center"/>
          </w:tcPr>
          <w:p w14:paraId="619920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大岭山连马污水处理厂二期</w:t>
            </w:r>
          </w:p>
        </w:tc>
        <w:tc>
          <w:tcPr>
            <w:tcW w:w="1876" w:type="pct"/>
            <w:shd w:val="clear" w:color="auto" w:fill="FFFFFF"/>
            <w:noWrap w:val="0"/>
            <w:vAlign w:val="center"/>
          </w:tcPr>
          <w:p w14:paraId="79BA12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东莞市大岭山镇连马路159号102室</w:t>
            </w:r>
          </w:p>
        </w:tc>
        <w:tc>
          <w:tcPr>
            <w:tcW w:w="1141" w:type="pct"/>
            <w:shd w:val="clear" w:color="auto" w:fill="FFFFFF"/>
            <w:noWrap w:val="0"/>
            <w:vAlign w:val="center"/>
          </w:tcPr>
          <w:p w14:paraId="3A532ADD">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1646.995 </w:t>
            </w:r>
          </w:p>
        </w:tc>
      </w:tr>
      <w:tr w14:paraId="2887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1ADFD4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583" w:type="pct"/>
            <w:shd w:val="clear" w:color="auto" w:fill="FFFFFF"/>
            <w:noWrap w:val="0"/>
            <w:vAlign w:val="center"/>
          </w:tcPr>
          <w:p w14:paraId="435F7D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东城温塘污水处理厂</w:t>
            </w:r>
          </w:p>
        </w:tc>
        <w:tc>
          <w:tcPr>
            <w:tcW w:w="1876" w:type="pct"/>
            <w:shd w:val="clear" w:color="auto" w:fill="FFFFFF"/>
            <w:noWrap w:val="0"/>
            <w:vAlign w:val="center"/>
          </w:tcPr>
          <w:p w14:paraId="16FDC5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东莞市东城街道创盈路东城段86号</w:t>
            </w:r>
          </w:p>
        </w:tc>
        <w:tc>
          <w:tcPr>
            <w:tcW w:w="1141" w:type="pct"/>
            <w:shd w:val="clear" w:color="auto" w:fill="FFFFFF"/>
            <w:noWrap w:val="0"/>
            <w:vAlign w:val="center"/>
          </w:tcPr>
          <w:p w14:paraId="04358608">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777.674 </w:t>
            </w:r>
          </w:p>
        </w:tc>
      </w:tr>
      <w:tr w14:paraId="0857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7B8E53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583" w:type="pct"/>
            <w:shd w:val="clear" w:color="auto" w:fill="FFFFFF"/>
            <w:noWrap w:val="0"/>
            <w:vAlign w:val="center"/>
          </w:tcPr>
          <w:p w14:paraId="001B74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东城温塘污水处理厂二期</w:t>
            </w:r>
          </w:p>
        </w:tc>
        <w:tc>
          <w:tcPr>
            <w:tcW w:w="1876" w:type="pct"/>
            <w:shd w:val="clear" w:color="auto" w:fill="FFFFFF"/>
            <w:noWrap w:val="0"/>
            <w:vAlign w:val="center"/>
          </w:tcPr>
          <w:p w14:paraId="59A0F1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东莞市东城街道创盈路东城段86号</w:t>
            </w:r>
          </w:p>
        </w:tc>
        <w:tc>
          <w:tcPr>
            <w:tcW w:w="1141" w:type="pct"/>
            <w:shd w:val="clear" w:color="auto" w:fill="FFFFFF"/>
            <w:noWrap w:val="0"/>
            <w:vAlign w:val="center"/>
          </w:tcPr>
          <w:p w14:paraId="4AAB46C3">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1021.710 </w:t>
            </w:r>
          </w:p>
        </w:tc>
      </w:tr>
      <w:tr w14:paraId="4BE2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0920E2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583" w:type="pct"/>
            <w:shd w:val="clear" w:color="auto" w:fill="FFFFFF"/>
            <w:noWrap w:val="0"/>
            <w:vAlign w:val="center"/>
          </w:tcPr>
          <w:p w14:paraId="78AE4D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黄江污水处理厂二期</w:t>
            </w:r>
          </w:p>
        </w:tc>
        <w:tc>
          <w:tcPr>
            <w:tcW w:w="1876" w:type="pct"/>
            <w:shd w:val="clear" w:color="auto" w:fill="FFFFFF"/>
            <w:noWrap w:val="0"/>
            <w:vAlign w:val="center"/>
          </w:tcPr>
          <w:p w14:paraId="3FABD8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东莞市黄江镇合路村创业一路一号</w:t>
            </w:r>
          </w:p>
        </w:tc>
        <w:tc>
          <w:tcPr>
            <w:tcW w:w="1141" w:type="pct"/>
            <w:shd w:val="clear" w:color="auto" w:fill="FFFFFF"/>
            <w:noWrap w:val="0"/>
            <w:vAlign w:val="center"/>
          </w:tcPr>
          <w:p w14:paraId="04B5D1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666.369</w:t>
            </w:r>
          </w:p>
        </w:tc>
      </w:tr>
      <w:tr w14:paraId="0009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177930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583" w:type="pct"/>
            <w:noWrap w:val="0"/>
            <w:vAlign w:val="center"/>
          </w:tcPr>
          <w:p w14:paraId="395D23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松山湖北部污水处理厂二期</w:t>
            </w:r>
          </w:p>
        </w:tc>
        <w:tc>
          <w:tcPr>
            <w:tcW w:w="1876" w:type="pct"/>
            <w:noWrap w:val="0"/>
            <w:vAlign w:val="center"/>
          </w:tcPr>
          <w:p w14:paraId="25F71C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东莞市松山湖高新科技产业园区工业西三路3号</w:t>
            </w:r>
          </w:p>
        </w:tc>
        <w:tc>
          <w:tcPr>
            <w:tcW w:w="1141" w:type="pct"/>
            <w:noWrap w:val="0"/>
            <w:vAlign w:val="center"/>
          </w:tcPr>
          <w:p w14:paraId="5B79394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1158.115</w:t>
            </w:r>
          </w:p>
        </w:tc>
      </w:tr>
      <w:tr w14:paraId="6AF0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61849D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583" w:type="pct"/>
            <w:shd w:val="clear" w:color="auto" w:fill="FFFFFF"/>
            <w:noWrap w:val="0"/>
            <w:vAlign w:val="center"/>
          </w:tcPr>
          <w:p w14:paraId="027A74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寮步竹园污水处理厂二期</w:t>
            </w:r>
          </w:p>
        </w:tc>
        <w:tc>
          <w:tcPr>
            <w:tcW w:w="1876" w:type="pct"/>
            <w:shd w:val="clear" w:color="auto" w:fill="FFFFFF"/>
            <w:noWrap w:val="0"/>
            <w:vAlign w:val="center"/>
          </w:tcPr>
          <w:p w14:paraId="6DA588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c>
          <w:tcPr>
            <w:tcW w:w="1141" w:type="pct"/>
            <w:shd w:val="clear" w:color="auto" w:fill="FFFFFF"/>
            <w:noWrap w:val="0"/>
            <w:vAlign w:val="center"/>
          </w:tcPr>
          <w:p w14:paraId="2A607D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1397.096</w:t>
            </w:r>
          </w:p>
        </w:tc>
      </w:tr>
      <w:tr w14:paraId="6E41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2BDD8A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583" w:type="pct"/>
            <w:shd w:val="clear" w:color="auto" w:fill="FFFFFF"/>
            <w:noWrap w:val="0"/>
            <w:vAlign w:val="center"/>
          </w:tcPr>
          <w:p w14:paraId="39DE33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寮步竹园污水处理厂三期</w:t>
            </w:r>
          </w:p>
        </w:tc>
        <w:tc>
          <w:tcPr>
            <w:tcW w:w="1876" w:type="pct"/>
            <w:shd w:val="clear" w:color="auto" w:fill="FFFFFF"/>
            <w:noWrap w:val="0"/>
            <w:vAlign w:val="center"/>
          </w:tcPr>
          <w:p w14:paraId="6099DF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c>
          <w:tcPr>
            <w:tcW w:w="1141" w:type="pct"/>
            <w:shd w:val="clear" w:color="auto" w:fill="FFFFFF"/>
            <w:noWrap w:val="0"/>
            <w:vAlign w:val="center"/>
          </w:tcPr>
          <w:p w14:paraId="2A25A3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2103.827</w:t>
            </w:r>
          </w:p>
        </w:tc>
      </w:tr>
      <w:tr w14:paraId="7BDF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73016C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583" w:type="pct"/>
            <w:shd w:val="clear" w:color="auto" w:fill="FFFFFF"/>
            <w:noWrap w:val="0"/>
            <w:vAlign w:val="center"/>
          </w:tcPr>
          <w:p w14:paraId="759435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大朗松山湖南部污水处理厂二期</w:t>
            </w:r>
          </w:p>
        </w:tc>
        <w:tc>
          <w:tcPr>
            <w:tcW w:w="1876" w:type="pct"/>
            <w:shd w:val="clear" w:color="auto" w:fill="FFFFFF"/>
            <w:noWrap w:val="0"/>
            <w:vAlign w:val="center"/>
          </w:tcPr>
          <w:p w14:paraId="1B42D2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东莞市大朗镇沙步村杨沙路153号十三栋101室</w:t>
            </w:r>
          </w:p>
        </w:tc>
        <w:tc>
          <w:tcPr>
            <w:tcW w:w="1141" w:type="pct"/>
            <w:shd w:val="clear" w:color="auto" w:fill="FFFFFF"/>
            <w:noWrap w:val="0"/>
            <w:vAlign w:val="center"/>
          </w:tcPr>
          <w:p w14:paraId="71E347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1397.096</w:t>
            </w:r>
          </w:p>
        </w:tc>
      </w:tr>
      <w:tr w14:paraId="7FBB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0C22D3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583" w:type="pct"/>
            <w:shd w:val="clear" w:color="auto" w:fill="FFFFFF"/>
            <w:noWrap w:val="0"/>
            <w:vAlign w:val="center"/>
          </w:tcPr>
          <w:p w14:paraId="53553C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常平东污水处理厂二期</w:t>
            </w:r>
          </w:p>
        </w:tc>
        <w:tc>
          <w:tcPr>
            <w:tcW w:w="1876" w:type="pct"/>
            <w:shd w:val="clear" w:color="auto" w:fill="FFFFFF"/>
            <w:noWrap w:val="0"/>
            <w:vAlign w:val="center"/>
          </w:tcPr>
          <w:p w14:paraId="429121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东莞市常平镇沙湖口村污水处理厂二期</w:t>
            </w:r>
          </w:p>
        </w:tc>
        <w:tc>
          <w:tcPr>
            <w:tcW w:w="1141" w:type="pct"/>
            <w:shd w:val="clear" w:color="auto" w:fill="FFFFFF"/>
            <w:noWrap w:val="0"/>
            <w:vAlign w:val="center"/>
          </w:tcPr>
          <w:p w14:paraId="7D46535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1490.460 </w:t>
            </w:r>
          </w:p>
        </w:tc>
      </w:tr>
      <w:tr w14:paraId="3D5F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301FF3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583" w:type="pct"/>
            <w:shd w:val="clear" w:color="auto" w:fill="FFFFFF"/>
            <w:noWrap w:val="0"/>
            <w:vAlign w:val="center"/>
          </w:tcPr>
          <w:p w14:paraId="582A0A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常平西污水处理厂二期</w:t>
            </w:r>
          </w:p>
        </w:tc>
        <w:tc>
          <w:tcPr>
            <w:tcW w:w="1876" w:type="pct"/>
            <w:shd w:val="clear" w:color="auto" w:fill="FFFFFF"/>
            <w:noWrap w:val="0"/>
            <w:vAlign w:val="center"/>
          </w:tcPr>
          <w:p w14:paraId="5DBE2D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东莞市常平镇常平沿河东一路20号</w:t>
            </w:r>
          </w:p>
        </w:tc>
        <w:tc>
          <w:tcPr>
            <w:tcW w:w="1141" w:type="pct"/>
            <w:shd w:val="clear" w:color="auto" w:fill="FFFFFF"/>
            <w:noWrap w:val="0"/>
            <w:vAlign w:val="center"/>
          </w:tcPr>
          <w:p w14:paraId="0F3315B4">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1758.159 </w:t>
            </w:r>
          </w:p>
        </w:tc>
      </w:tr>
      <w:tr w14:paraId="042B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3C490F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583" w:type="pct"/>
            <w:shd w:val="clear" w:color="auto" w:fill="FFFFFF"/>
            <w:noWrap w:val="0"/>
            <w:vAlign w:val="center"/>
          </w:tcPr>
          <w:p w14:paraId="12FAF4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横沥东坑污水处理厂二期</w:t>
            </w:r>
          </w:p>
        </w:tc>
        <w:tc>
          <w:tcPr>
            <w:tcW w:w="1876" w:type="pct"/>
            <w:shd w:val="clear" w:color="auto" w:fill="FFFFFF"/>
            <w:noWrap w:val="0"/>
            <w:vAlign w:val="center"/>
          </w:tcPr>
          <w:p w14:paraId="6A8A68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东莞市横沥镇石涌恒富路1号1号楼101室</w:t>
            </w:r>
          </w:p>
        </w:tc>
        <w:tc>
          <w:tcPr>
            <w:tcW w:w="1141" w:type="pct"/>
            <w:shd w:val="clear" w:color="auto" w:fill="FFFFFF"/>
            <w:noWrap w:val="0"/>
            <w:vAlign w:val="center"/>
          </w:tcPr>
          <w:p w14:paraId="076F4F11">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3004.713 </w:t>
            </w:r>
          </w:p>
        </w:tc>
      </w:tr>
      <w:tr w14:paraId="5310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160C9F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583" w:type="pct"/>
            <w:shd w:val="clear" w:color="auto" w:fill="FFFFFF"/>
            <w:noWrap w:val="0"/>
            <w:vAlign w:val="center"/>
          </w:tcPr>
          <w:p w14:paraId="399399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黄江梅塘污水处理厂</w:t>
            </w:r>
          </w:p>
        </w:tc>
        <w:tc>
          <w:tcPr>
            <w:tcW w:w="1876" w:type="pct"/>
            <w:shd w:val="clear" w:color="auto" w:fill="FFFFFF"/>
            <w:noWrap w:val="0"/>
            <w:vAlign w:val="center"/>
          </w:tcPr>
          <w:p w14:paraId="5D8ECD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广东省东莞市黄江镇星光村附件</w:t>
            </w:r>
          </w:p>
        </w:tc>
        <w:tc>
          <w:tcPr>
            <w:tcW w:w="1141" w:type="pct"/>
            <w:shd w:val="clear" w:color="auto" w:fill="FFFFFF"/>
            <w:noWrap w:val="0"/>
            <w:vAlign w:val="center"/>
          </w:tcPr>
          <w:p w14:paraId="2C7FE855">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218.323 </w:t>
            </w:r>
          </w:p>
        </w:tc>
      </w:tr>
      <w:tr w14:paraId="6A71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542005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583" w:type="pct"/>
            <w:shd w:val="clear" w:color="auto" w:fill="FFFFFF"/>
            <w:noWrap w:val="0"/>
            <w:vAlign w:val="center"/>
          </w:tcPr>
          <w:p w14:paraId="668193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松山湖科学城厂</w:t>
            </w:r>
          </w:p>
        </w:tc>
        <w:tc>
          <w:tcPr>
            <w:tcW w:w="1876" w:type="pct"/>
            <w:shd w:val="clear" w:color="auto" w:fill="FFFFFF"/>
            <w:noWrap w:val="0"/>
            <w:vAlign w:val="center"/>
          </w:tcPr>
          <w:p w14:paraId="4CF1E5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141" w:type="pct"/>
            <w:shd w:val="clear" w:color="auto" w:fill="FFFFFF"/>
            <w:noWrap w:val="0"/>
            <w:vAlign w:val="center"/>
          </w:tcPr>
          <w:p w14:paraId="6058B455">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218.831 </w:t>
            </w:r>
          </w:p>
        </w:tc>
      </w:tr>
      <w:tr w14:paraId="2C1B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6C76302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1583" w:type="pct"/>
            <w:shd w:val="clear" w:color="auto" w:fill="FFFFFF"/>
            <w:noWrap w:val="0"/>
            <w:vAlign w:val="center"/>
          </w:tcPr>
          <w:p w14:paraId="29C546D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凤岗虾公潭污水处理厂</w:t>
            </w:r>
          </w:p>
        </w:tc>
        <w:tc>
          <w:tcPr>
            <w:tcW w:w="1876" w:type="pct"/>
            <w:shd w:val="clear" w:color="auto" w:fill="FFFFFF"/>
            <w:noWrap w:val="0"/>
            <w:vAlign w:val="center"/>
          </w:tcPr>
          <w:p w14:paraId="7706344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东莞市凤岗镇油甘埔村同兴路3号101</w:t>
            </w:r>
          </w:p>
        </w:tc>
        <w:tc>
          <w:tcPr>
            <w:tcW w:w="1141" w:type="pct"/>
            <w:shd w:val="clear" w:color="auto" w:fill="FFFFFF"/>
            <w:noWrap w:val="0"/>
            <w:vAlign w:val="center"/>
          </w:tcPr>
          <w:p w14:paraId="42CC0ACF">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0.000 </w:t>
            </w:r>
          </w:p>
        </w:tc>
      </w:tr>
      <w:tr w14:paraId="77D8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19271E44">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29</w:t>
            </w:r>
          </w:p>
        </w:tc>
        <w:tc>
          <w:tcPr>
            <w:tcW w:w="1583" w:type="pct"/>
            <w:shd w:val="clear" w:color="auto" w:fill="FFFFFF"/>
            <w:noWrap w:val="0"/>
            <w:vAlign w:val="center"/>
          </w:tcPr>
          <w:p w14:paraId="510FBC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桥头污水处理厂二期</w:t>
            </w:r>
          </w:p>
        </w:tc>
        <w:tc>
          <w:tcPr>
            <w:tcW w:w="1876" w:type="pct"/>
            <w:shd w:val="clear" w:color="auto" w:fill="FFFFFF"/>
            <w:noWrap w:val="0"/>
            <w:vAlign w:val="center"/>
          </w:tcPr>
          <w:p w14:paraId="79C698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东莞市桥头镇东深路桥头段6号2号楼</w:t>
            </w:r>
          </w:p>
        </w:tc>
        <w:tc>
          <w:tcPr>
            <w:tcW w:w="1141" w:type="pct"/>
            <w:shd w:val="clear" w:color="auto" w:fill="FFFFFF"/>
            <w:noWrap w:val="0"/>
            <w:vAlign w:val="center"/>
          </w:tcPr>
          <w:p w14:paraId="3E14191F">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0.000 </w:t>
            </w:r>
          </w:p>
        </w:tc>
      </w:tr>
      <w:tr w14:paraId="12BB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738F2CF6">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30</w:t>
            </w:r>
          </w:p>
        </w:tc>
        <w:tc>
          <w:tcPr>
            <w:tcW w:w="1583" w:type="pct"/>
            <w:shd w:val="clear" w:color="auto" w:fill="FFFFFF"/>
            <w:noWrap w:val="0"/>
            <w:vAlign w:val="center"/>
          </w:tcPr>
          <w:p w14:paraId="417C77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谢岗污水处理厂二期</w:t>
            </w:r>
          </w:p>
        </w:tc>
        <w:tc>
          <w:tcPr>
            <w:tcW w:w="1876" w:type="pct"/>
            <w:shd w:val="clear" w:color="auto" w:fill="FFFFFF"/>
            <w:noWrap w:val="0"/>
            <w:vAlign w:val="center"/>
          </w:tcPr>
          <w:p w14:paraId="7FA540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东莞市谢岗镇禾尚岗路16号</w:t>
            </w:r>
          </w:p>
        </w:tc>
        <w:tc>
          <w:tcPr>
            <w:tcW w:w="1141" w:type="pct"/>
            <w:shd w:val="clear" w:color="auto" w:fill="FFFFFF"/>
            <w:noWrap w:val="0"/>
            <w:vAlign w:val="center"/>
          </w:tcPr>
          <w:p w14:paraId="02B0E4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0.000 </w:t>
            </w:r>
          </w:p>
        </w:tc>
      </w:tr>
      <w:tr w14:paraId="1883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05E46555">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31</w:t>
            </w:r>
          </w:p>
        </w:tc>
        <w:tc>
          <w:tcPr>
            <w:tcW w:w="1583" w:type="pct"/>
            <w:shd w:val="clear" w:color="auto" w:fill="FFFFFF"/>
            <w:noWrap w:val="0"/>
            <w:vAlign w:val="center"/>
          </w:tcPr>
          <w:p w14:paraId="42D1E0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凤岗竹塘污水处理厂二期</w:t>
            </w:r>
          </w:p>
        </w:tc>
        <w:tc>
          <w:tcPr>
            <w:tcW w:w="1876" w:type="pct"/>
            <w:shd w:val="clear" w:color="auto" w:fill="FFFFFF"/>
            <w:noWrap w:val="0"/>
            <w:vAlign w:val="center"/>
          </w:tcPr>
          <w:p w14:paraId="481813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凤岗镇竹塘村浸校塘组</w:t>
            </w:r>
          </w:p>
        </w:tc>
        <w:tc>
          <w:tcPr>
            <w:tcW w:w="1141" w:type="pct"/>
            <w:shd w:val="clear" w:color="auto" w:fill="FFFFFF"/>
            <w:noWrap w:val="0"/>
            <w:vAlign w:val="center"/>
          </w:tcPr>
          <w:p w14:paraId="04E365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0.000 </w:t>
            </w:r>
          </w:p>
        </w:tc>
      </w:tr>
      <w:tr w14:paraId="746C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6C29DA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583" w:type="pct"/>
            <w:shd w:val="clear" w:color="auto" w:fill="FFFFFF"/>
            <w:noWrap w:val="0"/>
            <w:vAlign w:val="center"/>
          </w:tcPr>
          <w:p w14:paraId="7736D2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塘厦林村污水处理厂二期</w:t>
            </w:r>
          </w:p>
        </w:tc>
        <w:tc>
          <w:tcPr>
            <w:tcW w:w="1876" w:type="pct"/>
            <w:shd w:val="clear" w:color="auto" w:fill="FFFFFF"/>
            <w:noWrap w:val="0"/>
            <w:vAlign w:val="center"/>
          </w:tcPr>
          <w:p w14:paraId="7024ED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塘厦镇林村村委会鸡爪桥猪仔沥</w:t>
            </w:r>
          </w:p>
        </w:tc>
        <w:tc>
          <w:tcPr>
            <w:tcW w:w="1141" w:type="pct"/>
            <w:shd w:val="clear" w:color="auto" w:fill="FFFFFF"/>
            <w:noWrap w:val="0"/>
            <w:vAlign w:val="center"/>
          </w:tcPr>
          <w:p w14:paraId="1DCF05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599.817 </w:t>
            </w:r>
          </w:p>
        </w:tc>
      </w:tr>
      <w:tr w14:paraId="3B03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5DDC8B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583" w:type="pct"/>
            <w:shd w:val="clear" w:color="auto" w:fill="FFFFFF"/>
            <w:noWrap w:val="0"/>
            <w:vAlign w:val="center"/>
          </w:tcPr>
          <w:p w14:paraId="3E6EDD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樟木头污水处理厂三期</w:t>
            </w:r>
          </w:p>
        </w:tc>
        <w:tc>
          <w:tcPr>
            <w:tcW w:w="1876" w:type="pct"/>
            <w:shd w:val="clear" w:color="auto" w:fill="FFFFFF"/>
            <w:noWrap w:val="0"/>
            <w:vAlign w:val="center"/>
          </w:tcPr>
          <w:p w14:paraId="351297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樟木头镇柏地社区柏峰路169号</w:t>
            </w:r>
          </w:p>
        </w:tc>
        <w:tc>
          <w:tcPr>
            <w:tcW w:w="1141" w:type="pct"/>
            <w:shd w:val="clear" w:color="auto" w:fill="FFFFFF"/>
            <w:noWrap w:val="0"/>
            <w:vAlign w:val="center"/>
          </w:tcPr>
          <w:p w14:paraId="18F614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648.259 </w:t>
            </w:r>
          </w:p>
        </w:tc>
      </w:tr>
      <w:tr w14:paraId="5DD9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387D13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583" w:type="pct"/>
            <w:shd w:val="clear" w:color="auto" w:fill="FFFFFF"/>
            <w:noWrap w:val="0"/>
            <w:vAlign w:val="center"/>
          </w:tcPr>
          <w:p w14:paraId="7F91E3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樟木头裕丰</w:t>
            </w:r>
          </w:p>
        </w:tc>
        <w:tc>
          <w:tcPr>
            <w:tcW w:w="1876" w:type="pct"/>
            <w:shd w:val="clear" w:color="auto" w:fill="FFFFFF"/>
            <w:noWrap w:val="0"/>
            <w:vAlign w:val="center"/>
          </w:tcPr>
          <w:p w14:paraId="3F7E6A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东莞市樟木头镇裕丰社区莞樟东路西侧</w:t>
            </w:r>
          </w:p>
        </w:tc>
        <w:tc>
          <w:tcPr>
            <w:tcW w:w="1141" w:type="pct"/>
            <w:shd w:val="clear" w:color="auto" w:fill="FFFFFF"/>
            <w:noWrap w:val="0"/>
            <w:vAlign w:val="center"/>
          </w:tcPr>
          <w:p w14:paraId="5550C9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111.599 </w:t>
            </w:r>
          </w:p>
        </w:tc>
      </w:tr>
      <w:tr w14:paraId="38B0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444831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583" w:type="pct"/>
            <w:shd w:val="clear" w:color="auto" w:fill="FFFFFF"/>
            <w:noWrap w:val="0"/>
            <w:vAlign w:val="center"/>
          </w:tcPr>
          <w:p w14:paraId="154E08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塘厦白泥湖水质净化厂改造工程</w:t>
            </w:r>
          </w:p>
        </w:tc>
        <w:tc>
          <w:tcPr>
            <w:tcW w:w="1876" w:type="pct"/>
            <w:shd w:val="clear" w:color="auto" w:fill="FFFFFF"/>
            <w:noWrap w:val="0"/>
            <w:vAlign w:val="center"/>
          </w:tcPr>
          <w:p w14:paraId="0005DB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东莞市塘厦镇塘厦南一横路21号</w:t>
            </w:r>
          </w:p>
        </w:tc>
        <w:tc>
          <w:tcPr>
            <w:tcW w:w="1141" w:type="pct"/>
            <w:shd w:val="clear" w:color="auto" w:fill="FFFFFF"/>
            <w:noWrap w:val="0"/>
            <w:vAlign w:val="center"/>
          </w:tcPr>
          <w:p w14:paraId="569D16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797.807 </w:t>
            </w:r>
          </w:p>
        </w:tc>
      </w:tr>
      <w:tr w14:paraId="12AF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252DBE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583" w:type="pct"/>
            <w:shd w:val="clear" w:color="auto" w:fill="FFFFFF"/>
            <w:noWrap w:val="0"/>
            <w:vAlign w:val="center"/>
          </w:tcPr>
          <w:p w14:paraId="159606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竹塘污水处理厂三期</w:t>
            </w:r>
          </w:p>
        </w:tc>
        <w:tc>
          <w:tcPr>
            <w:tcW w:w="1876" w:type="pct"/>
            <w:shd w:val="clear" w:color="auto" w:fill="FFFFFF"/>
            <w:noWrap w:val="0"/>
            <w:vAlign w:val="center"/>
          </w:tcPr>
          <w:p w14:paraId="7A8768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凤岗镇竹塘村浸校塘组</w:t>
            </w:r>
          </w:p>
        </w:tc>
        <w:tc>
          <w:tcPr>
            <w:tcW w:w="1141" w:type="pct"/>
            <w:shd w:val="clear" w:color="auto" w:fill="FFFFFF"/>
            <w:noWrap w:val="0"/>
            <w:vAlign w:val="center"/>
          </w:tcPr>
          <w:p w14:paraId="596F0FD3">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985.249 </w:t>
            </w:r>
          </w:p>
        </w:tc>
      </w:tr>
      <w:tr w14:paraId="245E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1E07D2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583" w:type="pct"/>
            <w:shd w:val="clear" w:color="auto" w:fill="FFFFFF"/>
            <w:noWrap w:val="0"/>
            <w:vAlign w:val="center"/>
          </w:tcPr>
          <w:p w14:paraId="22B6E1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清溪厦坭污水处理厂二期</w:t>
            </w:r>
          </w:p>
        </w:tc>
        <w:tc>
          <w:tcPr>
            <w:tcW w:w="1876" w:type="pct"/>
            <w:shd w:val="clear" w:color="auto" w:fill="FFFFFF"/>
            <w:noWrap w:val="0"/>
            <w:vAlign w:val="center"/>
          </w:tcPr>
          <w:p w14:paraId="51C151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东莞市清溪镇江背路33号</w:t>
            </w:r>
          </w:p>
        </w:tc>
        <w:tc>
          <w:tcPr>
            <w:tcW w:w="1141" w:type="pct"/>
            <w:shd w:val="clear" w:color="auto" w:fill="FFFFFF"/>
            <w:noWrap w:val="0"/>
            <w:vAlign w:val="center"/>
          </w:tcPr>
          <w:p w14:paraId="189C6F5C">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0.000 </w:t>
            </w:r>
          </w:p>
        </w:tc>
      </w:tr>
      <w:tr w14:paraId="6B3D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4"/>
            <w:shd w:val="clear" w:color="auto" w:fill="FFFFFF"/>
            <w:noWrap w:val="0"/>
            <w:vAlign w:val="center"/>
          </w:tcPr>
          <w:p w14:paraId="0DD3282F">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（二）提标项目</w:t>
            </w:r>
          </w:p>
        </w:tc>
      </w:tr>
      <w:tr w14:paraId="7BEA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266563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83" w:type="pct"/>
            <w:shd w:val="clear" w:color="auto" w:fill="FFFFFF"/>
            <w:noWrap w:val="0"/>
            <w:vAlign w:val="center"/>
          </w:tcPr>
          <w:p w14:paraId="116328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石碣沙腰污水处理厂二期提标</w:t>
            </w:r>
          </w:p>
        </w:tc>
        <w:tc>
          <w:tcPr>
            <w:tcW w:w="1876" w:type="pct"/>
            <w:shd w:val="clear" w:color="auto" w:fill="FFFFFF"/>
            <w:noWrap w:val="0"/>
            <w:vAlign w:val="center"/>
          </w:tcPr>
          <w:p w14:paraId="521624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c>
          <w:tcPr>
            <w:tcW w:w="1141" w:type="pct"/>
            <w:shd w:val="clear" w:color="auto" w:fill="FFFFFF"/>
            <w:noWrap w:val="0"/>
            <w:vAlign w:val="center"/>
          </w:tcPr>
          <w:p w14:paraId="515F7B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0.000 </w:t>
            </w:r>
          </w:p>
        </w:tc>
      </w:tr>
      <w:tr w14:paraId="32AB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7E8978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83" w:type="pct"/>
            <w:shd w:val="clear" w:color="auto" w:fill="FFFFFF"/>
            <w:noWrap w:val="0"/>
            <w:vAlign w:val="center"/>
          </w:tcPr>
          <w:p w14:paraId="7F3EC4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望洪污水处理厂一期提标工程</w:t>
            </w:r>
          </w:p>
        </w:tc>
        <w:tc>
          <w:tcPr>
            <w:tcW w:w="1876" w:type="pct"/>
            <w:shd w:val="clear" w:color="auto" w:fill="FFFFFF"/>
            <w:noWrap w:val="0"/>
            <w:vAlign w:val="center"/>
          </w:tcPr>
          <w:p w14:paraId="0C2C6C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东莞市望牛墩镇朱平沙村</w:t>
            </w:r>
          </w:p>
        </w:tc>
        <w:tc>
          <w:tcPr>
            <w:tcW w:w="1141" w:type="pct"/>
            <w:shd w:val="clear" w:color="auto" w:fill="FFFFFF"/>
            <w:noWrap w:val="0"/>
            <w:vAlign w:val="center"/>
          </w:tcPr>
          <w:p w14:paraId="46558F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285.342 </w:t>
            </w:r>
          </w:p>
        </w:tc>
      </w:tr>
      <w:tr w14:paraId="3F3A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157932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83" w:type="pct"/>
            <w:shd w:val="clear" w:color="auto" w:fill="FFFFFF"/>
            <w:noWrap w:val="0"/>
            <w:vAlign w:val="center"/>
          </w:tcPr>
          <w:p w14:paraId="185681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麻涌污水处理厂一期提标工程</w:t>
            </w:r>
          </w:p>
        </w:tc>
        <w:tc>
          <w:tcPr>
            <w:tcW w:w="1876" w:type="pct"/>
            <w:shd w:val="clear" w:color="auto" w:fill="FFFFFF"/>
            <w:noWrap w:val="0"/>
            <w:vAlign w:val="center"/>
          </w:tcPr>
          <w:p w14:paraId="4E1CFE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东莞市麻涌镇新沙公园南一路9号</w:t>
            </w:r>
          </w:p>
        </w:tc>
        <w:tc>
          <w:tcPr>
            <w:tcW w:w="1141" w:type="pct"/>
            <w:shd w:val="clear" w:color="auto" w:fill="FFFFFF"/>
            <w:noWrap w:val="0"/>
            <w:vAlign w:val="center"/>
          </w:tcPr>
          <w:p w14:paraId="595965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296.011 </w:t>
            </w:r>
          </w:p>
        </w:tc>
      </w:tr>
      <w:tr w14:paraId="5712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62E8B9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583" w:type="pct"/>
            <w:shd w:val="clear" w:color="auto" w:fill="FFFFFF"/>
            <w:noWrap w:val="0"/>
            <w:vAlign w:val="center"/>
          </w:tcPr>
          <w:p w14:paraId="45F6E6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石碣沙腰污水处理厂一期提标工程</w:t>
            </w:r>
          </w:p>
        </w:tc>
        <w:tc>
          <w:tcPr>
            <w:tcW w:w="1876" w:type="pct"/>
            <w:shd w:val="clear" w:color="auto" w:fill="FFFFFF"/>
            <w:noWrap w:val="0"/>
            <w:vAlign w:val="center"/>
          </w:tcPr>
          <w:p w14:paraId="0CE750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c>
          <w:tcPr>
            <w:tcW w:w="1141" w:type="pct"/>
            <w:shd w:val="clear" w:color="auto" w:fill="FFFFFF"/>
            <w:noWrap w:val="0"/>
            <w:vAlign w:val="center"/>
          </w:tcPr>
          <w:p w14:paraId="0358D2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20.423 </w:t>
            </w:r>
          </w:p>
        </w:tc>
      </w:tr>
      <w:tr w14:paraId="179D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189422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583" w:type="pct"/>
            <w:shd w:val="clear" w:color="auto" w:fill="FFFFFF"/>
            <w:noWrap w:val="0"/>
            <w:vAlign w:val="center"/>
          </w:tcPr>
          <w:p w14:paraId="747EE8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市区污水处理厂提标工程</w:t>
            </w:r>
          </w:p>
        </w:tc>
        <w:tc>
          <w:tcPr>
            <w:tcW w:w="1876" w:type="pct"/>
            <w:shd w:val="clear" w:color="auto" w:fill="FFFFFF"/>
            <w:noWrap w:val="0"/>
            <w:vAlign w:val="center"/>
          </w:tcPr>
          <w:p w14:paraId="6EA2DD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东莞市南城街道滨河路100号</w:t>
            </w:r>
          </w:p>
        </w:tc>
        <w:tc>
          <w:tcPr>
            <w:tcW w:w="1141" w:type="pct"/>
            <w:shd w:val="clear" w:color="auto" w:fill="FFFFFF"/>
            <w:noWrap w:val="0"/>
            <w:vAlign w:val="center"/>
          </w:tcPr>
          <w:p w14:paraId="796492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8442.286 </w:t>
            </w:r>
          </w:p>
        </w:tc>
      </w:tr>
      <w:tr w14:paraId="2659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41B417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583" w:type="pct"/>
            <w:shd w:val="clear" w:color="auto" w:fill="FFFFFF"/>
            <w:noWrap w:val="0"/>
            <w:vAlign w:val="center"/>
          </w:tcPr>
          <w:p w14:paraId="694377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虎门海岛污水处理厂一期提标工程</w:t>
            </w:r>
          </w:p>
        </w:tc>
        <w:tc>
          <w:tcPr>
            <w:tcW w:w="1876" w:type="pct"/>
            <w:shd w:val="clear" w:color="auto" w:fill="FFFFFF"/>
            <w:noWrap w:val="0"/>
            <w:vAlign w:val="center"/>
          </w:tcPr>
          <w:p w14:paraId="5CCE37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东莞市虎门镇威远岛武山沙五围</w:t>
            </w:r>
          </w:p>
        </w:tc>
        <w:tc>
          <w:tcPr>
            <w:tcW w:w="1141" w:type="pct"/>
            <w:shd w:val="clear" w:color="auto" w:fill="FFFFFF"/>
            <w:noWrap w:val="0"/>
            <w:vAlign w:val="center"/>
          </w:tcPr>
          <w:p w14:paraId="4F91B5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0.000 </w:t>
            </w:r>
          </w:p>
        </w:tc>
      </w:tr>
      <w:tr w14:paraId="0459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40ACD5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583" w:type="pct"/>
            <w:shd w:val="clear" w:color="auto" w:fill="FFFFFF"/>
            <w:noWrap w:val="0"/>
            <w:vAlign w:val="center"/>
          </w:tcPr>
          <w:p w14:paraId="378DB5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虎门宁洲污水处理厂一期提标工程</w:t>
            </w:r>
          </w:p>
        </w:tc>
        <w:tc>
          <w:tcPr>
            <w:tcW w:w="1876" w:type="pct"/>
            <w:shd w:val="clear" w:color="auto" w:fill="FFFFFF"/>
            <w:noWrap w:val="0"/>
            <w:vAlign w:val="center"/>
          </w:tcPr>
          <w:p w14:paraId="7C9FCB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东莞市虎门镇南栅第六工业区民昌路十巷5号</w:t>
            </w:r>
          </w:p>
        </w:tc>
        <w:tc>
          <w:tcPr>
            <w:tcW w:w="1141" w:type="pct"/>
            <w:shd w:val="clear" w:color="auto" w:fill="FFFFFF"/>
            <w:noWrap w:val="0"/>
            <w:vAlign w:val="center"/>
          </w:tcPr>
          <w:p w14:paraId="68B439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422.673 </w:t>
            </w:r>
          </w:p>
        </w:tc>
      </w:tr>
      <w:tr w14:paraId="431B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26B56E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583" w:type="pct"/>
            <w:shd w:val="clear" w:color="auto" w:fill="FFFFFF"/>
            <w:noWrap w:val="0"/>
            <w:vAlign w:val="center"/>
          </w:tcPr>
          <w:p w14:paraId="3479F0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长安锦厦三洲水质净化厂提标工程</w:t>
            </w:r>
          </w:p>
        </w:tc>
        <w:tc>
          <w:tcPr>
            <w:tcW w:w="1876" w:type="pct"/>
            <w:shd w:val="clear" w:color="auto" w:fill="FFFFFF"/>
            <w:noWrap w:val="0"/>
            <w:vAlign w:val="center"/>
          </w:tcPr>
          <w:p w14:paraId="0ADB91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东莞市长安镇锦厦三洲路2号</w:t>
            </w:r>
          </w:p>
        </w:tc>
        <w:tc>
          <w:tcPr>
            <w:tcW w:w="1141" w:type="pct"/>
            <w:shd w:val="clear" w:color="auto" w:fill="FFFFFF"/>
            <w:noWrap w:val="0"/>
            <w:vAlign w:val="center"/>
          </w:tcPr>
          <w:p w14:paraId="6CDEC1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0.000 </w:t>
            </w:r>
          </w:p>
        </w:tc>
      </w:tr>
      <w:tr w14:paraId="09D6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0069CF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583" w:type="pct"/>
            <w:shd w:val="clear" w:color="auto" w:fill="FFFFFF"/>
            <w:noWrap w:val="0"/>
            <w:vAlign w:val="center"/>
          </w:tcPr>
          <w:p w14:paraId="66B59A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东城牛山污水处理厂一期提标工程</w:t>
            </w:r>
          </w:p>
        </w:tc>
        <w:tc>
          <w:tcPr>
            <w:tcW w:w="1876" w:type="pct"/>
            <w:shd w:val="clear" w:color="auto" w:fill="FFFFFF"/>
            <w:noWrap w:val="0"/>
            <w:vAlign w:val="center"/>
          </w:tcPr>
          <w:p w14:paraId="73C599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东莞市东城牛山老围村工业区象山路1号</w:t>
            </w:r>
          </w:p>
        </w:tc>
        <w:tc>
          <w:tcPr>
            <w:tcW w:w="1141" w:type="pct"/>
            <w:shd w:val="clear" w:color="auto" w:fill="FFFFFF"/>
            <w:noWrap w:val="0"/>
            <w:vAlign w:val="center"/>
          </w:tcPr>
          <w:p w14:paraId="1184B4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196.827 </w:t>
            </w:r>
          </w:p>
        </w:tc>
      </w:tr>
      <w:tr w14:paraId="0BA8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1D23D0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583" w:type="pct"/>
            <w:shd w:val="clear" w:color="auto" w:fill="FFFFFF"/>
            <w:noWrap w:val="0"/>
            <w:vAlign w:val="center"/>
          </w:tcPr>
          <w:p w14:paraId="6E996D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黄江污水处理厂一期提标工程</w:t>
            </w:r>
          </w:p>
        </w:tc>
        <w:tc>
          <w:tcPr>
            <w:tcW w:w="1876" w:type="pct"/>
            <w:shd w:val="clear" w:color="auto" w:fill="FFFFFF"/>
            <w:noWrap w:val="0"/>
            <w:vAlign w:val="center"/>
          </w:tcPr>
          <w:p w14:paraId="23588D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东莞市黄江镇合路创业一路1号</w:t>
            </w:r>
          </w:p>
        </w:tc>
        <w:tc>
          <w:tcPr>
            <w:tcW w:w="1141" w:type="pct"/>
            <w:shd w:val="clear" w:color="auto" w:fill="FFFFFF"/>
            <w:noWrap w:val="0"/>
            <w:vAlign w:val="center"/>
          </w:tcPr>
          <w:p w14:paraId="245796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141.758 </w:t>
            </w:r>
          </w:p>
        </w:tc>
      </w:tr>
      <w:tr w14:paraId="25B2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7D13C1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583" w:type="pct"/>
            <w:shd w:val="clear" w:color="auto" w:fill="FFFFFF"/>
            <w:noWrap w:val="0"/>
            <w:vAlign w:val="center"/>
          </w:tcPr>
          <w:p w14:paraId="5E0189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大朗松山湖南部污水处理厂一期提标工程</w:t>
            </w:r>
          </w:p>
        </w:tc>
        <w:tc>
          <w:tcPr>
            <w:tcW w:w="1876" w:type="pct"/>
            <w:shd w:val="clear" w:color="auto" w:fill="FFFFFF"/>
            <w:noWrap w:val="0"/>
            <w:vAlign w:val="center"/>
          </w:tcPr>
          <w:p w14:paraId="61BBD7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东莞市大朗镇沙步村杨沙路153号</w:t>
            </w:r>
          </w:p>
        </w:tc>
        <w:tc>
          <w:tcPr>
            <w:tcW w:w="1141" w:type="pct"/>
            <w:shd w:val="clear" w:color="auto" w:fill="FFFFFF"/>
            <w:noWrap w:val="0"/>
            <w:vAlign w:val="center"/>
          </w:tcPr>
          <w:p w14:paraId="0E043C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918.674 </w:t>
            </w:r>
          </w:p>
        </w:tc>
      </w:tr>
      <w:tr w14:paraId="0125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34A43A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583" w:type="pct"/>
            <w:shd w:val="clear" w:color="auto" w:fill="FFFFFF"/>
            <w:noWrap w:val="0"/>
            <w:vAlign w:val="center"/>
          </w:tcPr>
          <w:p w14:paraId="7EEE0E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凤岗竹塘污水处理厂一期提标</w:t>
            </w:r>
          </w:p>
        </w:tc>
        <w:tc>
          <w:tcPr>
            <w:tcW w:w="1876" w:type="pct"/>
            <w:shd w:val="clear" w:color="auto" w:fill="FFFFFF"/>
            <w:noWrap w:val="0"/>
            <w:vAlign w:val="center"/>
          </w:tcPr>
          <w:p w14:paraId="072308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东莞市凤岗镇竹塘村浸校塘组</w:t>
            </w:r>
          </w:p>
        </w:tc>
        <w:tc>
          <w:tcPr>
            <w:tcW w:w="1141" w:type="pct"/>
            <w:shd w:val="clear" w:color="auto" w:fill="FFFFFF"/>
            <w:noWrap w:val="0"/>
            <w:vAlign w:val="center"/>
          </w:tcPr>
          <w:p w14:paraId="703A1A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3.574 </w:t>
            </w:r>
          </w:p>
        </w:tc>
      </w:tr>
      <w:tr w14:paraId="141F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32C29A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583" w:type="pct"/>
            <w:shd w:val="clear" w:color="auto" w:fill="FFFFFF"/>
            <w:noWrap w:val="0"/>
            <w:vAlign w:val="center"/>
          </w:tcPr>
          <w:p w14:paraId="583857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凤岗虾公潭污水处理厂提标工程</w:t>
            </w:r>
          </w:p>
        </w:tc>
        <w:tc>
          <w:tcPr>
            <w:tcW w:w="1876" w:type="pct"/>
            <w:shd w:val="clear" w:color="auto" w:fill="FFFFFF"/>
            <w:noWrap w:val="0"/>
            <w:vAlign w:val="center"/>
          </w:tcPr>
          <w:p w14:paraId="4F32B2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东莞市凤岗镇油甘埔村同兴路3号101</w:t>
            </w:r>
          </w:p>
        </w:tc>
        <w:tc>
          <w:tcPr>
            <w:tcW w:w="1141" w:type="pct"/>
            <w:shd w:val="clear" w:color="auto" w:fill="FFFFFF"/>
            <w:noWrap w:val="0"/>
            <w:vAlign w:val="center"/>
          </w:tcPr>
          <w:p w14:paraId="160430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0.000 </w:t>
            </w:r>
          </w:p>
        </w:tc>
      </w:tr>
      <w:tr w14:paraId="0C29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5CDFBA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583" w:type="pct"/>
            <w:shd w:val="clear" w:color="auto" w:fill="FFFFFF"/>
            <w:noWrap w:val="0"/>
            <w:vAlign w:val="center"/>
          </w:tcPr>
          <w:p w14:paraId="57A124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谢岗污水处理厂一期提标工程</w:t>
            </w:r>
          </w:p>
        </w:tc>
        <w:tc>
          <w:tcPr>
            <w:tcW w:w="1876" w:type="pct"/>
            <w:shd w:val="clear" w:color="auto" w:fill="FFFFFF"/>
            <w:noWrap w:val="0"/>
            <w:vAlign w:val="center"/>
          </w:tcPr>
          <w:p w14:paraId="51C60B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东莞市谢岗镇禾尚岗路16号</w:t>
            </w:r>
          </w:p>
        </w:tc>
        <w:tc>
          <w:tcPr>
            <w:tcW w:w="1141" w:type="pct"/>
            <w:shd w:val="clear" w:color="auto" w:fill="FFFFFF"/>
            <w:noWrap w:val="0"/>
            <w:vAlign w:val="center"/>
          </w:tcPr>
          <w:p w14:paraId="25FD8E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135.511 </w:t>
            </w:r>
          </w:p>
        </w:tc>
      </w:tr>
      <w:tr w14:paraId="022E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3EEB61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583" w:type="pct"/>
            <w:shd w:val="clear" w:color="auto" w:fill="FFFFFF"/>
            <w:noWrap w:val="0"/>
            <w:vAlign w:val="center"/>
          </w:tcPr>
          <w:p w14:paraId="4C942F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塘厦林村一期提标</w:t>
            </w:r>
          </w:p>
        </w:tc>
        <w:tc>
          <w:tcPr>
            <w:tcW w:w="1876" w:type="pct"/>
            <w:shd w:val="clear" w:color="auto" w:fill="FFFFFF"/>
            <w:noWrap w:val="0"/>
            <w:vAlign w:val="center"/>
          </w:tcPr>
          <w:p w14:paraId="4C1DF6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塘厦镇林村村委会鸡爪桥猪仔沥</w:t>
            </w:r>
          </w:p>
        </w:tc>
        <w:tc>
          <w:tcPr>
            <w:tcW w:w="1141" w:type="pct"/>
            <w:shd w:val="clear" w:color="auto" w:fill="FFFFFF"/>
            <w:noWrap w:val="0"/>
            <w:vAlign w:val="center"/>
          </w:tcPr>
          <w:p w14:paraId="000AA64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795.644 </w:t>
            </w:r>
          </w:p>
        </w:tc>
      </w:tr>
      <w:tr w14:paraId="06F6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3F5F2D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583" w:type="pct"/>
            <w:shd w:val="clear" w:color="auto" w:fill="FFFFFF"/>
            <w:noWrap w:val="0"/>
            <w:vAlign w:val="center"/>
          </w:tcPr>
          <w:p w14:paraId="37746C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桥头污水处理厂一期提标工程</w:t>
            </w:r>
          </w:p>
        </w:tc>
        <w:tc>
          <w:tcPr>
            <w:tcW w:w="1876" w:type="pct"/>
            <w:shd w:val="clear" w:color="auto" w:fill="FFFFFF"/>
            <w:noWrap w:val="0"/>
            <w:vAlign w:val="center"/>
          </w:tcPr>
          <w:p w14:paraId="7F400E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东莞市桥头镇东深路8号</w:t>
            </w:r>
          </w:p>
        </w:tc>
        <w:tc>
          <w:tcPr>
            <w:tcW w:w="1141" w:type="pct"/>
            <w:shd w:val="clear" w:color="auto" w:fill="FFFFFF"/>
            <w:noWrap w:val="0"/>
            <w:vAlign w:val="center"/>
          </w:tcPr>
          <w:p w14:paraId="11D6282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0.000 </w:t>
            </w:r>
          </w:p>
        </w:tc>
      </w:tr>
      <w:tr w14:paraId="14E7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4F7E52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583" w:type="pct"/>
            <w:shd w:val="clear" w:color="auto" w:fill="FFFFFF"/>
            <w:noWrap w:val="0"/>
            <w:vAlign w:val="center"/>
          </w:tcPr>
          <w:p w14:paraId="5ECA3E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樟木头污水处理厂一二期提标工程</w:t>
            </w:r>
          </w:p>
        </w:tc>
        <w:tc>
          <w:tcPr>
            <w:tcW w:w="1876" w:type="pct"/>
            <w:shd w:val="clear" w:color="auto" w:fill="FFFFFF"/>
            <w:noWrap w:val="0"/>
            <w:vAlign w:val="center"/>
          </w:tcPr>
          <w:p w14:paraId="6B4D06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东莞市樟木头镇柏地旗岭村柏峰路169号</w:t>
            </w:r>
          </w:p>
        </w:tc>
        <w:tc>
          <w:tcPr>
            <w:tcW w:w="1141" w:type="pct"/>
            <w:shd w:val="clear" w:color="auto" w:fill="FFFFFF"/>
            <w:noWrap w:val="0"/>
            <w:vAlign w:val="center"/>
          </w:tcPr>
          <w:p w14:paraId="497283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209.103 </w:t>
            </w:r>
          </w:p>
        </w:tc>
      </w:tr>
      <w:tr w14:paraId="0134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59BA35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583" w:type="pct"/>
            <w:shd w:val="clear" w:color="auto" w:fill="FFFFFF"/>
            <w:noWrap w:val="0"/>
            <w:vAlign w:val="center"/>
          </w:tcPr>
          <w:p w14:paraId="24E937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清溪厦坭污水处理厂一期提标工程</w:t>
            </w:r>
          </w:p>
        </w:tc>
        <w:tc>
          <w:tcPr>
            <w:tcW w:w="1876" w:type="pct"/>
            <w:shd w:val="clear" w:color="auto" w:fill="FFFFFF"/>
            <w:noWrap w:val="0"/>
            <w:vAlign w:val="center"/>
          </w:tcPr>
          <w:p w14:paraId="59ECC1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东莞市清溪镇厦坭村江背路75号</w:t>
            </w:r>
          </w:p>
        </w:tc>
        <w:tc>
          <w:tcPr>
            <w:tcW w:w="1141" w:type="pct"/>
            <w:shd w:val="clear" w:color="auto" w:fill="FFFFFF"/>
            <w:noWrap w:val="0"/>
            <w:vAlign w:val="center"/>
          </w:tcPr>
          <w:p w14:paraId="323F83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729.267 </w:t>
            </w:r>
          </w:p>
        </w:tc>
      </w:tr>
      <w:tr w14:paraId="59F4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440481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583" w:type="pct"/>
            <w:shd w:val="clear" w:color="auto" w:fill="FFFFFF"/>
            <w:noWrap w:val="0"/>
            <w:vAlign w:val="center"/>
          </w:tcPr>
          <w:p w14:paraId="2F0CE8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塘厦石桥头污水处理厂提标工程</w:t>
            </w:r>
          </w:p>
        </w:tc>
        <w:tc>
          <w:tcPr>
            <w:tcW w:w="1876" w:type="pct"/>
            <w:shd w:val="clear" w:color="auto" w:fill="FFFFFF"/>
            <w:noWrap w:val="0"/>
            <w:vAlign w:val="center"/>
          </w:tcPr>
          <w:p w14:paraId="4EBC45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东莞市塘厦镇凤凰岗村环市南路132号</w:t>
            </w:r>
          </w:p>
        </w:tc>
        <w:tc>
          <w:tcPr>
            <w:tcW w:w="1141" w:type="pct"/>
            <w:shd w:val="clear" w:color="auto" w:fill="FFFFFF"/>
            <w:noWrap w:val="0"/>
            <w:vAlign w:val="center"/>
          </w:tcPr>
          <w:p w14:paraId="41C9C16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35.532 </w:t>
            </w:r>
          </w:p>
        </w:tc>
      </w:tr>
      <w:tr w14:paraId="4F10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453A35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583" w:type="pct"/>
            <w:shd w:val="clear" w:color="auto" w:fill="FFFFFF"/>
            <w:noWrap w:val="0"/>
            <w:vAlign w:val="center"/>
          </w:tcPr>
          <w:p w14:paraId="088CE5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凤岗雁田污水处理厂提标工程</w:t>
            </w:r>
          </w:p>
        </w:tc>
        <w:tc>
          <w:tcPr>
            <w:tcW w:w="1876" w:type="pct"/>
            <w:shd w:val="clear" w:color="auto" w:fill="FFFFFF"/>
            <w:noWrap w:val="0"/>
            <w:vAlign w:val="center"/>
          </w:tcPr>
          <w:p w14:paraId="224114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东莞市凤岗雁田污水处理厂（凤深大道310号）</w:t>
            </w:r>
          </w:p>
        </w:tc>
        <w:tc>
          <w:tcPr>
            <w:tcW w:w="1141" w:type="pct"/>
            <w:shd w:val="clear" w:color="auto" w:fill="FFFFFF"/>
            <w:noWrap w:val="0"/>
            <w:vAlign w:val="center"/>
          </w:tcPr>
          <w:p w14:paraId="529BAA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83.094 </w:t>
            </w:r>
          </w:p>
        </w:tc>
      </w:tr>
      <w:tr w14:paraId="08E0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858" w:type="pct"/>
            <w:gridSpan w:val="3"/>
            <w:shd w:val="clear" w:color="auto" w:fill="FFFFFF"/>
            <w:noWrap w:val="0"/>
            <w:vAlign w:val="center"/>
          </w:tcPr>
          <w:p w14:paraId="4030893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kern w:val="0"/>
                <w:szCs w:val="21"/>
                <w:highlight w:val="none"/>
                <w:u w:val="none"/>
                <w:lang w:val="en-US" w:eastAsia="zh-CN" w:bidi="ar"/>
              </w:rPr>
              <w:t>二、</w:t>
            </w:r>
            <w:r>
              <w:rPr>
                <w:rFonts w:hint="eastAsia" w:ascii="宋体" w:hAnsi="宋体" w:eastAsia="宋体" w:cs="宋体"/>
                <w:b/>
                <w:bCs/>
                <w:color w:val="auto"/>
                <w:kern w:val="0"/>
                <w:szCs w:val="21"/>
                <w:highlight w:val="none"/>
                <w:u w:val="none"/>
                <w:lang w:bidi="ar"/>
              </w:rPr>
              <w:t>东莞市清源净水科技有限公司</w:t>
            </w:r>
          </w:p>
        </w:tc>
        <w:tc>
          <w:tcPr>
            <w:tcW w:w="1141" w:type="pct"/>
            <w:shd w:val="clear" w:color="auto" w:fill="FFFFFF"/>
            <w:noWrap w:val="0"/>
            <w:vAlign w:val="center"/>
          </w:tcPr>
          <w:p w14:paraId="23CFEC2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2"/>
                <w:sz w:val="21"/>
                <w:szCs w:val="21"/>
                <w:highlight w:val="none"/>
                <w:u w:val="none"/>
                <w:lang w:val="en-US" w:eastAsia="zh-CN" w:bidi="ar"/>
              </w:rPr>
              <w:t>2124.929</w:t>
            </w:r>
          </w:p>
        </w:tc>
      </w:tr>
      <w:tr w14:paraId="2687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4"/>
            <w:shd w:val="clear" w:color="auto" w:fill="FFFFFF"/>
            <w:noWrap w:val="0"/>
            <w:vAlign w:val="center"/>
          </w:tcPr>
          <w:p w14:paraId="26FF2CF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color w:val="auto"/>
                <w:kern w:val="0"/>
                <w:szCs w:val="21"/>
                <w:highlight w:val="none"/>
                <w:u w:val="none"/>
                <w:lang w:val="en-US" w:eastAsia="zh-CN" w:bidi="ar"/>
              </w:rPr>
              <w:t>（一）</w:t>
            </w:r>
            <w:r>
              <w:rPr>
                <w:rFonts w:hint="eastAsia" w:ascii="宋体" w:hAnsi="宋体" w:eastAsia="宋体" w:cs="宋体"/>
                <w:b/>
                <w:bCs/>
                <w:i w:val="0"/>
                <w:iCs w:val="0"/>
                <w:color w:val="auto"/>
                <w:kern w:val="0"/>
                <w:sz w:val="21"/>
                <w:szCs w:val="21"/>
                <w:highlight w:val="none"/>
                <w:u w:val="none"/>
                <w:lang w:val="en-US" w:eastAsia="zh-CN" w:bidi="ar"/>
              </w:rPr>
              <w:t>污水处理厂项目</w:t>
            </w:r>
          </w:p>
        </w:tc>
      </w:tr>
      <w:tr w14:paraId="4AA1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7D2C0D2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583" w:type="pct"/>
            <w:shd w:val="clear" w:color="auto" w:fill="FFFFFF"/>
            <w:noWrap w:val="0"/>
            <w:vAlign w:val="center"/>
          </w:tcPr>
          <w:p w14:paraId="7EA5EEE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塘厦大坪污水处理厂一期</w:t>
            </w:r>
          </w:p>
        </w:tc>
        <w:tc>
          <w:tcPr>
            <w:tcW w:w="1876" w:type="pct"/>
            <w:shd w:val="clear" w:color="auto" w:fill="FFFFFF"/>
            <w:noWrap w:val="0"/>
            <w:vAlign w:val="center"/>
          </w:tcPr>
          <w:p w14:paraId="0A5857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w:t>
            </w:r>
          </w:p>
        </w:tc>
        <w:tc>
          <w:tcPr>
            <w:tcW w:w="1141" w:type="pct"/>
            <w:shd w:val="clear" w:color="auto" w:fill="FFFFFF"/>
            <w:noWrap w:val="0"/>
            <w:vAlign w:val="center"/>
          </w:tcPr>
          <w:p w14:paraId="5FBF0BF2">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2124.929 </w:t>
            </w:r>
          </w:p>
        </w:tc>
      </w:tr>
      <w:tr w14:paraId="7731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858" w:type="pct"/>
            <w:gridSpan w:val="3"/>
            <w:shd w:val="clear" w:color="auto" w:fill="FFFFFF"/>
            <w:noWrap w:val="0"/>
            <w:vAlign w:val="center"/>
          </w:tcPr>
          <w:p w14:paraId="55F3181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三、</w:t>
            </w:r>
            <w:r>
              <w:rPr>
                <w:rFonts w:hint="eastAsia" w:ascii="宋体" w:hAnsi="宋体" w:eastAsia="宋体" w:cs="宋体"/>
                <w:b/>
                <w:bCs/>
                <w:color w:val="auto"/>
                <w:kern w:val="0"/>
                <w:szCs w:val="21"/>
                <w:highlight w:val="none"/>
                <w:u w:val="none"/>
                <w:lang w:bidi="ar"/>
              </w:rPr>
              <w:t>东莞市莞水装备科技有限公司</w:t>
            </w:r>
          </w:p>
        </w:tc>
        <w:tc>
          <w:tcPr>
            <w:tcW w:w="1141" w:type="pct"/>
            <w:shd w:val="clear" w:color="auto" w:fill="FFFFFF"/>
            <w:noWrap w:val="0"/>
            <w:vAlign w:val="center"/>
          </w:tcPr>
          <w:p w14:paraId="27BE680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2"/>
                <w:sz w:val="21"/>
                <w:szCs w:val="21"/>
                <w:highlight w:val="none"/>
                <w:u w:val="none"/>
                <w:lang w:val="en-US" w:eastAsia="zh-CN" w:bidi="ar"/>
              </w:rPr>
              <w:t>80.755</w:t>
            </w:r>
          </w:p>
        </w:tc>
      </w:tr>
      <w:tr w14:paraId="5A16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4"/>
            <w:shd w:val="clear" w:color="auto" w:fill="FFFFFF"/>
            <w:noWrap w:val="0"/>
            <w:vAlign w:val="center"/>
          </w:tcPr>
          <w:p w14:paraId="6E762BD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（一）分散式及一体化项目</w:t>
            </w:r>
          </w:p>
        </w:tc>
      </w:tr>
      <w:tr w14:paraId="24C7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5061AC8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83" w:type="pct"/>
            <w:shd w:val="clear" w:color="auto" w:fill="FFFFFF"/>
            <w:noWrap w:val="0"/>
            <w:vAlign w:val="center"/>
          </w:tcPr>
          <w:p w14:paraId="4D989D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石马韩屋分散式站点</w:t>
            </w:r>
          </w:p>
        </w:tc>
        <w:tc>
          <w:tcPr>
            <w:tcW w:w="1876" w:type="pct"/>
            <w:shd w:val="clear" w:color="auto" w:fill="FFFFFF"/>
            <w:noWrap w:val="0"/>
            <w:vAlign w:val="center"/>
          </w:tcPr>
          <w:p w14:paraId="747A8A4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141" w:type="pct"/>
            <w:shd w:val="clear" w:color="auto" w:fill="FFFFFF"/>
            <w:noWrap w:val="0"/>
            <w:vAlign w:val="center"/>
          </w:tcPr>
          <w:p w14:paraId="07249A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4.282 </w:t>
            </w:r>
          </w:p>
        </w:tc>
      </w:tr>
      <w:tr w14:paraId="4874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5C4C8AE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583" w:type="pct"/>
            <w:shd w:val="clear" w:color="auto" w:fill="FFFFFF"/>
            <w:noWrap w:val="0"/>
            <w:vAlign w:val="center"/>
          </w:tcPr>
          <w:p w14:paraId="740E0D2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宝山水六岭一体化应急污水处理设施</w:t>
            </w:r>
          </w:p>
        </w:tc>
        <w:tc>
          <w:tcPr>
            <w:tcW w:w="1876" w:type="pct"/>
            <w:shd w:val="clear" w:color="auto" w:fill="FFFFFF"/>
            <w:noWrap w:val="0"/>
            <w:vAlign w:val="center"/>
          </w:tcPr>
          <w:p w14:paraId="6DCA2E3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141" w:type="pct"/>
            <w:shd w:val="clear" w:color="auto" w:fill="FFFFFF"/>
            <w:noWrap w:val="0"/>
            <w:vAlign w:val="center"/>
          </w:tcPr>
          <w:p w14:paraId="1E9BA7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1.661 </w:t>
            </w:r>
          </w:p>
        </w:tc>
      </w:tr>
      <w:tr w14:paraId="0524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16ADB5F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583" w:type="pct"/>
            <w:shd w:val="clear" w:color="auto" w:fill="FFFFFF"/>
            <w:noWrap w:val="0"/>
            <w:vAlign w:val="center"/>
          </w:tcPr>
          <w:p w14:paraId="3B1E5D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塘厦镇电光村污水处理站</w:t>
            </w:r>
          </w:p>
        </w:tc>
        <w:tc>
          <w:tcPr>
            <w:tcW w:w="1876" w:type="pct"/>
            <w:shd w:val="clear" w:color="auto" w:fill="FFFFFF"/>
            <w:noWrap w:val="0"/>
            <w:vAlign w:val="center"/>
          </w:tcPr>
          <w:p w14:paraId="543C3B9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141" w:type="pct"/>
            <w:shd w:val="clear" w:color="auto" w:fill="FFFFFF"/>
            <w:noWrap w:val="0"/>
            <w:vAlign w:val="center"/>
          </w:tcPr>
          <w:p w14:paraId="43CC42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1.316 </w:t>
            </w:r>
          </w:p>
        </w:tc>
      </w:tr>
      <w:tr w14:paraId="192E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384ED05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583" w:type="pct"/>
            <w:shd w:val="clear" w:color="auto" w:fill="FFFFFF"/>
            <w:noWrap w:val="0"/>
            <w:vAlign w:val="center"/>
          </w:tcPr>
          <w:p w14:paraId="2CF234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林村六岭分散式站点</w:t>
            </w:r>
          </w:p>
        </w:tc>
        <w:tc>
          <w:tcPr>
            <w:tcW w:w="1876" w:type="pct"/>
            <w:shd w:val="clear" w:color="auto" w:fill="FFFFFF"/>
            <w:noWrap w:val="0"/>
            <w:vAlign w:val="center"/>
          </w:tcPr>
          <w:p w14:paraId="433D685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141" w:type="pct"/>
            <w:shd w:val="clear" w:color="auto" w:fill="FFFFFF"/>
            <w:noWrap w:val="0"/>
            <w:vAlign w:val="center"/>
          </w:tcPr>
          <w:p w14:paraId="5EA472D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1.318 </w:t>
            </w:r>
          </w:p>
        </w:tc>
      </w:tr>
      <w:tr w14:paraId="3A4E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279DB5C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583" w:type="pct"/>
            <w:shd w:val="clear" w:color="auto" w:fill="FFFFFF"/>
            <w:noWrap w:val="0"/>
            <w:vAlign w:val="center"/>
          </w:tcPr>
          <w:p w14:paraId="5D9645D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牛眠埔分散式站点</w:t>
            </w:r>
          </w:p>
        </w:tc>
        <w:tc>
          <w:tcPr>
            <w:tcW w:w="1876" w:type="pct"/>
            <w:shd w:val="clear" w:color="auto" w:fill="FFFFFF"/>
            <w:noWrap w:val="0"/>
            <w:vAlign w:val="center"/>
          </w:tcPr>
          <w:p w14:paraId="3CE8B5B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141" w:type="pct"/>
            <w:shd w:val="clear" w:color="auto" w:fill="FFFFFF"/>
            <w:noWrap w:val="0"/>
            <w:vAlign w:val="center"/>
          </w:tcPr>
          <w:p w14:paraId="6E2D322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1.153 </w:t>
            </w:r>
          </w:p>
        </w:tc>
      </w:tr>
      <w:tr w14:paraId="13CA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1290A6C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583" w:type="pct"/>
            <w:shd w:val="clear" w:color="auto" w:fill="FFFFFF"/>
            <w:noWrap w:val="0"/>
            <w:vAlign w:val="center"/>
          </w:tcPr>
          <w:p w14:paraId="4C3EE1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桥头长和圩</w:t>
            </w:r>
          </w:p>
        </w:tc>
        <w:tc>
          <w:tcPr>
            <w:tcW w:w="1876" w:type="pct"/>
            <w:shd w:val="clear" w:color="auto" w:fill="FFFFFF"/>
            <w:noWrap w:val="0"/>
            <w:vAlign w:val="center"/>
          </w:tcPr>
          <w:p w14:paraId="6889BA6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141" w:type="pct"/>
            <w:shd w:val="clear" w:color="auto" w:fill="FFFFFF"/>
            <w:noWrap w:val="0"/>
            <w:vAlign w:val="center"/>
          </w:tcPr>
          <w:p w14:paraId="120E2D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23.439 </w:t>
            </w:r>
          </w:p>
        </w:tc>
      </w:tr>
      <w:tr w14:paraId="7E76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16A4A98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583" w:type="pct"/>
            <w:shd w:val="clear" w:color="auto" w:fill="FFFFFF"/>
            <w:noWrap w:val="0"/>
            <w:vAlign w:val="center"/>
          </w:tcPr>
          <w:p w14:paraId="71E68B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桥头镇东江旧围</w:t>
            </w:r>
          </w:p>
        </w:tc>
        <w:tc>
          <w:tcPr>
            <w:tcW w:w="1876" w:type="pct"/>
            <w:shd w:val="clear" w:color="auto" w:fill="FFFFFF"/>
            <w:noWrap w:val="0"/>
            <w:vAlign w:val="center"/>
          </w:tcPr>
          <w:p w14:paraId="6614FE1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141" w:type="pct"/>
            <w:shd w:val="clear" w:color="auto" w:fill="FFFFFF"/>
            <w:noWrap w:val="0"/>
            <w:vAlign w:val="center"/>
          </w:tcPr>
          <w:p w14:paraId="4001116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33.404 </w:t>
            </w:r>
          </w:p>
        </w:tc>
      </w:tr>
      <w:tr w14:paraId="2115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59FC0C0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583" w:type="pct"/>
            <w:shd w:val="clear" w:color="auto" w:fill="FFFFFF"/>
            <w:noWrap w:val="0"/>
            <w:vAlign w:val="center"/>
          </w:tcPr>
          <w:p w14:paraId="6C4488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长安霄边第四工业区</w:t>
            </w:r>
          </w:p>
        </w:tc>
        <w:tc>
          <w:tcPr>
            <w:tcW w:w="1876" w:type="pct"/>
            <w:shd w:val="clear" w:color="auto" w:fill="FFFFFF"/>
            <w:noWrap w:val="0"/>
            <w:vAlign w:val="center"/>
          </w:tcPr>
          <w:p w14:paraId="75C40B9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141" w:type="pct"/>
            <w:shd w:val="clear" w:color="auto" w:fill="FFFFFF"/>
            <w:noWrap w:val="0"/>
            <w:vAlign w:val="center"/>
          </w:tcPr>
          <w:p w14:paraId="490518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14.182 </w:t>
            </w:r>
          </w:p>
        </w:tc>
      </w:tr>
      <w:tr w14:paraId="59D8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858" w:type="pct"/>
            <w:gridSpan w:val="3"/>
            <w:shd w:val="clear" w:color="auto" w:fill="FFFFFF"/>
            <w:noWrap w:val="0"/>
            <w:vAlign w:val="center"/>
          </w:tcPr>
          <w:p w14:paraId="07682B8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kern w:val="0"/>
                <w:szCs w:val="21"/>
                <w:highlight w:val="none"/>
                <w:u w:val="none"/>
                <w:lang w:val="en-US" w:eastAsia="zh-CN" w:bidi="ar"/>
              </w:rPr>
              <w:t>四、</w:t>
            </w:r>
            <w:r>
              <w:rPr>
                <w:rFonts w:hint="eastAsia" w:ascii="宋体" w:hAnsi="宋体" w:eastAsia="宋体" w:cs="宋体"/>
                <w:b/>
                <w:bCs/>
                <w:color w:val="auto"/>
                <w:kern w:val="0"/>
                <w:szCs w:val="21"/>
                <w:highlight w:val="none"/>
                <w:u w:val="none"/>
                <w:lang w:bidi="ar"/>
              </w:rPr>
              <w:t>东莞市众源环境投资有限公司</w:t>
            </w:r>
          </w:p>
        </w:tc>
        <w:tc>
          <w:tcPr>
            <w:tcW w:w="1141" w:type="pct"/>
            <w:shd w:val="clear" w:color="auto" w:fill="FFFFFF"/>
            <w:noWrap w:val="0"/>
            <w:vAlign w:val="center"/>
          </w:tcPr>
          <w:p w14:paraId="2D545F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2"/>
                <w:sz w:val="21"/>
                <w:szCs w:val="21"/>
                <w:highlight w:val="none"/>
                <w:u w:val="none"/>
                <w:lang w:val="en-US" w:eastAsia="zh-CN" w:bidi="ar"/>
              </w:rPr>
              <w:t>22242.460</w:t>
            </w:r>
          </w:p>
        </w:tc>
      </w:tr>
      <w:tr w14:paraId="7FBB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4"/>
            <w:shd w:val="clear" w:color="auto" w:fill="FFFFFF"/>
            <w:noWrap w:val="0"/>
            <w:vAlign w:val="center"/>
          </w:tcPr>
          <w:p w14:paraId="26B960E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（一）污泥减量化项目</w:t>
            </w:r>
          </w:p>
        </w:tc>
      </w:tr>
      <w:tr w14:paraId="79ED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2CA6D82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83" w:type="pct"/>
            <w:shd w:val="clear" w:color="auto" w:fill="FFFFFF"/>
            <w:noWrap w:val="0"/>
            <w:vAlign w:val="center"/>
          </w:tcPr>
          <w:p w14:paraId="430628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长安新区污水处理厂</w:t>
            </w:r>
          </w:p>
        </w:tc>
        <w:tc>
          <w:tcPr>
            <w:tcW w:w="1876" w:type="pct"/>
            <w:shd w:val="clear" w:color="auto" w:fill="FFFFFF"/>
            <w:noWrap w:val="0"/>
            <w:vAlign w:val="center"/>
          </w:tcPr>
          <w:p w14:paraId="766582F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东莞市长安镇乌沙社区兴发南路尽头</w:t>
            </w:r>
          </w:p>
        </w:tc>
        <w:tc>
          <w:tcPr>
            <w:tcW w:w="1141" w:type="pct"/>
            <w:shd w:val="clear" w:color="auto" w:fill="FFFFFF"/>
            <w:noWrap w:val="0"/>
            <w:vAlign w:val="center"/>
          </w:tcPr>
          <w:p w14:paraId="248916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812.070 </w:t>
            </w:r>
          </w:p>
        </w:tc>
      </w:tr>
      <w:tr w14:paraId="3935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34F4C38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583" w:type="pct"/>
            <w:shd w:val="clear" w:color="auto" w:fill="FFFFFF"/>
            <w:noWrap w:val="0"/>
            <w:vAlign w:val="center"/>
          </w:tcPr>
          <w:p w14:paraId="479E0E5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东城温塘污水处理厂</w:t>
            </w:r>
          </w:p>
        </w:tc>
        <w:tc>
          <w:tcPr>
            <w:tcW w:w="1876" w:type="pct"/>
            <w:shd w:val="clear" w:color="auto" w:fill="FFFFFF"/>
            <w:noWrap w:val="0"/>
            <w:vAlign w:val="center"/>
          </w:tcPr>
          <w:p w14:paraId="2C4A574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东莞市东城街道创盈路东城段86号</w:t>
            </w:r>
          </w:p>
        </w:tc>
        <w:tc>
          <w:tcPr>
            <w:tcW w:w="1141" w:type="pct"/>
            <w:shd w:val="clear" w:color="auto" w:fill="FFFFFF"/>
            <w:noWrap w:val="0"/>
            <w:vAlign w:val="center"/>
          </w:tcPr>
          <w:p w14:paraId="1E3913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1087.240 </w:t>
            </w:r>
          </w:p>
        </w:tc>
      </w:tr>
      <w:tr w14:paraId="64BB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73A756C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583" w:type="pct"/>
            <w:shd w:val="clear" w:color="auto" w:fill="FFFFFF"/>
            <w:noWrap w:val="0"/>
            <w:vAlign w:val="center"/>
          </w:tcPr>
          <w:p w14:paraId="356C1F6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寮步竹园污水处理厂二期</w:t>
            </w:r>
          </w:p>
        </w:tc>
        <w:tc>
          <w:tcPr>
            <w:tcW w:w="1876" w:type="pct"/>
            <w:shd w:val="clear" w:color="auto" w:fill="FFFFFF"/>
            <w:noWrap w:val="0"/>
            <w:vAlign w:val="center"/>
          </w:tcPr>
          <w:p w14:paraId="1F448CB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c>
          <w:tcPr>
            <w:tcW w:w="1141" w:type="pct"/>
            <w:shd w:val="clear" w:color="auto" w:fill="FFFFFF"/>
            <w:noWrap w:val="0"/>
            <w:vAlign w:val="center"/>
          </w:tcPr>
          <w:p w14:paraId="04EFBA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1216.930 </w:t>
            </w:r>
          </w:p>
        </w:tc>
      </w:tr>
      <w:tr w14:paraId="33F7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6E368A4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583" w:type="pct"/>
            <w:shd w:val="clear" w:color="auto" w:fill="FFFFFF"/>
            <w:noWrap w:val="0"/>
            <w:vAlign w:val="center"/>
          </w:tcPr>
          <w:p w14:paraId="65A3F4E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寮步竹园污水处理厂三期</w:t>
            </w:r>
          </w:p>
        </w:tc>
        <w:tc>
          <w:tcPr>
            <w:tcW w:w="1876" w:type="pct"/>
            <w:shd w:val="clear" w:color="auto" w:fill="FFFFFF"/>
            <w:noWrap w:val="0"/>
            <w:vAlign w:val="center"/>
          </w:tcPr>
          <w:p w14:paraId="6603854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c>
          <w:tcPr>
            <w:tcW w:w="1141" w:type="pct"/>
            <w:shd w:val="clear" w:color="auto" w:fill="FFFFFF"/>
            <w:noWrap w:val="0"/>
            <w:vAlign w:val="center"/>
          </w:tcPr>
          <w:p w14:paraId="0EEF1C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1514.650 </w:t>
            </w:r>
          </w:p>
        </w:tc>
      </w:tr>
      <w:tr w14:paraId="1F97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5C846ED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583" w:type="pct"/>
            <w:shd w:val="clear" w:color="auto" w:fill="FFFFFF"/>
            <w:noWrap w:val="0"/>
            <w:vAlign w:val="center"/>
          </w:tcPr>
          <w:p w14:paraId="4B443DB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凤岗竹塘污水处理厂二期</w:t>
            </w:r>
          </w:p>
        </w:tc>
        <w:tc>
          <w:tcPr>
            <w:tcW w:w="1876" w:type="pct"/>
            <w:shd w:val="clear" w:color="auto" w:fill="FFFFFF"/>
            <w:noWrap w:val="0"/>
            <w:vAlign w:val="center"/>
          </w:tcPr>
          <w:p w14:paraId="0C1FB9C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凤岗镇竹塘村浸校塘组</w:t>
            </w:r>
          </w:p>
        </w:tc>
        <w:tc>
          <w:tcPr>
            <w:tcW w:w="1141" w:type="pct"/>
            <w:shd w:val="clear" w:color="auto" w:fill="FFFFFF"/>
            <w:noWrap w:val="0"/>
            <w:vAlign w:val="center"/>
          </w:tcPr>
          <w:p w14:paraId="409409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1488.730 </w:t>
            </w:r>
          </w:p>
        </w:tc>
      </w:tr>
      <w:tr w14:paraId="75AE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5A857DE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583" w:type="pct"/>
            <w:shd w:val="clear" w:color="auto" w:fill="FFFFFF"/>
            <w:noWrap w:val="0"/>
            <w:vAlign w:val="center"/>
          </w:tcPr>
          <w:p w14:paraId="14745F2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高埗污水处理厂二期</w:t>
            </w:r>
          </w:p>
        </w:tc>
        <w:tc>
          <w:tcPr>
            <w:tcW w:w="1876" w:type="pct"/>
            <w:shd w:val="clear" w:color="auto" w:fill="FFFFFF"/>
            <w:noWrap w:val="0"/>
            <w:vAlign w:val="center"/>
          </w:tcPr>
          <w:p w14:paraId="3DD9212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东莞市高埗镇高埗洲头路13号</w:t>
            </w:r>
          </w:p>
        </w:tc>
        <w:tc>
          <w:tcPr>
            <w:tcW w:w="1141" w:type="pct"/>
            <w:shd w:val="clear" w:color="auto" w:fill="FFFFFF"/>
            <w:noWrap w:val="0"/>
            <w:vAlign w:val="center"/>
          </w:tcPr>
          <w:p w14:paraId="3C46E3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620.520 </w:t>
            </w:r>
          </w:p>
        </w:tc>
      </w:tr>
      <w:tr w14:paraId="27C9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0FFC285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583" w:type="pct"/>
            <w:shd w:val="clear" w:color="auto" w:fill="FFFFFF"/>
            <w:noWrap w:val="0"/>
            <w:vAlign w:val="center"/>
          </w:tcPr>
          <w:p w14:paraId="355A2CA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虎门宁洲污水处理厂三期</w:t>
            </w:r>
          </w:p>
        </w:tc>
        <w:tc>
          <w:tcPr>
            <w:tcW w:w="1876" w:type="pct"/>
            <w:shd w:val="clear" w:color="auto" w:fill="FFFFFF"/>
            <w:noWrap w:val="0"/>
            <w:vAlign w:val="center"/>
          </w:tcPr>
          <w:p w14:paraId="4BFD550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虎门镇南栅社区民昌路第六工业区九巷5号</w:t>
            </w:r>
          </w:p>
        </w:tc>
        <w:tc>
          <w:tcPr>
            <w:tcW w:w="1141" w:type="pct"/>
            <w:shd w:val="clear" w:color="auto" w:fill="FFFFFF"/>
            <w:noWrap w:val="0"/>
            <w:vAlign w:val="center"/>
          </w:tcPr>
          <w:p w14:paraId="2D4827A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1447.930 </w:t>
            </w:r>
          </w:p>
        </w:tc>
      </w:tr>
      <w:tr w14:paraId="48FB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579C653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583" w:type="pct"/>
            <w:shd w:val="clear" w:color="auto" w:fill="FFFFFF"/>
            <w:noWrap w:val="0"/>
            <w:vAlign w:val="center"/>
          </w:tcPr>
          <w:p w14:paraId="5E6ED8B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沙田福禄沙污水处理厂二期</w:t>
            </w:r>
          </w:p>
        </w:tc>
        <w:tc>
          <w:tcPr>
            <w:tcW w:w="1876" w:type="pct"/>
            <w:shd w:val="clear" w:color="auto" w:fill="FFFFFF"/>
            <w:noWrap w:val="0"/>
            <w:vAlign w:val="center"/>
          </w:tcPr>
          <w:p w14:paraId="51BD129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东莞市沙田镇洲仔路1号2栋101室</w:t>
            </w:r>
          </w:p>
        </w:tc>
        <w:tc>
          <w:tcPr>
            <w:tcW w:w="1141" w:type="pct"/>
            <w:shd w:val="clear" w:color="auto" w:fill="FFFFFF"/>
            <w:noWrap w:val="0"/>
            <w:vAlign w:val="center"/>
          </w:tcPr>
          <w:p w14:paraId="0D120A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732.670 </w:t>
            </w:r>
          </w:p>
        </w:tc>
      </w:tr>
      <w:tr w14:paraId="7E12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10B6406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583" w:type="pct"/>
            <w:shd w:val="clear" w:color="auto" w:fill="FFFFFF"/>
            <w:noWrap w:val="0"/>
            <w:vAlign w:val="center"/>
          </w:tcPr>
          <w:p w14:paraId="3842E4B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大岭山连马污水处理厂二期</w:t>
            </w:r>
          </w:p>
        </w:tc>
        <w:tc>
          <w:tcPr>
            <w:tcW w:w="1876" w:type="pct"/>
            <w:shd w:val="clear" w:color="auto" w:fill="FFFFFF"/>
            <w:noWrap w:val="0"/>
            <w:vAlign w:val="center"/>
          </w:tcPr>
          <w:p w14:paraId="101B116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东莞市大岭山镇连马路159号102室</w:t>
            </w:r>
          </w:p>
        </w:tc>
        <w:tc>
          <w:tcPr>
            <w:tcW w:w="1141" w:type="pct"/>
            <w:shd w:val="clear" w:color="auto" w:fill="FFFFFF"/>
            <w:noWrap w:val="0"/>
            <w:vAlign w:val="center"/>
          </w:tcPr>
          <w:p w14:paraId="4D3B87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1646.990 </w:t>
            </w:r>
          </w:p>
        </w:tc>
      </w:tr>
      <w:tr w14:paraId="70EC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7A99834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583" w:type="pct"/>
            <w:shd w:val="clear" w:color="auto" w:fill="FFFFFF"/>
            <w:noWrap w:val="0"/>
            <w:vAlign w:val="center"/>
          </w:tcPr>
          <w:p w14:paraId="650A05F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常平西污水处理厂二期</w:t>
            </w:r>
          </w:p>
        </w:tc>
        <w:tc>
          <w:tcPr>
            <w:tcW w:w="1876" w:type="pct"/>
            <w:shd w:val="clear" w:color="auto" w:fill="FFFFFF"/>
            <w:noWrap w:val="0"/>
            <w:vAlign w:val="center"/>
          </w:tcPr>
          <w:p w14:paraId="7B05B22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东莞市常平镇常平沿河东一路20号</w:t>
            </w:r>
          </w:p>
        </w:tc>
        <w:tc>
          <w:tcPr>
            <w:tcW w:w="1141" w:type="pct"/>
            <w:shd w:val="clear" w:color="auto" w:fill="FFFFFF"/>
            <w:noWrap w:val="0"/>
            <w:vAlign w:val="center"/>
          </w:tcPr>
          <w:p w14:paraId="143231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2032.910 </w:t>
            </w:r>
          </w:p>
        </w:tc>
      </w:tr>
      <w:tr w14:paraId="11F1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641AFA8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1583" w:type="pct"/>
            <w:shd w:val="clear" w:color="auto" w:fill="FFFFFF"/>
            <w:noWrap w:val="0"/>
            <w:vAlign w:val="center"/>
          </w:tcPr>
          <w:p w14:paraId="41CA5F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东城温塘污水处理厂二期</w:t>
            </w:r>
          </w:p>
        </w:tc>
        <w:tc>
          <w:tcPr>
            <w:tcW w:w="1876" w:type="pct"/>
            <w:shd w:val="clear" w:color="auto" w:fill="FFFFFF"/>
            <w:noWrap w:val="0"/>
            <w:vAlign w:val="center"/>
          </w:tcPr>
          <w:p w14:paraId="2FECE82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东莞市东城街道创盈路东城段86号</w:t>
            </w:r>
          </w:p>
        </w:tc>
        <w:tc>
          <w:tcPr>
            <w:tcW w:w="1141" w:type="pct"/>
            <w:shd w:val="clear" w:color="auto" w:fill="FFFFFF"/>
            <w:noWrap w:val="0"/>
            <w:vAlign w:val="center"/>
          </w:tcPr>
          <w:p w14:paraId="3FE0B5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1081.350 </w:t>
            </w:r>
          </w:p>
        </w:tc>
      </w:tr>
      <w:tr w14:paraId="3C07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55F9171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583" w:type="pct"/>
            <w:shd w:val="clear" w:color="auto" w:fill="FFFFFF"/>
            <w:noWrap w:val="0"/>
            <w:vAlign w:val="center"/>
          </w:tcPr>
          <w:p w14:paraId="44554D8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常平东污水处理厂二期</w:t>
            </w:r>
          </w:p>
        </w:tc>
        <w:tc>
          <w:tcPr>
            <w:tcW w:w="1876" w:type="pct"/>
            <w:shd w:val="clear" w:color="auto" w:fill="FFFFFF"/>
            <w:noWrap w:val="0"/>
            <w:vAlign w:val="center"/>
          </w:tcPr>
          <w:p w14:paraId="06DFA8E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东莞市常平镇沙湖口村污水处理厂二期</w:t>
            </w:r>
          </w:p>
        </w:tc>
        <w:tc>
          <w:tcPr>
            <w:tcW w:w="1141" w:type="pct"/>
            <w:shd w:val="clear" w:color="auto" w:fill="FFFFFF"/>
            <w:noWrap w:val="0"/>
            <w:vAlign w:val="center"/>
          </w:tcPr>
          <w:p w14:paraId="3E780F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1115.230 </w:t>
            </w:r>
          </w:p>
        </w:tc>
      </w:tr>
      <w:tr w14:paraId="14E4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42C2645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1583" w:type="pct"/>
            <w:shd w:val="clear" w:color="auto" w:fill="FFFFFF"/>
            <w:noWrap w:val="0"/>
            <w:vAlign w:val="center"/>
          </w:tcPr>
          <w:p w14:paraId="29ECE6E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横沥东坑污水处理厂二期</w:t>
            </w:r>
          </w:p>
        </w:tc>
        <w:tc>
          <w:tcPr>
            <w:tcW w:w="1876" w:type="pct"/>
            <w:shd w:val="clear" w:color="auto" w:fill="FFFFFF"/>
            <w:noWrap w:val="0"/>
            <w:vAlign w:val="center"/>
          </w:tcPr>
          <w:p w14:paraId="63F5B68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东莞市横沥镇石涌恒富路1号1号楼101室</w:t>
            </w:r>
          </w:p>
        </w:tc>
        <w:tc>
          <w:tcPr>
            <w:tcW w:w="1141" w:type="pct"/>
            <w:shd w:val="clear" w:color="auto" w:fill="FFFFFF"/>
            <w:noWrap w:val="0"/>
            <w:vAlign w:val="center"/>
          </w:tcPr>
          <w:p w14:paraId="1BABAA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1398.550 </w:t>
            </w:r>
          </w:p>
        </w:tc>
      </w:tr>
      <w:tr w14:paraId="1E03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69805B4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1583" w:type="pct"/>
            <w:shd w:val="clear" w:color="auto" w:fill="FFFFFF"/>
            <w:noWrap w:val="0"/>
            <w:vAlign w:val="center"/>
          </w:tcPr>
          <w:p w14:paraId="2D67F12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塘厦白泥湖水质净化厂改造工程</w:t>
            </w:r>
          </w:p>
        </w:tc>
        <w:tc>
          <w:tcPr>
            <w:tcW w:w="1876" w:type="pct"/>
            <w:shd w:val="clear" w:color="auto" w:fill="FFFFFF"/>
            <w:noWrap w:val="0"/>
            <w:vAlign w:val="center"/>
          </w:tcPr>
          <w:p w14:paraId="3FCBDD5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东莞市塘厦镇塘厦南一横路21号</w:t>
            </w:r>
          </w:p>
        </w:tc>
        <w:tc>
          <w:tcPr>
            <w:tcW w:w="1141" w:type="pct"/>
            <w:shd w:val="clear" w:color="auto" w:fill="FFFFFF"/>
            <w:noWrap w:val="0"/>
            <w:vAlign w:val="center"/>
          </w:tcPr>
          <w:p w14:paraId="5808B8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805.870 </w:t>
            </w:r>
          </w:p>
        </w:tc>
      </w:tr>
      <w:tr w14:paraId="36EA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75FE94B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1583" w:type="pct"/>
            <w:shd w:val="clear" w:color="auto" w:fill="FFFFFF"/>
            <w:noWrap w:val="0"/>
            <w:vAlign w:val="center"/>
          </w:tcPr>
          <w:p w14:paraId="2F60E2D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塘厦大坪污水处理厂一期</w:t>
            </w:r>
          </w:p>
        </w:tc>
        <w:tc>
          <w:tcPr>
            <w:tcW w:w="1876" w:type="pct"/>
            <w:shd w:val="clear" w:color="auto" w:fill="FFFFFF"/>
            <w:noWrap w:val="0"/>
            <w:vAlign w:val="center"/>
          </w:tcPr>
          <w:p w14:paraId="1ED3115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w:t>
            </w:r>
          </w:p>
        </w:tc>
        <w:tc>
          <w:tcPr>
            <w:tcW w:w="1141" w:type="pct"/>
            <w:shd w:val="clear" w:color="auto" w:fill="FFFFFF"/>
            <w:noWrap w:val="0"/>
            <w:vAlign w:val="center"/>
          </w:tcPr>
          <w:p w14:paraId="38D604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531.230 </w:t>
            </w:r>
          </w:p>
        </w:tc>
      </w:tr>
      <w:tr w14:paraId="748B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4573E08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1583" w:type="pct"/>
            <w:shd w:val="clear" w:color="auto" w:fill="FFFFFF"/>
            <w:noWrap w:val="0"/>
            <w:vAlign w:val="center"/>
          </w:tcPr>
          <w:p w14:paraId="155E8EF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清溪厦坭污水处理厂二期</w:t>
            </w:r>
          </w:p>
        </w:tc>
        <w:tc>
          <w:tcPr>
            <w:tcW w:w="1876" w:type="pct"/>
            <w:shd w:val="clear" w:color="auto" w:fill="FFFFFF"/>
            <w:noWrap w:val="0"/>
            <w:vAlign w:val="center"/>
          </w:tcPr>
          <w:p w14:paraId="4547389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东莞市清溪镇江背路33号</w:t>
            </w:r>
          </w:p>
        </w:tc>
        <w:tc>
          <w:tcPr>
            <w:tcW w:w="1141" w:type="pct"/>
            <w:shd w:val="clear" w:color="auto" w:fill="FFFFFF"/>
            <w:noWrap w:val="0"/>
            <w:vAlign w:val="center"/>
          </w:tcPr>
          <w:p w14:paraId="0A94C7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568.450 </w:t>
            </w:r>
          </w:p>
        </w:tc>
      </w:tr>
      <w:tr w14:paraId="78F8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6B9F7F3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1583" w:type="pct"/>
            <w:shd w:val="clear" w:color="auto" w:fill="FFFFFF"/>
            <w:noWrap w:val="0"/>
            <w:vAlign w:val="center"/>
          </w:tcPr>
          <w:p w14:paraId="1C8FB0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松山湖科学城厂</w:t>
            </w:r>
          </w:p>
        </w:tc>
        <w:tc>
          <w:tcPr>
            <w:tcW w:w="1876" w:type="pct"/>
            <w:shd w:val="clear" w:color="auto" w:fill="FFFFFF"/>
            <w:noWrap w:val="0"/>
            <w:vAlign w:val="center"/>
          </w:tcPr>
          <w:p w14:paraId="7A2E82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141" w:type="pct"/>
            <w:shd w:val="clear" w:color="auto" w:fill="FFFFFF"/>
            <w:noWrap w:val="0"/>
            <w:vAlign w:val="center"/>
          </w:tcPr>
          <w:p w14:paraId="6DFDFD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658.800 </w:t>
            </w:r>
          </w:p>
        </w:tc>
      </w:tr>
      <w:tr w14:paraId="6FC3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165569A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1583" w:type="pct"/>
            <w:shd w:val="clear" w:color="auto" w:fill="FFFFFF"/>
            <w:noWrap w:val="0"/>
            <w:vAlign w:val="center"/>
          </w:tcPr>
          <w:p w14:paraId="3A93AA6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黄江梅塘污水处理厂</w:t>
            </w:r>
          </w:p>
        </w:tc>
        <w:tc>
          <w:tcPr>
            <w:tcW w:w="1876" w:type="pct"/>
            <w:shd w:val="clear" w:color="auto" w:fill="FFFFFF"/>
            <w:noWrap w:val="0"/>
            <w:vAlign w:val="center"/>
          </w:tcPr>
          <w:p w14:paraId="5383BA6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广东省东莞市黄江镇星光村附件</w:t>
            </w:r>
          </w:p>
        </w:tc>
        <w:tc>
          <w:tcPr>
            <w:tcW w:w="1141" w:type="pct"/>
            <w:shd w:val="clear" w:color="auto" w:fill="FFFFFF"/>
            <w:noWrap w:val="0"/>
            <w:vAlign w:val="center"/>
          </w:tcPr>
          <w:p w14:paraId="373A38C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218.340 </w:t>
            </w:r>
          </w:p>
        </w:tc>
      </w:tr>
      <w:tr w14:paraId="1B84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58F892A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1583" w:type="pct"/>
            <w:shd w:val="clear" w:color="auto" w:fill="FFFFFF"/>
            <w:noWrap w:val="0"/>
            <w:vAlign w:val="center"/>
          </w:tcPr>
          <w:p w14:paraId="510B94A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长安新区众源移动式</w:t>
            </w:r>
          </w:p>
        </w:tc>
        <w:tc>
          <w:tcPr>
            <w:tcW w:w="1876" w:type="pct"/>
            <w:shd w:val="clear" w:color="auto" w:fill="FFFFFF"/>
            <w:noWrap w:val="0"/>
            <w:vAlign w:val="center"/>
          </w:tcPr>
          <w:p w14:paraId="6CB759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东莞市长安镇乌沙社区兴发南路尽头</w:t>
            </w:r>
          </w:p>
        </w:tc>
        <w:tc>
          <w:tcPr>
            <w:tcW w:w="1141" w:type="pct"/>
            <w:shd w:val="clear" w:color="auto" w:fill="FFFFFF"/>
            <w:noWrap w:val="0"/>
            <w:vAlign w:val="center"/>
          </w:tcPr>
          <w:p w14:paraId="0D3F62B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924.000 </w:t>
            </w:r>
          </w:p>
        </w:tc>
      </w:tr>
      <w:tr w14:paraId="3CDB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8" w:type="pct"/>
            <w:shd w:val="clear" w:color="auto" w:fill="FFFFFF"/>
            <w:noWrap w:val="0"/>
            <w:vAlign w:val="center"/>
          </w:tcPr>
          <w:p w14:paraId="667E14B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1583" w:type="pct"/>
            <w:shd w:val="clear" w:color="auto" w:fill="FFFFFF"/>
            <w:noWrap w:val="0"/>
            <w:vAlign w:val="center"/>
          </w:tcPr>
          <w:p w14:paraId="15CBB5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竹塘污水处理厂三期</w:t>
            </w:r>
          </w:p>
        </w:tc>
        <w:tc>
          <w:tcPr>
            <w:tcW w:w="1876" w:type="pct"/>
            <w:shd w:val="clear" w:color="auto" w:fill="FFFFFF"/>
            <w:noWrap w:val="0"/>
            <w:vAlign w:val="center"/>
          </w:tcPr>
          <w:p w14:paraId="0D32ED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凤岗镇竹塘村浸校塘组</w:t>
            </w:r>
          </w:p>
        </w:tc>
        <w:tc>
          <w:tcPr>
            <w:tcW w:w="1141" w:type="pct"/>
            <w:shd w:val="clear" w:color="auto" w:fill="FFFFFF"/>
            <w:noWrap w:val="0"/>
            <w:vAlign w:val="center"/>
          </w:tcPr>
          <w:p w14:paraId="3AEA6C5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2340.000 </w:t>
            </w:r>
          </w:p>
        </w:tc>
      </w:tr>
    </w:tbl>
    <w:p w14:paraId="2C02A5EB">
      <w:pPr>
        <w:widowControl/>
        <w:autoSpaceDE/>
        <w:autoSpaceDN/>
        <w:adjustRightInd/>
        <w:spacing w:line="240" w:lineRule="auto"/>
        <w:ind w:left="0" w:leftChars="0"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7F4546C9">
      <w:pPr>
        <w:pStyle w:val="47"/>
        <w:widowControl/>
        <w:autoSpaceDE/>
        <w:autoSpaceDN/>
        <w:adjustRightInd/>
        <w:spacing w:line="360" w:lineRule="auto"/>
        <w:ind w:left="0" w:leftChars="0" w:firstLineChars="0"/>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Cs w:val="21"/>
          <w:highlight w:val="none"/>
          <w:u w:val="none"/>
          <w:lang w:val="en-US" w:eastAsia="zh-CN" w:bidi="ar"/>
        </w:rPr>
        <w:t>表2.液体聚合氯化铝铁暂定量</w:t>
      </w:r>
    </w:p>
    <w:tbl>
      <w:tblPr>
        <w:tblStyle w:val="37"/>
        <w:tblW w:w="47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3371"/>
        <w:gridCol w:w="3998"/>
        <w:gridCol w:w="1678"/>
      </w:tblGrid>
      <w:tr w14:paraId="2FB0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43166E8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23" w:type="pct"/>
            <w:shd w:val="clear" w:color="auto" w:fill="FFFFFF"/>
            <w:noWrap w:val="0"/>
            <w:vAlign w:val="center"/>
          </w:tcPr>
          <w:p w14:paraId="21E47A4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2043" w:type="pct"/>
            <w:shd w:val="clear" w:color="auto" w:fill="FFFFFF"/>
            <w:noWrap w:val="0"/>
            <w:vAlign w:val="center"/>
          </w:tcPr>
          <w:p w14:paraId="6F964E5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项目地址</w:t>
            </w:r>
          </w:p>
        </w:tc>
        <w:tc>
          <w:tcPr>
            <w:tcW w:w="857" w:type="pct"/>
            <w:shd w:val="clear" w:color="auto" w:fill="FFFFFF"/>
            <w:noWrap w:val="0"/>
            <w:vAlign w:val="center"/>
          </w:tcPr>
          <w:p w14:paraId="03013973">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暂定总送货量（吨）</w:t>
            </w:r>
          </w:p>
        </w:tc>
      </w:tr>
      <w:tr w14:paraId="4E10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142" w:type="pct"/>
            <w:gridSpan w:val="3"/>
            <w:shd w:val="clear" w:color="auto" w:fill="FFFFFF"/>
            <w:noWrap w:val="0"/>
            <w:vAlign w:val="center"/>
          </w:tcPr>
          <w:p w14:paraId="7836A45D">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color w:val="auto"/>
                <w:kern w:val="0"/>
                <w:szCs w:val="21"/>
                <w:highlight w:val="none"/>
                <w:u w:val="none"/>
                <w:lang w:val="en-US" w:eastAsia="zh-CN" w:bidi="ar"/>
              </w:rPr>
              <w:t>一、</w:t>
            </w:r>
            <w:r>
              <w:rPr>
                <w:rFonts w:hint="eastAsia" w:ascii="宋体" w:hAnsi="宋体" w:eastAsia="宋体" w:cs="宋体"/>
                <w:b/>
                <w:bCs/>
                <w:color w:val="auto"/>
                <w:kern w:val="0"/>
                <w:szCs w:val="21"/>
                <w:highlight w:val="none"/>
                <w:u w:val="none"/>
                <w:lang w:bidi="ar"/>
              </w:rPr>
              <w:t>东莞市石鼓净水有限公司</w:t>
            </w:r>
          </w:p>
        </w:tc>
        <w:tc>
          <w:tcPr>
            <w:tcW w:w="857" w:type="pct"/>
            <w:shd w:val="clear" w:color="auto" w:fill="FFFFFF"/>
            <w:noWrap w:val="0"/>
            <w:vAlign w:val="center"/>
          </w:tcPr>
          <w:p w14:paraId="218F968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2"/>
                <w:sz w:val="21"/>
                <w:szCs w:val="21"/>
                <w:highlight w:val="none"/>
                <w:u w:val="none"/>
                <w:lang w:val="en-US" w:eastAsia="zh-CN" w:bidi="ar"/>
              </w:rPr>
              <w:t>16483.803</w:t>
            </w:r>
          </w:p>
        </w:tc>
      </w:tr>
      <w:tr w14:paraId="3A1A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000" w:type="pct"/>
            <w:gridSpan w:val="4"/>
            <w:shd w:val="clear" w:color="auto" w:fill="FFFFFF"/>
            <w:noWrap w:val="0"/>
            <w:vAlign w:val="center"/>
          </w:tcPr>
          <w:p w14:paraId="25F63CA9">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（一）污水处理厂项目</w:t>
            </w:r>
          </w:p>
        </w:tc>
      </w:tr>
      <w:tr w14:paraId="517D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6DF121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3" w:type="pct"/>
            <w:shd w:val="clear" w:color="auto" w:fill="FFFFFF"/>
            <w:noWrap w:val="0"/>
            <w:vAlign w:val="center"/>
          </w:tcPr>
          <w:p w14:paraId="18CB82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市区污水处理厂一二期</w:t>
            </w:r>
          </w:p>
        </w:tc>
        <w:tc>
          <w:tcPr>
            <w:tcW w:w="2043" w:type="pct"/>
            <w:shd w:val="clear" w:color="auto" w:fill="FFFFFF"/>
            <w:noWrap w:val="0"/>
            <w:vAlign w:val="center"/>
          </w:tcPr>
          <w:p w14:paraId="77C62A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东莞市南城街道滨河路100号</w:t>
            </w:r>
          </w:p>
        </w:tc>
        <w:tc>
          <w:tcPr>
            <w:tcW w:w="857" w:type="pct"/>
            <w:shd w:val="clear" w:color="auto" w:fill="FFFFFF"/>
            <w:noWrap w:val="0"/>
            <w:vAlign w:val="center"/>
          </w:tcPr>
          <w:p w14:paraId="6E9A4DE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351D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43B4B7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23" w:type="pct"/>
            <w:shd w:val="clear" w:color="auto" w:fill="FFFFFF"/>
            <w:noWrap w:val="0"/>
            <w:vAlign w:val="center"/>
          </w:tcPr>
          <w:p w14:paraId="24CFE3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市区厂污水处理厂三期</w:t>
            </w:r>
          </w:p>
        </w:tc>
        <w:tc>
          <w:tcPr>
            <w:tcW w:w="2043" w:type="pct"/>
            <w:shd w:val="clear" w:color="auto" w:fill="FFFFFF"/>
            <w:noWrap w:val="0"/>
            <w:vAlign w:val="center"/>
          </w:tcPr>
          <w:p w14:paraId="535E0C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东莞市南城街道滨河路100号</w:t>
            </w:r>
          </w:p>
        </w:tc>
        <w:tc>
          <w:tcPr>
            <w:tcW w:w="857" w:type="pct"/>
            <w:shd w:val="clear" w:color="auto" w:fill="FFFFFF"/>
            <w:noWrap w:val="0"/>
            <w:vAlign w:val="center"/>
          </w:tcPr>
          <w:p w14:paraId="62AAA8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6B4E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5D6CF3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23" w:type="pct"/>
            <w:shd w:val="clear" w:color="auto" w:fill="FFFFFF"/>
            <w:noWrap w:val="0"/>
            <w:vAlign w:val="center"/>
          </w:tcPr>
          <w:p w14:paraId="4C42B5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石碣沙腰污水处理厂二期</w:t>
            </w:r>
          </w:p>
        </w:tc>
        <w:tc>
          <w:tcPr>
            <w:tcW w:w="2043" w:type="pct"/>
            <w:shd w:val="clear" w:color="auto" w:fill="FFFFFF"/>
            <w:noWrap w:val="0"/>
            <w:vAlign w:val="center"/>
          </w:tcPr>
          <w:p w14:paraId="7F5AED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c>
          <w:tcPr>
            <w:tcW w:w="857" w:type="pct"/>
            <w:shd w:val="clear" w:color="auto" w:fill="FFFFFF"/>
            <w:noWrap w:val="0"/>
            <w:vAlign w:val="center"/>
          </w:tcPr>
          <w:p w14:paraId="7BD70C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78F2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505EBE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23" w:type="pct"/>
            <w:shd w:val="clear" w:color="auto" w:fill="FFFFFF"/>
            <w:noWrap w:val="0"/>
            <w:vAlign w:val="center"/>
          </w:tcPr>
          <w:p w14:paraId="445E5D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万江污水处理厂二期</w:t>
            </w:r>
          </w:p>
        </w:tc>
        <w:tc>
          <w:tcPr>
            <w:tcW w:w="2043" w:type="pct"/>
            <w:shd w:val="clear" w:color="auto" w:fill="FFFFFF"/>
            <w:noWrap w:val="0"/>
            <w:vAlign w:val="center"/>
          </w:tcPr>
          <w:p w14:paraId="5323CD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东莞市万江区流涌尾村大兴工业路3号</w:t>
            </w:r>
          </w:p>
        </w:tc>
        <w:tc>
          <w:tcPr>
            <w:tcW w:w="857" w:type="pct"/>
            <w:shd w:val="clear" w:color="auto" w:fill="FFFFFF"/>
            <w:noWrap w:val="0"/>
            <w:vAlign w:val="center"/>
          </w:tcPr>
          <w:p w14:paraId="00389D8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7AED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609200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23" w:type="pct"/>
            <w:shd w:val="clear" w:color="auto" w:fill="FFFFFF"/>
            <w:noWrap w:val="0"/>
            <w:vAlign w:val="center"/>
          </w:tcPr>
          <w:p w14:paraId="3794F7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中堂污水处理厂二期</w:t>
            </w:r>
          </w:p>
        </w:tc>
        <w:tc>
          <w:tcPr>
            <w:tcW w:w="2043" w:type="pct"/>
            <w:shd w:val="clear" w:color="auto" w:fill="FFFFFF"/>
            <w:noWrap w:val="0"/>
            <w:vAlign w:val="center"/>
          </w:tcPr>
          <w:p w14:paraId="10A2DD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中堂镇东向村滨河东路68号101室</w:t>
            </w:r>
          </w:p>
        </w:tc>
        <w:tc>
          <w:tcPr>
            <w:tcW w:w="857" w:type="pct"/>
            <w:shd w:val="clear" w:color="auto" w:fill="FFFFFF"/>
            <w:noWrap w:val="0"/>
            <w:vAlign w:val="center"/>
          </w:tcPr>
          <w:p w14:paraId="1A0828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44CC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6520AF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723" w:type="pct"/>
            <w:shd w:val="clear" w:color="auto" w:fill="FFFFFF"/>
            <w:noWrap w:val="0"/>
            <w:vAlign w:val="center"/>
          </w:tcPr>
          <w:p w14:paraId="551F36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麻涌污水处理厂二期</w:t>
            </w:r>
          </w:p>
        </w:tc>
        <w:tc>
          <w:tcPr>
            <w:tcW w:w="2043" w:type="pct"/>
            <w:shd w:val="clear" w:color="auto" w:fill="FFFFFF"/>
            <w:noWrap w:val="0"/>
            <w:vAlign w:val="center"/>
          </w:tcPr>
          <w:p w14:paraId="12E0CC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东莞市麻涌镇新沙公园南一路9号</w:t>
            </w:r>
          </w:p>
        </w:tc>
        <w:tc>
          <w:tcPr>
            <w:tcW w:w="857" w:type="pct"/>
            <w:shd w:val="clear" w:color="auto" w:fill="FFFFFF"/>
            <w:noWrap w:val="0"/>
            <w:vAlign w:val="center"/>
          </w:tcPr>
          <w:p w14:paraId="76F603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3E94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73C8CE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23" w:type="pct"/>
            <w:shd w:val="clear" w:color="auto" w:fill="FFFFFF"/>
            <w:noWrap w:val="0"/>
            <w:vAlign w:val="center"/>
          </w:tcPr>
          <w:p w14:paraId="37688D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高埗污水处理厂二期</w:t>
            </w:r>
          </w:p>
        </w:tc>
        <w:tc>
          <w:tcPr>
            <w:tcW w:w="2043" w:type="pct"/>
            <w:shd w:val="clear" w:color="auto" w:fill="FFFFFF"/>
            <w:noWrap w:val="0"/>
            <w:vAlign w:val="center"/>
          </w:tcPr>
          <w:p w14:paraId="300A96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东莞市高埗镇高埗洲头路13号</w:t>
            </w:r>
          </w:p>
        </w:tc>
        <w:tc>
          <w:tcPr>
            <w:tcW w:w="857" w:type="pct"/>
            <w:shd w:val="clear" w:color="auto" w:fill="FFFFFF"/>
            <w:noWrap w:val="0"/>
            <w:vAlign w:val="center"/>
          </w:tcPr>
          <w:p w14:paraId="766228B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6CBA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2A343A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723" w:type="pct"/>
            <w:noWrap w:val="0"/>
            <w:vAlign w:val="center"/>
          </w:tcPr>
          <w:p w14:paraId="7F486F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长安新区污水处理厂</w:t>
            </w:r>
          </w:p>
        </w:tc>
        <w:tc>
          <w:tcPr>
            <w:tcW w:w="2043" w:type="pct"/>
            <w:noWrap w:val="0"/>
            <w:vAlign w:val="center"/>
          </w:tcPr>
          <w:p w14:paraId="74B406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东莞市长安镇乌沙社区兴发南路尽头</w:t>
            </w:r>
          </w:p>
        </w:tc>
        <w:tc>
          <w:tcPr>
            <w:tcW w:w="857" w:type="pct"/>
            <w:noWrap w:val="0"/>
            <w:vAlign w:val="center"/>
          </w:tcPr>
          <w:p w14:paraId="546AF6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11127.526 </w:t>
            </w:r>
          </w:p>
        </w:tc>
      </w:tr>
      <w:tr w14:paraId="23D8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07FD6C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723" w:type="pct"/>
            <w:shd w:val="clear" w:color="auto" w:fill="FFFFFF"/>
            <w:noWrap w:val="0"/>
            <w:vAlign w:val="center"/>
          </w:tcPr>
          <w:p w14:paraId="6469A1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厚街沙塘污水处理厂二期</w:t>
            </w:r>
          </w:p>
        </w:tc>
        <w:tc>
          <w:tcPr>
            <w:tcW w:w="2043" w:type="pct"/>
            <w:shd w:val="clear" w:color="auto" w:fill="FFFFFF"/>
            <w:noWrap w:val="0"/>
            <w:vAlign w:val="center"/>
          </w:tcPr>
          <w:p w14:paraId="7BEE02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东莞市厚街镇沙塘村沙隆路39号</w:t>
            </w:r>
          </w:p>
        </w:tc>
        <w:tc>
          <w:tcPr>
            <w:tcW w:w="857" w:type="pct"/>
            <w:shd w:val="clear" w:color="auto" w:fill="FFFFFF"/>
            <w:noWrap w:val="0"/>
            <w:vAlign w:val="center"/>
          </w:tcPr>
          <w:p w14:paraId="4A6109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1AC8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604490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723" w:type="pct"/>
            <w:shd w:val="clear" w:color="auto" w:fill="FFFFFF"/>
            <w:noWrap w:val="0"/>
            <w:vAlign w:val="center"/>
          </w:tcPr>
          <w:p w14:paraId="42F0B7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虎门宁洲污水处理厂二期</w:t>
            </w:r>
          </w:p>
        </w:tc>
        <w:tc>
          <w:tcPr>
            <w:tcW w:w="2043" w:type="pct"/>
            <w:shd w:val="clear" w:color="auto" w:fill="FFFFFF"/>
            <w:noWrap w:val="0"/>
            <w:vAlign w:val="center"/>
          </w:tcPr>
          <w:p w14:paraId="018865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虎门镇南栅社区民昌路第六工业区九巷5号</w:t>
            </w:r>
          </w:p>
        </w:tc>
        <w:tc>
          <w:tcPr>
            <w:tcW w:w="857" w:type="pct"/>
            <w:shd w:val="clear" w:color="auto" w:fill="FFFFFF"/>
            <w:noWrap w:val="0"/>
            <w:vAlign w:val="center"/>
          </w:tcPr>
          <w:p w14:paraId="61F3BC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38F8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1F2091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723" w:type="pct"/>
            <w:shd w:val="clear" w:color="auto" w:fill="FFFFFF"/>
            <w:noWrap w:val="0"/>
            <w:vAlign w:val="center"/>
          </w:tcPr>
          <w:p w14:paraId="4B4360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虎门宁洲污水处理厂三期</w:t>
            </w:r>
          </w:p>
        </w:tc>
        <w:tc>
          <w:tcPr>
            <w:tcW w:w="2043" w:type="pct"/>
            <w:shd w:val="clear" w:color="auto" w:fill="FFFFFF"/>
            <w:noWrap w:val="0"/>
            <w:vAlign w:val="center"/>
          </w:tcPr>
          <w:p w14:paraId="5DB6CC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虎门镇南栅社区民昌路第六工业区九巷5号</w:t>
            </w:r>
          </w:p>
        </w:tc>
        <w:tc>
          <w:tcPr>
            <w:tcW w:w="857" w:type="pct"/>
            <w:shd w:val="clear" w:color="auto" w:fill="FFFFFF"/>
            <w:noWrap w:val="0"/>
            <w:vAlign w:val="center"/>
          </w:tcPr>
          <w:p w14:paraId="2062B7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2B9F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46D73E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23" w:type="pct"/>
            <w:shd w:val="clear" w:color="auto" w:fill="FFFFFF"/>
            <w:noWrap w:val="0"/>
            <w:vAlign w:val="center"/>
          </w:tcPr>
          <w:p w14:paraId="1977FB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东城牛山污水处理厂二期</w:t>
            </w:r>
          </w:p>
        </w:tc>
        <w:tc>
          <w:tcPr>
            <w:tcW w:w="2043" w:type="pct"/>
            <w:shd w:val="clear" w:color="auto" w:fill="FFFFFF"/>
            <w:noWrap w:val="0"/>
            <w:vAlign w:val="center"/>
          </w:tcPr>
          <w:p w14:paraId="4CFC6B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东莞市东城街道象山路7号2栋101室</w:t>
            </w:r>
          </w:p>
        </w:tc>
        <w:tc>
          <w:tcPr>
            <w:tcW w:w="857" w:type="pct"/>
            <w:shd w:val="clear" w:color="auto" w:fill="FFFFFF"/>
            <w:noWrap w:val="0"/>
            <w:vAlign w:val="center"/>
          </w:tcPr>
          <w:p w14:paraId="237220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59A6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16EBAC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723" w:type="pct"/>
            <w:shd w:val="clear" w:color="auto" w:fill="FFFFFF"/>
            <w:noWrap w:val="0"/>
            <w:vAlign w:val="center"/>
          </w:tcPr>
          <w:p w14:paraId="59DE19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虎门港立沙岛污水处理厂</w:t>
            </w:r>
          </w:p>
        </w:tc>
        <w:tc>
          <w:tcPr>
            <w:tcW w:w="2043" w:type="pct"/>
            <w:shd w:val="clear" w:color="auto" w:fill="FFFFFF"/>
            <w:noWrap w:val="0"/>
            <w:vAlign w:val="center"/>
          </w:tcPr>
          <w:p w14:paraId="12CF56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东莞市沙田镇大流村下涌</w:t>
            </w:r>
          </w:p>
        </w:tc>
        <w:tc>
          <w:tcPr>
            <w:tcW w:w="857" w:type="pct"/>
            <w:shd w:val="clear" w:color="auto" w:fill="FFFFFF"/>
            <w:noWrap w:val="0"/>
            <w:vAlign w:val="center"/>
          </w:tcPr>
          <w:p w14:paraId="41970A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066C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66EF5D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723" w:type="pct"/>
            <w:shd w:val="clear" w:color="auto" w:fill="FFFFFF"/>
            <w:noWrap w:val="0"/>
            <w:vAlign w:val="center"/>
          </w:tcPr>
          <w:p w14:paraId="619515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沙田福禄沙污水处理厂二期</w:t>
            </w:r>
          </w:p>
        </w:tc>
        <w:tc>
          <w:tcPr>
            <w:tcW w:w="2043" w:type="pct"/>
            <w:shd w:val="clear" w:color="auto" w:fill="FFFFFF"/>
            <w:noWrap w:val="0"/>
            <w:vAlign w:val="center"/>
          </w:tcPr>
          <w:p w14:paraId="22E8FB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东莞市沙田镇洲仔路1号2栋101室</w:t>
            </w:r>
          </w:p>
        </w:tc>
        <w:tc>
          <w:tcPr>
            <w:tcW w:w="857" w:type="pct"/>
            <w:shd w:val="clear" w:color="auto" w:fill="FFFFFF"/>
            <w:noWrap w:val="0"/>
            <w:vAlign w:val="center"/>
          </w:tcPr>
          <w:p w14:paraId="129E0D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865.925 </w:t>
            </w:r>
          </w:p>
        </w:tc>
      </w:tr>
      <w:tr w14:paraId="1F51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0173C3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723" w:type="pct"/>
            <w:shd w:val="clear" w:color="auto" w:fill="FFFFFF"/>
            <w:noWrap w:val="0"/>
            <w:vAlign w:val="center"/>
          </w:tcPr>
          <w:p w14:paraId="484402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大岭山连马污水处理厂二期</w:t>
            </w:r>
          </w:p>
        </w:tc>
        <w:tc>
          <w:tcPr>
            <w:tcW w:w="2043" w:type="pct"/>
            <w:shd w:val="clear" w:color="auto" w:fill="FFFFFF"/>
            <w:noWrap w:val="0"/>
            <w:vAlign w:val="center"/>
          </w:tcPr>
          <w:p w14:paraId="3A7958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东莞市大岭山镇连马路159号102室</w:t>
            </w:r>
          </w:p>
        </w:tc>
        <w:tc>
          <w:tcPr>
            <w:tcW w:w="857" w:type="pct"/>
            <w:shd w:val="clear" w:color="auto" w:fill="FFFFFF"/>
            <w:noWrap w:val="0"/>
            <w:vAlign w:val="center"/>
          </w:tcPr>
          <w:p w14:paraId="699BC9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27FB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082DF9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723" w:type="pct"/>
            <w:shd w:val="clear" w:color="auto" w:fill="FFFFFF"/>
            <w:noWrap w:val="0"/>
            <w:vAlign w:val="center"/>
          </w:tcPr>
          <w:p w14:paraId="3A7751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东城温塘污水处理厂</w:t>
            </w:r>
          </w:p>
        </w:tc>
        <w:tc>
          <w:tcPr>
            <w:tcW w:w="2043" w:type="pct"/>
            <w:shd w:val="clear" w:color="auto" w:fill="FFFFFF"/>
            <w:noWrap w:val="0"/>
            <w:vAlign w:val="center"/>
          </w:tcPr>
          <w:p w14:paraId="588044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东莞市东城街道创盈路东城段86号</w:t>
            </w:r>
          </w:p>
        </w:tc>
        <w:tc>
          <w:tcPr>
            <w:tcW w:w="857" w:type="pct"/>
            <w:shd w:val="clear" w:color="auto" w:fill="FFFFFF"/>
            <w:noWrap w:val="0"/>
            <w:vAlign w:val="center"/>
          </w:tcPr>
          <w:p w14:paraId="4FBA64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6902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73639A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723" w:type="pct"/>
            <w:shd w:val="clear" w:color="auto" w:fill="FFFFFF"/>
            <w:noWrap w:val="0"/>
            <w:vAlign w:val="center"/>
          </w:tcPr>
          <w:p w14:paraId="5D5C81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东城温塘污水处理厂二期</w:t>
            </w:r>
          </w:p>
        </w:tc>
        <w:tc>
          <w:tcPr>
            <w:tcW w:w="2043" w:type="pct"/>
            <w:shd w:val="clear" w:color="auto" w:fill="FFFFFF"/>
            <w:noWrap w:val="0"/>
            <w:vAlign w:val="center"/>
          </w:tcPr>
          <w:p w14:paraId="47B579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东莞市东城街道创盈路东城段86号</w:t>
            </w:r>
          </w:p>
        </w:tc>
        <w:tc>
          <w:tcPr>
            <w:tcW w:w="857" w:type="pct"/>
            <w:shd w:val="clear" w:color="auto" w:fill="FFFFFF"/>
            <w:noWrap w:val="0"/>
            <w:vAlign w:val="center"/>
          </w:tcPr>
          <w:p w14:paraId="20D41B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477A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12D82A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723" w:type="pct"/>
            <w:shd w:val="clear" w:color="auto" w:fill="FFFFFF"/>
            <w:noWrap w:val="0"/>
            <w:vAlign w:val="center"/>
          </w:tcPr>
          <w:p w14:paraId="3C52CC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黄江污水处理厂二期</w:t>
            </w:r>
          </w:p>
        </w:tc>
        <w:tc>
          <w:tcPr>
            <w:tcW w:w="2043" w:type="pct"/>
            <w:shd w:val="clear" w:color="auto" w:fill="FFFFFF"/>
            <w:noWrap w:val="0"/>
            <w:vAlign w:val="center"/>
          </w:tcPr>
          <w:p w14:paraId="31C094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东莞市黄江镇合路村创业一路一号</w:t>
            </w:r>
          </w:p>
        </w:tc>
        <w:tc>
          <w:tcPr>
            <w:tcW w:w="857" w:type="pct"/>
            <w:shd w:val="clear" w:color="auto" w:fill="FFFFFF"/>
            <w:noWrap w:val="0"/>
            <w:vAlign w:val="center"/>
          </w:tcPr>
          <w:p w14:paraId="05D1490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678.790 </w:t>
            </w:r>
          </w:p>
        </w:tc>
      </w:tr>
      <w:tr w14:paraId="0791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4C0A59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723" w:type="pct"/>
            <w:noWrap w:val="0"/>
            <w:vAlign w:val="center"/>
          </w:tcPr>
          <w:p w14:paraId="71C0EA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松山湖北部污水处理厂二期</w:t>
            </w:r>
          </w:p>
        </w:tc>
        <w:tc>
          <w:tcPr>
            <w:tcW w:w="2043" w:type="pct"/>
            <w:noWrap w:val="0"/>
            <w:vAlign w:val="center"/>
          </w:tcPr>
          <w:p w14:paraId="34479A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东莞市松山湖高新科技产业园区工业西三路3号</w:t>
            </w:r>
          </w:p>
        </w:tc>
        <w:tc>
          <w:tcPr>
            <w:tcW w:w="857" w:type="pct"/>
            <w:noWrap w:val="0"/>
            <w:vAlign w:val="center"/>
          </w:tcPr>
          <w:p w14:paraId="522FE2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56FE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6EF162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723" w:type="pct"/>
            <w:shd w:val="clear" w:color="auto" w:fill="FFFFFF"/>
            <w:noWrap w:val="0"/>
            <w:vAlign w:val="center"/>
          </w:tcPr>
          <w:p w14:paraId="4B5D34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寮步竹园污水处理厂二期</w:t>
            </w:r>
          </w:p>
        </w:tc>
        <w:tc>
          <w:tcPr>
            <w:tcW w:w="2043" w:type="pct"/>
            <w:shd w:val="clear" w:color="auto" w:fill="FFFFFF"/>
            <w:noWrap w:val="0"/>
            <w:vAlign w:val="center"/>
          </w:tcPr>
          <w:p w14:paraId="16E379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c>
          <w:tcPr>
            <w:tcW w:w="857" w:type="pct"/>
            <w:shd w:val="clear" w:color="auto" w:fill="FFFFFF"/>
            <w:noWrap w:val="0"/>
            <w:vAlign w:val="center"/>
          </w:tcPr>
          <w:p w14:paraId="2FD880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72EA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123044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723" w:type="pct"/>
            <w:shd w:val="clear" w:color="auto" w:fill="FFFFFF"/>
            <w:noWrap w:val="0"/>
            <w:vAlign w:val="center"/>
          </w:tcPr>
          <w:p w14:paraId="77D6B5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寮步竹园污水处理厂三期</w:t>
            </w:r>
          </w:p>
        </w:tc>
        <w:tc>
          <w:tcPr>
            <w:tcW w:w="2043" w:type="pct"/>
            <w:shd w:val="clear" w:color="auto" w:fill="FFFFFF"/>
            <w:noWrap w:val="0"/>
            <w:vAlign w:val="center"/>
          </w:tcPr>
          <w:p w14:paraId="627642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c>
          <w:tcPr>
            <w:tcW w:w="857" w:type="pct"/>
            <w:shd w:val="clear" w:color="auto" w:fill="FFFFFF"/>
            <w:noWrap w:val="0"/>
            <w:vAlign w:val="center"/>
          </w:tcPr>
          <w:p w14:paraId="0D4C8B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3C44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2B8CCD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723" w:type="pct"/>
            <w:shd w:val="clear" w:color="auto" w:fill="FFFFFF"/>
            <w:noWrap w:val="0"/>
            <w:vAlign w:val="center"/>
          </w:tcPr>
          <w:p w14:paraId="763F9B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大朗松山湖南部污水处理厂二期</w:t>
            </w:r>
          </w:p>
        </w:tc>
        <w:tc>
          <w:tcPr>
            <w:tcW w:w="2043" w:type="pct"/>
            <w:shd w:val="clear" w:color="auto" w:fill="FFFFFF"/>
            <w:noWrap w:val="0"/>
            <w:vAlign w:val="center"/>
          </w:tcPr>
          <w:p w14:paraId="09F9DA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东莞市大朗镇沙步村杨沙路153号十三栋101室</w:t>
            </w:r>
          </w:p>
        </w:tc>
        <w:tc>
          <w:tcPr>
            <w:tcW w:w="857" w:type="pct"/>
            <w:shd w:val="clear" w:color="auto" w:fill="FFFFFF"/>
            <w:noWrap w:val="0"/>
            <w:vAlign w:val="center"/>
          </w:tcPr>
          <w:p w14:paraId="294AAF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597B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0CEC75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723" w:type="pct"/>
            <w:shd w:val="clear" w:color="auto" w:fill="FFFFFF"/>
            <w:noWrap w:val="0"/>
            <w:vAlign w:val="center"/>
          </w:tcPr>
          <w:p w14:paraId="061F46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常平东污水处理厂二期</w:t>
            </w:r>
          </w:p>
        </w:tc>
        <w:tc>
          <w:tcPr>
            <w:tcW w:w="2043" w:type="pct"/>
            <w:shd w:val="clear" w:color="auto" w:fill="FFFFFF"/>
            <w:noWrap w:val="0"/>
            <w:vAlign w:val="center"/>
          </w:tcPr>
          <w:p w14:paraId="0F4108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东莞市常平镇沙湖口村污水处理厂二期</w:t>
            </w:r>
          </w:p>
        </w:tc>
        <w:tc>
          <w:tcPr>
            <w:tcW w:w="857" w:type="pct"/>
            <w:shd w:val="clear" w:color="auto" w:fill="FFFFFF"/>
            <w:noWrap w:val="0"/>
            <w:vAlign w:val="center"/>
          </w:tcPr>
          <w:p w14:paraId="3A321D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6AFE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7A778E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723" w:type="pct"/>
            <w:shd w:val="clear" w:color="auto" w:fill="FFFFFF"/>
            <w:noWrap w:val="0"/>
            <w:vAlign w:val="center"/>
          </w:tcPr>
          <w:p w14:paraId="34E687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常平西污水处理厂二期</w:t>
            </w:r>
          </w:p>
        </w:tc>
        <w:tc>
          <w:tcPr>
            <w:tcW w:w="2043" w:type="pct"/>
            <w:shd w:val="clear" w:color="auto" w:fill="FFFFFF"/>
            <w:noWrap w:val="0"/>
            <w:vAlign w:val="center"/>
          </w:tcPr>
          <w:p w14:paraId="147310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东莞市常平镇常平沿河东一路20号</w:t>
            </w:r>
          </w:p>
        </w:tc>
        <w:tc>
          <w:tcPr>
            <w:tcW w:w="857" w:type="pct"/>
            <w:shd w:val="clear" w:color="auto" w:fill="FFFFFF"/>
            <w:noWrap w:val="0"/>
            <w:vAlign w:val="center"/>
          </w:tcPr>
          <w:p w14:paraId="3FAC48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300D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025A4E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723" w:type="pct"/>
            <w:shd w:val="clear" w:color="auto" w:fill="FFFFFF"/>
            <w:noWrap w:val="0"/>
            <w:vAlign w:val="center"/>
          </w:tcPr>
          <w:p w14:paraId="369427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横沥东坑污水处理厂二期</w:t>
            </w:r>
          </w:p>
        </w:tc>
        <w:tc>
          <w:tcPr>
            <w:tcW w:w="2043" w:type="pct"/>
            <w:shd w:val="clear" w:color="auto" w:fill="FFFFFF"/>
            <w:noWrap w:val="0"/>
            <w:vAlign w:val="center"/>
          </w:tcPr>
          <w:p w14:paraId="7F2531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东莞市横沥镇石涌恒富路1号1号楼101室</w:t>
            </w:r>
          </w:p>
        </w:tc>
        <w:tc>
          <w:tcPr>
            <w:tcW w:w="857" w:type="pct"/>
            <w:shd w:val="clear" w:color="auto" w:fill="FFFFFF"/>
            <w:noWrap w:val="0"/>
            <w:vAlign w:val="center"/>
          </w:tcPr>
          <w:p w14:paraId="2B717E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7E76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526D08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723" w:type="pct"/>
            <w:shd w:val="clear" w:color="auto" w:fill="FFFFFF"/>
            <w:noWrap w:val="0"/>
            <w:vAlign w:val="center"/>
          </w:tcPr>
          <w:p w14:paraId="56F869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黄江梅塘污水处理厂</w:t>
            </w:r>
          </w:p>
        </w:tc>
        <w:tc>
          <w:tcPr>
            <w:tcW w:w="2043" w:type="pct"/>
            <w:shd w:val="clear" w:color="auto" w:fill="FFFFFF"/>
            <w:noWrap w:val="0"/>
            <w:vAlign w:val="center"/>
          </w:tcPr>
          <w:p w14:paraId="5EC1FA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广东省东莞市黄江镇星光村附件</w:t>
            </w:r>
          </w:p>
        </w:tc>
        <w:tc>
          <w:tcPr>
            <w:tcW w:w="857" w:type="pct"/>
            <w:shd w:val="clear" w:color="auto" w:fill="FFFFFF"/>
            <w:noWrap w:val="0"/>
            <w:vAlign w:val="center"/>
          </w:tcPr>
          <w:p w14:paraId="4C1FA8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643C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4DBB89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723" w:type="pct"/>
            <w:shd w:val="clear" w:color="auto" w:fill="FFFFFF"/>
            <w:noWrap w:val="0"/>
            <w:vAlign w:val="center"/>
          </w:tcPr>
          <w:p w14:paraId="731BEF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松山湖国家高新区工业污水处理厂改造项目</w:t>
            </w:r>
          </w:p>
        </w:tc>
        <w:tc>
          <w:tcPr>
            <w:tcW w:w="2043" w:type="pct"/>
            <w:shd w:val="clear" w:color="auto" w:fill="FFFFFF"/>
            <w:noWrap w:val="0"/>
            <w:vAlign w:val="center"/>
          </w:tcPr>
          <w:p w14:paraId="408E2E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857" w:type="pct"/>
            <w:shd w:val="clear" w:color="auto" w:fill="FFFFFF"/>
            <w:noWrap w:val="0"/>
            <w:vAlign w:val="center"/>
          </w:tcPr>
          <w:p w14:paraId="39F327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2881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6EF73DA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1723" w:type="pct"/>
            <w:shd w:val="clear" w:color="auto" w:fill="FFFFFF"/>
            <w:noWrap w:val="0"/>
            <w:vAlign w:val="center"/>
          </w:tcPr>
          <w:p w14:paraId="24BBF8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凤岗虾公潭污水处理厂</w:t>
            </w:r>
          </w:p>
        </w:tc>
        <w:tc>
          <w:tcPr>
            <w:tcW w:w="2043" w:type="pct"/>
            <w:shd w:val="clear" w:color="auto" w:fill="FFFFFF"/>
            <w:noWrap w:val="0"/>
            <w:vAlign w:val="center"/>
          </w:tcPr>
          <w:p w14:paraId="3B74027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东莞市凤岗镇油甘埔村同兴路3号101</w:t>
            </w:r>
          </w:p>
        </w:tc>
        <w:tc>
          <w:tcPr>
            <w:tcW w:w="857" w:type="pct"/>
            <w:shd w:val="clear" w:color="auto" w:fill="FFFFFF"/>
            <w:noWrap w:val="0"/>
            <w:vAlign w:val="center"/>
          </w:tcPr>
          <w:p w14:paraId="30B789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463.782 </w:t>
            </w:r>
          </w:p>
        </w:tc>
      </w:tr>
      <w:tr w14:paraId="76B6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4F8F19A8">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29</w:t>
            </w:r>
          </w:p>
        </w:tc>
        <w:tc>
          <w:tcPr>
            <w:tcW w:w="1723" w:type="pct"/>
            <w:shd w:val="clear" w:color="auto" w:fill="FFFFFF"/>
            <w:noWrap w:val="0"/>
            <w:vAlign w:val="center"/>
          </w:tcPr>
          <w:p w14:paraId="450365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桥头污水处理厂二期</w:t>
            </w:r>
          </w:p>
        </w:tc>
        <w:tc>
          <w:tcPr>
            <w:tcW w:w="2043" w:type="pct"/>
            <w:shd w:val="clear" w:color="auto" w:fill="FFFFFF"/>
            <w:noWrap w:val="0"/>
            <w:vAlign w:val="center"/>
          </w:tcPr>
          <w:p w14:paraId="2DE2B6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东莞市桥头镇东深路桥头段6号2号楼</w:t>
            </w:r>
          </w:p>
        </w:tc>
        <w:tc>
          <w:tcPr>
            <w:tcW w:w="857" w:type="pct"/>
            <w:shd w:val="clear" w:color="auto" w:fill="FFFFFF"/>
            <w:noWrap w:val="0"/>
            <w:vAlign w:val="center"/>
          </w:tcPr>
          <w:p w14:paraId="66E64F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475.721 </w:t>
            </w:r>
          </w:p>
        </w:tc>
      </w:tr>
      <w:tr w14:paraId="129F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297281FC">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30</w:t>
            </w:r>
          </w:p>
        </w:tc>
        <w:tc>
          <w:tcPr>
            <w:tcW w:w="1723" w:type="pct"/>
            <w:shd w:val="clear" w:color="auto" w:fill="FFFFFF"/>
            <w:noWrap w:val="0"/>
            <w:vAlign w:val="center"/>
          </w:tcPr>
          <w:p w14:paraId="625E55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谢岗污水处理厂二期</w:t>
            </w:r>
          </w:p>
        </w:tc>
        <w:tc>
          <w:tcPr>
            <w:tcW w:w="2043" w:type="pct"/>
            <w:shd w:val="clear" w:color="auto" w:fill="FFFFFF"/>
            <w:noWrap w:val="0"/>
            <w:vAlign w:val="center"/>
          </w:tcPr>
          <w:p w14:paraId="129A74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东莞市谢岗镇禾尚岗路16号</w:t>
            </w:r>
          </w:p>
        </w:tc>
        <w:tc>
          <w:tcPr>
            <w:tcW w:w="857" w:type="pct"/>
            <w:shd w:val="clear" w:color="auto" w:fill="FFFFFF"/>
            <w:noWrap w:val="0"/>
            <w:vAlign w:val="center"/>
          </w:tcPr>
          <w:p w14:paraId="47A611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935.394 </w:t>
            </w:r>
          </w:p>
        </w:tc>
      </w:tr>
      <w:tr w14:paraId="564F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0DC7E0C6">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31</w:t>
            </w:r>
          </w:p>
        </w:tc>
        <w:tc>
          <w:tcPr>
            <w:tcW w:w="1723" w:type="pct"/>
            <w:shd w:val="clear" w:color="auto" w:fill="FFFFFF"/>
            <w:noWrap w:val="0"/>
            <w:vAlign w:val="center"/>
          </w:tcPr>
          <w:p w14:paraId="61CEAE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凤岗竹塘污水处理厂二期</w:t>
            </w:r>
          </w:p>
        </w:tc>
        <w:tc>
          <w:tcPr>
            <w:tcW w:w="2043" w:type="pct"/>
            <w:shd w:val="clear" w:color="auto" w:fill="FFFFFF"/>
            <w:noWrap w:val="0"/>
            <w:vAlign w:val="center"/>
          </w:tcPr>
          <w:p w14:paraId="7E5C98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凤岗镇竹塘村浸校塘组</w:t>
            </w:r>
          </w:p>
        </w:tc>
        <w:tc>
          <w:tcPr>
            <w:tcW w:w="857" w:type="pct"/>
            <w:shd w:val="clear" w:color="auto" w:fill="FFFFFF"/>
            <w:noWrap w:val="0"/>
            <w:vAlign w:val="center"/>
          </w:tcPr>
          <w:p w14:paraId="6B66B2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913.113 </w:t>
            </w:r>
          </w:p>
        </w:tc>
      </w:tr>
      <w:tr w14:paraId="1DD1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7121F8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723" w:type="pct"/>
            <w:shd w:val="clear" w:color="auto" w:fill="FFFFFF"/>
            <w:noWrap w:val="0"/>
            <w:vAlign w:val="center"/>
          </w:tcPr>
          <w:p w14:paraId="5B743E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塘厦林村污水处理厂二期</w:t>
            </w:r>
          </w:p>
        </w:tc>
        <w:tc>
          <w:tcPr>
            <w:tcW w:w="2043" w:type="pct"/>
            <w:shd w:val="clear" w:color="auto" w:fill="FFFFFF"/>
            <w:noWrap w:val="0"/>
            <w:vAlign w:val="center"/>
          </w:tcPr>
          <w:p w14:paraId="7B3CE5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塘厦镇林村村委会鸡爪桥猪仔沥</w:t>
            </w:r>
          </w:p>
        </w:tc>
        <w:tc>
          <w:tcPr>
            <w:tcW w:w="857" w:type="pct"/>
            <w:shd w:val="clear" w:color="auto" w:fill="FFFFFF"/>
            <w:noWrap w:val="0"/>
            <w:vAlign w:val="center"/>
          </w:tcPr>
          <w:p w14:paraId="771683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66A1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5AA8BD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723" w:type="pct"/>
            <w:shd w:val="clear" w:color="auto" w:fill="FFFFFF"/>
            <w:noWrap w:val="0"/>
            <w:vAlign w:val="center"/>
          </w:tcPr>
          <w:p w14:paraId="0144D7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樟木头污水处理厂三期</w:t>
            </w:r>
          </w:p>
        </w:tc>
        <w:tc>
          <w:tcPr>
            <w:tcW w:w="2043" w:type="pct"/>
            <w:shd w:val="clear" w:color="auto" w:fill="FFFFFF"/>
            <w:noWrap w:val="0"/>
            <w:vAlign w:val="center"/>
          </w:tcPr>
          <w:p w14:paraId="1945F9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樟木头镇柏地社区柏峰路169号</w:t>
            </w:r>
          </w:p>
        </w:tc>
        <w:tc>
          <w:tcPr>
            <w:tcW w:w="857" w:type="pct"/>
            <w:shd w:val="clear" w:color="auto" w:fill="FFFFFF"/>
            <w:noWrap w:val="0"/>
            <w:vAlign w:val="center"/>
          </w:tcPr>
          <w:p w14:paraId="641EA2D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5020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2A4CEC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723" w:type="pct"/>
            <w:shd w:val="clear" w:color="auto" w:fill="FFFFFF"/>
            <w:noWrap w:val="0"/>
            <w:vAlign w:val="center"/>
          </w:tcPr>
          <w:p w14:paraId="519BA7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樟木头裕丰</w:t>
            </w:r>
          </w:p>
        </w:tc>
        <w:tc>
          <w:tcPr>
            <w:tcW w:w="2043" w:type="pct"/>
            <w:shd w:val="clear" w:color="auto" w:fill="FFFFFF"/>
            <w:noWrap w:val="0"/>
            <w:vAlign w:val="center"/>
          </w:tcPr>
          <w:p w14:paraId="43B0B5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东莞市樟木头镇裕丰社区莞樟东路西侧</w:t>
            </w:r>
          </w:p>
        </w:tc>
        <w:tc>
          <w:tcPr>
            <w:tcW w:w="857" w:type="pct"/>
            <w:shd w:val="clear" w:color="auto" w:fill="FFFFFF"/>
            <w:noWrap w:val="0"/>
            <w:vAlign w:val="center"/>
          </w:tcPr>
          <w:p w14:paraId="7D0380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6502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7D8F87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723" w:type="pct"/>
            <w:shd w:val="clear" w:color="auto" w:fill="FFFFFF"/>
            <w:noWrap w:val="0"/>
            <w:vAlign w:val="center"/>
          </w:tcPr>
          <w:p w14:paraId="409436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塘厦白泥湖水质净化厂改造工程</w:t>
            </w:r>
          </w:p>
        </w:tc>
        <w:tc>
          <w:tcPr>
            <w:tcW w:w="2043" w:type="pct"/>
            <w:shd w:val="clear" w:color="auto" w:fill="FFFFFF"/>
            <w:noWrap w:val="0"/>
            <w:vAlign w:val="center"/>
          </w:tcPr>
          <w:p w14:paraId="03EC91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东莞市塘厦镇塘厦南一横路21号</w:t>
            </w:r>
          </w:p>
        </w:tc>
        <w:tc>
          <w:tcPr>
            <w:tcW w:w="857" w:type="pct"/>
            <w:shd w:val="clear" w:color="auto" w:fill="FFFFFF"/>
            <w:noWrap w:val="0"/>
            <w:vAlign w:val="center"/>
          </w:tcPr>
          <w:p w14:paraId="197007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198D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10CB63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723" w:type="pct"/>
            <w:shd w:val="clear" w:color="auto" w:fill="FFFFFF"/>
            <w:noWrap w:val="0"/>
            <w:vAlign w:val="center"/>
          </w:tcPr>
          <w:p w14:paraId="6C211D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竹塘污水处理厂三期</w:t>
            </w:r>
          </w:p>
        </w:tc>
        <w:tc>
          <w:tcPr>
            <w:tcW w:w="2043" w:type="pct"/>
            <w:shd w:val="clear" w:color="auto" w:fill="FFFFFF"/>
            <w:noWrap w:val="0"/>
            <w:vAlign w:val="center"/>
          </w:tcPr>
          <w:p w14:paraId="57EE47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凤岗镇竹塘村浸校塘组</w:t>
            </w:r>
          </w:p>
        </w:tc>
        <w:tc>
          <w:tcPr>
            <w:tcW w:w="857" w:type="pct"/>
            <w:shd w:val="clear" w:color="auto" w:fill="FFFFFF"/>
            <w:noWrap w:val="0"/>
            <w:vAlign w:val="center"/>
          </w:tcPr>
          <w:p w14:paraId="638F5E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7B09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68C656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723" w:type="pct"/>
            <w:shd w:val="clear" w:color="auto" w:fill="FFFFFF"/>
            <w:noWrap w:val="0"/>
            <w:vAlign w:val="center"/>
          </w:tcPr>
          <w:p w14:paraId="0B2647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清溪厦坭污水处理厂二期</w:t>
            </w:r>
          </w:p>
        </w:tc>
        <w:tc>
          <w:tcPr>
            <w:tcW w:w="2043" w:type="pct"/>
            <w:shd w:val="clear" w:color="auto" w:fill="FFFFFF"/>
            <w:noWrap w:val="0"/>
            <w:vAlign w:val="center"/>
          </w:tcPr>
          <w:p w14:paraId="42A16D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东莞市清溪镇江背路33号</w:t>
            </w:r>
          </w:p>
        </w:tc>
        <w:tc>
          <w:tcPr>
            <w:tcW w:w="857" w:type="pct"/>
            <w:shd w:val="clear" w:color="auto" w:fill="FFFFFF"/>
            <w:noWrap w:val="0"/>
            <w:vAlign w:val="center"/>
          </w:tcPr>
          <w:p w14:paraId="114CDC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887.463 </w:t>
            </w:r>
          </w:p>
        </w:tc>
      </w:tr>
      <w:tr w14:paraId="6AEE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000" w:type="pct"/>
            <w:gridSpan w:val="4"/>
            <w:shd w:val="clear" w:color="auto" w:fill="FFFFFF"/>
            <w:noWrap w:val="0"/>
            <w:vAlign w:val="center"/>
          </w:tcPr>
          <w:p w14:paraId="3A76414B">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（二）提标项目</w:t>
            </w:r>
          </w:p>
        </w:tc>
      </w:tr>
      <w:tr w14:paraId="6F18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25E287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3" w:type="pct"/>
            <w:shd w:val="clear" w:color="auto" w:fill="FFFFFF"/>
            <w:noWrap w:val="0"/>
            <w:vAlign w:val="center"/>
          </w:tcPr>
          <w:p w14:paraId="1275FD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石碣沙腰污水处理厂二期提标</w:t>
            </w:r>
          </w:p>
        </w:tc>
        <w:tc>
          <w:tcPr>
            <w:tcW w:w="2043" w:type="pct"/>
            <w:shd w:val="clear" w:color="auto" w:fill="FFFFFF"/>
            <w:noWrap w:val="0"/>
            <w:vAlign w:val="center"/>
          </w:tcPr>
          <w:p w14:paraId="75D1DA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c>
          <w:tcPr>
            <w:tcW w:w="857" w:type="pct"/>
            <w:shd w:val="clear" w:color="auto" w:fill="FFFFFF"/>
            <w:noWrap w:val="0"/>
            <w:vAlign w:val="center"/>
          </w:tcPr>
          <w:p w14:paraId="416732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176D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459DEC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23" w:type="pct"/>
            <w:shd w:val="clear" w:color="auto" w:fill="FFFFFF"/>
            <w:noWrap w:val="0"/>
            <w:vAlign w:val="center"/>
          </w:tcPr>
          <w:p w14:paraId="70DBDE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望洪污水处理厂一期提标工程</w:t>
            </w:r>
          </w:p>
        </w:tc>
        <w:tc>
          <w:tcPr>
            <w:tcW w:w="2043" w:type="pct"/>
            <w:shd w:val="clear" w:color="auto" w:fill="FFFFFF"/>
            <w:noWrap w:val="0"/>
            <w:vAlign w:val="center"/>
          </w:tcPr>
          <w:p w14:paraId="7CAFFB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东莞市望牛墩镇朱平沙村</w:t>
            </w:r>
          </w:p>
        </w:tc>
        <w:tc>
          <w:tcPr>
            <w:tcW w:w="857" w:type="pct"/>
            <w:shd w:val="clear" w:color="auto" w:fill="FFFFFF"/>
            <w:noWrap w:val="0"/>
            <w:vAlign w:val="center"/>
          </w:tcPr>
          <w:p w14:paraId="04D05F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086E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1194FB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23" w:type="pct"/>
            <w:shd w:val="clear" w:color="auto" w:fill="FFFFFF"/>
            <w:noWrap w:val="0"/>
            <w:vAlign w:val="center"/>
          </w:tcPr>
          <w:p w14:paraId="1BC8B3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麻涌污水处理厂一期提标工程</w:t>
            </w:r>
          </w:p>
        </w:tc>
        <w:tc>
          <w:tcPr>
            <w:tcW w:w="2043" w:type="pct"/>
            <w:shd w:val="clear" w:color="auto" w:fill="FFFFFF"/>
            <w:noWrap w:val="0"/>
            <w:vAlign w:val="center"/>
          </w:tcPr>
          <w:p w14:paraId="38B7FB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东莞市麻涌镇新沙公园南一路9号</w:t>
            </w:r>
          </w:p>
        </w:tc>
        <w:tc>
          <w:tcPr>
            <w:tcW w:w="857" w:type="pct"/>
            <w:shd w:val="clear" w:color="auto" w:fill="FFFFFF"/>
            <w:noWrap w:val="0"/>
            <w:vAlign w:val="center"/>
          </w:tcPr>
          <w:p w14:paraId="0299F3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728D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6F0CFB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23" w:type="pct"/>
            <w:shd w:val="clear" w:color="auto" w:fill="FFFFFF"/>
            <w:noWrap w:val="0"/>
            <w:vAlign w:val="center"/>
          </w:tcPr>
          <w:p w14:paraId="4C607A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石碣沙腰污水处理厂一期提标工程</w:t>
            </w:r>
          </w:p>
        </w:tc>
        <w:tc>
          <w:tcPr>
            <w:tcW w:w="2043" w:type="pct"/>
            <w:shd w:val="clear" w:color="auto" w:fill="FFFFFF"/>
            <w:noWrap w:val="0"/>
            <w:vAlign w:val="center"/>
          </w:tcPr>
          <w:p w14:paraId="0C113A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c>
          <w:tcPr>
            <w:tcW w:w="857" w:type="pct"/>
            <w:shd w:val="clear" w:color="auto" w:fill="FFFFFF"/>
            <w:noWrap w:val="0"/>
            <w:vAlign w:val="center"/>
          </w:tcPr>
          <w:p w14:paraId="6416F55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621C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41AA69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23" w:type="pct"/>
            <w:shd w:val="clear" w:color="auto" w:fill="FFFFFF"/>
            <w:noWrap w:val="0"/>
            <w:vAlign w:val="center"/>
          </w:tcPr>
          <w:p w14:paraId="5A4E74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市区污水处理厂提标工程</w:t>
            </w:r>
          </w:p>
        </w:tc>
        <w:tc>
          <w:tcPr>
            <w:tcW w:w="2043" w:type="pct"/>
            <w:shd w:val="clear" w:color="auto" w:fill="FFFFFF"/>
            <w:noWrap w:val="0"/>
            <w:vAlign w:val="center"/>
          </w:tcPr>
          <w:p w14:paraId="3EDD90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东莞市南城街道滨河路100号</w:t>
            </w:r>
          </w:p>
        </w:tc>
        <w:tc>
          <w:tcPr>
            <w:tcW w:w="857" w:type="pct"/>
            <w:shd w:val="clear" w:color="auto" w:fill="FFFFFF"/>
            <w:noWrap w:val="0"/>
            <w:vAlign w:val="center"/>
          </w:tcPr>
          <w:p w14:paraId="4CDE37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7F3C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771E68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723" w:type="pct"/>
            <w:shd w:val="clear" w:color="auto" w:fill="FFFFFF"/>
            <w:noWrap w:val="0"/>
            <w:vAlign w:val="center"/>
          </w:tcPr>
          <w:p w14:paraId="2B8A17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虎门海岛污水处理厂一期提标工程</w:t>
            </w:r>
          </w:p>
        </w:tc>
        <w:tc>
          <w:tcPr>
            <w:tcW w:w="2043" w:type="pct"/>
            <w:shd w:val="clear" w:color="auto" w:fill="FFFFFF"/>
            <w:noWrap w:val="0"/>
            <w:vAlign w:val="center"/>
          </w:tcPr>
          <w:p w14:paraId="7FB810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东莞市虎门镇威远岛武山沙五围</w:t>
            </w:r>
          </w:p>
        </w:tc>
        <w:tc>
          <w:tcPr>
            <w:tcW w:w="857" w:type="pct"/>
            <w:shd w:val="clear" w:color="auto" w:fill="FFFFFF"/>
            <w:noWrap w:val="0"/>
            <w:vAlign w:val="center"/>
          </w:tcPr>
          <w:p w14:paraId="45A550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28AE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1168C5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23" w:type="pct"/>
            <w:shd w:val="clear" w:color="auto" w:fill="FFFFFF"/>
            <w:noWrap w:val="0"/>
            <w:vAlign w:val="center"/>
          </w:tcPr>
          <w:p w14:paraId="117502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虎门宁洲污水处理厂一期提标工程</w:t>
            </w:r>
          </w:p>
        </w:tc>
        <w:tc>
          <w:tcPr>
            <w:tcW w:w="2043" w:type="pct"/>
            <w:shd w:val="clear" w:color="auto" w:fill="FFFFFF"/>
            <w:noWrap w:val="0"/>
            <w:vAlign w:val="center"/>
          </w:tcPr>
          <w:p w14:paraId="79352A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东莞市虎门镇南栅第六工业区民昌路十巷5号</w:t>
            </w:r>
          </w:p>
        </w:tc>
        <w:tc>
          <w:tcPr>
            <w:tcW w:w="857" w:type="pct"/>
            <w:shd w:val="clear" w:color="auto" w:fill="FFFFFF"/>
            <w:noWrap w:val="0"/>
            <w:vAlign w:val="center"/>
          </w:tcPr>
          <w:p w14:paraId="5B47350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627E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573B28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723" w:type="pct"/>
            <w:shd w:val="clear" w:color="auto" w:fill="FFFFFF"/>
            <w:noWrap w:val="0"/>
            <w:vAlign w:val="center"/>
          </w:tcPr>
          <w:p w14:paraId="133F66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长安锦厦三洲水质净化厂提标工程</w:t>
            </w:r>
          </w:p>
        </w:tc>
        <w:tc>
          <w:tcPr>
            <w:tcW w:w="2043" w:type="pct"/>
            <w:shd w:val="clear" w:color="auto" w:fill="FFFFFF"/>
            <w:noWrap w:val="0"/>
            <w:vAlign w:val="center"/>
          </w:tcPr>
          <w:p w14:paraId="434359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东莞市长安镇锦厦三洲路2号</w:t>
            </w:r>
          </w:p>
        </w:tc>
        <w:tc>
          <w:tcPr>
            <w:tcW w:w="857" w:type="pct"/>
            <w:shd w:val="clear" w:color="auto" w:fill="FFFFFF"/>
            <w:noWrap w:val="0"/>
            <w:vAlign w:val="center"/>
          </w:tcPr>
          <w:p w14:paraId="073A46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6EFA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03AACB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723" w:type="pct"/>
            <w:shd w:val="clear" w:color="auto" w:fill="FFFFFF"/>
            <w:noWrap w:val="0"/>
            <w:vAlign w:val="center"/>
          </w:tcPr>
          <w:p w14:paraId="780E88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东城牛山污水处理厂一期提标工程</w:t>
            </w:r>
          </w:p>
        </w:tc>
        <w:tc>
          <w:tcPr>
            <w:tcW w:w="2043" w:type="pct"/>
            <w:shd w:val="clear" w:color="auto" w:fill="FFFFFF"/>
            <w:noWrap w:val="0"/>
            <w:vAlign w:val="center"/>
          </w:tcPr>
          <w:p w14:paraId="7507E5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东莞市东城牛山老围村工业区象山路1号</w:t>
            </w:r>
          </w:p>
        </w:tc>
        <w:tc>
          <w:tcPr>
            <w:tcW w:w="857" w:type="pct"/>
            <w:shd w:val="clear" w:color="auto" w:fill="FFFFFF"/>
            <w:noWrap w:val="0"/>
            <w:vAlign w:val="center"/>
          </w:tcPr>
          <w:p w14:paraId="525564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2950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0868E5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723" w:type="pct"/>
            <w:shd w:val="clear" w:color="auto" w:fill="FFFFFF"/>
            <w:noWrap w:val="0"/>
            <w:vAlign w:val="center"/>
          </w:tcPr>
          <w:p w14:paraId="7606B0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黄江污水处理厂一期提标工程</w:t>
            </w:r>
          </w:p>
        </w:tc>
        <w:tc>
          <w:tcPr>
            <w:tcW w:w="2043" w:type="pct"/>
            <w:shd w:val="clear" w:color="auto" w:fill="FFFFFF"/>
            <w:noWrap w:val="0"/>
            <w:vAlign w:val="center"/>
          </w:tcPr>
          <w:p w14:paraId="52FDE6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东莞市黄江镇合路创业一路1号</w:t>
            </w:r>
          </w:p>
        </w:tc>
        <w:tc>
          <w:tcPr>
            <w:tcW w:w="857" w:type="pct"/>
            <w:shd w:val="clear" w:color="auto" w:fill="FFFFFF"/>
            <w:noWrap w:val="0"/>
            <w:vAlign w:val="center"/>
          </w:tcPr>
          <w:p w14:paraId="49626F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730D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1A5242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723" w:type="pct"/>
            <w:shd w:val="clear" w:color="auto" w:fill="FFFFFF"/>
            <w:noWrap w:val="0"/>
            <w:vAlign w:val="center"/>
          </w:tcPr>
          <w:p w14:paraId="568071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大朗松山湖南部污水处理厂一期提标工程</w:t>
            </w:r>
          </w:p>
        </w:tc>
        <w:tc>
          <w:tcPr>
            <w:tcW w:w="2043" w:type="pct"/>
            <w:shd w:val="clear" w:color="auto" w:fill="FFFFFF"/>
            <w:noWrap w:val="0"/>
            <w:vAlign w:val="center"/>
          </w:tcPr>
          <w:p w14:paraId="0E542E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东莞市大朗镇沙步村杨沙路153号</w:t>
            </w:r>
          </w:p>
        </w:tc>
        <w:tc>
          <w:tcPr>
            <w:tcW w:w="857" w:type="pct"/>
            <w:shd w:val="clear" w:color="auto" w:fill="FFFFFF"/>
            <w:noWrap w:val="0"/>
            <w:vAlign w:val="center"/>
          </w:tcPr>
          <w:p w14:paraId="08F5D0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1737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28CB47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23" w:type="pct"/>
            <w:shd w:val="clear" w:color="auto" w:fill="FFFFFF"/>
            <w:noWrap w:val="0"/>
            <w:vAlign w:val="center"/>
          </w:tcPr>
          <w:p w14:paraId="37B993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凤岗竹塘污水处理厂一期提标</w:t>
            </w:r>
          </w:p>
        </w:tc>
        <w:tc>
          <w:tcPr>
            <w:tcW w:w="2043" w:type="pct"/>
            <w:shd w:val="clear" w:color="auto" w:fill="FFFFFF"/>
            <w:noWrap w:val="0"/>
            <w:vAlign w:val="center"/>
          </w:tcPr>
          <w:p w14:paraId="749F0C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东莞市凤岗镇竹塘村浸校塘组</w:t>
            </w:r>
          </w:p>
        </w:tc>
        <w:tc>
          <w:tcPr>
            <w:tcW w:w="857" w:type="pct"/>
            <w:shd w:val="clear" w:color="auto" w:fill="FFFFFF"/>
            <w:noWrap w:val="0"/>
            <w:vAlign w:val="center"/>
          </w:tcPr>
          <w:p w14:paraId="3AB36A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4460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73D41C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723" w:type="pct"/>
            <w:shd w:val="clear" w:color="auto" w:fill="FFFFFF"/>
            <w:noWrap w:val="0"/>
            <w:vAlign w:val="center"/>
          </w:tcPr>
          <w:p w14:paraId="7C7FF7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凤岗虾公潭污水处理厂提标工程</w:t>
            </w:r>
          </w:p>
        </w:tc>
        <w:tc>
          <w:tcPr>
            <w:tcW w:w="2043" w:type="pct"/>
            <w:shd w:val="clear" w:color="auto" w:fill="FFFFFF"/>
            <w:noWrap w:val="0"/>
            <w:vAlign w:val="center"/>
          </w:tcPr>
          <w:p w14:paraId="0ED603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东莞市凤岗镇油甘埔村同兴路3号101</w:t>
            </w:r>
          </w:p>
        </w:tc>
        <w:tc>
          <w:tcPr>
            <w:tcW w:w="857" w:type="pct"/>
            <w:shd w:val="clear" w:color="auto" w:fill="FFFFFF"/>
            <w:noWrap w:val="0"/>
            <w:vAlign w:val="center"/>
          </w:tcPr>
          <w:p w14:paraId="28063D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136.089 </w:t>
            </w:r>
          </w:p>
        </w:tc>
      </w:tr>
      <w:tr w14:paraId="3413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28A82E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723" w:type="pct"/>
            <w:shd w:val="clear" w:color="auto" w:fill="FFFFFF"/>
            <w:noWrap w:val="0"/>
            <w:vAlign w:val="center"/>
          </w:tcPr>
          <w:p w14:paraId="55BCF2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谢岗污水处理厂一期提标工程</w:t>
            </w:r>
          </w:p>
        </w:tc>
        <w:tc>
          <w:tcPr>
            <w:tcW w:w="2043" w:type="pct"/>
            <w:shd w:val="clear" w:color="auto" w:fill="FFFFFF"/>
            <w:noWrap w:val="0"/>
            <w:vAlign w:val="center"/>
          </w:tcPr>
          <w:p w14:paraId="01E696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东莞市谢岗镇禾尚岗路16号</w:t>
            </w:r>
          </w:p>
        </w:tc>
        <w:tc>
          <w:tcPr>
            <w:tcW w:w="857" w:type="pct"/>
            <w:shd w:val="clear" w:color="auto" w:fill="FFFFFF"/>
            <w:noWrap w:val="0"/>
            <w:vAlign w:val="center"/>
          </w:tcPr>
          <w:p w14:paraId="1DB182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7DC7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7B64DF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723" w:type="pct"/>
            <w:shd w:val="clear" w:color="auto" w:fill="FFFFFF"/>
            <w:noWrap w:val="0"/>
            <w:vAlign w:val="center"/>
          </w:tcPr>
          <w:p w14:paraId="5D0F30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塘厦林村一期提标</w:t>
            </w:r>
          </w:p>
        </w:tc>
        <w:tc>
          <w:tcPr>
            <w:tcW w:w="2043" w:type="pct"/>
            <w:shd w:val="clear" w:color="auto" w:fill="FFFFFF"/>
            <w:noWrap w:val="0"/>
            <w:vAlign w:val="center"/>
          </w:tcPr>
          <w:p w14:paraId="50E976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塘厦镇林村村委会鸡爪桥猪仔沥</w:t>
            </w:r>
          </w:p>
        </w:tc>
        <w:tc>
          <w:tcPr>
            <w:tcW w:w="857" w:type="pct"/>
            <w:shd w:val="clear" w:color="auto" w:fill="FFFFFF"/>
            <w:noWrap w:val="0"/>
            <w:vAlign w:val="center"/>
          </w:tcPr>
          <w:p w14:paraId="77F918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3A09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2FE089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723" w:type="pct"/>
            <w:shd w:val="clear" w:color="auto" w:fill="FFFFFF"/>
            <w:noWrap w:val="0"/>
            <w:vAlign w:val="center"/>
          </w:tcPr>
          <w:p w14:paraId="5FB7FD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桥头污水处理厂一期提标工程</w:t>
            </w:r>
          </w:p>
        </w:tc>
        <w:tc>
          <w:tcPr>
            <w:tcW w:w="2043" w:type="pct"/>
            <w:shd w:val="clear" w:color="auto" w:fill="FFFFFF"/>
            <w:noWrap w:val="0"/>
            <w:vAlign w:val="center"/>
          </w:tcPr>
          <w:p w14:paraId="0572B9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东莞市桥头镇东深路8号</w:t>
            </w:r>
          </w:p>
        </w:tc>
        <w:tc>
          <w:tcPr>
            <w:tcW w:w="857" w:type="pct"/>
            <w:shd w:val="clear" w:color="auto" w:fill="FFFFFF"/>
            <w:noWrap w:val="0"/>
            <w:vAlign w:val="center"/>
          </w:tcPr>
          <w:p w14:paraId="1BF4E6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05B3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3D7D87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723" w:type="pct"/>
            <w:shd w:val="clear" w:color="auto" w:fill="FFFFFF"/>
            <w:noWrap w:val="0"/>
            <w:vAlign w:val="center"/>
          </w:tcPr>
          <w:p w14:paraId="62C4A5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樟木头污水处理厂一二期提标工程</w:t>
            </w:r>
          </w:p>
        </w:tc>
        <w:tc>
          <w:tcPr>
            <w:tcW w:w="2043" w:type="pct"/>
            <w:shd w:val="clear" w:color="auto" w:fill="FFFFFF"/>
            <w:noWrap w:val="0"/>
            <w:vAlign w:val="center"/>
          </w:tcPr>
          <w:p w14:paraId="3F6472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东莞市樟木头镇柏地旗岭村柏峰路169号</w:t>
            </w:r>
          </w:p>
        </w:tc>
        <w:tc>
          <w:tcPr>
            <w:tcW w:w="857" w:type="pct"/>
            <w:shd w:val="clear" w:color="auto" w:fill="FFFFFF"/>
            <w:noWrap w:val="0"/>
            <w:vAlign w:val="center"/>
          </w:tcPr>
          <w:p w14:paraId="6A004F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19B1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32134F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723" w:type="pct"/>
            <w:shd w:val="clear" w:color="auto" w:fill="FFFFFF"/>
            <w:noWrap w:val="0"/>
            <w:vAlign w:val="center"/>
          </w:tcPr>
          <w:p w14:paraId="63C5C8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清溪厦坭污水处理厂一期提标工程</w:t>
            </w:r>
          </w:p>
        </w:tc>
        <w:tc>
          <w:tcPr>
            <w:tcW w:w="2043" w:type="pct"/>
            <w:shd w:val="clear" w:color="auto" w:fill="FFFFFF"/>
            <w:noWrap w:val="0"/>
            <w:vAlign w:val="center"/>
          </w:tcPr>
          <w:p w14:paraId="3BA78F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东莞市清溪镇厦坭村江背路75号</w:t>
            </w:r>
          </w:p>
        </w:tc>
        <w:tc>
          <w:tcPr>
            <w:tcW w:w="857" w:type="pct"/>
            <w:shd w:val="clear" w:color="auto" w:fill="FFFFFF"/>
            <w:noWrap w:val="0"/>
            <w:vAlign w:val="center"/>
          </w:tcPr>
          <w:p w14:paraId="025ECD0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55F9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100603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723" w:type="pct"/>
            <w:shd w:val="clear" w:color="auto" w:fill="FFFFFF"/>
            <w:noWrap w:val="0"/>
            <w:vAlign w:val="center"/>
          </w:tcPr>
          <w:p w14:paraId="5759D0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塘厦石桥头污水处理厂提标工程</w:t>
            </w:r>
          </w:p>
        </w:tc>
        <w:tc>
          <w:tcPr>
            <w:tcW w:w="2043" w:type="pct"/>
            <w:shd w:val="clear" w:color="auto" w:fill="FFFFFF"/>
            <w:noWrap w:val="0"/>
            <w:vAlign w:val="center"/>
          </w:tcPr>
          <w:p w14:paraId="066BBB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东莞市塘厦镇凤凰岗村环市南路132号</w:t>
            </w:r>
          </w:p>
        </w:tc>
        <w:tc>
          <w:tcPr>
            <w:tcW w:w="857" w:type="pct"/>
            <w:shd w:val="clear" w:color="auto" w:fill="FFFFFF"/>
            <w:noWrap w:val="0"/>
            <w:vAlign w:val="center"/>
          </w:tcPr>
          <w:p w14:paraId="3A2A23F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491B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319B8E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723" w:type="pct"/>
            <w:shd w:val="clear" w:color="auto" w:fill="FFFFFF"/>
            <w:noWrap w:val="0"/>
            <w:vAlign w:val="center"/>
          </w:tcPr>
          <w:p w14:paraId="54A3D0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凤岗雁田污水处理厂提标工程</w:t>
            </w:r>
          </w:p>
        </w:tc>
        <w:tc>
          <w:tcPr>
            <w:tcW w:w="2043" w:type="pct"/>
            <w:shd w:val="clear" w:color="auto" w:fill="FFFFFF"/>
            <w:noWrap w:val="0"/>
            <w:vAlign w:val="center"/>
          </w:tcPr>
          <w:p w14:paraId="1BCDC8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东莞市凤岗雁田污水处理厂（凤深大道310号）</w:t>
            </w:r>
          </w:p>
        </w:tc>
        <w:tc>
          <w:tcPr>
            <w:tcW w:w="857" w:type="pct"/>
            <w:shd w:val="clear" w:color="auto" w:fill="FFFFFF"/>
            <w:noWrap w:val="0"/>
            <w:vAlign w:val="center"/>
          </w:tcPr>
          <w:p w14:paraId="2DC26D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5E26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142" w:type="pct"/>
            <w:gridSpan w:val="3"/>
            <w:shd w:val="clear" w:color="auto" w:fill="FFFFFF"/>
            <w:noWrap w:val="0"/>
            <w:vAlign w:val="center"/>
          </w:tcPr>
          <w:p w14:paraId="5D12D82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kern w:val="0"/>
                <w:szCs w:val="21"/>
                <w:highlight w:val="none"/>
                <w:u w:val="none"/>
                <w:lang w:val="en-US" w:eastAsia="zh-CN" w:bidi="ar"/>
              </w:rPr>
              <w:t>二、</w:t>
            </w:r>
            <w:r>
              <w:rPr>
                <w:rFonts w:hint="eastAsia" w:ascii="宋体" w:hAnsi="宋体" w:eastAsia="宋体" w:cs="宋体"/>
                <w:b/>
                <w:bCs/>
                <w:color w:val="auto"/>
                <w:kern w:val="0"/>
                <w:szCs w:val="21"/>
                <w:highlight w:val="none"/>
                <w:u w:val="none"/>
                <w:lang w:bidi="ar"/>
              </w:rPr>
              <w:t>东莞市樟村水质净化有限公司</w:t>
            </w:r>
          </w:p>
        </w:tc>
        <w:tc>
          <w:tcPr>
            <w:tcW w:w="857" w:type="pct"/>
            <w:shd w:val="clear" w:color="auto" w:fill="FFFFFF"/>
            <w:noWrap w:val="0"/>
            <w:vAlign w:val="center"/>
          </w:tcPr>
          <w:p w14:paraId="2E4D04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2"/>
                <w:sz w:val="21"/>
                <w:szCs w:val="21"/>
                <w:highlight w:val="none"/>
                <w:u w:val="none"/>
                <w:lang w:val="en-US" w:eastAsia="zh-CN" w:bidi="ar"/>
              </w:rPr>
              <w:t>10926.454</w:t>
            </w:r>
          </w:p>
        </w:tc>
      </w:tr>
      <w:tr w14:paraId="39D0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000" w:type="pct"/>
            <w:gridSpan w:val="4"/>
            <w:shd w:val="clear" w:color="auto" w:fill="FFFFFF"/>
            <w:noWrap w:val="0"/>
            <w:vAlign w:val="center"/>
          </w:tcPr>
          <w:p w14:paraId="7646331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（一）污水处理厂项目</w:t>
            </w:r>
          </w:p>
        </w:tc>
      </w:tr>
      <w:tr w14:paraId="47F1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5" w:type="pct"/>
            <w:shd w:val="clear" w:color="auto" w:fill="FFFFFF"/>
            <w:noWrap w:val="0"/>
            <w:vAlign w:val="center"/>
          </w:tcPr>
          <w:p w14:paraId="190E3C8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723" w:type="pct"/>
            <w:shd w:val="clear" w:color="auto" w:fill="FFFFFF"/>
            <w:noWrap w:val="0"/>
            <w:vAlign w:val="center"/>
          </w:tcPr>
          <w:p w14:paraId="15AFFD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樟村水质净化厂</w:t>
            </w:r>
          </w:p>
        </w:tc>
        <w:tc>
          <w:tcPr>
            <w:tcW w:w="2043" w:type="pct"/>
            <w:shd w:val="clear" w:color="auto" w:fill="FFFFFF"/>
            <w:noWrap w:val="0"/>
            <w:vAlign w:val="center"/>
          </w:tcPr>
          <w:p w14:paraId="487682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东莞市东城区运河路5号</w:t>
            </w:r>
          </w:p>
        </w:tc>
        <w:tc>
          <w:tcPr>
            <w:tcW w:w="857" w:type="pct"/>
            <w:shd w:val="clear" w:color="auto" w:fill="FFFFFF"/>
            <w:noWrap w:val="0"/>
            <w:vAlign w:val="center"/>
          </w:tcPr>
          <w:p w14:paraId="0D39604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10926.454 </w:t>
            </w:r>
          </w:p>
        </w:tc>
      </w:tr>
    </w:tbl>
    <w:p w14:paraId="15A50C28">
      <w:pPr>
        <w:widowControl/>
        <w:autoSpaceDE/>
        <w:autoSpaceDN/>
        <w:adjustRightInd/>
        <w:spacing w:line="360" w:lineRule="auto"/>
        <w:ind w:left="0" w:leftChars="0" w:firstLine="0" w:firstLineChars="0"/>
        <w:jc w:val="left"/>
        <w:rPr>
          <w:rFonts w:hint="eastAsia" w:ascii="宋体" w:hAnsi="宋体" w:eastAsia="宋体" w:cs="宋体"/>
          <w:b/>
          <w:bCs/>
          <w:color w:val="auto"/>
          <w:sz w:val="21"/>
          <w:szCs w:val="21"/>
          <w:highlight w:val="none"/>
        </w:rPr>
        <w:sectPr>
          <w:headerReference r:id="rId5" w:type="first"/>
          <w:footerReference r:id="rId7" w:type="first"/>
          <w:footerReference r:id="rId6"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bCs/>
          <w:color w:val="auto"/>
          <w:sz w:val="21"/>
          <w:szCs w:val="21"/>
          <w:highlight w:val="none"/>
        </w:rPr>
        <w:t>备注：</w:t>
      </w:r>
      <w:r>
        <w:rPr>
          <w:rFonts w:hint="eastAsia" w:ascii="宋体" w:hAnsi="宋体" w:eastAsia="宋体" w:cs="宋体"/>
          <w:b/>
          <w:color w:val="auto"/>
          <w:kern w:val="2"/>
          <w:sz w:val="21"/>
          <w:szCs w:val="21"/>
          <w:highlight w:val="none"/>
        </w:rPr>
        <w:t>以上</w:t>
      </w:r>
      <w:r>
        <w:rPr>
          <w:rFonts w:hint="eastAsia" w:ascii="宋体" w:hAnsi="宋体" w:eastAsia="宋体" w:cs="宋体"/>
          <w:b/>
          <w:color w:val="auto"/>
          <w:kern w:val="2"/>
          <w:sz w:val="21"/>
          <w:szCs w:val="21"/>
          <w:highlight w:val="none"/>
          <w:lang w:val="en-US" w:eastAsia="zh-CN"/>
        </w:rPr>
        <w:t>运营项目为暂定，</w:t>
      </w:r>
      <w:r>
        <w:rPr>
          <w:rFonts w:hint="eastAsia" w:ascii="宋体" w:hAnsi="宋体" w:eastAsia="宋体" w:cs="宋体"/>
          <w:b/>
          <w:bCs/>
          <w:color w:val="auto"/>
          <w:sz w:val="21"/>
          <w:szCs w:val="21"/>
          <w:highlight w:val="none"/>
        </w:rPr>
        <w:t>具体情况以实际为准。</w:t>
      </w:r>
    </w:p>
    <w:p w14:paraId="13C36A10">
      <w:pPr>
        <w:spacing w:line="240" w:lineRule="auto"/>
        <w:ind w:firstLine="0" w:firstLineChars="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附件2：验收报告（模板）</w:t>
      </w:r>
    </w:p>
    <w:p w14:paraId="4D27A307">
      <w:pPr>
        <w:jc w:val="center"/>
        <w:rPr>
          <w:color w:val="auto"/>
          <w:highlight w:val="none"/>
          <w:lang w:val="zh-CN"/>
        </w:rPr>
      </w:pPr>
      <w:r>
        <w:rPr>
          <w:rFonts w:hint="eastAsia" w:ascii="方正小标宋简体" w:eastAsia="方正小标宋简体"/>
          <w:color w:val="auto"/>
          <w:sz w:val="44"/>
          <w:szCs w:val="44"/>
          <w:highlight w:val="none"/>
        </w:rPr>
        <w:t>验收报告</w:t>
      </w:r>
    </w:p>
    <w:tbl>
      <w:tblPr>
        <w:tblStyle w:val="37"/>
        <w:tblpPr w:leftFromText="180" w:rightFromText="180" w:vertAnchor="text" w:horzAnchor="page" w:tblpX="1199" w:tblpY="205"/>
        <w:tblOverlap w:val="never"/>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14:paraId="3DC4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0FC35F5D">
            <w:pPr>
              <w:widowControl/>
              <w:jc w:val="center"/>
              <w:textAlignment w:val="center"/>
              <w:rPr>
                <w:rFonts w:ascii="宋体" w:hAnsi="宋体"/>
                <w:b/>
                <w:color w:val="auto"/>
                <w:sz w:val="24"/>
                <w:highlight w:val="none"/>
              </w:rPr>
            </w:pPr>
            <w:r>
              <w:rPr>
                <w:rFonts w:hint="eastAsia" w:ascii="宋体" w:hAnsi="宋体" w:eastAsia="宋体" w:cs="宋体"/>
                <w:b/>
                <w:color w:val="auto"/>
                <w:sz w:val="24"/>
                <w:highlight w:val="none"/>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081BDD9E">
            <w:pPr>
              <w:widowControl/>
              <w:jc w:val="center"/>
              <w:textAlignment w:val="center"/>
              <w:rPr>
                <w:rFonts w:ascii="宋体" w:hAnsi="宋体"/>
                <w:b/>
                <w:color w:val="auto"/>
                <w:sz w:val="24"/>
                <w:highlight w:val="none"/>
              </w:rPr>
            </w:pPr>
          </w:p>
        </w:tc>
      </w:tr>
      <w:tr w14:paraId="370B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024B37FF">
            <w:pPr>
              <w:widowControl/>
              <w:jc w:val="center"/>
              <w:textAlignment w:val="center"/>
              <w:rPr>
                <w:rFonts w:ascii="宋体" w:hAnsi="宋体"/>
                <w:b/>
                <w:color w:val="auto"/>
                <w:sz w:val="24"/>
                <w:highlight w:val="none"/>
              </w:rPr>
            </w:pPr>
            <w:r>
              <w:rPr>
                <w:rFonts w:hint="eastAsia" w:ascii="宋体" w:hAnsi="宋体" w:eastAsia="宋体" w:cs="宋体"/>
                <w:b/>
                <w:color w:val="auto"/>
                <w:sz w:val="24"/>
                <w:highlight w:val="none"/>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697C2CF5">
            <w:pPr>
              <w:widowControl/>
              <w:jc w:val="center"/>
              <w:textAlignment w:val="center"/>
              <w:rPr>
                <w:rFonts w:ascii="宋体" w:hAnsi="宋体"/>
                <w:b/>
                <w:color w:val="auto"/>
                <w:sz w:val="24"/>
                <w:highlight w:val="none"/>
              </w:rPr>
            </w:pPr>
          </w:p>
        </w:tc>
      </w:tr>
      <w:tr w14:paraId="2D0D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3706B4FA">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27D991B9">
            <w:pPr>
              <w:widowControl/>
              <w:jc w:val="center"/>
              <w:textAlignment w:val="center"/>
              <w:rPr>
                <w:rFonts w:ascii="宋体" w:hAnsi="宋体"/>
                <w:b/>
                <w:color w:val="auto"/>
                <w:sz w:val="24"/>
                <w:highlight w:val="none"/>
              </w:rPr>
            </w:pPr>
          </w:p>
        </w:tc>
      </w:tr>
      <w:tr w14:paraId="73D0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2CBE4D85">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79CE6879">
            <w:pPr>
              <w:widowControl/>
              <w:jc w:val="center"/>
              <w:textAlignment w:val="center"/>
              <w:rPr>
                <w:rFonts w:ascii="宋体" w:hAnsi="宋体"/>
                <w:b/>
                <w:color w:val="auto"/>
                <w:sz w:val="24"/>
                <w:highlight w:val="none"/>
              </w:rPr>
            </w:pPr>
          </w:p>
        </w:tc>
      </w:tr>
      <w:tr w14:paraId="634B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5664F03E">
            <w:pPr>
              <w:widowControl/>
              <w:jc w:val="center"/>
              <w:textAlignment w:val="center"/>
              <w:rPr>
                <w:rFonts w:ascii="宋体" w:hAnsi="宋体"/>
                <w:b/>
                <w:color w:val="auto"/>
                <w:sz w:val="24"/>
                <w:highlight w:val="none"/>
              </w:rPr>
            </w:pPr>
            <w:r>
              <w:rPr>
                <w:rFonts w:hint="eastAsia" w:ascii="宋体" w:hAnsi="宋体" w:eastAsia="宋体" w:cs="宋体"/>
                <w:b/>
                <w:color w:val="auto"/>
                <w:sz w:val="24"/>
                <w:highlight w:val="none"/>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64E4283D">
            <w:pPr>
              <w:widowControl/>
              <w:jc w:val="center"/>
              <w:textAlignment w:val="center"/>
              <w:rPr>
                <w:rFonts w:ascii="宋体" w:hAnsi="宋体" w:eastAsia="宋体" w:cs="宋体"/>
                <w:b/>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46A77727">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00144E0B">
            <w:pPr>
              <w:widowControl/>
              <w:jc w:val="center"/>
              <w:textAlignment w:val="center"/>
              <w:rPr>
                <w:rFonts w:ascii="宋体" w:hAnsi="宋体" w:eastAsia="宋体" w:cs="宋体"/>
                <w:b/>
                <w:color w:val="auto"/>
                <w:sz w:val="24"/>
                <w:highlight w:val="none"/>
              </w:rPr>
            </w:pPr>
          </w:p>
        </w:tc>
      </w:tr>
      <w:tr w14:paraId="0C78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30ED1208">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52CBCDB4">
            <w:pPr>
              <w:widowControl/>
              <w:jc w:val="center"/>
              <w:textAlignment w:val="center"/>
              <w:rPr>
                <w:rFonts w:ascii="宋体" w:hAnsi="宋体" w:eastAsia="宋体" w:cs="宋体"/>
                <w:b/>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3572AA59">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3E51CC92">
            <w:pPr>
              <w:widowControl/>
              <w:jc w:val="center"/>
              <w:textAlignment w:val="center"/>
              <w:rPr>
                <w:rFonts w:ascii="宋体" w:hAnsi="宋体" w:eastAsia="宋体" w:cs="宋体"/>
                <w:b/>
                <w:color w:val="auto"/>
                <w:sz w:val="24"/>
                <w:highlight w:val="none"/>
              </w:rPr>
            </w:pPr>
          </w:p>
        </w:tc>
      </w:tr>
      <w:tr w14:paraId="2272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228883D5">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01C91188">
            <w:pPr>
              <w:widowControl/>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7114830F">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784CD444">
            <w:pPr>
              <w:widowControl/>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检测值</w:t>
            </w:r>
          </w:p>
        </w:tc>
      </w:tr>
      <w:tr w14:paraId="03C6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39D71FE5">
            <w:pPr>
              <w:widowControl/>
              <w:jc w:val="center"/>
              <w:textAlignment w:val="center"/>
              <w:rPr>
                <w:rFonts w:ascii="宋体" w:hAnsi="宋体" w:eastAsia="宋体" w:cs="宋体"/>
                <w:bCs/>
                <w:color w:val="auto"/>
                <w:sz w:val="24"/>
                <w:highlight w:val="none"/>
              </w:rPr>
            </w:pPr>
            <w:r>
              <w:rPr>
                <w:rFonts w:ascii="宋体" w:hAnsi="宋体" w:eastAsia="宋体" w:cs="宋体"/>
                <w:bCs/>
                <w:color w:val="auto"/>
                <w:sz w:val="24"/>
                <w:highlight w:val="none"/>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214B22B9">
            <w:pPr>
              <w:widowControl/>
              <w:jc w:val="center"/>
              <w:textAlignment w:val="center"/>
              <w:rPr>
                <w:rFonts w:ascii="Times New Roman" w:hAnsi="Times New Roman" w:eastAsia="宋体" w:cs="Times New Roman"/>
                <w:b/>
                <w:bCs/>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6554E1AC">
            <w:pPr>
              <w:widowControl/>
              <w:jc w:val="center"/>
              <w:textAlignment w:val="center"/>
              <w:rPr>
                <w:rFonts w:ascii="宋体" w:hAnsi="宋体" w:eastAsia="宋体" w:cs="宋体"/>
                <w:b/>
                <w:color w:val="auto"/>
                <w:sz w:val="24"/>
                <w:highlight w:val="none"/>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4A9FBD4D">
            <w:pPr>
              <w:widowControl/>
              <w:jc w:val="center"/>
              <w:textAlignment w:val="center"/>
              <w:rPr>
                <w:rFonts w:cs="Times New Roman" w:asciiTheme="majorEastAsia" w:hAnsiTheme="majorEastAsia" w:eastAsiaTheme="majorEastAsia"/>
                <w:color w:val="auto"/>
                <w:sz w:val="24"/>
                <w:highlight w:val="none"/>
              </w:rPr>
            </w:pPr>
          </w:p>
        </w:tc>
      </w:tr>
      <w:tr w14:paraId="244F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31C524C4">
            <w:pPr>
              <w:widowControl/>
              <w:jc w:val="center"/>
              <w:textAlignment w:val="center"/>
              <w:rPr>
                <w:rFonts w:ascii="宋体" w:hAnsi="宋体" w:eastAsia="宋体" w:cs="宋体"/>
                <w:bCs/>
                <w:color w:val="auto"/>
                <w:sz w:val="24"/>
                <w:highlight w:val="none"/>
              </w:rPr>
            </w:pPr>
            <w:r>
              <w:rPr>
                <w:rFonts w:ascii="宋体" w:hAnsi="宋体" w:eastAsia="宋体" w:cs="宋体"/>
                <w:bCs/>
                <w:color w:val="auto"/>
                <w:sz w:val="24"/>
                <w:highlight w:val="none"/>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3AC51D6C">
            <w:pPr>
              <w:widowControl/>
              <w:jc w:val="center"/>
              <w:textAlignment w:val="center"/>
              <w:rPr>
                <w:rFonts w:ascii="Times New Roman" w:hAnsi="Times New Roman" w:eastAsia="宋体" w:cs="Times New Roman"/>
                <w:b/>
                <w:bCs/>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7AAA5AF4">
            <w:pPr>
              <w:widowControl/>
              <w:jc w:val="center"/>
              <w:textAlignment w:val="center"/>
              <w:rPr>
                <w:rFonts w:ascii="宋体" w:hAnsi="宋体" w:eastAsia="宋体" w:cs="宋体"/>
                <w:b/>
                <w:color w:val="auto"/>
                <w:sz w:val="24"/>
                <w:highlight w:val="none"/>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520C285D">
            <w:pPr>
              <w:widowControl/>
              <w:jc w:val="center"/>
              <w:textAlignment w:val="center"/>
              <w:rPr>
                <w:rFonts w:cs="Times New Roman" w:asciiTheme="majorEastAsia" w:hAnsiTheme="majorEastAsia" w:eastAsiaTheme="majorEastAsia"/>
                <w:color w:val="auto"/>
                <w:sz w:val="24"/>
                <w:highlight w:val="none"/>
              </w:rPr>
            </w:pPr>
          </w:p>
        </w:tc>
      </w:tr>
      <w:tr w14:paraId="47A0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76D4AECF">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5A111446">
            <w:pPr>
              <w:widowControl/>
              <w:jc w:val="center"/>
              <w:textAlignment w:val="center"/>
              <w:rPr>
                <w:rFonts w:ascii="Times New Roman" w:hAnsi="Times New Roman" w:eastAsia="宋体" w:cs="Times New Roman"/>
                <w:color w:val="auto"/>
                <w:sz w:val="24"/>
                <w:highlight w:val="none"/>
              </w:rPr>
            </w:pPr>
          </w:p>
        </w:tc>
      </w:tr>
      <w:tr w14:paraId="1E86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2A23C1F9">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6AA1FEAD">
            <w:pPr>
              <w:widowControl/>
              <w:jc w:val="center"/>
              <w:textAlignment w:val="center"/>
              <w:rPr>
                <w:rFonts w:ascii="Times New Roman" w:hAnsi="Times New Roman" w:eastAsia="宋体" w:cs="Times New Roman"/>
                <w:color w:val="auto"/>
                <w:sz w:val="24"/>
                <w:highlight w:val="none"/>
              </w:rPr>
            </w:pPr>
          </w:p>
        </w:tc>
      </w:tr>
      <w:tr w14:paraId="056F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55F91DEC">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2AB018D2">
            <w:pPr>
              <w:widowControl/>
              <w:jc w:val="center"/>
              <w:textAlignment w:val="center"/>
              <w:rPr>
                <w:rFonts w:ascii="Times New Roman" w:hAnsi="Times New Roman" w:eastAsia="宋体" w:cs="Times New Roman"/>
                <w:color w:val="auto"/>
                <w:sz w:val="24"/>
                <w:highlight w:val="none"/>
              </w:rPr>
            </w:pPr>
          </w:p>
        </w:tc>
        <w:tc>
          <w:tcPr>
            <w:tcW w:w="15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0AFEB79F">
            <w:pPr>
              <w:widowControl/>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27C50F05">
            <w:pPr>
              <w:widowControl/>
              <w:jc w:val="center"/>
              <w:textAlignment w:val="center"/>
              <w:rPr>
                <w:rFonts w:ascii="Times New Roman" w:hAnsi="Times New Roman" w:eastAsia="宋体" w:cs="Times New Roman"/>
                <w:color w:val="auto"/>
                <w:sz w:val="24"/>
                <w:highlight w:val="none"/>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7F200E4F">
            <w:pPr>
              <w:widowControl/>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1EDC989B">
            <w:pPr>
              <w:widowControl/>
              <w:jc w:val="center"/>
              <w:textAlignment w:val="center"/>
              <w:rPr>
                <w:rFonts w:ascii="Times New Roman" w:hAnsi="Times New Roman" w:eastAsia="宋体" w:cs="Times New Roman"/>
                <w:color w:val="auto"/>
                <w:sz w:val="24"/>
                <w:highlight w:val="none"/>
              </w:rPr>
            </w:pPr>
          </w:p>
        </w:tc>
      </w:tr>
      <w:tr w14:paraId="78C1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287" w:type="dxa"/>
            <w:gridSpan w:val="4"/>
            <w:shd w:val="clear" w:color="auto" w:fill="auto"/>
            <w:tcMar>
              <w:top w:w="15" w:type="dxa"/>
              <w:left w:w="15" w:type="dxa"/>
              <w:right w:w="15" w:type="dxa"/>
            </w:tcMar>
          </w:tcPr>
          <w:p w14:paraId="6C9C0C8B">
            <w:pPr>
              <w:jc w:val="center"/>
              <w:rPr>
                <w:b/>
                <w:bCs/>
                <w:color w:val="auto"/>
                <w:highlight w:val="none"/>
              </w:rPr>
            </w:pPr>
          </w:p>
          <w:p w14:paraId="59620776">
            <w:pPr>
              <w:widowControl/>
              <w:ind w:firstLine="211" w:firstLineChars="100"/>
              <w:jc w:val="left"/>
              <w:textAlignment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验收单位：</w:t>
            </w:r>
          </w:p>
          <w:p w14:paraId="165E6C48">
            <w:pPr>
              <w:widowControl/>
              <w:ind w:firstLine="0" w:firstLineChars="0"/>
              <w:jc w:val="left"/>
              <w:textAlignment w:val="center"/>
              <w:rPr>
                <w:rFonts w:hint="eastAsia" w:ascii="宋体" w:hAnsi="宋体" w:eastAsia="宋体" w:cs="宋体"/>
                <w:b/>
                <w:bCs w:val="0"/>
                <w:color w:val="auto"/>
                <w:sz w:val="21"/>
                <w:szCs w:val="21"/>
                <w:highlight w:val="none"/>
              </w:rPr>
            </w:pPr>
          </w:p>
          <w:p w14:paraId="609F3DE4">
            <w:pPr>
              <w:widowControl/>
              <w:ind w:firstLine="211" w:firstLineChars="100"/>
              <w:jc w:val="left"/>
              <w:textAlignment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验收人1</w:t>
            </w:r>
            <w:r>
              <w:rPr>
                <w:rFonts w:hint="eastAsia" w:ascii="宋体" w:hAnsi="宋体" w:eastAsia="宋体" w:cs="宋体"/>
                <w:b/>
                <w:bCs w:val="0"/>
                <w:color w:val="auto"/>
                <w:sz w:val="21"/>
                <w:szCs w:val="21"/>
                <w:highlight w:val="none"/>
              </w:rPr>
              <w:t>（签名）：</w:t>
            </w:r>
          </w:p>
          <w:p w14:paraId="0265C575">
            <w:pPr>
              <w:widowControl/>
              <w:ind w:firstLine="0" w:firstLineChars="0"/>
              <w:jc w:val="left"/>
              <w:textAlignment w:val="center"/>
              <w:rPr>
                <w:rFonts w:hint="eastAsia" w:ascii="宋体" w:hAnsi="宋体" w:eastAsia="宋体" w:cs="宋体"/>
                <w:b/>
                <w:bCs w:val="0"/>
                <w:color w:val="auto"/>
                <w:sz w:val="21"/>
                <w:szCs w:val="21"/>
                <w:highlight w:val="none"/>
              </w:rPr>
            </w:pPr>
          </w:p>
          <w:p w14:paraId="382D5CAF">
            <w:pPr>
              <w:widowControl/>
              <w:jc w:val="left"/>
              <w:textAlignment w:val="center"/>
              <w:rPr>
                <w:b/>
                <w:bCs/>
                <w:color w:val="auto"/>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bCs w:val="0"/>
                <w:color w:val="auto"/>
                <w:sz w:val="21"/>
                <w:szCs w:val="21"/>
                <w:highlight w:val="none"/>
                <w:lang w:val="en-US" w:eastAsia="zh-CN"/>
              </w:rPr>
              <w:t>验收人2</w:t>
            </w:r>
            <w:r>
              <w:rPr>
                <w:rFonts w:hint="eastAsia" w:ascii="宋体" w:hAnsi="宋体" w:eastAsia="宋体" w:cs="宋体"/>
                <w:b/>
                <w:bCs w:val="0"/>
                <w:color w:val="auto"/>
                <w:sz w:val="21"/>
                <w:szCs w:val="21"/>
                <w:highlight w:val="none"/>
              </w:rPr>
              <w:t xml:space="preserve">（签名）： </w:t>
            </w:r>
          </w:p>
        </w:tc>
        <w:tc>
          <w:tcPr>
            <w:tcW w:w="4720" w:type="dxa"/>
            <w:gridSpan w:val="4"/>
            <w:shd w:val="clear" w:color="auto" w:fill="auto"/>
            <w:tcMar>
              <w:top w:w="15" w:type="dxa"/>
              <w:left w:w="15" w:type="dxa"/>
              <w:right w:w="15" w:type="dxa"/>
            </w:tcMar>
          </w:tcPr>
          <w:p w14:paraId="4C835548">
            <w:pPr>
              <w:jc w:val="center"/>
              <w:rPr>
                <w:b/>
                <w:bCs/>
                <w:color w:val="auto"/>
                <w:highlight w:val="none"/>
              </w:rPr>
            </w:pPr>
          </w:p>
          <w:p w14:paraId="43A67A26">
            <w:pPr>
              <w:ind w:firstLine="211" w:firstLineChars="100"/>
              <w:jc w:val="left"/>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供货单位（盖章）：</w:t>
            </w:r>
          </w:p>
          <w:p w14:paraId="0FAC14E1">
            <w:pPr>
              <w:pStyle w:val="6"/>
              <w:rPr>
                <w:rFonts w:hint="eastAsia" w:ascii="宋体" w:hAnsi="宋体" w:eastAsia="宋体" w:cs="宋体"/>
                <w:b/>
                <w:bCs w:val="0"/>
                <w:color w:val="auto"/>
                <w:szCs w:val="21"/>
                <w:highlight w:val="none"/>
              </w:rPr>
            </w:pPr>
          </w:p>
          <w:p w14:paraId="2D5CC7A4">
            <w:pPr>
              <w:ind w:firstLine="211" w:firstLineChars="100"/>
              <w:rPr>
                <w:color w:val="auto"/>
                <w:highlight w:val="none"/>
              </w:rPr>
            </w:pPr>
            <w:r>
              <w:rPr>
                <w:rFonts w:hint="eastAsia" w:ascii="宋体" w:hAnsi="宋体" w:eastAsia="宋体" w:cs="宋体"/>
                <w:b/>
                <w:bCs w:val="0"/>
                <w:color w:val="auto"/>
                <w:sz w:val="21"/>
                <w:szCs w:val="21"/>
                <w:highlight w:val="none"/>
                <w:lang w:val="en-US" w:eastAsia="zh-CN"/>
              </w:rPr>
              <w:t>供货单位代表</w:t>
            </w:r>
            <w:r>
              <w:rPr>
                <w:rFonts w:hint="eastAsia" w:ascii="宋体" w:hAnsi="宋体" w:eastAsia="宋体" w:cs="宋体"/>
                <w:b/>
                <w:bCs w:val="0"/>
                <w:color w:val="auto"/>
                <w:sz w:val="21"/>
                <w:szCs w:val="21"/>
                <w:highlight w:val="none"/>
              </w:rPr>
              <w:t>（签名）</w:t>
            </w:r>
            <w:r>
              <w:rPr>
                <w:rFonts w:hint="eastAsia" w:ascii="宋体" w:hAnsi="宋体" w:eastAsia="宋体" w:cs="宋体"/>
                <w:b/>
                <w:bCs w:val="0"/>
                <w:color w:val="auto"/>
                <w:szCs w:val="21"/>
                <w:highlight w:val="none"/>
                <w:lang w:val="en-US" w:eastAsia="zh-CN"/>
              </w:rPr>
              <w:t>：</w:t>
            </w:r>
          </w:p>
        </w:tc>
      </w:tr>
      <w:tr w14:paraId="3751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shd w:val="clear" w:color="auto" w:fill="auto"/>
            <w:tcMar>
              <w:top w:w="15" w:type="dxa"/>
              <w:left w:w="15" w:type="dxa"/>
              <w:right w:w="15" w:type="dxa"/>
            </w:tcMar>
            <w:vAlign w:val="center"/>
          </w:tcPr>
          <w:p w14:paraId="25ED384F">
            <w:pPr>
              <w:ind w:firstLine="422" w:firstLineChars="200"/>
              <w:rPr>
                <w:rFonts w:ascii="Times New Roman" w:hAnsi="Times New Roman" w:eastAsia="宋体" w:cs="Times New Roman"/>
                <w:color w:val="auto"/>
                <w:sz w:val="24"/>
                <w:highlight w:val="none"/>
              </w:rPr>
            </w:pPr>
            <w:r>
              <w:rPr>
                <w:rFonts w:hint="eastAsia" w:ascii="宋体" w:hAnsi="宋体" w:eastAsia="宋体" w:cs="宋体"/>
                <w:b/>
                <w:bCs w:val="0"/>
                <w:color w:val="auto"/>
                <w:szCs w:val="21"/>
                <w:highlight w:val="none"/>
              </w:rPr>
              <w:t>日期：</w:t>
            </w:r>
          </w:p>
        </w:tc>
        <w:tc>
          <w:tcPr>
            <w:tcW w:w="4720" w:type="dxa"/>
            <w:gridSpan w:val="4"/>
            <w:shd w:val="clear" w:color="auto" w:fill="auto"/>
            <w:tcMar>
              <w:top w:w="15" w:type="dxa"/>
              <w:left w:w="15" w:type="dxa"/>
              <w:right w:w="15" w:type="dxa"/>
            </w:tcMar>
            <w:vAlign w:val="center"/>
          </w:tcPr>
          <w:p w14:paraId="47189FFE">
            <w:pPr>
              <w:ind w:firstLine="422" w:firstLineChars="200"/>
              <w:rPr>
                <w:rFonts w:ascii="Times New Roman" w:hAnsi="Times New Roman" w:eastAsia="宋体" w:cs="Times New Roman"/>
                <w:color w:val="auto"/>
                <w:sz w:val="24"/>
                <w:highlight w:val="none"/>
              </w:rPr>
            </w:pPr>
            <w:r>
              <w:rPr>
                <w:rFonts w:hint="eastAsia" w:ascii="宋体" w:hAnsi="宋体" w:eastAsia="宋体" w:cs="宋体"/>
                <w:b/>
                <w:bCs w:val="0"/>
                <w:color w:val="auto"/>
                <w:szCs w:val="21"/>
                <w:highlight w:val="none"/>
              </w:rPr>
              <w:t>日期：</w:t>
            </w:r>
          </w:p>
        </w:tc>
      </w:tr>
    </w:tbl>
    <w:p w14:paraId="2EFF0F88">
      <w:pPr>
        <w:jc w:val="center"/>
        <w:rPr>
          <w:color w:val="auto"/>
          <w:highlight w:val="none"/>
          <w:lang w:val="zh-CN"/>
        </w:rPr>
        <w:sectPr>
          <w:pgSz w:w="12240" w:h="15840"/>
          <w:pgMar w:top="1191" w:right="1043" w:bottom="1191" w:left="1043" w:header="720" w:footer="720" w:gutter="0"/>
          <w:cols w:space="720" w:num="1"/>
          <w:titlePg/>
          <w:docGrid w:linePitch="326" w:charSpace="0"/>
        </w:sectPr>
      </w:pPr>
    </w:p>
    <w:p w14:paraId="76EF11C2">
      <w:pPr>
        <w:spacing w:line="240" w:lineRule="auto"/>
        <w:ind w:firstLine="0" w:firstLineChars="0"/>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val="en-US" w:eastAsia="zh-CN"/>
        </w:rPr>
        <w:t>附件3：</w:t>
      </w:r>
      <w:r>
        <w:rPr>
          <w:rFonts w:hint="eastAsia" w:ascii="宋体" w:hAnsi="宋体" w:eastAsia="宋体" w:cs="宋体"/>
          <w:b/>
          <w:color w:val="auto"/>
          <w:szCs w:val="21"/>
          <w:highlight w:val="none"/>
          <w:lang w:bidi="ar"/>
        </w:rPr>
        <w:t>供应商履约评价表</w:t>
      </w:r>
    </w:p>
    <w:p w14:paraId="146F9B4A">
      <w:pPr>
        <w:spacing w:line="360" w:lineRule="auto"/>
        <w:jc w:val="center"/>
        <w:rPr>
          <w:rFonts w:ascii="宋体" w:hAnsi="宋体" w:eastAsia="宋体" w:cs="宋体"/>
          <w:b/>
          <w:color w:val="auto"/>
          <w:sz w:val="32"/>
          <w:szCs w:val="21"/>
          <w:highlight w:val="none"/>
        </w:rPr>
      </w:pPr>
      <w:r>
        <w:rPr>
          <w:rFonts w:hint="eastAsia" w:ascii="宋体" w:hAnsi="宋体" w:eastAsia="宋体" w:cs="宋体"/>
          <w:b/>
          <w:color w:val="auto"/>
          <w:sz w:val="32"/>
          <w:szCs w:val="21"/>
          <w:highlight w:val="none"/>
        </w:rPr>
        <w:t>供应商履约评价表</w:t>
      </w:r>
    </w:p>
    <w:tbl>
      <w:tblPr>
        <w:tblStyle w:val="37"/>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406"/>
        <w:gridCol w:w="3836"/>
        <w:gridCol w:w="4"/>
        <w:gridCol w:w="1824"/>
        <w:gridCol w:w="733"/>
        <w:gridCol w:w="705"/>
        <w:gridCol w:w="719"/>
        <w:gridCol w:w="6"/>
      </w:tblGrid>
      <w:tr w14:paraId="7E83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71" w:type="dxa"/>
            <w:gridSpan w:val="2"/>
            <w:vAlign w:val="center"/>
          </w:tcPr>
          <w:p w14:paraId="7B74606F">
            <w:pPr>
              <w:widowControl/>
              <w:snapToGrid w:val="0"/>
              <w:jc w:val="center"/>
              <w:rPr>
                <w:rFonts w:ascii="宋体" w:hAnsi="宋体" w:eastAsia="宋体"/>
                <w:color w:val="auto"/>
                <w:highlight w:val="none"/>
              </w:rPr>
            </w:pPr>
            <w:r>
              <w:rPr>
                <w:rFonts w:hint="eastAsia" w:ascii="宋体" w:hAnsi="宋体" w:eastAsia="宋体"/>
                <w:bCs/>
                <w:color w:val="auto"/>
                <w:highlight w:val="none"/>
              </w:rPr>
              <w:t>合同名称</w:t>
            </w:r>
          </w:p>
        </w:tc>
        <w:tc>
          <w:tcPr>
            <w:tcW w:w="7821" w:type="dxa"/>
            <w:gridSpan w:val="6"/>
            <w:vAlign w:val="center"/>
          </w:tcPr>
          <w:p w14:paraId="4B38DE08">
            <w:pPr>
              <w:widowControl/>
              <w:snapToGrid w:val="0"/>
              <w:jc w:val="center"/>
              <w:rPr>
                <w:rFonts w:hint="default" w:ascii="宋体" w:hAnsi="宋体" w:eastAsia="宋体"/>
                <w:color w:val="auto"/>
                <w:highlight w:val="none"/>
                <w:lang w:val="en-US" w:eastAsia="zh-CN"/>
              </w:rPr>
            </w:pPr>
          </w:p>
        </w:tc>
      </w:tr>
      <w:tr w14:paraId="3B55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71" w:type="dxa"/>
            <w:gridSpan w:val="2"/>
            <w:vAlign w:val="center"/>
          </w:tcPr>
          <w:p w14:paraId="264F0F28">
            <w:pPr>
              <w:widowControl/>
              <w:snapToGrid w:val="0"/>
              <w:jc w:val="center"/>
              <w:rPr>
                <w:rFonts w:ascii="宋体" w:hAnsi="宋体" w:eastAsia="宋体"/>
                <w:color w:val="auto"/>
                <w:highlight w:val="none"/>
              </w:rPr>
            </w:pPr>
            <w:r>
              <w:rPr>
                <w:rFonts w:hint="eastAsia" w:ascii="宋体" w:hAnsi="宋体" w:eastAsia="宋体"/>
                <w:bCs/>
                <w:color w:val="auto"/>
                <w:highlight w:val="none"/>
              </w:rPr>
              <w:t>合同编号</w:t>
            </w:r>
          </w:p>
        </w:tc>
        <w:tc>
          <w:tcPr>
            <w:tcW w:w="7821" w:type="dxa"/>
            <w:gridSpan w:val="6"/>
            <w:vAlign w:val="center"/>
          </w:tcPr>
          <w:p w14:paraId="3A50C5D4">
            <w:pPr>
              <w:widowControl/>
              <w:snapToGrid w:val="0"/>
              <w:rPr>
                <w:rFonts w:ascii="宋体" w:hAnsi="宋体" w:eastAsia="宋体"/>
                <w:color w:val="auto"/>
                <w:highlight w:val="none"/>
              </w:rPr>
            </w:pPr>
          </w:p>
        </w:tc>
      </w:tr>
      <w:tr w14:paraId="63B6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71" w:type="dxa"/>
            <w:gridSpan w:val="2"/>
            <w:vAlign w:val="center"/>
          </w:tcPr>
          <w:p w14:paraId="229A7F08">
            <w:pPr>
              <w:widowControl/>
              <w:snapToGrid w:val="0"/>
              <w:jc w:val="center"/>
              <w:rPr>
                <w:rFonts w:ascii="宋体" w:hAnsi="宋体" w:eastAsia="宋体"/>
                <w:bCs/>
                <w:color w:val="auto"/>
                <w:highlight w:val="none"/>
              </w:rPr>
            </w:pPr>
            <w:r>
              <w:rPr>
                <w:rFonts w:hint="eastAsia" w:ascii="宋体" w:hAnsi="宋体" w:eastAsia="宋体"/>
                <w:bCs/>
                <w:color w:val="auto"/>
                <w:highlight w:val="none"/>
              </w:rPr>
              <w:t>甲方名称</w:t>
            </w:r>
          </w:p>
        </w:tc>
        <w:tc>
          <w:tcPr>
            <w:tcW w:w="7821" w:type="dxa"/>
            <w:gridSpan w:val="6"/>
            <w:vAlign w:val="center"/>
          </w:tcPr>
          <w:p w14:paraId="531B6B44">
            <w:pPr>
              <w:widowControl/>
              <w:snapToGrid w:val="0"/>
              <w:jc w:val="center"/>
              <w:rPr>
                <w:rFonts w:ascii="宋体" w:hAnsi="宋体" w:eastAsia="宋体"/>
                <w:color w:val="auto"/>
                <w:highlight w:val="none"/>
              </w:rPr>
            </w:pPr>
          </w:p>
        </w:tc>
      </w:tr>
      <w:tr w14:paraId="109E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71" w:type="dxa"/>
            <w:gridSpan w:val="2"/>
            <w:vAlign w:val="center"/>
          </w:tcPr>
          <w:p w14:paraId="53C3C895">
            <w:pPr>
              <w:widowControl/>
              <w:snapToGrid w:val="0"/>
              <w:jc w:val="center"/>
              <w:rPr>
                <w:rFonts w:ascii="宋体" w:hAnsi="宋体" w:eastAsia="宋体"/>
                <w:color w:val="auto"/>
                <w:highlight w:val="none"/>
              </w:rPr>
            </w:pPr>
            <w:r>
              <w:rPr>
                <w:rFonts w:hint="eastAsia" w:ascii="宋体" w:hAnsi="宋体" w:eastAsia="宋体"/>
                <w:bCs/>
                <w:color w:val="auto"/>
                <w:highlight w:val="none"/>
              </w:rPr>
              <w:t>供应商</w:t>
            </w:r>
            <w:r>
              <w:rPr>
                <w:rFonts w:hint="eastAsia" w:ascii="宋体" w:hAnsi="宋体" w:eastAsia="宋体"/>
                <w:color w:val="auto"/>
                <w:highlight w:val="none"/>
              </w:rPr>
              <w:t>名称</w:t>
            </w:r>
          </w:p>
        </w:tc>
        <w:tc>
          <w:tcPr>
            <w:tcW w:w="7821" w:type="dxa"/>
            <w:gridSpan w:val="6"/>
            <w:vAlign w:val="center"/>
          </w:tcPr>
          <w:p w14:paraId="33917052">
            <w:pPr>
              <w:widowControl/>
              <w:snapToGrid w:val="0"/>
              <w:jc w:val="center"/>
              <w:rPr>
                <w:rFonts w:ascii="宋体" w:hAnsi="宋体" w:eastAsia="宋体"/>
                <w:color w:val="auto"/>
                <w:highlight w:val="none"/>
              </w:rPr>
            </w:pPr>
          </w:p>
        </w:tc>
      </w:tr>
      <w:tr w14:paraId="569F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71" w:type="dxa"/>
            <w:gridSpan w:val="2"/>
            <w:vAlign w:val="center"/>
          </w:tcPr>
          <w:p w14:paraId="764110AC">
            <w:pPr>
              <w:widowControl/>
              <w:snapToGrid w:val="0"/>
              <w:jc w:val="center"/>
              <w:rPr>
                <w:rFonts w:ascii="宋体" w:hAnsi="宋体" w:eastAsia="宋体"/>
                <w:bCs/>
                <w:color w:val="auto"/>
                <w:highlight w:val="none"/>
              </w:rPr>
            </w:pPr>
            <w:r>
              <w:rPr>
                <w:rFonts w:hint="eastAsia" w:ascii="宋体" w:hAnsi="宋体" w:eastAsia="宋体"/>
                <w:bCs/>
                <w:color w:val="auto"/>
                <w:highlight w:val="none"/>
              </w:rPr>
              <w:t>供应货物名称</w:t>
            </w:r>
          </w:p>
        </w:tc>
        <w:tc>
          <w:tcPr>
            <w:tcW w:w="7821" w:type="dxa"/>
            <w:gridSpan w:val="6"/>
            <w:vAlign w:val="center"/>
          </w:tcPr>
          <w:p w14:paraId="64692EB4">
            <w:pPr>
              <w:widowControl/>
              <w:snapToGrid w:val="0"/>
              <w:jc w:val="center"/>
              <w:rPr>
                <w:rFonts w:ascii="宋体" w:hAnsi="宋体" w:eastAsia="宋体"/>
                <w:bCs/>
                <w:color w:val="auto"/>
                <w:highlight w:val="none"/>
              </w:rPr>
            </w:pPr>
          </w:p>
        </w:tc>
      </w:tr>
      <w:tr w14:paraId="2623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71" w:type="dxa"/>
            <w:gridSpan w:val="2"/>
            <w:vAlign w:val="center"/>
          </w:tcPr>
          <w:p w14:paraId="2E80C347">
            <w:pPr>
              <w:widowControl/>
              <w:snapToGrid w:val="0"/>
              <w:jc w:val="center"/>
              <w:rPr>
                <w:rFonts w:hint="default" w:ascii="宋体" w:hAnsi="宋体" w:eastAsia="宋体"/>
                <w:bCs/>
                <w:color w:val="auto"/>
                <w:highlight w:val="none"/>
                <w:lang w:val="en-US" w:eastAsia="zh-CN"/>
              </w:rPr>
            </w:pPr>
            <w:r>
              <w:rPr>
                <w:rFonts w:hint="eastAsia" w:ascii="宋体" w:hAnsi="宋体" w:eastAsia="宋体"/>
                <w:bCs/>
                <w:color w:val="auto"/>
                <w:highlight w:val="none"/>
                <w:lang w:val="en-US" w:eastAsia="zh-CN"/>
              </w:rPr>
              <w:t>交货月份</w:t>
            </w:r>
          </w:p>
        </w:tc>
        <w:tc>
          <w:tcPr>
            <w:tcW w:w="7821" w:type="dxa"/>
            <w:gridSpan w:val="6"/>
            <w:vAlign w:val="center"/>
          </w:tcPr>
          <w:p w14:paraId="6B3C9D1B">
            <w:pPr>
              <w:widowControl/>
              <w:snapToGrid w:val="0"/>
              <w:jc w:val="center"/>
              <w:rPr>
                <w:rFonts w:ascii="宋体" w:hAnsi="宋体" w:eastAsia="宋体"/>
                <w:bCs/>
                <w:color w:val="auto"/>
                <w:highlight w:val="none"/>
              </w:rPr>
            </w:pPr>
          </w:p>
        </w:tc>
      </w:tr>
      <w:tr w14:paraId="1C61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71" w:type="dxa"/>
            <w:gridSpan w:val="2"/>
            <w:vAlign w:val="center"/>
          </w:tcPr>
          <w:p w14:paraId="306577FD">
            <w:pPr>
              <w:widowControl/>
              <w:snapToGrid w:val="0"/>
              <w:jc w:val="center"/>
              <w:rPr>
                <w:rFonts w:hint="eastAsia" w:ascii="宋体" w:hAnsi="宋体" w:eastAsia="宋体"/>
                <w:bCs/>
                <w:color w:val="auto"/>
                <w:highlight w:val="none"/>
              </w:rPr>
            </w:pPr>
            <w:r>
              <w:rPr>
                <w:rFonts w:hint="eastAsia" w:ascii="宋体" w:hAnsi="宋体" w:eastAsia="宋体"/>
                <w:bCs/>
                <w:color w:val="auto"/>
                <w:highlight w:val="none"/>
                <w:lang w:val="en-US" w:eastAsia="zh-CN"/>
              </w:rPr>
              <w:t>交货地点</w:t>
            </w:r>
          </w:p>
        </w:tc>
        <w:tc>
          <w:tcPr>
            <w:tcW w:w="7821" w:type="dxa"/>
            <w:gridSpan w:val="6"/>
            <w:vAlign w:val="center"/>
          </w:tcPr>
          <w:p w14:paraId="65AE4C66">
            <w:pPr>
              <w:widowControl/>
              <w:snapToGrid w:val="0"/>
              <w:jc w:val="center"/>
              <w:rPr>
                <w:rFonts w:ascii="宋体" w:hAnsi="宋体" w:eastAsia="宋体"/>
                <w:bCs/>
                <w:color w:val="auto"/>
                <w:highlight w:val="none"/>
              </w:rPr>
            </w:pPr>
          </w:p>
        </w:tc>
      </w:tr>
      <w:tr w14:paraId="119D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565" w:type="dxa"/>
            <w:vAlign w:val="center"/>
          </w:tcPr>
          <w:p w14:paraId="166DE3FB">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序号</w:t>
            </w:r>
          </w:p>
        </w:tc>
        <w:tc>
          <w:tcPr>
            <w:tcW w:w="1406" w:type="dxa"/>
            <w:vAlign w:val="center"/>
          </w:tcPr>
          <w:p w14:paraId="34A5B3A5">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履约评价项目</w:t>
            </w:r>
          </w:p>
        </w:tc>
        <w:tc>
          <w:tcPr>
            <w:tcW w:w="3836" w:type="dxa"/>
            <w:vAlign w:val="center"/>
          </w:tcPr>
          <w:p w14:paraId="19D526B0">
            <w:pPr>
              <w:widowControl/>
              <w:snapToGrid w:val="0"/>
              <w:jc w:val="center"/>
              <w:rPr>
                <w:rFonts w:ascii="宋体" w:hAnsi="宋体" w:eastAsia="宋体"/>
                <w:bCs/>
                <w:color w:val="auto"/>
                <w:highlight w:val="none"/>
              </w:rPr>
            </w:pPr>
            <w:r>
              <w:rPr>
                <w:rFonts w:hint="eastAsia" w:ascii="宋体" w:hAnsi="宋体" w:eastAsia="宋体"/>
                <w:bCs/>
                <w:color w:val="auto"/>
                <w:highlight w:val="none"/>
              </w:rPr>
              <w:t>评价标准</w:t>
            </w:r>
          </w:p>
        </w:tc>
        <w:tc>
          <w:tcPr>
            <w:tcW w:w="1828" w:type="dxa"/>
            <w:gridSpan w:val="2"/>
            <w:vAlign w:val="center"/>
          </w:tcPr>
          <w:p w14:paraId="25569B71">
            <w:pPr>
              <w:widowControl/>
              <w:snapToGrid w:val="0"/>
              <w:jc w:val="center"/>
              <w:rPr>
                <w:rFonts w:ascii="宋体" w:hAnsi="宋体" w:eastAsia="宋体"/>
                <w:bCs/>
                <w:color w:val="auto"/>
                <w:highlight w:val="none"/>
              </w:rPr>
            </w:pPr>
            <w:r>
              <w:rPr>
                <w:rFonts w:hint="eastAsia" w:ascii="宋体" w:hAnsi="宋体" w:eastAsia="宋体"/>
                <w:bCs/>
                <w:color w:val="auto"/>
                <w:highlight w:val="none"/>
              </w:rPr>
              <w:t>评分说明</w:t>
            </w:r>
          </w:p>
        </w:tc>
        <w:tc>
          <w:tcPr>
            <w:tcW w:w="733" w:type="dxa"/>
            <w:vAlign w:val="center"/>
          </w:tcPr>
          <w:p w14:paraId="48571C50">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分值</w:t>
            </w:r>
          </w:p>
        </w:tc>
        <w:tc>
          <w:tcPr>
            <w:tcW w:w="705" w:type="dxa"/>
            <w:vAlign w:val="center"/>
          </w:tcPr>
          <w:p w14:paraId="4911D896">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实得分</w:t>
            </w:r>
          </w:p>
        </w:tc>
        <w:tc>
          <w:tcPr>
            <w:tcW w:w="719" w:type="dxa"/>
            <w:vAlign w:val="center"/>
          </w:tcPr>
          <w:p w14:paraId="17130963">
            <w:pPr>
              <w:widowControl/>
              <w:rPr>
                <w:rFonts w:ascii="宋体" w:hAnsi="宋体" w:eastAsia="宋体"/>
                <w:bCs/>
                <w:color w:val="auto"/>
                <w:highlight w:val="none"/>
              </w:rPr>
            </w:pPr>
            <w:r>
              <w:rPr>
                <w:rFonts w:hint="eastAsia" w:ascii="宋体" w:hAnsi="宋体" w:eastAsia="宋体"/>
                <w:bCs/>
                <w:color w:val="auto"/>
                <w:highlight w:val="none"/>
              </w:rPr>
              <w:t>扣分情况说明</w:t>
            </w:r>
          </w:p>
        </w:tc>
      </w:tr>
      <w:tr w14:paraId="5476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18" w:hRule="atLeast"/>
          <w:jc w:val="center"/>
        </w:trPr>
        <w:tc>
          <w:tcPr>
            <w:tcW w:w="565" w:type="dxa"/>
            <w:vAlign w:val="center"/>
          </w:tcPr>
          <w:p w14:paraId="461FE894">
            <w:pPr>
              <w:widowControl/>
              <w:snapToGrid w:val="0"/>
              <w:jc w:val="center"/>
              <w:rPr>
                <w:rFonts w:ascii="宋体" w:hAnsi="宋体" w:eastAsia="宋体"/>
                <w:bCs/>
                <w:color w:val="auto"/>
                <w:highlight w:val="none"/>
              </w:rPr>
            </w:pPr>
            <w:r>
              <w:rPr>
                <w:rFonts w:hint="eastAsia" w:ascii="宋体" w:hAnsi="宋体" w:eastAsia="宋体"/>
                <w:bCs/>
                <w:color w:val="auto"/>
                <w:highlight w:val="none"/>
              </w:rPr>
              <w:t>1</w:t>
            </w:r>
          </w:p>
        </w:tc>
        <w:tc>
          <w:tcPr>
            <w:tcW w:w="1406" w:type="dxa"/>
            <w:vAlign w:val="center"/>
          </w:tcPr>
          <w:p w14:paraId="54A33CE2">
            <w:pPr>
              <w:widowControl/>
              <w:snapToGrid w:val="0"/>
              <w:jc w:val="center"/>
              <w:rPr>
                <w:rFonts w:ascii="宋体" w:hAnsi="宋体" w:eastAsia="宋体"/>
                <w:bCs/>
                <w:color w:val="auto"/>
                <w:highlight w:val="none"/>
              </w:rPr>
            </w:pPr>
            <w:r>
              <w:rPr>
                <w:rFonts w:hint="eastAsia" w:ascii="宋体" w:hAnsi="宋体" w:eastAsia="宋体"/>
                <w:bCs/>
                <w:color w:val="auto"/>
                <w:highlight w:val="none"/>
              </w:rPr>
              <w:t>质量</w:t>
            </w:r>
          </w:p>
        </w:tc>
        <w:tc>
          <w:tcPr>
            <w:tcW w:w="3836" w:type="dxa"/>
            <w:vAlign w:val="center"/>
          </w:tcPr>
          <w:p w14:paraId="27D64650">
            <w:pPr>
              <w:widowControl/>
              <w:snapToGrid w:val="0"/>
              <w:rPr>
                <w:rFonts w:ascii="宋体" w:hAnsi="宋体" w:eastAsia="宋体"/>
                <w:bCs/>
                <w:color w:val="auto"/>
                <w:highlight w:val="none"/>
              </w:rPr>
            </w:pPr>
            <w:r>
              <w:rPr>
                <w:rFonts w:hint="eastAsia" w:ascii="宋体" w:hAnsi="宋体" w:eastAsia="宋体"/>
                <w:bCs/>
                <w:color w:val="auto"/>
                <w:highlight w:val="none"/>
              </w:rPr>
              <w:t>（1）货物未出现全部拒收或换货等质量问题；</w:t>
            </w:r>
          </w:p>
          <w:p w14:paraId="319B8269">
            <w:pPr>
              <w:widowControl/>
              <w:snapToGrid w:val="0"/>
              <w:rPr>
                <w:rFonts w:ascii="宋体" w:hAnsi="宋体" w:eastAsia="宋体"/>
                <w:bCs/>
                <w:color w:val="auto"/>
                <w:highlight w:val="none"/>
              </w:rPr>
            </w:pPr>
            <w:r>
              <w:rPr>
                <w:rFonts w:hint="eastAsia" w:ascii="宋体" w:hAnsi="宋体" w:eastAsia="宋体"/>
                <w:bCs/>
                <w:color w:val="auto"/>
                <w:highlight w:val="none"/>
              </w:rPr>
              <w:t>（2）货物主要技术指标符合合同规定；</w:t>
            </w:r>
          </w:p>
          <w:p w14:paraId="70F8590A">
            <w:pPr>
              <w:widowControl/>
              <w:snapToGrid w:val="0"/>
              <w:rPr>
                <w:rFonts w:ascii="宋体" w:hAnsi="宋体" w:eastAsia="宋体"/>
                <w:bCs/>
                <w:color w:val="auto"/>
                <w:highlight w:val="none"/>
              </w:rPr>
            </w:pPr>
            <w:r>
              <w:rPr>
                <w:rFonts w:hint="eastAsia" w:ascii="宋体" w:hAnsi="宋体" w:eastAsia="宋体"/>
                <w:bCs/>
                <w:color w:val="auto"/>
                <w:highlight w:val="none"/>
              </w:rPr>
              <w:t>（3）每次货物质量稳定，投加效果良好，未出现由于每次货物质量参差不齐导致厂区药剂投加量增加或产生出水水质风险等情况。</w:t>
            </w:r>
          </w:p>
        </w:tc>
        <w:tc>
          <w:tcPr>
            <w:tcW w:w="1828" w:type="dxa"/>
            <w:gridSpan w:val="2"/>
            <w:vAlign w:val="center"/>
          </w:tcPr>
          <w:p w14:paraId="7E593072">
            <w:pPr>
              <w:widowControl/>
              <w:snapToGrid w:val="0"/>
              <w:rPr>
                <w:rFonts w:ascii="宋体" w:hAnsi="宋体" w:eastAsia="宋体"/>
                <w:color w:val="auto"/>
                <w:highlight w:val="none"/>
              </w:rPr>
            </w:pPr>
            <w:r>
              <w:rPr>
                <w:rFonts w:hint="eastAsia" w:ascii="宋体" w:hAnsi="宋体" w:eastAsia="宋体"/>
                <w:bCs/>
                <w:color w:val="auto"/>
                <w:highlight w:val="none"/>
              </w:rPr>
              <w:t>达到标准的得满分，每月每次货物有一项未达到标准的扣4分，每次货物最多扣4分。</w:t>
            </w:r>
          </w:p>
        </w:tc>
        <w:tc>
          <w:tcPr>
            <w:tcW w:w="733" w:type="dxa"/>
            <w:vAlign w:val="center"/>
          </w:tcPr>
          <w:p w14:paraId="31C57034">
            <w:pPr>
              <w:widowControl/>
              <w:snapToGrid w:val="0"/>
              <w:jc w:val="center"/>
              <w:rPr>
                <w:rFonts w:ascii="宋体" w:hAnsi="宋体" w:eastAsia="宋体"/>
                <w:color w:val="auto"/>
                <w:highlight w:val="none"/>
              </w:rPr>
            </w:pPr>
            <w:r>
              <w:rPr>
                <w:rFonts w:hint="eastAsia" w:ascii="宋体" w:hAnsi="宋体" w:eastAsia="宋体"/>
                <w:color w:val="auto"/>
                <w:highlight w:val="none"/>
              </w:rPr>
              <w:t>20</w:t>
            </w:r>
          </w:p>
        </w:tc>
        <w:tc>
          <w:tcPr>
            <w:tcW w:w="705" w:type="dxa"/>
            <w:vAlign w:val="center"/>
          </w:tcPr>
          <w:p w14:paraId="172AB5A1">
            <w:pPr>
              <w:widowControl/>
              <w:snapToGrid w:val="0"/>
              <w:jc w:val="center"/>
              <w:rPr>
                <w:rFonts w:ascii="宋体" w:hAnsi="宋体" w:eastAsia="宋体"/>
                <w:bCs/>
                <w:color w:val="auto"/>
                <w:highlight w:val="none"/>
              </w:rPr>
            </w:pPr>
          </w:p>
        </w:tc>
        <w:tc>
          <w:tcPr>
            <w:tcW w:w="719" w:type="dxa"/>
            <w:vAlign w:val="center"/>
          </w:tcPr>
          <w:p w14:paraId="0CA7E3A9">
            <w:pPr>
              <w:widowControl/>
              <w:snapToGrid w:val="0"/>
              <w:jc w:val="center"/>
              <w:rPr>
                <w:rFonts w:ascii="宋体" w:hAnsi="宋体" w:eastAsia="宋体"/>
                <w:bCs/>
                <w:color w:val="auto"/>
                <w:highlight w:val="none"/>
              </w:rPr>
            </w:pPr>
          </w:p>
        </w:tc>
      </w:tr>
      <w:tr w14:paraId="277C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52" w:hRule="atLeast"/>
          <w:jc w:val="center"/>
        </w:trPr>
        <w:tc>
          <w:tcPr>
            <w:tcW w:w="565" w:type="dxa"/>
            <w:vAlign w:val="center"/>
          </w:tcPr>
          <w:p w14:paraId="0E336F54">
            <w:pPr>
              <w:widowControl/>
              <w:snapToGrid w:val="0"/>
              <w:jc w:val="center"/>
              <w:rPr>
                <w:rFonts w:ascii="宋体" w:hAnsi="宋体" w:eastAsia="宋体"/>
                <w:bCs/>
                <w:color w:val="auto"/>
                <w:highlight w:val="none"/>
              </w:rPr>
            </w:pPr>
            <w:r>
              <w:rPr>
                <w:rFonts w:hint="eastAsia" w:ascii="宋体" w:hAnsi="宋体" w:eastAsia="宋体"/>
                <w:bCs/>
                <w:color w:val="auto"/>
                <w:highlight w:val="none"/>
              </w:rPr>
              <w:t>2</w:t>
            </w:r>
          </w:p>
        </w:tc>
        <w:tc>
          <w:tcPr>
            <w:tcW w:w="1406" w:type="dxa"/>
            <w:vAlign w:val="center"/>
          </w:tcPr>
          <w:p w14:paraId="62600393">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包装、运输</w:t>
            </w:r>
          </w:p>
        </w:tc>
        <w:tc>
          <w:tcPr>
            <w:tcW w:w="3836" w:type="dxa"/>
            <w:vAlign w:val="center"/>
          </w:tcPr>
          <w:p w14:paraId="17CC88D3">
            <w:pPr>
              <w:widowControl/>
              <w:snapToGrid w:val="0"/>
              <w:rPr>
                <w:rFonts w:ascii="宋体" w:hAnsi="宋体" w:eastAsia="宋体"/>
                <w:bCs/>
                <w:color w:val="auto"/>
                <w:highlight w:val="none"/>
              </w:rPr>
            </w:pPr>
            <w:r>
              <w:rPr>
                <w:rFonts w:hint="eastAsia" w:ascii="宋体" w:hAnsi="宋体" w:eastAsia="宋体"/>
                <w:bCs/>
                <w:color w:val="auto"/>
                <w:highlight w:val="none"/>
              </w:rPr>
              <w:t>货物的包装、运输符合合同规定及国家、行业有关标准规范；未出现由于包装、运输方式不当造成以下不良后果：</w:t>
            </w:r>
          </w:p>
          <w:p w14:paraId="147D4297">
            <w:pPr>
              <w:widowControl/>
              <w:snapToGrid w:val="0"/>
              <w:rPr>
                <w:rFonts w:ascii="宋体" w:hAnsi="宋体" w:eastAsia="宋体"/>
                <w:bCs/>
                <w:color w:val="auto"/>
                <w:highlight w:val="none"/>
              </w:rPr>
            </w:pPr>
            <w:r>
              <w:rPr>
                <w:rFonts w:hint="eastAsia" w:ascii="宋体" w:hAnsi="宋体" w:eastAsia="宋体"/>
                <w:bCs/>
                <w:color w:val="auto"/>
                <w:highlight w:val="none"/>
              </w:rPr>
              <w:t>（1）影响货物输送或储存质量；</w:t>
            </w:r>
          </w:p>
          <w:p w14:paraId="7ED09D8D">
            <w:pPr>
              <w:widowControl/>
              <w:snapToGrid w:val="0"/>
              <w:rPr>
                <w:rFonts w:ascii="宋体" w:hAnsi="宋体" w:eastAsia="宋体"/>
                <w:bCs/>
                <w:color w:val="auto"/>
                <w:highlight w:val="none"/>
              </w:rPr>
            </w:pPr>
            <w:r>
              <w:rPr>
                <w:rFonts w:hint="eastAsia" w:ascii="宋体" w:hAnsi="宋体" w:eastAsia="宋体"/>
                <w:bCs/>
                <w:color w:val="auto"/>
                <w:highlight w:val="none"/>
              </w:rPr>
              <w:t>（2）货物质量下降；</w:t>
            </w:r>
          </w:p>
          <w:p w14:paraId="4986EEFD">
            <w:pPr>
              <w:widowControl/>
              <w:snapToGrid w:val="0"/>
              <w:rPr>
                <w:rFonts w:ascii="宋体" w:hAnsi="宋体" w:eastAsia="宋体"/>
                <w:bCs/>
                <w:color w:val="auto"/>
                <w:highlight w:val="none"/>
              </w:rPr>
            </w:pPr>
            <w:r>
              <w:rPr>
                <w:rFonts w:hint="eastAsia" w:ascii="宋体" w:hAnsi="宋体" w:eastAsia="宋体"/>
                <w:bCs/>
                <w:color w:val="auto"/>
                <w:highlight w:val="none"/>
              </w:rPr>
              <w:t>（3）货物泄漏导致供货量不足；</w:t>
            </w:r>
          </w:p>
          <w:p w14:paraId="09990DA0">
            <w:pPr>
              <w:widowControl/>
              <w:snapToGrid w:val="0"/>
              <w:rPr>
                <w:rFonts w:ascii="宋体" w:hAnsi="宋体" w:eastAsia="宋体"/>
                <w:bCs/>
                <w:color w:val="auto"/>
                <w:highlight w:val="none"/>
              </w:rPr>
            </w:pPr>
            <w:r>
              <w:rPr>
                <w:rFonts w:hint="eastAsia" w:ascii="宋体" w:hAnsi="宋体" w:eastAsia="宋体"/>
                <w:bCs/>
                <w:color w:val="auto"/>
                <w:highlight w:val="none"/>
              </w:rPr>
              <w:t>（4）造成环境污染。</w:t>
            </w:r>
          </w:p>
        </w:tc>
        <w:tc>
          <w:tcPr>
            <w:tcW w:w="1828" w:type="dxa"/>
            <w:gridSpan w:val="2"/>
            <w:vAlign w:val="center"/>
          </w:tcPr>
          <w:p w14:paraId="549A2800">
            <w:pPr>
              <w:widowControl/>
              <w:snapToGrid w:val="0"/>
              <w:rPr>
                <w:rFonts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733" w:type="dxa"/>
            <w:vAlign w:val="center"/>
          </w:tcPr>
          <w:p w14:paraId="2C592035">
            <w:pPr>
              <w:widowControl/>
              <w:snapToGrid w:val="0"/>
              <w:jc w:val="center"/>
              <w:rPr>
                <w:rFonts w:ascii="宋体" w:hAnsi="宋体" w:eastAsia="宋体"/>
                <w:color w:val="auto"/>
                <w:highlight w:val="none"/>
              </w:rPr>
            </w:pPr>
            <w:r>
              <w:rPr>
                <w:rFonts w:hint="eastAsia" w:ascii="宋体" w:hAnsi="宋体" w:eastAsia="宋体"/>
                <w:color w:val="auto"/>
                <w:highlight w:val="none"/>
              </w:rPr>
              <w:t>15</w:t>
            </w:r>
          </w:p>
        </w:tc>
        <w:tc>
          <w:tcPr>
            <w:tcW w:w="705" w:type="dxa"/>
            <w:vAlign w:val="center"/>
          </w:tcPr>
          <w:p w14:paraId="4870FC8D">
            <w:pPr>
              <w:widowControl/>
              <w:snapToGrid w:val="0"/>
              <w:jc w:val="center"/>
              <w:rPr>
                <w:rFonts w:ascii="宋体" w:hAnsi="宋体" w:eastAsia="宋体"/>
                <w:bCs/>
                <w:color w:val="auto"/>
                <w:highlight w:val="none"/>
              </w:rPr>
            </w:pPr>
          </w:p>
        </w:tc>
        <w:tc>
          <w:tcPr>
            <w:tcW w:w="719" w:type="dxa"/>
            <w:vAlign w:val="center"/>
          </w:tcPr>
          <w:p w14:paraId="0245FDE7">
            <w:pPr>
              <w:widowControl/>
              <w:snapToGrid w:val="0"/>
              <w:jc w:val="center"/>
              <w:rPr>
                <w:rFonts w:ascii="宋体" w:hAnsi="宋体" w:eastAsia="宋体"/>
                <w:bCs/>
                <w:color w:val="auto"/>
                <w:highlight w:val="none"/>
              </w:rPr>
            </w:pPr>
          </w:p>
        </w:tc>
      </w:tr>
      <w:tr w14:paraId="65BE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565" w:type="dxa"/>
            <w:vAlign w:val="center"/>
          </w:tcPr>
          <w:p w14:paraId="076D4D6B">
            <w:pPr>
              <w:widowControl/>
              <w:snapToGrid w:val="0"/>
              <w:jc w:val="center"/>
              <w:rPr>
                <w:rFonts w:ascii="宋体" w:hAnsi="宋体" w:eastAsia="宋体"/>
                <w:bCs/>
                <w:color w:val="auto"/>
                <w:highlight w:val="none"/>
              </w:rPr>
            </w:pPr>
            <w:r>
              <w:rPr>
                <w:rFonts w:hint="eastAsia" w:ascii="宋体" w:hAnsi="宋体" w:eastAsia="宋体"/>
                <w:bCs/>
                <w:color w:val="auto"/>
                <w:highlight w:val="none"/>
              </w:rPr>
              <w:t>3</w:t>
            </w:r>
          </w:p>
        </w:tc>
        <w:tc>
          <w:tcPr>
            <w:tcW w:w="1406" w:type="dxa"/>
            <w:vAlign w:val="center"/>
          </w:tcPr>
          <w:p w14:paraId="76765CCC">
            <w:pPr>
              <w:widowControl/>
              <w:snapToGrid w:val="0"/>
              <w:jc w:val="center"/>
              <w:rPr>
                <w:rFonts w:ascii="宋体" w:hAnsi="宋体" w:eastAsia="宋体"/>
                <w:bCs/>
                <w:color w:val="auto"/>
                <w:highlight w:val="none"/>
              </w:rPr>
            </w:pPr>
            <w:r>
              <w:rPr>
                <w:rFonts w:hint="eastAsia" w:ascii="宋体" w:hAnsi="宋体" w:eastAsia="宋体"/>
                <w:bCs/>
                <w:color w:val="auto"/>
                <w:highlight w:val="none"/>
              </w:rPr>
              <w:t>货物交付</w:t>
            </w:r>
          </w:p>
        </w:tc>
        <w:tc>
          <w:tcPr>
            <w:tcW w:w="3836" w:type="dxa"/>
            <w:vAlign w:val="center"/>
          </w:tcPr>
          <w:p w14:paraId="2A8692E6">
            <w:pPr>
              <w:widowControl/>
              <w:rPr>
                <w:rFonts w:ascii="宋体" w:hAnsi="宋体" w:eastAsia="宋体"/>
                <w:bCs/>
                <w:color w:val="auto"/>
                <w:highlight w:val="none"/>
              </w:rPr>
            </w:pPr>
            <w:r>
              <w:rPr>
                <w:rFonts w:hint="eastAsia" w:ascii="宋体" w:hAnsi="宋体" w:eastAsia="宋体"/>
                <w:bCs/>
                <w:color w:val="auto"/>
                <w:highlight w:val="none"/>
              </w:rPr>
              <w:t>（1）按合同要求的期限供货（包括加急供货）；</w:t>
            </w:r>
          </w:p>
          <w:p w14:paraId="39F3A492">
            <w:pPr>
              <w:widowControl/>
              <w:rPr>
                <w:rFonts w:ascii="宋体" w:hAnsi="宋体" w:eastAsia="宋体"/>
                <w:bCs/>
                <w:color w:val="auto"/>
                <w:highlight w:val="none"/>
              </w:rPr>
            </w:pPr>
            <w:r>
              <w:rPr>
                <w:rFonts w:hint="eastAsia" w:ascii="宋体" w:hAnsi="宋体" w:eastAsia="宋体"/>
                <w:bCs/>
                <w:color w:val="auto"/>
                <w:highlight w:val="none"/>
              </w:rPr>
              <w:t>（2）每次供货配合提供电子地磅称重单；</w:t>
            </w:r>
          </w:p>
          <w:p w14:paraId="49A30D00">
            <w:pPr>
              <w:rPr>
                <w:rFonts w:ascii="宋体" w:hAnsi="宋体" w:eastAsia="宋体"/>
                <w:bCs/>
                <w:color w:val="auto"/>
                <w:highlight w:val="none"/>
              </w:rPr>
            </w:pPr>
            <w:r>
              <w:rPr>
                <w:rFonts w:hint="eastAsia" w:ascii="宋体" w:hAnsi="宋体" w:eastAsia="宋体"/>
                <w:bCs/>
                <w:color w:val="auto"/>
                <w:highlight w:val="none"/>
              </w:rPr>
              <w:t>（3）每次供货配合提供出厂检验报告或质量合格证等技术资料；</w:t>
            </w:r>
          </w:p>
          <w:p w14:paraId="75854300">
            <w:pPr>
              <w:widowControl/>
              <w:rPr>
                <w:rFonts w:ascii="宋体" w:hAnsi="宋体" w:eastAsia="宋体"/>
                <w:bCs/>
                <w:color w:val="auto"/>
                <w:highlight w:val="none"/>
              </w:rPr>
            </w:pPr>
            <w:r>
              <w:rPr>
                <w:rFonts w:hint="eastAsia" w:ascii="宋体" w:hAnsi="宋体" w:eastAsia="宋体"/>
                <w:bCs/>
                <w:color w:val="auto"/>
                <w:highlight w:val="none"/>
              </w:rPr>
              <w:t>（4）交付人员专业性强，工作效率高，熟悉交付操作流程；</w:t>
            </w:r>
          </w:p>
          <w:p w14:paraId="59AC5B5B">
            <w:pPr>
              <w:widowControl/>
              <w:rPr>
                <w:rFonts w:ascii="宋体" w:hAnsi="宋体" w:eastAsia="宋体"/>
                <w:bCs/>
                <w:color w:val="auto"/>
                <w:highlight w:val="none"/>
              </w:rPr>
            </w:pPr>
            <w:r>
              <w:rPr>
                <w:rFonts w:hint="eastAsia" w:ascii="宋体" w:hAnsi="宋体" w:eastAsia="宋体"/>
                <w:bCs/>
                <w:color w:val="auto"/>
                <w:highlight w:val="none"/>
              </w:rPr>
              <w:t>（5）未出现因库存、运力不足等原因影响供货量的情况。</w:t>
            </w:r>
          </w:p>
        </w:tc>
        <w:tc>
          <w:tcPr>
            <w:tcW w:w="1828" w:type="dxa"/>
            <w:gridSpan w:val="2"/>
            <w:vAlign w:val="center"/>
          </w:tcPr>
          <w:p w14:paraId="7E440CC7">
            <w:pPr>
              <w:widowControl/>
              <w:snapToGrid w:val="0"/>
              <w:rPr>
                <w:rFonts w:ascii="宋体" w:hAnsi="宋体" w:eastAsia="宋体"/>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733" w:type="dxa"/>
            <w:vAlign w:val="center"/>
          </w:tcPr>
          <w:p w14:paraId="7CD056DF">
            <w:pPr>
              <w:widowControl/>
              <w:snapToGrid w:val="0"/>
              <w:jc w:val="center"/>
              <w:rPr>
                <w:rFonts w:ascii="宋体" w:hAnsi="宋体" w:eastAsia="宋体"/>
                <w:color w:val="auto"/>
                <w:highlight w:val="none"/>
              </w:rPr>
            </w:pPr>
            <w:r>
              <w:rPr>
                <w:rFonts w:hint="eastAsia" w:ascii="宋体" w:hAnsi="宋体" w:eastAsia="宋体"/>
                <w:color w:val="auto"/>
                <w:highlight w:val="none"/>
              </w:rPr>
              <w:t>20</w:t>
            </w:r>
          </w:p>
        </w:tc>
        <w:tc>
          <w:tcPr>
            <w:tcW w:w="705" w:type="dxa"/>
            <w:vAlign w:val="center"/>
          </w:tcPr>
          <w:p w14:paraId="3110A792">
            <w:pPr>
              <w:widowControl/>
              <w:snapToGrid w:val="0"/>
              <w:jc w:val="center"/>
              <w:rPr>
                <w:rFonts w:ascii="宋体" w:hAnsi="宋体" w:eastAsia="宋体"/>
                <w:bCs/>
                <w:color w:val="auto"/>
                <w:highlight w:val="none"/>
              </w:rPr>
            </w:pPr>
          </w:p>
        </w:tc>
        <w:tc>
          <w:tcPr>
            <w:tcW w:w="719" w:type="dxa"/>
            <w:vAlign w:val="center"/>
          </w:tcPr>
          <w:p w14:paraId="12355FC0">
            <w:pPr>
              <w:widowControl/>
              <w:snapToGrid w:val="0"/>
              <w:jc w:val="center"/>
              <w:rPr>
                <w:rFonts w:ascii="宋体" w:hAnsi="宋体" w:eastAsia="宋体"/>
                <w:bCs/>
                <w:color w:val="auto"/>
                <w:highlight w:val="none"/>
              </w:rPr>
            </w:pPr>
          </w:p>
        </w:tc>
      </w:tr>
      <w:tr w14:paraId="0F67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565" w:type="dxa"/>
            <w:vAlign w:val="center"/>
          </w:tcPr>
          <w:p w14:paraId="28B0BB63">
            <w:pPr>
              <w:widowControl/>
              <w:snapToGrid w:val="0"/>
              <w:jc w:val="center"/>
              <w:rPr>
                <w:rFonts w:ascii="宋体" w:hAnsi="宋体" w:eastAsia="宋体"/>
                <w:bCs/>
                <w:color w:val="auto"/>
                <w:highlight w:val="none"/>
              </w:rPr>
            </w:pPr>
            <w:r>
              <w:rPr>
                <w:rFonts w:hint="eastAsia" w:ascii="宋体" w:hAnsi="宋体" w:eastAsia="宋体"/>
                <w:bCs/>
                <w:color w:val="auto"/>
                <w:highlight w:val="none"/>
              </w:rPr>
              <w:t>4</w:t>
            </w:r>
          </w:p>
        </w:tc>
        <w:tc>
          <w:tcPr>
            <w:tcW w:w="1406" w:type="dxa"/>
            <w:vAlign w:val="center"/>
          </w:tcPr>
          <w:p w14:paraId="3EEF8401">
            <w:pPr>
              <w:widowControl/>
              <w:snapToGrid w:val="0"/>
              <w:jc w:val="center"/>
              <w:rPr>
                <w:rFonts w:ascii="宋体" w:hAnsi="宋体" w:eastAsia="宋体"/>
                <w:bCs/>
                <w:color w:val="auto"/>
                <w:highlight w:val="none"/>
              </w:rPr>
            </w:pPr>
            <w:r>
              <w:rPr>
                <w:rFonts w:hint="eastAsia" w:ascii="宋体" w:hAnsi="宋体" w:eastAsia="宋体"/>
                <w:bCs/>
                <w:color w:val="auto"/>
                <w:highlight w:val="none"/>
              </w:rPr>
              <w:t>验收</w:t>
            </w:r>
          </w:p>
        </w:tc>
        <w:tc>
          <w:tcPr>
            <w:tcW w:w="3836" w:type="dxa"/>
            <w:vAlign w:val="center"/>
          </w:tcPr>
          <w:p w14:paraId="58467FC1">
            <w:pPr>
              <w:widowControl/>
              <w:snapToGrid w:val="0"/>
              <w:rPr>
                <w:rFonts w:ascii="宋体" w:hAnsi="宋体" w:eastAsia="宋体"/>
                <w:bCs/>
                <w:color w:val="auto"/>
                <w:highlight w:val="none"/>
              </w:rPr>
            </w:pPr>
            <w:r>
              <w:rPr>
                <w:rFonts w:hint="eastAsia" w:ascii="宋体" w:hAnsi="宋体" w:eastAsia="宋体"/>
                <w:bCs/>
                <w:color w:val="auto"/>
                <w:highlight w:val="none"/>
              </w:rPr>
              <w:t>（1）及时提供货物的各项技术资料，技术资料齐全、规范；</w:t>
            </w:r>
          </w:p>
          <w:p w14:paraId="3B0AF729">
            <w:pPr>
              <w:widowControl/>
              <w:snapToGrid w:val="0"/>
              <w:rPr>
                <w:rFonts w:ascii="宋体" w:hAnsi="宋体" w:eastAsia="宋体"/>
                <w:bCs/>
                <w:color w:val="auto"/>
                <w:highlight w:val="none"/>
              </w:rPr>
            </w:pPr>
            <w:r>
              <w:rPr>
                <w:rFonts w:hint="eastAsia" w:ascii="宋体" w:hAnsi="宋体" w:eastAsia="宋体"/>
                <w:bCs/>
                <w:color w:val="auto"/>
                <w:highlight w:val="none"/>
              </w:rPr>
              <w:t>（2）未出现因对检测结果存在异议而影响供货的情况；</w:t>
            </w:r>
          </w:p>
          <w:p w14:paraId="7CB00A9C">
            <w:pPr>
              <w:widowControl/>
              <w:snapToGrid w:val="0"/>
              <w:rPr>
                <w:rFonts w:ascii="宋体" w:hAnsi="宋体" w:eastAsia="宋体"/>
                <w:bCs/>
                <w:color w:val="auto"/>
                <w:highlight w:val="none"/>
              </w:rPr>
            </w:pPr>
            <w:r>
              <w:rPr>
                <w:rFonts w:hint="eastAsia" w:ascii="宋体" w:hAnsi="宋体" w:eastAsia="宋体"/>
                <w:bCs/>
                <w:color w:val="auto"/>
                <w:highlight w:val="none"/>
              </w:rPr>
              <w:t>（3）未出现因货物检验不合格，或因货物不合格影响厂区生产效果的情况。</w:t>
            </w:r>
          </w:p>
        </w:tc>
        <w:tc>
          <w:tcPr>
            <w:tcW w:w="1828" w:type="dxa"/>
            <w:gridSpan w:val="2"/>
            <w:vAlign w:val="center"/>
          </w:tcPr>
          <w:p w14:paraId="7D076FF0">
            <w:pPr>
              <w:widowControl/>
              <w:snapToGrid w:val="0"/>
              <w:rPr>
                <w:rFonts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达到标准的得满分，每月每次货物有一项未达到标准的扣4分，每次货物最多扣4分。</w:t>
            </w:r>
          </w:p>
        </w:tc>
        <w:tc>
          <w:tcPr>
            <w:tcW w:w="733" w:type="dxa"/>
            <w:vAlign w:val="center"/>
          </w:tcPr>
          <w:p w14:paraId="4A8BD904">
            <w:pPr>
              <w:widowControl/>
              <w:snapToGrid w:val="0"/>
              <w:jc w:val="center"/>
              <w:rPr>
                <w:rFonts w:ascii="宋体" w:hAnsi="宋体" w:eastAsia="宋体"/>
                <w:color w:val="auto"/>
                <w:highlight w:val="none"/>
              </w:rPr>
            </w:pPr>
            <w:r>
              <w:rPr>
                <w:rFonts w:hint="eastAsia" w:ascii="宋体" w:hAnsi="宋体" w:eastAsia="宋体"/>
                <w:color w:val="auto"/>
                <w:highlight w:val="none"/>
              </w:rPr>
              <w:t>20</w:t>
            </w:r>
          </w:p>
        </w:tc>
        <w:tc>
          <w:tcPr>
            <w:tcW w:w="705" w:type="dxa"/>
            <w:vAlign w:val="center"/>
          </w:tcPr>
          <w:p w14:paraId="17183329">
            <w:pPr>
              <w:widowControl/>
              <w:snapToGrid w:val="0"/>
              <w:jc w:val="center"/>
              <w:rPr>
                <w:rFonts w:ascii="宋体" w:hAnsi="宋体" w:eastAsia="宋体"/>
                <w:bCs/>
                <w:color w:val="auto"/>
                <w:highlight w:val="none"/>
              </w:rPr>
            </w:pPr>
          </w:p>
        </w:tc>
        <w:tc>
          <w:tcPr>
            <w:tcW w:w="719" w:type="dxa"/>
            <w:vAlign w:val="center"/>
          </w:tcPr>
          <w:p w14:paraId="7C5FA0F8">
            <w:pPr>
              <w:widowControl/>
              <w:snapToGrid w:val="0"/>
              <w:jc w:val="center"/>
              <w:rPr>
                <w:rFonts w:ascii="宋体" w:hAnsi="宋体" w:eastAsia="宋体"/>
                <w:bCs/>
                <w:color w:val="auto"/>
                <w:highlight w:val="none"/>
              </w:rPr>
            </w:pPr>
          </w:p>
        </w:tc>
      </w:tr>
      <w:tr w14:paraId="294D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565" w:type="dxa"/>
            <w:vAlign w:val="center"/>
          </w:tcPr>
          <w:p w14:paraId="5177A8BA">
            <w:pPr>
              <w:widowControl/>
              <w:snapToGrid w:val="0"/>
              <w:jc w:val="center"/>
              <w:rPr>
                <w:rFonts w:ascii="宋体" w:hAnsi="宋体" w:eastAsia="宋体"/>
                <w:bCs/>
                <w:color w:val="auto"/>
                <w:highlight w:val="none"/>
              </w:rPr>
            </w:pPr>
            <w:r>
              <w:rPr>
                <w:rFonts w:hint="eastAsia" w:ascii="宋体" w:hAnsi="宋体" w:eastAsia="宋体"/>
                <w:bCs/>
                <w:color w:val="auto"/>
                <w:highlight w:val="none"/>
              </w:rPr>
              <w:t>5</w:t>
            </w:r>
          </w:p>
        </w:tc>
        <w:tc>
          <w:tcPr>
            <w:tcW w:w="1406" w:type="dxa"/>
            <w:vAlign w:val="center"/>
          </w:tcPr>
          <w:p w14:paraId="2641B620">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安全</w:t>
            </w:r>
          </w:p>
        </w:tc>
        <w:tc>
          <w:tcPr>
            <w:tcW w:w="3836" w:type="dxa"/>
            <w:vAlign w:val="center"/>
          </w:tcPr>
          <w:p w14:paraId="5ED23C9E">
            <w:pPr>
              <w:widowControl/>
              <w:snapToGrid w:val="0"/>
              <w:rPr>
                <w:rFonts w:ascii="宋体" w:hAnsi="宋体" w:eastAsia="宋体"/>
                <w:bCs/>
                <w:color w:val="auto"/>
                <w:highlight w:val="none"/>
              </w:rPr>
            </w:pPr>
            <w:r>
              <w:rPr>
                <w:rFonts w:hint="eastAsia" w:ascii="宋体" w:hAnsi="宋体" w:eastAsia="宋体"/>
                <w:bCs/>
                <w:color w:val="auto"/>
                <w:highlight w:val="none"/>
              </w:rPr>
              <w:t>（1）运输服务商资质、运输人员、运输车辆符合合同规定及国家相关法律法规要求；</w:t>
            </w:r>
          </w:p>
          <w:p w14:paraId="15FBA3F9">
            <w:pPr>
              <w:widowControl/>
              <w:snapToGrid w:val="0"/>
              <w:rPr>
                <w:rFonts w:ascii="宋体" w:hAnsi="宋体" w:eastAsia="宋体"/>
                <w:bCs/>
                <w:color w:val="auto"/>
                <w:highlight w:val="none"/>
              </w:rPr>
            </w:pPr>
            <w:r>
              <w:rPr>
                <w:rFonts w:hint="eastAsia" w:ascii="宋体" w:hAnsi="宋体" w:eastAsia="宋体"/>
                <w:bCs/>
                <w:color w:val="auto"/>
                <w:highlight w:val="none"/>
              </w:rPr>
              <w:t>（2）未出现超载或非法运输等情况；</w:t>
            </w:r>
          </w:p>
          <w:p w14:paraId="1BDE3081">
            <w:pPr>
              <w:widowControl/>
              <w:snapToGrid w:val="0"/>
              <w:rPr>
                <w:rFonts w:ascii="宋体" w:hAnsi="宋体" w:eastAsia="宋体"/>
                <w:bCs/>
                <w:color w:val="auto"/>
                <w:highlight w:val="none"/>
              </w:rPr>
            </w:pPr>
            <w:r>
              <w:rPr>
                <w:rFonts w:hint="eastAsia" w:ascii="宋体" w:hAnsi="宋体" w:eastAsia="宋体"/>
                <w:bCs/>
                <w:color w:val="auto"/>
                <w:highlight w:val="none"/>
              </w:rPr>
              <w:t>（3）未出现由于运输服务商资质不符、超载或非法运输、未按厂区指示行驶及停放造成第三方或厂区事故、损失的情况；</w:t>
            </w:r>
          </w:p>
          <w:p w14:paraId="714E541D">
            <w:pPr>
              <w:outlineLvl w:val="2"/>
              <w:rPr>
                <w:rFonts w:ascii="宋体" w:hAnsi="宋体" w:eastAsia="宋体"/>
                <w:color w:val="auto"/>
                <w:highlight w:val="none"/>
              </w:rPr>
            </w:pPr>
            <w:bookmarkStart w:id="457" w:name="_Toc174612491"/>
            <w:bookmarkStart w:id="458" w:name="_Toc26805"/>
            <w:bookmarkStart w:id="459" w:name="_Toc146625412"/>
            <w:bookmarkStart w:id="460" w:name="_Toc95729751"/>
            <w:r>
              <w:rPr>
                <w:rFonts w:hint="eastAsia" w:ascii="宋体" w:hAnsi="宋体" w:eastAsia="宋体"/>
                <w:bCs/>
                <w:color w:val="auto"/>
                <w:highlight w:val="none"/>
              </w:rPr>
              <w:t>（4）未出现卸货安全事故。</w:t>
            </w:r>
            <w:bookmarkEnd w:id="457"/>
            <w:bookmarkEnd w:id="458"/>
            <w:bookmarkEnd w:id="459"/>
            <w:bookmarkEnd w:id="460"/>
          </w:p>
        </w:tc>
        <w:tc>
          <w:tcPr>
            <w:tcW w:w="1828" w:type="dxa"/>
            <w:gridSpan w:val="2"/>
            <w:vAlign w:val="center"/>
          </w:tcPr>
          <w:p w14:paraId="28E42229">
            <w:pPr>
              <w:widowControl/>
              <w:snapToGrid w:val="0"/>
              <w:rPr>
                <w:rFonts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733" w:type="dxa"/>
            <w:vAlign w:val="center"/>
          </w:tcPr>
          <w:p w14:paraId="7D6A677F">
            <w:pPr>
              <w:widowControl/>
              <w:snapToGrid w:val="0"/>
              <w:jc w:val="center"/>
              <w:rPr>
                <w:rFonts w:ascii="宋体" w:hAnsi="宋体" w:eastAsia="宋体"/>
                <w:bCs/>
                <w:color w:val="auto"/>
                <w:highlight w:val="none"/>
              </w:rPr>
            </w:pPr>
            <w:r>
              <w:rPr>
                <w:rFonts w:hint="eastAsia" w:ascii="宋体" w:hAnsi="宋体" w:eastAsia="宋体"/>
                <w:bCs/>
                <w:color w:val="auto"/>
                <w:highlight w:val="none"/>
              </w:rPr>
              <w:t>15</w:t>
            </w:r>
          </w:p>
        </w:tc>
        <w:tc>
          <w:tcPr>
            <w:tcW w:w="705" w:type="dxa"/>
            <w:vAlign w:val="center"/>
          </w:tcPr>
          <w:p w14:paraId="7D13C0E4">
            <w:pPr>
              <w:widowControl/>
              <w:snapToGrid w:val="0"/>
              <w:jc w:val="center"/>
              <w:rPr>
                <w:rFonts w:ascii="宋体" w:hAnsi="宋体" w:eastAsia="宋体"/>
                <w:bCs/>
                <w:color w:val="auto"/>
                <w:highlight w:val="none"/>
              </w:rPr>
            </w:pPr>
          </w:p>
        </w:tc>
        <w:tc>
          <w:tcPr>
            <w:tcW w:w="719" w:type="dxa"/>
            <w:vAlign w:val="center"/>
          </w:tcPr>
          <w:p w14:paraId="4141B91D">
            <w:pPr>
              <w:widowControl/>
              <w:snapToGrid w:val="0"/>
              <w:jc w:val="center"/>
              <w:rPr>
                <w:rFonts w:ascii="宋体" w:hAnsi="宋体" w:eastAsia="宋体"/>
                <w:bCs/>
                <w:color w:val="auto"/>
                <w:highlight w:val="none"/>
              </w:rPr>
            </w:pPr>
          </w:p>
        </w:tc>
      </w:tr>
      <w:tr w14:paraId="19F2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565" w:type="dxa"/>
            <w:vAlign w:val="center"/>
          </w:tcPr>
          <w:p w14:paraId="7535C606">
            <w:pPr>
              <w:widowControl/>
              <w:snapToGrid w:val="0"/>
              <w:jc w:val="center"/>
              <w:rPr>
                <w:rFonts w:ascii="宋体" w:hAnsi="宋体" w:eastAsia="宋体"/>
                <w:bCs/>
                <w:color w:val="auto"/>
                <w:highlight w:val="none"/>
              </w:rPr>
            </w:pPr>
            <w:r>
              <w:rPr>
                <w:rFonts w:hint="eastAsia" w:ascii="宋体" w:hAnsi="宋体" w:eastAsia="宋体"/>
                <w:bCs/>
                <w:color w:val="auto"/>
                <w:highlight w:val="none"/>
              </w:rPr>
              <w:t>6</w:t>
            </w:r>
          </w:p>
        </w:tc>
        <w:tc>
          <w:tcPr>
            <w:tcW w:w="1406" w:type="dxa"/>
            <w:vAlign w:val="center"/>
          </w:tcPr>
          <w:p w14:paraId="0AC6E637">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售后服务</w:t>
            </w:r>
          </w:p>
        </w:tc>
        <w:tc>
          <w:tcPr>
            <w:tcW w:w="3836" w:type="dxa"/>
            <w:vAlign w:val="center"/>
          </w:tcPr>
          <w:p w14:paraId="330AA9C6">
            <w:pPr>
              <w:widowControl/>
              <w:snapToGrid w:val="0"/>
              <w:rPr>
                <w:rFonts w:ascii="宋体" w:hAnsi="宋体" w:eastAsia="宋体"/>
                <w:bCs/>
                <w:color w:val="auto"/>
                <w:highlight w:val="none"/>
              </w:rPr>
            </w:pPr>
            <w:r>
              <w:rPr>
                <w:rFonts w:hint="eastAsia" w:ascii="宋体" w:hAnsi="宋体" w:eastAsia="宋体"/>
                <w:bCs/>
                <w:color w:val="auto"/>
                <w:highlight w:val="none"/>
              </w:rPr>
              <w:t>（1）人员：</w:t>
            </w:r>
          </w:p>
          <w:p w14:paraId="61526C06">
            <w:pPr>
              <w:widowControl/>
              <w:snapToGrid w:val="0"/>
              <w:rPr>
                <w:rFonts w:ascii="宋体" w:hAnsi="宋体" w:eastAsia="宋体"/>
                <w:bCs/>
                <w:color w:val="auto"/>
                <w:highlight w:val="none"/>
              </w:rPr>
            </w:pPr>
            <w:r>
              <w:rPr>
                <w:rFonts w:hint="eastAsia" w:ascii="宋体" w:hAnsi="宋体" w:eastAsia="宋体"/>
                <w:bCs/>
                <w:color w:val="auto"/>
                <w:highlight w:val="none"/>
              </w:rPr>
              <w:t>①管理、技术及服务人员均符合申请文件的承诺，服务队伍稳定，人员充足、专业性强，充分配合甲方供货需求；</w:t>
            </w:r>
          </w:p>
          <w:p w14:paraId="2569ABF0">
            <w:pPr>
              <w:widowControl/>
              <w:snapToGrid w:val="0"/>
              <w:rPr>
                <w:rFonts w:ascii="宋体" w:hAnsi="宋体" w:eastAsia="宋体"/>
                <w:bCs/>
                <w:color w:val="auto"/>
                <w:highlight w:val="none"/>
              </w:rPr>
            </w:pPr>
            <w:r>
              <w:rPr>
                <w:rFonts w:hint="eastAsia" w:ascii="宋体" w:hAnsi="宋体" w:eastAsia="宋体"/>
                <w:bCs/>
                <w:color w:val="auto"/>
                <w:highlight w:val="none"/>
              </w:rPr>
              <w:t>②对接人员与甲方沟通良好、理解到位、执行力强，能及时发现、解决问题，并未雨绸缪地因应各厂区实际情况提供合理化的供配货建议；</w:t>
            </w:r>
          </w:p>
          <w:p w14:paraId="6BCFD476">
            <w:pPr>
              <w:widowControl/>
              <w:snapToGrid w:val="0"/>
              <w:rPr>
                <w:rFonts w:ascii="宋体" w:hAnsi="宋体" w:eastAsia="宋体"/>
                <w:bCs/>
                <w:color w:val="auto"/>
                <w:highlight w:val="none"/>
              </w:rPr>
            </w:pPr>
            <w:r>
              <w:rPr>
                <w:rFonts w:hint="eastAsia" w:ascii="宋体" w:hAnsi="宋体" w:eastAsia="宋体"/>
                <w:bCs/>
                <w:color w:val="auto"/>
                <w:highlight w:val="none"/>
              </w:rPr>
              <w:t>③未出现推诿，借故不肯签署合同规定的文件或者敷衍了事、置之不理等情况。</w:t>
            </w:r>
          </w:p>
          <w:p w14:paraId="72F57B97">
            <w:pPr>
              <w:widowControl/>
              <w:snapToGrid w:val="0"/>
              <w:rPr>
                <w:rFonts w:ascii="宋体" w:hAnsi="宋体" w:eastAsia="宋体"/>
                <w:bCs/>
                <w:color w:val="auto"/>
                <w:highlight w:val="none"/>
              </w:rPr>
            </w:pPr>
            <w:r>
              <w:rPr>
                <w:rFonts w:hint="eastAsia" w:ascii="宋体" w:hAnsi="宋体" w:eastAsia="宋体"/>
                <w:bCs/>
                <w:color w:val="auto"/>
                <w:highlight w:val="none"/>
              </w:rPr>
              <w:t>（2）配合：</w:t>
            </w:r>
          </w:p>
          <w:p w14:paraId="22D1322C">
            <w:pPr>
              <w:widowControl/>
              <w:snapToGrid w:val="0"/>
              <w:rPr>
                <w:rFonts w:ascii="宋体" w:hAnsi="宋体" w:eastAsia="宋体"/>
                <w:bCs/>
                <w:color w:val="auto"/>
                <w:highlight w:val="none"/>
              </w:rPr>
            </w:pPr>
            <w:r>
              <w:rPr>
                <w:rFonts w:hint="eastAsia" w:ascii="宋体" w:hAnsi="宋体" w:eastAsia="宋体"/>
                <w:bCs/>
                <w:color w:val="auto"/>
                <w:highlight w:val="none"/>
              </w:rPr>
              <w:t>①售后服务流程完善，跟踪到位，响应速度快；</w:t>
            </w:r>
          </w:p>
          <w:p w14:paraId="36D9844E">
            <w:pPr>
              <w:widowControl/>
              <w:snapToGrid w:val="0"/>
              <w:rPr>
                <w:rFonts w:ascii="宋体" w:hAnsi="宋体" w:eastAsia="宋体"/>
                <w:bCs/>
                <w:color w:val="auto"/>
                <w:highlight w:val="none"/>
              </w:rPr>
            </w:pPr>
            <w:r>
              <w:rPr>
                <w:rFonts w:hint="eastAsia" w:ascii="宋体" w:hAnsi="宋体" w:eastAsia="宋体"/>
                <w:bCs/>
                <w:color w:val="auto"/>
                <w:highlight w:val="none"/>
              </w:rPr>
              <w:t>②就货物储存保质方式、方法提出合理化建议并能提供专业技术指导；</w:t>
            </w:r>
          </w:p>
          <w:p w14:paraId="69F8D2FC">
            <w:pPr>
              <w:widowControl/>
              <w:snapToGrid w:val="0"/>
              <w:rPr>
                <w:rFonts w:ascii="宋体" w:hAnsi="宋体" w:eastAsia="宋体"/>
                <w:bCs/>
                <w:color w:val="auto"/>
                <w:highlight w:val="none"/>
              </w:rPr>
            </w:pPr>
            <w:r>
              <w:rPr>
                <w:rFonts w:hint="eastAsia" w:ascii="宋体" w:hAnsi="宋体" w:eastAsia="宋体"/>
                <w:bCs/>
                <w:color w:val="auto"/>
                <w:highlight w:val="none"/>
              </w:rPr>
              <w:t>③积极配合甲方进行试验、积极协助甲方接受政府管理部门的检查工作及提供各类资质证明材料；</w:t>
            </w:r>
          </w:p>
          <w:p w14:paraId="07AF42C5">
            <w:pPr>
              <w:widowControl/>
              <w:snapToGrid w:val="0"/>
              <w:rPr>
                <w:rFonts w:ascii="宋体" w:hAnsi="宋体" w:eastAsia="宋体"/>
                <w:bCs/>
                <w:color w:val="auto"/>
                <w:highlight w:val="none"/>
              </w:rPr>
            </w:pPr>
            <w:r>
              <w:rPr>
                <w:rFonts w:hint="eastAsia" w:ascii="宋体" w:hAnsi="宋体" w:eastAsia="宋体"/>
                <w:bCs/>
                <w:color w:val="auto"/>
                <w:highlight w:val="none"/>
              </w:rPr>
              <w:t>④能根据甲方要求提供专业培训；</w:t>
            </w:r>
          </w:p>
          <w:p w14:paraId="2D0B7F65">
            <w:pPr>
              <w:outlineLvl w:val="2"/>
              <w:rPr>
                <w:rFonts w:ascii="宋体" w:hAnsi="宋体" w:eastAsia="宋体"/>
                <w:color w:val="auto"/>
                <w:highlight w:val="none"/>
              </w:rPr>
            </w:pPr>
            <w:bookmarkStart w:id="461" w:name="_Toc16528"/>
            <w:bookmarkStart w:id="462" w:name="_Toc146625413"/>
            <w:bookmarkStart w:id="463" w:name="_Toc174612492"/>
            <w:bookmarkStart w:id="464" w:name="_Toc95729752"/>
            <w:r>
              <w:rPr>
                <w:rFonts w:hint="eastAsia" w:ascii="宋体" w:hAnsi="宋体" w:eastAsia="宋体"/>
                <w:bCs/>
                <w:color w:val="auto"/>
                <w:highlight w:val="none"/>
              </w:rPr>
              <w:t>⑤高效处理退换货工作、态度良好。</w:t>
            </w:r>
            <w:bookmarkEnd w:id="461"/>
            <w:bookmarkEnd w:id="462"/>
            <w:bookmarkEnd w:id="463"/>
            <w:bookmarkEnd w:id="464"/>
          </w:p>
        </w:tc>
        <w:tc>
          <w:tcPr>
            <w:tcW w:w="1828" w:type="dxa"/>
            <w:gridSpan w:val="2"/>
            <w:vAlign w:val="center"/>
          </w:tcPr>
          <w:p w14:paraId="7749C7BB">
            <w:pPr>
              <w:widowControl/>
              <w:snapToGrid w:val="0"/>
              <w:rPr>
                <w:rFonts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达到标准的得满分，每月每次货物有一项未达到标准的扣2分，每次货物最多扣2分。</w:t>
            </w:r>
          </w:p>
        </w:tc>
        <w:tc>
          <w:tcPr>
            <w:tcW w:w="733" w:type="dxa"/>
            <w:vAlign w:val="center"/>
          </w:tcPr>
          <w:p w14:paraId="26041D5E">
            <w:pPr>
              <w:widowControl/>
              <w:snapToGrid w:val="0"/>
              <w:jc w:val="center"/>
              <w:rPr>
                <w:rFonts w:ascii="宋体" w:hAnsi="宋体" w:eastAsia="宋体"/>
                <w:bCs/>
                <w:color w:val="auto"/>
                <w:highlight w:val="none"/>
              </w:rPr>
            </w:pPr>
            <w:r>
              <w:rPr>
                <w:rFonts w:hint="eastAsia" w:ascii="宋体" w:hAnsi="宋体" w:eastAsia="宋体"/>
                <w:bCs/>
                <w:color w:val="auto"/>
                <w:highlight w:val="none"/>
              </w:rPr>
              <w:t>10</w:t>
            </w:r>
          </w:p>
        </w:tc>
        <w:tc>
          <w:tcPr>
            <w:tcW w:w="705" w:type="dxa"/>
            <w:vAlign w:val="center"/>
          </w:tcPr>
          <w:p w14:paraId="30B435DE">
            <w:pPr>
              <w:widowControl/>
              <w:snapToGrid w:val="0"/>
              <w:jc w:val="center"/>
              <w:rPr>
                <w:rFonts w:ascii="宋体" w:hAnsi="宋体" w:eastAsia="宋体"/>
                <w:bCs/>
                <w:color w:val="auto"/>
                <w:highlight w:val="none"/>
              </w:rPr>
            </w:pPr>
          </w:p>
        </w:tc>
        <w:tc>
          <w:tcPr>
            <w:tcW w:w="719" w:type="dxa"/>
            <w:vAlign w:val="center"/>
          </w:tcPr>
          <w:p w14:paraId="34115654">
            <w:pPr>
              <w:widowControl/>
              <w:snapToGrid w:val="0"/>
              <w:jc w:val="center"/>
              <w:rPr>
                <w:rFonts w:ascii="宋体" w:hAnsi="宋体" w:eastAsia="宋体"/>
                <w:bCs/>
                <w:color w:val="auto"/>
                <w:highlight w:val="none"/>
              </w:rPr>
            </w:pPr>
          </w:p>
        </w:tc>
      </w:tr>
      <w:tr w14:paraId="6595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635" w:type="dxa"/>
            <w:gridSpan w:val="5"/>
            <w:vAlign w:val="center"/>
          </w:tcPr>
          <w:p w14:paraId="0C238435">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合计</w:t>
            </w:r>
          </w:p>
        </w:tc>
        <w:tc>
          <w:tcPr>
            <w:tcW w:w="733" w:type="dxa"/>
            <w:vAlign w:val="center"/>
          </w:tcPr>
          <w:p w14:paraId="016CB897">
            <w:pPr>
              <w:widowControl/>
              <w:snapToGrid w:val="0"/>
              <w:jc w:val="center"/>
              <w:rPr>
                <w:rFonts w:ascii="宋体" w:hAnsi="宋体" w:eastAsia="宋体"/>
                <w:bCs/>
                <w:color w:val="auto"/>
                <w:highlight w:val="none"/>
              </w:rPr>
            </w:pPr>
            <w:r>
              <w:rPr>
                <w:rFonts w:hint="eastAsia" w:ascii="宋体" w:hAnsi="宋体" w:eastAsia="宋体"/>
                <w:bCs/>
                <w:color w:val="auto"/>
                <w:highlight w:val="none"/>
              </w:rPr>
              <w:t>1</w:t>
            </w:r>
            <w:r>
              <w:rPr>
                <w:rFonts w:ascii="宋体" w:hAnsi="宋体" w:eastAsia="宋体"/>
                <w:bCs/>
                <w:color w:val="auto"/>
                <w:highlight w:val="none"/>
              </w:rPr>
              <w:t>00</w:t>
            </w:r>
          </w:p>
        </w:tc>
        <w:tc>
          <w:tcPr>
            <w:tcW w:w="705" w:type="dxa"/>
            <w:vAlign w:val="center"/>
          </w:tcPr>
          <w:p w14:paraId="4345F058">
            <w:pPr>
              <w:widowControl/>
              <w:snapToGrid w:val="0"/>
              <w:jc w:val="center"/>
              <w:rPr>
                <w:rFonts w:ascii="宋体" w:hAnsi="宋体" w:eastAsia="宋体"/>
                <w:bCs/>
                <w:color w:val="auto"/>
                <w:highlight w:val="none"/>
              </w:rPr>
            </w:pPr>
          </w:p>
        </w:tc>
        <w:tc>
          <w:tcPr>
            <w:tcW w:w="719" w:type="dxa"/>
            <w:vAlign w:val="center"/>
          </w:tcPr>
          <w:p w14:paraId="68C8904F">
            <w:pPr>
              <w:widowControl/>
              <w:snapToGrid w:val="0"/>
              <w:jc w:val="center"/>
              <w:rPr>
                <w:rFonts w:ascii="宋体" w:hAnsi="宋体" w:eastAsia="宋体"/>
                <w:bCs/>
                <w:color w:val="auto"/>
                <w:highlight w:val="none"/>
              </w:rPr>
            </w:pPr>
          </w:p>
        </w:tc>
      </w:tr>
      <w:tr w14:paraId="7C5C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jc w:val="center"/>
        </w:trPr>
        <w:tc>
          <w:tcPr>
            <w:tcW w:w="1971" w:type="dxa"/>
            <w:gridSpan w:val="2"/>
            <w:vAlign w:val="center"/>
          </w:tcPr>
          <w:p w14:paraId="08B5F8E5">
            <w:pPr>
              <w:widowControl/>
              <w:snapToGrid w:val="0"/>
              <w:jc w:val="center"/>
              <w:rPr>
                <w:rFonts w:ascii="宋体" w:hAnsi="宋体" w:eastAsia="宋体"/>
                <w:bCs/>
                <w:color w:val="auto"/>
                <w:highlight w:val="none"/>
              </w:rPr>
            </w:pPr>
            <w:r>
              <w:rPr>
                <w:rFonts w:hint="eastAsia" w:ascii="宋体" w:hAnsi="宋体" w:eastAsia="宋体"/>
                <w:bCs/>
                <w:color w:val="auto"/>
                <w:highlight w:val="none"/>
              </w:rPr>
              <w:t>评审结论</w:t>
            </w:r>
          </w:p>
        </w:tc>
        <w:tc>
          <w:tcPr>
            <w:tcW w:w="7821" w:type="dxa"/>
            <w:gridSpan w:val="6"/>
          </w:tcPr>
          <w:p w14:paraId="30B4AB41">
            <w:pPr>
              <w:widowControl/>
              <w:snapToGrid w:val="0"/>
              <w:rPr>
                <w:rFonts w:ascii="宋体" w:hAnsi="宋体" w:eastAsia="宋体"/>
                <w:bCs/>
                <w:color w:val="auto"/>
                <w:highlight w:val="none"/>
              </w:rPr>
            </w:pPr>
            <w:r>
              <w:rPr>
                <w:rFonts w:hint="eastAsia" w:ascii="宋体" w:hAnsi="宋体" w:eastAsia="宋体"/>
                <w:bCs/>
                <w:color w:val="auto"/>
                <w:highlight w:val="none"/>
              </w:rPr>
              <w:t>□合计分值不低于</w:t>
            </w:r>
            <w:r>
              <w:rPr>
                <w:rFonts w:ascii="宋体" w:hAnsi="宋体" w:eastAsia="宋体"/>
                <w:bCs/>
                <w:color w:val="auto"/>
                <w:highlight w:val="none"/>
              </w:rPr>
              <w:t>8</w:t>
            </w:r>
            <w:r>
              <w:rPr>
                <w:rFonts w:hint="eastAsia" w:ascii="宋体" w:hAnsi="宋体" w:eastAsia="宋体"/>
                <w:bCs/>
                <w:color w:val="auto"/>
                <w:highlight w:val="none"/>
              </w:rPr>
              <w:t>0的，评审结论合格</w:t>
            </w:r>
            <w:r>
              <w:rPr>
                <w:rFonts w:hint="eastAsia" w:ascii="宋体" w:hAnsi="宋体" w:eastAsia="宋体"/>
                <w:bCs/>
                <w:color w:val="auto"/>
                <w:highlight w:val="none"/>
              </w:rPr>
              <w:br w:type="textWrapping"/>
            </w:r>
            <w:r>
              <w:rPr>
                <w:rFonts w:hint="eastAsia" w:ascii="宋体" w:hAnsi="宋体" w:eastAsia="宋体"/>
                <w:bCs/>
                <w:color w:val="auto"/>
                <w:highlight w:val="none"/>
              </w:rPr>
              <w:t>□合计分值低于</w:t>
            </w:r>
            <w:r>
              <w:rPr>
                <w:rFonts w:ascii="宋体" w:hAnsi="宋体" w:eastAsia="宋体"/>
                <w:bCs/>
                <w:color w:val="auto"/>
                <w:highlight w:val="none"/>
              </w:rPr>
              <w:t>8</w:t>
            </w:r>
            <w:r>
              <w:rPr>
                <w:rFonts w:hint="eastAsia" w:ascii="宋体" w:hAnsi="宋体" w:eastAsia="宋体"/>
                <w:bCs/>
                <w:color w:val="auto"/>
                <w:highlight w:val="none"/>
              </w:rPr>
              <w:t>0的，评审结论不合格，说明：</w:t>
            </w:r>
            <w:r>
              <w:rPr>
                <w:rFonts w:hint="eastAsia" w:ascii="宋体" w:hAnsi="宋体" w:eastAsia="宋体"/>
                <w:bCs/>
                <w:color w:val="auto"/>
                <w:highlight w:val="none"/>
                <w:u w:val="single"/>
              </w:rPr>
              <w:t xml:space="preserve">              </w:t>
            </w:r>
          </w:p>
        </w:tc>
      </w:tr>
      <w:tr w14:paraId="0852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971" w:type="dxa"/>
            <w:gridSpan w:val="2"/>
            <w:vMerge w:val="restart"/>
            <w:vAlign w:val="center"/>
          </w:tcPr>
          <w:p w14:paraId="386AF054">
            <w:pPr>
              <w:widowControl/>
              <w:snapToGrid w:val="0"/>
              <w:jc w:val="center"/>
              <w:rPr>
                <w:rFonts w:ascii="宋体" w:hAnsi="宋体" w:eastAsia="宋体"/>
                <w:color w:val="auto"/>
                <w:highlight w:val="none"/>
              </w:rPr>
            </w:pPr>
            <w:r>
              <w:rPr>
                <w:rFonts w:hint="eastAsia" w:ascii="宋体" w:hAnsi="宋体" w:eastAsia="宋体"/>
                <w:bCs/>
                <w:color w:val="auto"/>
                <w:highlight w:val="none"/>
              </w:rPr>
              <w:t>履约评审运营项目</w:t>
            </w:r>
            <w:r>
              <w:rPr>
                <w:rFonts w:hint="eastAsia" w:ascii="宋体" w:hAnsi="宋体" w:eastAsia="宋体"/>
                <w:color w:val="auto"/>
                <w:highlight w:val="none"/>
              </w:rPr>
              <w:t>其他</w:t>
            </w:r>
            <w:r>
              <w:rPr>
                <w:rFonts w:hint="eastAsia" w:ascii="宋体" w:hAnsi="宋体" w:eastAsia="宋体"/>
                <w:bCs/>
                <w:color w:val="auto"/>
                <w:highlight w:val="none"/>
              </w:rPr>
              <w:t>意见及签署</w:t>
            </w:r>
          </w:p>
        </w:tc>
        <w:tc>
          <w:tcPr>
            <w:tcW w:w="3840" w:type="dxa"/>
            <w:gridSpan w:val="2"/>
            <w:vAlign w:val="center"/>
          </w:tcPr>
          <w:p w14:paraId="470F69B6">
            <w:pPr>
              <w:widowControl/>
              <w:snapToGrid w:val="0"/>
              <w:rPr>
                <w:rFonts w:ascii="宋体" w:hAnsi="宋体" w:eastAsia="宋体"/>
                <w:color w:val="auto"/>
                <w:highlight w:val="none"/>
              </w:rPr>
            </w:pPr>
            <w:r>
              <w:rPr>
                <w:rFonts w:hint="eastAsia" w:ascii="宋体" w:hAnsi="宋体" w:eastAsia="宋体"/>
                <w:bCs/>
                <w:color w:val="auto"/>
                <w:highlight w:val="none"/>
              </w:rPr>
              <w:t>经办人</w:t>
            </w:r>
          </w:p>
        </w:tc>
        <w:tc>
          <w:tcPr>
            <w:tcW w:w="3987" w:type="dxa"/>
            <w:gridSpan w:val="5"/>
            <w:vAlign w:val="center"/>
          </w:tcPr>
          <w:p w14:paraId="333CA2CC">
            <w:pPr>
              <w:widowControl/>
              <w:snapToGrid w:val="0"/>
              <w:rPr>
                <w:rFonts w:ascii="宋体" w:hAnsi="宋体" w:eastAsia="宋体"/>
                <w:bCs/>
                <w:color w:val="auto"/>
                <w:highlight w:val="none"/>
              </w:rPr>
            </w:pPr>
          </w:p>
        </w:tc>
      </w:tr>
      <w:tr w14:paraId="0CEB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971" w:type="dxa"/>
            <w:gridSpan w:val="2"/>
            <w:vMerge w:val="continue"/>
          </w:tcPr>
          <w:p w14:paraId="4E810DDF">
            <w:pPr>
              <w:widowControl/>
              <w:snapToGrid w:val="0"/>
              <w:rPr>
                <w:rFonts w:ascii="宋体" w:hAnsi="宋体" w:eastAsia="宋体"/>
                <w:bCs/>
                <w:color w:val="auto"/>
                <w:highlight w:val="none"/>
              </w:rPr>
            </w:pPr>
          </w:p>
        </w:tc>
        <w:tc>
          <w:tcPr>
            <w:tcW w:w="3840" w:type="dxa"/>
            <w:gridSpan w:val="2"/>
            <w:vAlign w:val="center"/>
          </w:tcPr>
          <w:p w14:paraId="20A2EF6C">
            <w:pPr>
              <w:widowControl/>
              <w:snapToGrid w:val="0"/>
              <w:rPr>
                <w:rFonts w:ascii="宋体" w:hAnsi="宋体" w:eastAsia="宋体"/>
                <w:bCs/>
                <w:color w:val="auto"/>
                <w:highlight w:val="none"/>
              </w:rPr>
            </w:pPr>
            <w:r>
              <w:rPr>
                <w:rFonts w:hint="eastAsia" w:ascii="宋体" w:hAnsi="宋体" w:eastAsia="宋体"/>
                <w:bCs/>
                <w:color w:val="auto"/>
                <w:highlight w:val="none"/>
              </w:rPr>
              <w:t>运营项目负责人</w:t>
            </w:r>
          </w:p>
        </w:tc>
        <w:tc>
          <w:tcPr>
            <w:tcW w:w="3987" w:type="dxa"/>
            <w:gridSpan w:val="5"/>
            <w:vAlign w:val="center"/>
          </w:tcPr>
          <w:p w14:paraId="6C3413AA">
            <w:pPr>
              <w:widowControl/>
              <w:snapToGrid w:val="0"/>
              <w:rPr>
                <w:rFonts w:ascii="宋体" w:hAnsi="宋体" w:eastAsia="宋体"/>
                <w:bCs/>
                <w:color w:val="auto"/>
                <w:highlight w:val="none"/>
              </w:rPr>
            </w:pPr>
          </w:p>
        </w:tc>
      </w:tr>
      <w:tr w14:paraId="34E9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971" w:type="dxa"/>
            <w:gridSpan w:val="2"/>
          </w:tcPr>
          <w:p w14:paraId="7FB05F13">
            <w:pPr>
              <w:widowControl/>
              <w:snapToGrid w:val="0"/>
              <w:jc w:val="center"/>
              <w:rPr>
                <w:rFonts w:hint="default" w:ascii="宋体" w:hAnsi="宋体" w:eastAsia="宋体"/>
                <w:bCs/>
                <w:color w:val="auto"/>
                <w:highlight w:val="none"/>
                <w:lang w:val="en-US" w:eastAsia="zh-CN"/>
              </w:rPr>
            </w:pPr>
            <w:r>
              <w:rPr>
                <w:rFonts w:hint="eastAsia" w:ascii="宋体" w:hAnsi="宋体" w:eastAsia="宋体"/>
                <w:bCs/>
                <w:color w:val="auto"/>
                <w:highlight w:val="none"/>
                <w:lang w:val="en-US" w:eastAsia="zh-CN"/>
              </w:rPr>
              <w:t>供应商确认意见及签署</w:t>
            </w:r>
          </w:p>
        </w:tc>
        <w:tc>
          <w:tcPr>
            <w:tcW w:w="3840" w:type="dxa"/>
            <w:gridSpan w:val="2"/>
            <w:vAlign w:val="center"/>
          </w:tcPr>
          <w:p w14:paraId="7FE2D8B5">
            <w:pPr>
              <w:widowControl/>
              <w:snapToGrid w:val="0"/>
              <w:rPr>
                <w:rFonts w:hint="eastAsia" w:ascii="宋体" w:hAnsi="宋体" w:eastAsia="宋体"/>
                <w:bCs/>
                <w:color w:val="auto"/>
                <w:highlight w:val="none"/>
              </w:rPr>
            </w:pPr>
            <w:r>
              <w:rPr>
                <w:rFonts w:hint="eastAsia" w:ascii="宋体" w:hAnsi="宋体" w:eastAsia="宋体"/>
                <w:bCs/>
                <w:color w:val="auto"/>
                <w:highlight w:val="none"/>
              </w:rPr>
              <w:t>供货单位代表</w:t>
            </w:r>
          </w:p>
        </w:tc>
        <w:tc>
          <w:tcPr>
            <w:tcW w:w="3987" w:type="dxa"/>
            <w:gridSpan w:val="5"/>
            <w:vAlign w:val="center"/>
          </w:tcPr>
          <w:p w14:paraId="27589BFF">
            <w:pPr>
              <w:widowControl/>
              <w:snapToGrid w:val="0"/>
              <w:rPr>
                <w:rFonts w:ascii="宋体" w:hAnsi="宋体" w:eastAsia="宋体"/>
                <w:bCs/>
                <w:color w:val="auto"/>
                <w:highlight w:val="none"/>
              </w:rPr>
            </w:pPr>
          </w:p>
        </w:tc>
      </w:tr>
    </w:tbl>
    <w:p w14:paraId="5F5BE555">
      <w:pPr>
        <w:rPr>
          <w:rFonts w:hint="eastAsia"/>
          <w:color w:val="auto"/>
          <w:highlight w:val="none"/>
          <w:lang w:val="zh-CN"/>
        </w:rPr>
      </w:pPr>
    </w:p>
    <w:p w14:paraId="4404A2B1">
      <w:pPr>
        <w:rPr>
          <w:color w:val="auto"/>
          <w:highlight w:val="none"/>
        </w:rPr>
      </w:pPr>
    </w:p>
    <w:p w14:paraId="53CCC416">
      <w:pPr>
        <w:rPr>
          <w:color w:val="auto"/>
          <w:highlight w:val="none"/>
          <w:lang w:val="zh-CN"/>
        </w:rPr>
      </w:pPr>
    </w:p>
    <w:p w14:paraId="11197E43">
      <w:pPr>
        <w:bidi w:val="0"/>
        <w:rPr>
          <w:color w:val="auto"/>
          <w:highlight w:val="none"/>
          <w:lang w:val="zh-CN"/>
        </w:rPr>
      </w:pPr>
    </w:p>
    <w:bookmarkEnd w:id="433"/>
    <w:bookmarkEnd w:id="434"/>
    <w:bookmarkEnd w:id="435"/>
    <w:bookmarkEnd w:id="436"/>
    <w:bookmarkEnd w:id="437"/>
    <w:bookmarkEnd w:id="438"/>
    <w:bookmarkEnd w:id="439"/>
    <w:bookmarkEnd w:id="440"/>
    <w:p w14:paraId="77DE3463">
      <w:pPr>
        <w:pageBreakBefore/>
        <w:tabs>
          <w:tab w:val="left" w:pos="1080"/>
        </w:tabs>
        <w:autoSpaceDE w:val="0"/>
        <w:autoSpaceDN w:val="0"/>
        <w:adjustRightInd w:val="0"/>
        <w:spacing w:line="360" w:lineRule="auto"/>
        <w:ind w:left="357" w:leftChars="-100" w:hanging="567"/>
        <w:jc w:val="center"/>
        <w:outlineLvl w:val="1"/>
        <w:rPr>
          <w:rFonts w:ascii="宋体" w:hAnsi="宋体" w:eastAsia="宋体" w:cs="宋体"/>
          <w:b/>
          <w:bCs/>
          <w:color w:val="auto"/>
          <w:kern w:val="44"/>
          <w:sz w:val="32"/>
          <w:szCs w:val="32"/>
          <w:highlight w:val="none"/>
          <w:lang w:val="zh-CN"/>
        </w:rPr>
      </w:pPr>
      <w:bookmarkStart w:id="465" w:name="_Toc14180"/>
      <w:bookmarkStart w:id="466" w:name="_Toc27343"/>
      <w:r>
        <w:rPr>
          <w:rFonts w:hint="eastAsia" w:ascii="宋体" w:hAnsi="宋体" w:eastAsia="宋体" w:cs="宋体"/>
          <w:b/>
          <w:bCs/>
          <w:color w:val="auto"/>
          <w:kern w:val="44"/>
          <w:sz w:val="32"/>
          <w:szCs w:val="32"/>
          <w:highlight w:val="none"/>
          <w:lang w:val="zh-CN"/>
        </w:rPr>
        <w:t>第四篇 合同条款格式</w:t>
      </w:r>
      <w:bookmarkEnd w:id="465"/>
      <w:bookmarkEnd w:id="466"/>
    </w:p>
    <w:p w14:paraId="55F7A932">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3C3C1ED">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007AF151">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5256A278">
      <w:pPr>
        <w:autoSpaceDE w:val="0"/>
        <w:autoSpaceDN w:val="0"/>
        <w:adjustRightInd w:val="0"/>
        <w:spacing w:line="360" w:lineRule="auto"/>
        <w:jc w:val="center"/>
        <w:rPr>
          <w:rFonts w:hint="eastAsia" w:ascii="宋体" w:hAnsi="宋体" w:eastAsia="宋体" w:cs="Times New Roman"/>
          <w:bCs/>
          <w:color w:val="auto"/>
          <w:kern w:val="0"/>
          <w:sz w:val="52"/>
          <w:szCs w:val="52"/>
          <w:highlight w:val="none"/>
          <w:lang w:eastAsia="zh-CN"/>
        </w:rPr>
      </w:pPr>
      <w:r>
        <w:rPr>
          <w:rFonts w:hint="eastAsia" w:ascii="宋体" w:hAnsi="宋体" w:eastAsia="宋体" w:cs="Times New Roman"/>
          <w:b/>
          <w:color w:val="auto"/>
          <w:kern w:val="0"/>
          <w:sz w:val="52"/>
          <w:szCs w:val="96"/>
          <w:highlight w:val="none"/>
          <w:lang w:eastAsia="zh-CN"/>
        </w:rPr>
        <w:t>东莞市水务环境投资控股集团净水有限公司2026年-2027年生产药剂液体聚合氯化铝、液体聚合氯化铝铁采购项目</w:t>
      </w:r>
    </w:p>
    <w:p w14:paraId="00AB7D3A">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0C11608C">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110003F4">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559F8BC3">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1</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55BAA809">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2</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068BD703">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3</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79A97FFE">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3C7C42FB">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1E54B907">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6</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7D9321D9">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10F0D05E">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0DA8130C">
      <w:pPr>
        <w:rPr>
          <w:rFonts w:hint="eastAsia" w:ascii="宋体" w:hAnsi="宋体" w:eastAsia="宋体" w:cs="宋体"/>
          <w:color w:val="auto"/>
          <w:sz w:val="21"/>
          <w:szCs w:val="21"/>
          <w:highlight w:val="none"/>
        </w:rPr>
      </w:pPr>
    </w:p>
    <w:p w14:paraId="2A1A694A">
      <w:pPr>
        <w:spacing w:line="360" w:lineRule="auto"/>
        <w:ind w:left="-210" w:firstLine="420" w:firstLineChars="20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66B4CB27">
      <w:pPr>
        <w:spacing w:line="360" w:lineRule="auto"/>
        <w:ind w:left="-210" w:firstLine="420" w:firstLineChars="20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5F10BD72">
      <w:pPr>
        <w:spacing w:line="360" w:lineRule="auto"/>
        <w:ind w:left="-210" w:firstLine="420" w:firstLineChars="20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34BF3A45">
      <w:pPr>
        <w:snapToGrid w:val="0"/>
        <w:spacing w:line="360" w:lineRule="auto"/>
        <w:ind w:firstLine="210" w:firstLineChars="10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4A4EC0DE">
      <w:pPr>
        <w:snapToGrid w:val="0"/>
        <w:spacing w:line="360" w:lineRule="auto"/>
        <w:ind w:firstLine="210" w:firstLineChars="10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678CA22B">
      <w:pPr>
        <w:snapToGrid w:val="0"/>
        <w:spacing w:line="360" w:lineRule="auto"/>
        <w:ind w:firstLine="210" w:firstLineChars="10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6D878CE6">
      <w:pPr>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14:paraId="4ADC9DB5">
      <w:pPr>
        <w:snapToGrid w:val="0"/>
        <w:spacing w:line="360" w:lineRule="auto"/>
        <w:rPr>
          <w:rFonts w:hint="eastAsia" w:ascii="宋体" w:hAnsi="宋体" w:eastAsia="宋体" w:cs="宋体"/>
          <w:color w:val="auto"/>
          <w:sz w:val="21"/>
          <w:szCs w:val="21"/>
          <w:highlight w:val="none"/>
        </w:rPr>
      </w:pPr>
    </w:p>
    <w:p w14:paraId="331191A1">
      <w:pPr>
        <w:spacing w:line="360" w:lineRule="auto"/>
        <w:ind w:left="-21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日通知的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项目中标结果（招标编号：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）和招标文件的要求，经双方协商一致，签订本合同。</w:t>
      </w:r>
    </w:p>
    <w:p w14:paraId="7F2A732A">
      <w:pPr>
        <w:spacing w:line="360" w:lineRule="auto"/>
        <w:ind w:left="-21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“甲方”指</w:t>
      </w:r>
      <w:r>
        <w:rPr>
          <w:rFonts w:hint="eastAsia" w:ascii="宋体" w:hAnsi="宋体" w:eastAsia="宋体" w:cs="宋体"/>
          <w:color w:val="auto"/>
          <w:szCs w:val="21"/>
          <w:highlight w:val="none"/>
          <w:u w:val="single"/>
        </w:rPr>
        <w:t>东莞市水务环境投资控股集团净水有限公司</w:t>
      </w:r>
      <w:r>
        <w:rPr>
          <w:rFonts w:hint="eastAsia" w:ascii="宋体" w:hAnsi="宋体" w:eastAsia="宋体" w:cs="宋体"/>
          <w:color w:val="auto"/>
          <w:sz w:val="21"/>
          <w:szCs w:val="21"/>
          <w:highlight w:val="none"/>
        </w:rPr>
        <w:t>（甲方1）、</w:t>
      </w:r>
      <w:r>
        <w:rPr>
          <w:rFonts w:hint="eastAsia" w:ascii="宋体" w:hAnsi="宋体" w:eastAsia="宋体" w:cs="宋体"/>
          <w:color w:val="auto"/>
          <w:szCs w:val="21"/>
          <w:highlight w:val="none"/>
          <w:u w:val="single"/>
        </w:rPr>
        <w:t>东莞市石鼓净水有限公司</w:t>
      </w:r>
      <w:r>
        <w:rPr>
          <w:rFonts w:hint="eastAsia" w:ascii="宋体" w:hAnsi="宋体" w:eastAsia="宋体" w:cs="宋体"/>
          <w:color w:val="auto"/>
          <w:sz w:val="21"/>
          <w:szCs w:val="21"/>
          <w:highlight w:val="none"/>
        </w:rPr>
        <w:t>（甲方2）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u w:val="single"/>
        </w:rPr>
        <w:t>东莞市清源净水科技有限公司</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u w:val="single"/>
        </w:rPr>
        <w:t>东莞市莞水装备科技有限公司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甲方4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东莞市众源环境投资有限公司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甲方5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东莞市樟村水质净化有限公司</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）的统称，共同作为本合同的甲方，共同享有合同项下的权利并承担义务，除付款责任按约定分别承担外，其余条款中“甲方”的表述均涵盖甲方1、甲方2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甲方3、甲方4、甲方5、甲方6</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甲方1、甲方2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甲方3、甲方4、甲方5</w:t>
      </w:r>
      <w:r>
        <w:rPr>
          <w:rFonts w:hint="eastAsia" w:ascii="宋体" w:hAnsi="宋体" w:eastAsia="宋体" w:cs="宋体"/>
          <w:color w:val="auto"/>
          <w:szCs w:val="21"/>
          <w:highlight w:val="none"/>
        </w:rPr>
        <w:t>及甲方</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均有权就本合同约定的甲方的权利义务，单独或共同向乙方提出权利主张、要求乙方承担违约责任及赔偿责任。</w:t>
      </w:r>
      <w:r>
        <w:rPr>
          <w:rFonts w:hint="eastAsia" w:ascii="宋体" w:hAnsi="宋体" w:eastAsia="宋体" w:cs="宋体"/>
          <w:color w:val="auto"/>
          <w:highlight w:val="none"/>
        </w:rPr>
        <w:t>甲方2、甲方3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甲方4、甲方5、甲方6共同委托甲方1代为负责</w:t>
      </w:r>
      <w:r>
        <w:rPr>
          <w:rFonts w:hint="eastAsia" w:ascii="宋体" w:hAnsi="宋体" w:eastAsia="宋体" w:cs="宋体"/>
          <w:color w:val="auto"/>
          <w:highlight w:val="none"/>
        </w:rPr>
        <w:t>本项目的招标</w:t>
      </w:r>
      <w:r>
        <w:rPr>
          <w:rFonts w:hint="eastAsia" w:ascii="宋体" w:hAnsi="宋体" w:eastAsia="宋体" w:cs="宋体"/>
          <w:color w:val="auto"/>
          <w:highlight w:val="none"/>
          <w:lang w:val="en-US" w:eastAsia="zh-CN"/>
        </w:rPr>
        <w:t>工作</w:t>
      </w:r>
      <w:r>
        <w:rPr>
          <w:rFonts w:hint="eastAsia" w:ascii="宋体" w:hAnsi="宋体" w:eastAsia="宋体" w:cs="宋体"/>
          <w:color w:val="auto"/>
          <w:highlight w:val="none"/>
        </w:rPr>
        <w:t>，甲方 1对本合同约定的</w:t>
      </w:r>
      <w:r>
        <w:rPr>
          <w:rFonts w:hint="eastAsia" w:ascii="宋体" w:hAnsi="宋体" w:eastAsia="宋体" w:cs="宋体"/>
          <w:b/>
          <w:bCs/>
          <w:color w:val="auto"/>
          <w:highlight w:val="none"/>
        </w:rPr>
        <w:t>液体</w:t>
      </w:r>
      <w:r>
        <w:rPr>
          <w:rFonts w:hint="eastAsia" w:ascii="宋体" w:hAnsi="宋体" w:eastAsia="宋体" w:cs="宋体"/>
          <w:b/>
          <w:bCs/>
          <w:color w:val="auto"/>
          <w:highlight w:val="none"/>
          <w:lang w:val="en-US" w:eastAsia="zh-CN"/>
        </w:rPr>
        <w:t>聚合氯化铝、液体聚合氯化铝铁</w:t>
      </w:r>
      <w:r>
        <w:rPr>
          <w:rFonts w:hint="eastAsia" w:ascii="宋体" w:hAnsi="宋体" w:eastAsia="宋体" w:cs="宋体"/>
          <w:color w:val="auto"/>
          <w:highlight w:val="none"/>
        </w:rPr>
        <w:t>并无采购需求，乙方无需向甲方1供货</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甲方1也无需向乙方支付任何款项</w:t>
      </w:r>
      <w:r>
        <w:rPr>
          <w:rFonts w:hint="eastAsia" w:ascii="宋体" w:hAnsi="宋体" w:eastAsia="宋体" w:cs="宋体"/>
          <w:color w:val="auto"/>
          <w:highlight w:val="none"/>
        </w:rPr>
        <w:t>。</w:t>
      </w:r>
    </w:p>
    <w:p w14:paraId="611B9E00">
      <w:pPr>
        <w:pStyle w:val="6"/>
        <w:rPr>
          <w:rFonts w:hint="eastAsia" w:ascii="宋体" w:hAnsi="宋体" w:eastAsia="宋体" w:cs="宋体"/>
          <w:color w:val="auto"/>
          <w:highlight w:val="none"/>
        </w:rPr>
      </w:pPr>
    </w:p>
    <w:p w14:paraId="33B94B89">
      <w:pPr>
        <w:snapToGrid w:val="0"/>
        <w:spacing w:line="360" w:lineRule="auto"/>
        <w:ind w:firstLine="373" w:firstLineChars="177"/>
        <w:outlineLvl w:val="1"/>
        <w:rPr>
          <w:rFonts w:hint="eastAsia" w:ascii="宋体" w:hAnsi="宋体" w:eastAsia="宋体" w:cs="宋体"/>
          <w:b/>
          <w:color w:val="auto"/>
          <w:sz w:val="21"/>
          <w:szCs w:val="21"/>
          <w:highlight w:val="none"/>
        </w:rPr>
      </w:pPr>
      <w:bookmarkStart w:id="467" w:name="_Toc6508"/>
      <w:r>
        <w:rPr>
          <w:rFonts w:hint="eastAsia" w:ascii="宋体" w:hAnsi="宋体" w:eastAsia="宋体" w:cs="宋体"/>
          <w:b/>
          <w:color w:val="auto"/>
          <w:sz w:val="21"/>
          <w:szCs w:val="21"/>
          <w:highlight w:val="none"/>
        </w:rPr>
        <w:t>第一条 合同项目</w:t>
      </w:r>
      <w:bookmarkEnd w:id="467"/>
    </w:p>
    <w:p w14:paraId="64CAD823">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1、合同货物清单如下：</w:t>
      </w:r>
    </w:p>
    <w:tbl>
      <w:tblPr>
        <w:tblStyle w:val="37"/>
        <w:tblW w:w="10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939"/>
        <w:gridCol w:w="1074"/>
        <w:gridCol w:w="1258"/>
        <w:gridCol w:w="1763"/>
        <w:gridCol w:w="1306"/>
        <w:gridCol w:w="1892"/>
      </w:tblGrid>
      <w:tr w14:paraId="4C44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3" w:type="dxa"/>
            <w:vMerge w:val="restart"/>
            <w:tcBorders>
              <w:top w:val="single" w:color="auto" w:sz="4" w:space="0"/>
              <w:left w:val="single" w:color="auto" w:sz="4" w:space="0"/>
              <w:right w:val="single" w:color="auto" w:sz="4" w:space="0"/>
            </w:tcBorders>
            <w:vAlign w:val="center"/>
          </w:tcPr>
          <w:p w14:paraId="6AE9EA33">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939" w:type="dxa"/>
            <w:vMerge w:val="restart"/>
            <w:tcBorders>
              <w:top w:val="single" w:color="auto" w:sz="4" w:space="0"/>
              <w:left w:val="single" w:color="auto" w:sz="4" w:space="0"/>
              <w:right w:val="single" w:color="auto" w:sz="4" w:space="0"/>
            </w:tcBorders>
            <w:vAlign w:val="center"/>
          </w:tcPr>
          <w:p w14:paraId="0507C7DD">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1074" w:type="dxa"/>
            <w:vMerge w:val="restart"/>
            <w:tcBorders>
              <w:top w:val="single" w:color="auto" w:sz="4" w:space="0"/>
              <w:left w:val="single" w:color="auto" w:sz="4" w:space="0"/>
              <w:right w:val="single" w:color="auto" w:sz="4" w:space="0"/>
            </w:tcBorders>
            <w:vAlign w:val="center"/>
          </w:tcPr>
          <w:p w14:paraId="4E45FBF8">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3021" w:type="dxa"/>
            <w:gridSpan w:val="2"/>
            <w:tcBorders>
              <w:top w:val="single" w:color="auto" w:sz="4" w:space="0"/>
              <w:left w:val="single" w:color="auto" w:sz="4" w:space="0"/>
              <w:bottom w:val="single" w:color="auto" w:sz="4" w:space="0"/>
              <w:right w:val="single" w:color="auto" w:sz="4" w:space="0"/>
            </w:tcBorders>
            <w:vAlign w:val="center"/>
          </w:tcPr>
          <w:p w14:paraId="55260DED">
            <w:pPr>
              <w:autoSpaceDE/>
              <w:autoSpaceDN/>
              <w:adjustRightInd/>
              <w:snapToGrid w:val="0"/>
              <w:spacing w:line="36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暂定采购数量</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吨</w:t>
            </w:r>
            <w:r>
              <w:rPr>
                <w:rFonts w:hint="eastAsia" w:ascii="宋体" w:hAnsi="宋体" w:eastAsia="宋体" w:cs="宋体"/>
                <w:b/>
                <w:color w:val="auto"/>
                <w:sz w:val="21"/>
                <w:szCs w:val="21"/>
                <w:highlight w:val="none"/>
                <w:lang w:eastAsia="zh-CN"/>
              </w:rPr>
              <w:t>）</w:t>
            </w:r>
          </w:p>
        </w:tc>
        <w:tc>
          <w:tcPr>
            <w:tcW w:w="1306" w:type="dxa"/>
            <w:vMerge w:val="restart"/>
            <w:tcBorders>
              <w:top w:val="single" w:color="auto" w:sz="4" w:space="0"/>
              <w:left w:val="single" w:color="auto" w:sz="4" w:space="0"/>
              <w:right w:val="single" w:color="auto" w:sz="4" w:space="0"/>
            </w:tcBorders>
            <w:vAlign w:val="center"/>
          </w:tcPr>
          <w:p w14:paraId="18F0D2AD">
            <w:pPr>
              <w:autoSpaceDE/>
              <w:autoSpaceDN/>
              <w:adjustRightInd/>
              <w:snapToGrid w:val="0"/>
              <w:spacing w:line="360" w:lineRule="auto"/>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使用单位</w:t>
            </w:r>
          </w:p>
        </w:tc>
        <w:tc>
          <w:tcPr>
            <w:tcW w:w="1892" w:type="dxa"/>
            <w:vMerge w:val="restart"/>
            <w:tcBorders>
              <w:top w:val="single" w:color="auto" w:sz="4" w:space="0"/>
              <w:left w:val="single" w:color="auto" w:sz="4" w:space="0"/>
              <w:right w:val="single" w:color="auto" w:sz="4" w:space="0"/>
            </w:tcBorders>
            <w:vAlign w:val="center"/>
          </w:tcPr>
          <w:p w14:paraId="192D754A">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综合单价（元/吨）（不含销项税）</w:t>
            </w:r>
          </w:p>
        </w:tc>
      </w:tr>
      <w:tr w14:paraId="4EE7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3" w:type="dxa"/>
            <w:vMerge w:val="continue"/>
            <w:tcBorders>
              <w:left w:val="single" w:color="auto" w:sz="4" w:space="0"/>
              <w:bottom w:val="single" w:color="auto" w:sz="4" w:space="0"/>
              <w:right w:val="single" w:color="auto" w:sz="4" w:space="0"/>
            </w:tcBorders>
            <w:vAlign w:val="center"/>
          </w:tcPr>
          <w:p w14:paraId="0E759513">
            <w:pPr>
              <w:autoSpaceDE/>
              <w:autoSpaceDN/>
              <w:adjustRightInd/>
              <w:snapToGrid w:val="0"/>
              <w:spacing w:line="360" w:lineRule="auto"/>
              <w:jc w:val="center"/>
              <w:rPr>
                <w:rFonts w:hint="eastAsia" w:ascii="宋体" w:hAnsi="宋体" w:eastAsia="宋体" w:cs="宋体"/>
                <w:b/>
                <w:color w:val="auto"/>
                <w:sz w:val="21"/>
                <w:szCs w:val="21"/>
                <w:highlight w:val="none"/>
              </w:rPr>
            </w:pPr>
          </w:p>
        </w:tc>
        <w:tc>
          <w:tcPr>
            <w:tcW w:w="939" w:type="dxa"/>
            <w:vMerge w:val="continue"/>
            <w:tcBorders>
              <w:left w:val="single" w:color="auto" w:sz="4" w:space="0"/>
              <w:bottom w:val="single" w:color="auto" w:sz="4" w:space="0"/>
              <w:right w:val="single" w:color="auto" w:sz="4" w:space="0"/>
            </w:tcBorders>
            <w:vAlign w:val="center"/>
          </w:tcPr>
          <w:p w14:paraId="5067E5B3">
            <w:pPr>
              <w:autoSpaceDE/>
              <w:autoSpaceDN/>
              <w:adjustRightInd/>
              <w:snapToGrid w:val="0"/>
              <w:spacing w:line="360" w:lineRule="auto"/>
              <w:jc w:val="center"/>
              <w:rPr>
                <w:rFonts w:hint="eastAsia" w:ascii="宋体" w:hAnsi="宋体" w:eastAsia="宋体" w:cs="宋体"/>
                <w:b/>
                <w:color w:val="auto"/>
                <w:sz w:val="21"/>
                <w:szCs w:val="21"/>
                <w:highlight w:val="none"/>
              </w:rPr>
            </w:pPr>
          </w:p>
        </w:tc>
        <w:tc>
          <w:tcPr>
            <w:tcW w:w="1074" w:type="dxa"/>
            <w:vMerge w:val="continue"/>
            <w:tcBorders>
              <w:left w:val="single" w:color="auto" w:sz="4" w:space="0"/>
              <w:bottom w:val="single" w:color="auto" w:sz="4" w:space="0"/>
              <w:right w:val="single" w:color="auto" w:sz="4" w:space="0"/>
            </w:tcBorders>
            <w:vAlign w:val="center"/>
          </w:tcPr>
          <w:p w14:paraId="2A321A73">
            <w:pPr>
              <w:autoSpaceDE/>
              <w:autoSpaceDN/>
              <w:adjustRightInd/>
              <w:snapToGrid w:val="0"/>
              <w:spacing w:line="360" w:lineRule="auto"/>
              <w:jc w:val="center"/>
              <w:rPr>
                <w:rFonts w:hint="eastAsia" w:ascii="宋体" w:hAnsi="宋体" w:eastAsia="宋体" w:cs="宋体"/>
                <w:b/>
                <w:color w:val="auto"/>
                <w:sz w:val="21"/>
                <w:szCs w:val="21"/>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522207ED">
            <w:pPr>
              <w:autoSpaceDE/>
              <w:autoSpaceDN/>
              <w:adjustRightInd/>
              <w:snapToGrid w:val="0"/>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合计</w:t>
            </w:r>
          </w:p>
        </w:tc>
        <w:tc>
          <w:tcPr>
            <w:tcW w:w="1763" w:type="dxa"/>
            <w:tcBorders>
              <w:top w:val="single" w:color="auto" w:sz="4" w:space="0"/>
              <w:left w:val="single" w:color="auto" w:sz="4" w:space="0"/>
              <w:bottom w:val="single" w:color="auto" w:sz="4" w:space="0"/>
              <w:right w:val="single" w:color="auto" w:sz="4" w:space="0"/>
            </w:tcBorders>
            <w:vAlign w:val="center"/>
          </w:tcPr>
          <w:p w14:paraId="23AF638E">
            <w:pPr>
              <w:autoSpaceDE/>
              <w:autoSpaceDN/>
              <w:adjustRightInd/>
              <w:snapToGrid w:val="0"/>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小计</w:t>
            </w:r>
          </w:p>
        </w:tc>
        <w:tc>
          <w:tcPr>
            <w:tcW w:w="1306" w:type="dxa"/>
            <w:vMerge w:val="continue"/>
            <w:tcBorders>
              <w:left w:val="single" w:color="auto" w:sz="4" w:space="0"/>
              <w:bottom w:val="single" w:color="auto" w:sz="4" w:space="0"/>
              <w:right w:val="single" w:color="auto" w:sz="4" w:space="0"/>
            </w:tcBorders>
            <w:vAlign w:val="center"/>
          </w:tcPr>
          <w:p w14:paraId="7314B7DA">
            <w:pPr>
              <w:autoSpaceDE/>
              <w:autoSpaceDN/>
              <w:adjustRightInd/>
              <w:snapToGrid w:val="0"/>
              <w:spacing w:line="360" w:lineRule="auto"/>
              <w:jc w:val="center"/>
              <w:rPr>
                <w:rFonts w:hint="eastAsia" w:ascii="宋体" w:hAnsi="宋体" w:eastAsia="宋体" w:cs="宋体"/>
                <w:b/>
                <w:color w:val="auto"/>
                <w:sz w:val="21"/>
                <w:szCs w:val="21"/>
                <w:highlight w:val="none"/>
                <w:lang w:val="en-US" w:eastAsia="zh-CN"/>
              </w:rPr>
            </w:pPr>
          </w:p>
        </w:tc>
        <w:tc>
          <w:tcPr>
            <w:tcW w:w="1892" w:type="dxa"/>
            <w:vMerge w:val="continue"/>
            <w:tcBorders>
              <w:left w:val="single" w:color="auto" w:sz="4" w:space="0"/>
              <w:bottom w:val="single" w:color="auto" w:sz="4" w:space="0"/>
              <w:right w:val="single" w:color="auto" w:sz="4" w:space="0"/>
            </w:tcBorders>
            <w:vAlign w:val="center"/>
          </w:tcPr>
          <w:p w14:paraId="114555E1">
            <w:pPr>
              <w:autoSpaceDE/>
              <w:autoSpaceDN/>
              <w:adjustRightInd/>
              <w:snapToGrid w:val="0"/>
              <w:spacing w:line="360" w:lineRule="auto"/>
              <w:jc w:val="center"/>
              <w:rPr>
                <w:rFonts w:hint="eastAsia" w:ascii="宋体" w:hAnsi="宋体" w:eastAsia="宋体" w:cs="宋体"/>
                <w:b/>
                <w:color w:val="auto"/>
                <w:sz w:val="21"/>
                <w:szCs w:val="21"/>
                <w:highlight w:val="none"/>
              </w:rPr>
            </w:pPr>
          </w:p>
        </w:tc>
      </w:tr>
      <w:tr w14:paraId="7E80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3" w:type="dxa"/>
            <w:vMerge w:val="restart"/>
            <w:tcBorders>
              <w:top w:val="single" w:color="auto" w:sz="4" w:space="0"/>
              <w:left w:val="single" w:color="auto" w:sz="4" w:space="0"/>
              <w:right w:val="single" w:color="auto" w:sz="4" w:space="0"/>
            </w:tcBorders>
            <w:vAlign w:val="center"/>
          </w:tcPr>
          <w:p w14:paraId="4074F4BC">
            <w:pPr>
              <w:autoSpaceDE/>
              <w:autoSpaceDN/>
              <w:adjustRightInd/>
              <w:snapToGrid w:val="0"/>
              <w:spacing w:line="360" w:lineRule="auto"/>
              <w:jc w:val="center"/>
              <w:rPr>
                <w:rFonts w:hint="default"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rPr>
              <w:t>液体</w:t>
            </w:r>
            <w:r>
              <w:rPr>
                <w:rFonts w:hint="eastAsia" w:ascii="宋体" w:hAnsi="宋体" w:eastAsia="宋体" w:cs="宋体"/>
                <w:color w:val="auto"/>
                <w:sz w:val="21"/>
                <w:szCs w:val="21"/>
                <w:highlight w:val="none"/>
                <w:lang w:val="en-US" w:eastAsia="zh-CN"/>
              </w:rPr>
              <w:t>聚合氯化铝</w:t>
            </w:r>
          </w:p>
        </w:tc>
        <w:tc>
          <w:tcPr>
            <w:tcW w:w="939" w:type="dxa"/>
            <w:vMerge w:val="restart"/>
            <w:tcBorders>
              <w:top w:val="single" w:color="auto" w:sz="4" w:space="0"/>
              <w:left w:val="single" w:color="auto" w:sz="4" w:space="0"/>
              <w:right w:val="single" w:color="auto" w:sz="4" w:space="0"/>
            </w:tcBorders>
            <w:vAlign w:val="center"/>
          </w:tcPr>
          <w:p w14:paraId="4A73434C">
            <w:pPr>
              <w:autoSpaceDE/>
              <w:autoSpaceDN/>
              <w:adjustRightInd/>
              <w:snapToGrid w:val="0"/>
              <w:spacing w:line="360" w:lineRule="auto"/>
              <w:jc w:val="center"/>
              <w:rPr>
                <w:rFonts w:hint="eastAsia" w:ascii="宋体" w:hAnsi="宋体" w:eastAsia="宋体" w:cs="宋体"/>
                <w:b/>
                <w:color w:val="auto"/>
                <w:sz w:val="21"/>
                <w:szCs w:val="21"/>
                <w:highlight w:val="none"/>
              </w:rPr>
            </w:pPr>
          </w:p>
        </w:tc>
        <w:tc>
          <w:tcPr>
            <w:tcW w:w="1074" w:type="dxa"/>
            <w:vMerge w:val="restart"/>
            <w:tcBorders>
              <w:top w:val="single" w:color="auto" w:sz="4" w:space="0"/>
              <w:left w:val="single" w:color="auto" w:sz="4" w:space="0"/>
              <w:right w:val="single" w:color="auto" w:sz="4" w:space="0"/>
            </w:tcBorders>
            <w:vAlign w:val="center"/>
          </w:tcPr>
          <w:p w14:paraId="204C7AD5">
            <w:pPr>
              <w:autoSpaceDE/>
              <w:autoSpaceDN/>
              <w:adjustRightInd/>
              <w:snapToGrid w:val="0"/>
              <w:spacing w:line="360" w:lineRule="auto"/>
              <w:jc w:val="center"/>
              <w:rPr>
                <w:rFonts w:hint="eastAsia" w:ascii="宋体" w:hAnsi="宋体" w:eastAsia="宋体" w:cs="宋体"/>
                <w:b/>
                <w:color w:val="auto"/>
                <w:sz w:val="21"/>
                <w:szCs w:val="21"/>
                <w:highlight w:val="none"/>
              </w:rPr>
            </w:pPr>
          </w:p>
        </w:tc>
        <w:tc>
          <w:tcPr>
            <w:tcW w:w="1258" w:type="dxa"/>
            <w:vMerge w:val="restart"/>
            <w:tcBorders>
              <w:top w:val="single" w:color="auto" w:sz="4" w:space="0"/>
              <w:left w:val="single" w:color="auto" w:sz="4" w:space="0"/>
              <w:right w:val="single" w:color="auto" w:sz="4" w:space="0"/>
            </w:tcBorders>
            <w:vAlign w:val="center"/>
          </w:tcPr>
          <w:p w14:paraId="09FB112C">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u w:val="none"/>
              </w:rPr>
              <w:t>72135.933</w:t>
            </w:r>
          </w:p>
        </w:tc>
        <w:tc>
          <w:tcPr>
            <w:tcW w:w="1763" w:type="dxa"/>
            <w:tcBorders>
              <w:top w:val="single" w:color="auto" w:sz="4" w:space="0"/>
              <w:left w:val="single" w:color="auto" w:sz="4" w:space="0"/>
              <w:bottom w:val="single" w:color="auto" w:sz="4" w:space="0"/>
              <w:right w:val="single" w:color="auto" w:sz="4" w:space="0"/>
            </w:tcBorders>
            <w:vAlign w:val="center"/>
          </w:tcPr>
          <w:p w14:paraId="4A5E308F">
            <w:pPr>
              <w:autoSpaceDE/>
              <w:autoSpaceDN/>
              <w:adjustRightInd/>
              <w:snapToGrid w:val="0"/>
              <w:spacing w:line="360" w:lineRule="auto"/>
              <w:jc w:val="center"/>
              <w:rPr>
                <w:rFonts w:hint="default" w:ascii="宋体" w:hAnsi="宋体" w:eastAsia="宋体" w:cs="宋体"/>
                <w:b/>
                <w:color w:val="auto"/>
                <w:sz w:val="21"/>
                <w:szCs w:val="21"/>
                <w:highlight w:val="none"/>
                <w:lang w:val="en-US" w:eastAsia="zh-CN"/>
              </w:rPr>
            </w:pPr>
            <w:r>
              <w:rPr>
                <w:rFonts w:hint="eastAsia" w:ascii="宋体" w:hAnsi="宋体" w:eastAsia="宋体" w:cs="宋体"/>
                <w:color w:val="auto"/>
                <w:highlight w:val="none"/>
                <w:u w:val="none"/>
                <w:lang w:val="en-US" w:eastAsia="zh-CN"/>
              </w:rPr>
              <w:t>无采购需求</w:t>
            </w:r>
          </w:p>
        </w:tc>
        <w:tc>
          <w:tcPr>
            <w:tcW w:w="1306" w:type="dxa"/>
            <w:tcBorders>
              <w:top w:val="single" w:color="auto" w:sz="4" w:space="0"/>
              <w:left w:val="single" w:color="auto" w:sz="4" w:space="0"/>
              <w:bottom w:val="single" w:color="auto" w:sz="4" w:space="0"/>
              <w:right w:val="single" w:color="auto" w:sz="4" w:space="0"/>
            </w:tcBorders>
            <w:vAlign w:val="center"/>
          </w:tcPr>
          <w:p w14:paraId="1104557E">
            <w:pPr>
              <w:autoSpaceDE/>
              <w:autoSpaceDN/>
              <w:adjustRightInd/>
              <w:snapToGrid w:val="0"/>
              <w:spacing w:line="360" w:lineRule="auto"/>
              <w:jc w:val="center"/>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甲方1</w:t>
            </w:r>
          </w:p>
        </w:tc>
        <w:tc>
          <w:tcPr>
            <w:tcW w:w="1892" w:type="dxa"/>
            <w:vMerge w:val="restart"/>
            <w:tcBorders>
              <w:top w:val="single" w:color="auto" w:sz="4" w:space="0"/>
              <w:left w:val="single" w:color="auto" w:sz="4" w:space="0"/>
              <w:right w:val="single" w:color="auto" w:sz="4" w:space="0"/>
            </w:tcBorders>
            <w:vAlign w:val="center"/>
          </w:tcPr>
          <w:p w14:paraId="746C00F9">
            <w:pPr>
              <w:autoSpaceDE/>
              <w:autoSpaceDN/>
              <w:adjustRightInd/>
              <w:snapToGrid w:val="0"/>
              <w:spacing w:line="360" w:lineRule="auto"/>
              <w:jc w:val="center"/>
              <w:rPr>
                <w:rFonts w:hint="eastAsia" w:ascii="宋体" w:hAnsi="宋体" w:eastAsia="宋体" w:cs="宋体"/>
                <w:b/>
                <w:color w:val="auto"/>
                <w:sz w:val="21"/>
                <w:szCs w:val="21"/>
                <w:highlight w:val="none"/>
              </w:rPr>
            </w:pPr>
          </w:p>
        </w:tc>
      </w:tr>
      <w:tr w14:paraId="7DB1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3" w:type="dxa"/>
            <w:vMerge w:val="continue"/>
            <w:tcBorders>
              <w:left w:val="single" w:color="auto" w:sz="4" w:space="0"/>
              <w:right w:val="single" w:color="auto" w:sz="4" w:space="0"/>
            </w:tcBorders>
            <w:vAlign w:val="center"/>
          </w:tcPr>
          <w:p w14:paraId="4D784078">
            <w:pPr>
              <w:autoSpaceDE/>
              <w:autoSpaceDN/>
              <w:adjustRightInd/>
              <w:snapToGrid w:val="0"/>
              <w:spacing w:line="360" w:lineRule="auto"/>
              <w:jc w:val="center"/>
              <w:rPr>
                <w:rFonts w:hint="eastAsia" w:ascii="宋体" w:hAnsi="宋体" w:eastAsia="宋体" w:cs="宋体"/>
                <w:b/>
                <w:color w:val="auto"/>
                <w:sz w:val="21"/>
                <w:szCs w:val="21"/>
                <w:highlight w:val="none"/>
              </w:rPr>
            </w:pPr>
          </w:p>
        </w:tc>
        <w:tc>
          <w:tcPr>
            <w:tcW w:w="939" w:type="dxa"/>
            <w:vMerge w:val="continue"/>
            <w:tcBorders>
              <w:left w:val="single" w:color="auto" w:sz="4" w:space="0"/>
              <w:right w:val="single" w:color="auto" w:sz="4" w:space="0"/>
            </w:tcBorders>
            <w:vAlign w:val="center"/>
          </w:tcPr>
          <w:p w14:paraId="2B1FF2A7">
            <w:pPr>
              <w:autoSpaceDE/>
              <w:autoSpaceDN/>
              <w:adjustRightInd/>
              <w:snapToGrid w:val="0"/>
              <w:spacing w:line="360" w:lineRule="auto"/>
              <w:jc w:val="center"/>
              <w:rPr>
                <w:rFonts w:hint="eastAsia" w:ascii="宋体" w:hAnsi="宋体" w:eastAsia="宋体" w:cs="宋体"/>
                <w:b/>
                <w:color w:val="auto"/>
                <w:sz w:val="21"/>
                <w:szCs w:val="21"/>
                <w:highlight w:val="none"/>
              </w:rPr>
            </w:pPr>
          </w:p>
        </w:tc>
        <w:tc>
          <w:tcPr>
            <w:tcW w:w="1074" w:type="dxa"/>
            <w:vMerge w:val="continue"/>
            <w:tcBorders>
              <w:left w:val="single" w:color="auto" w:sz="4" w:space="0"/>
              <w:right w:val="single" w:color="auto" w:sz="4" w:space="0"/>
            </w:tcBorders>
            <w:vAlign w:val="center"/>
          </w:tcPr>
          <w:p w14:paraId="23E16185">
            <w:pPr>
              <w:autoSpaceDE/>
              <w:autoSpaceDN/>
              <w:adjustRightInd/>
              <w:snapToGrid w:val="0"/>
              <w:spacing w:line="360" w:lineRule="auto"/>
              <w:jc w:val="center"/>
              <w:rPr>
                <w:rFonts w:hint="eastAsia" w:ascii="宋体" w:hAnsi="宋体" w:eastAsia="宋体" w:cs="宋体"/>
                <w:b/>
                <w:color w:val="auto"/>
                <w:sz w:val="21"/>
                <w:szCs w:val="21"/>
                <w:highlight w:val="none"/>
              </w:rPr>
            </w:pPr>
          </w:p>
        </w:tc>
        <w:tc>
          <w:tcPr>
            <w:tcW w:w="1258" w:type="dxa"/>
            <w:vMerge w:val="continue"/>
            <w:tcBorders>
              <w:left w:val="single" w:color="auto" w:sz="4" w:space="0"/>
              <w:right w:val="single" w:color="auto" w:sz="4" w:space="0"/>
            </w:tcBorders>
            <w:vAlign w:val="center"/>
          </w:tcPr>
          <w:p w14:paraId="5193589B">
            <w:pPr>
              <w:autoSpaceDE/>
              <w:autoSpaceDN/>
              <w:adjustRightInd/>
              <w:snapToGrid w:val="0"/>
              <w:spacing w:line="360" w:lineRule="auto"/>
              <w:jc w:val="center"/>
              <w:rPr>
                <w:rFonts w:hint="eastAsia" w:ascii="宋体" w:hAnsi="宋体" w:eastAsia="宋体" w:cs="宋体"/>
                <w:color w:val="auto"/>
                <w:sz w:val="21"/>
                <w:szCs w:val="21"/>
                <w:highlight w:val="none"/>
                <w:lang w:val="en-US" w:eastAsia="zh-CN"/>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1636BCDB">
            <w:pPr>
              <w:keepNext w:val="0"/>
              <w:keepLines w:val="0"/>
              <w:widowControl/>
              <w:suppressLineNumbers w:val="0"/>
              <w:snapToGrid w:val="0"/>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
              </w:rPr>
              <w:t>47687.789</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6EE374C7">
            <w:pPr>
              <w:autoSpaceDE/>
              <w:autoSpaceDN/>
              <w:adjustRightInd/>
              <w:snapToGrid w:val="0"/>
              <w:spacing w:line="360" w:lineRule="auto"/>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甲方2</w:t>
            </w:r>
          </w:p>
        </w:tc>
        <w:tc>
          <w:tcPr>
            <w:tcW w:w="1892" w:type="dxa"/>
            <w:vMerge w:val="continue"/>
            <w:tcBorders>
              <w:left w:val="single" w:color="auto" w:sz="4" w:space="0"/>
              <w:right w:val="single" w:color="auto" w:sz="4" w:space="0"/>
            </w:tcBorders>
            <w:vAlign w:val="center"/>
          </w:tcPr>
          <w:p w14:paraId="1327679A">
            <w:pPr>
              <w:autoSpaceDE/>
              <w:autoSpaceDN/>
              <w:adjustRightInd/>
              <w:snapToGrid w:val="0"/>
              <w:spacing w:line="360" w:lineRule="auto"/>
              <w:jc w:val="center"/>
              <w:rPr>
                <w:rFonts w:hint="eastAsia" w:ascii="宋体" w:hAnsi="宋体" w:eastAsia="宋体" w:cs="宋体"/>
                <w:b/>
                <w:color w:val="auto"/>
                <w:sz w:val="21"/>
                <w:szCs w:val="21"/>
                <w:highlight w:val="none"/>
              </w:rPr>
            </w:pPr>
          </w:p>
        </w:tc>
      </w:tr>
      <w:tr w14:paraId="1281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3" w:type="dxa"/>
            <w:vMerge w:val="continue"/>
            <w:tcBorders>
              <w:left w:val="single" w:color="auto" w:sz="4" w:space="0"/>
              <w:right w:val="single" w:color="auto" w:sz="4" w:space="0"/>
            </w:tcBorders>
            <w:vAlign w:val="center"/>
          </w:tcPr>
          <w:p w14:paraId="12567945">
            <w:pPr>
              <w:numPr>
                <w:ilvl w:val="0"/>
                <w:numId w:val="0"/>
              </w:numPr>
              <w:autoSpaceDE/>
              <w:autoSpaceDN/>
              <w:adjustRightInd/>
              <w:snapToGrid/>
              <w:spacing w:line="360" w:lineRule="auto"/>
              <w:ind w:firstLine="0" w:firstLineChars="0"/>
              <w:jc w:val="center"/>
              <w:rPr>
                <w:rFonts w:hint="eastAsia" w:ascii="宋体" w:hAnsi="宋体" w:eastAsia="宋体" w:cs="宋体"/>
                <w:color w:val="auto"/>
                <w:sz w:val="21"/>
                <w:szCs w:val="21"/>
                <w:highlight w:val="none"/>
              </w:rPr>
            </w:pPr>
          </w:p>
        </w:tc>
        <w:tc>
          <w:tcPr>
            <w:tcW w:w="939" w:type="dxa"/>
            <w:vMerge w:val="continue"/>
            <w:tcBorders>
              <w:left w:val="single" w:color="auto" w:sz="4" w:space="0"/>
              <w:right w:val="single" w:color="auto" w:sz="4" w:space="0"/>
            </w:tcBorders>
            <w:vAlign w:val="center"/>
          </w:tcPr>
          <w:p w14:paraId="0F2AB70C">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074" w:type="dxa"/>
            <w:vMerge w:val="continue"/>
            <w:tcBorders>
              <w:left w:val="single" w:color="auto" w:sz="4" w:space="0"/>
              <w:right w:val="single" w:color="auto" w:sz="4" w:space="0"/>
            </w:tcBorders>
            <w:vAlign w:val="center"/>
          </w:tcPr>
          <w:p w14:paraId="151B3548">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258" w:type="dxa"/>
            <w:vMerge w:val="continue"/>
            <w:tcBorders>
              <w:left w:val="single" w:color="auto" w:sz="4" w:space="0"/>
              <w:right w:val="single" w:color="auto" w:sz="4" w:space="0"/>
            </w:tcBorders>
            <w:vAlign w:val="center"/>
          </w:tcPr>
          <w:p w14:paraId="2D6AF578">
            <w:pPr>
              <w:autoSpaceDE/>
              <w:autoSpaceDN/>
              <w:adjustRightInd/>
              <w:snapToGrid/>
              <w:spacing w:line="240" w:lineRule="auto"/>
              <w:jc w:val="center"/>
              <w:rPr>
                <w:rFonts w:hint="eastAsia" w:ascii="宋体" w:hAnsi="宋体" w:eastAsia="宋体" w:cs="宋体"/>
                <w:color w:val="auto"/>
                <w:highlight w:val="none"/>
                <w:lang w:val="en-US" w:eastAsia="zh-CN"/>
              </w:rPr>
            </w:pPr>
          </w:p>
        </w:tc>
        <w:tc>
          <w:tcPr>
            <w:tcW w:w="1763" w:type="dxa"/>
            <w:tcBorders>
              <w:top w:val="single" w:color="auto" w:sz="4" w:space="0"/>
              <w:left w:val="single" w:color="auto" w:sz="4" w:space="0"/>
              <w:bottom w:val="single" w:color="auto" w:sz="4" w:space="0"/>
              <w:right w:val="single" w:color="auto" w:sz="4" w:space="0"/>
            </w:tcBorders>
            <w:vAlign w:val="center"/>
          </w:tcPr>
          <w:p w14:paraId="6F802726">
            <w:pPr>
              <w:keepNext w:val="0"/>
              <w:keepLines w:val="0"/>
              <w:widowControl/>
              <w:suppressLineNumbers w:val="0"/>
              <w:snapToGrid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2"/>
                <w:sz w:val="21"/>
                <w:szCs w:val="21"/>
                <w:highlight w:val="none"/>
                <w:u w:val="none"/>
                <w:lang w:val="en-US" w:eastAsia="zh-CN" w:bidi="ar"/>
              </w:rPr>
              <w:t>2124.929</w:t>
            </w:r>
          </w:p>
        </w:tc>
        <w:tc>
          <w:tcPr>
            <w:tcW w:w="1306" w:type="dxa"/>
            <w:tcBorders>
              <w:top w:val="single" w:color="auto" w:sz="4" w:space="0"/>
              <w:left w:val="single" w:color="auto" w:sz="4" w:space="0"/>
              <w:bottom w:val="single" w:color="auto" w:sz="4" w:space="0"/>
              <w:right w:val="single" w:color="auto" w:sz="4" w:space="0"/>
            </w:tcBorders>
            <w:vAlign w:val="center"/>
          </w:tcPr>
          <w:p w14:paraId="1095A84C">
            <w:pPr>
              <w:autoSpaceDE/>
              <w:autoSpaceDN/>
              <w:adjustRightInd/>
              <w:snapToGrid w:val="0"/>
              <w:spacing w:line="360" w:lineRule="auto"/>
              <w:jc w:val="center"/>
              <w:rPr>
                <w:rFonts w:hint="default" w:ascii="宋体" w:hAnsi="宋体" w:eastAsia="宋体" w:cs="宋体"/>
                <w:color w:val="auto"/>
                <w:sz w:val="21"/>
                <w:szCs w:val="21"/>
                <w:highlight w:val="none"/>
              </w:rPr>
            </w:pPr>
            <w:r>
              <w:rPr>
                <w:rFonts w:hint="eastAsia" w:ascii="宋体" w:hAnsi="宋体" w:eastAsia="宋体" w:cs="宋体"/>
                <w:b w:val="0"/>
                <w:color w:val="auto"/>
                <w:sz w:val="21"/>
                <w:szCs w:val="21"/>
                <w:highlight w:val="none"/>
                <w:lang w:val="en-US" w:eastAsia="zh-CN"/>
              </w:rPr>
              <w:t>甲方3</w:t>
            </w:r>
          </w:p>
        </w:tc>
        <w:tc>
          <w:tcPr>
            <w:tcW w:w="1892" w:type="dxa"/>
            <w:vMerge w:val="continue"/>
            <w:tcBorders>
              <w:left w:val="single" w:color="auto" w:sz="4" w:space="0"/>
              <w:right w:val="single" w:color="auto" w:sz="4" w:space="0"/>
            </w:tcBorders>
            <w:vAlign w:val="center"/>
          </w:tcPr>
          <w:p w14:paraId="26FC61DB">
            <w:pPr>
              <w:autoSpaceDE/>
              <w:autoSpaceDN/>
              <w:adjustRightInd/>
              <w:snapToGrid w:val="0"/>
              <w:spacing w:line="360" w:lineRule="auto"/>
              <w:jc w:val="center"/>
              <w:rPr>
                <w:rFonts w:hint="eastAsia" w:ascii="宋体" w:hAnsi="宋体" w:eastAsia="宋体" w:cs="宋体"/>
                <w:color w:val="auto"/>
                <w:sz w:val="21"/>
                <w:szCs w:val="21"/>
                <w:highlight w:val="none"/>
              </w:rPr>
            </w:pPr>
          </w:p>
        </w:tc>
      </w:tr>
      <w:tr w14:paraId="0DD6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3" w:type="dxa"/>
            <w:vMerge w:val="continue"/>
            <w:tcBorders>
              <w:left w:val="single" w:color="auto" w:sz="4" w:space="0"/>
              <w:right w:val="single" w:color="auto" w:sz="4" w:space="0"/>
            </w:tcBorders>
            <w:vAlign w:val="center"/>
          </w:tcPr>
          <w:p w14:paraId="242EE93F">
            <w:pPr>
              <w:numPr>
                <w:ilvl w:val="0"/>
                <w:numId w:val="0"/>
              </w:numPr>
              <w:autoSpaceDE/>
              <w:autoSpaceDN/>
              <w:adjustRightInd/>
              <w:snapToGrid/>
              <w:spacing w:line="360" w:lineRule="auto"/>
              <w:ind w:firstLine="420" w:firstLineChars="200"/>
              <w:jc w:val="center"/>
              <w:rPr>
                <w:rFonts w:hint="eastAsia" w:ascii="宋体" w:hAnsi="宋体" w:eastAsia="宋体" w:cs="宋体"/>
                <w:color w:val="auto"/>
                <w:sz w:val="21"/>
                <w:szCs w:val="21"/>
                <w:highlight w:val="none"/>
              </w:rPr>
            </w:pPr>
          </w:p>
        </w:tc>
        <w:tc>
          <w:tcPr>
            <w:tcW w:w="939" w:type="dxa"/>
            <w:vMerge w:val="continue"/>
            <w:tcBorders>
              <w:left w:val="single" w:color="auto" w:sz="4" w:space="0"/>
              <w:right w:val="single" w:color="auto" w:sz="4" w:space="0"/>
            </w:tcBorders>
            <w:vAlign w:val="center"/>
          </w:tcPr>
          <w:p w14:paraId="4955E33B">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074" w:type="dxa"/>
            <w:vMerge w:val="continue"/>
            <w:tcBorders>
              <w:left w:val="single" w:color="auto" w:sz="4" w:space="0"/>
              <w:right w:val="single" w:color="auto" w:sz="4" w:space="0"/>
            </w:tcBorders>
            <w:vAlign w:val="center"/>
          </w:tcPr>
          <w:p w14:paraId="4F027FA9">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258" w:type="dxa"/>
            <w:vMerge w:val="continue"/>
            <w:tcBorders>
              <w:left w:val="single" w:color="auto" w:sz="4" w:space="0"/>
              <w:right w:val="single" w:color="auto" w:sz="4" w:space="0"/>
            </w:tcBorders>
            <w:vAlign w:val="center"/>
          </w:tcPr>
          <w:p w14:paraId="31BFF9B8">
            <w:pPr>
              <w:autoSpaceDE/>
              <w:autoSpaceDN/>
              <w:adjustRightInd/>
              <w:snapToGrid/>
              <w:spacing w:line="240" w:lineRule="auto"/>
              <w:jc w:val="center"/>
              <w:rPr>
                <w:rFonts w:hint="eastAsia" w:ascii="宋体" w:hAnsi="宋体" w:eastAsia="宋体" w:cs="宋体"/>
                <w:color w:val="auto"/>
                <w:highlight w:val="none"/>
                <w:lang w:val="en-US" w:eastAsia="zh-CN"/>
              </w:rPr>
            </w:pPr>
          </w:p>
        </w:tc>
        <w:tc>
          <w:tcPr>
            <w:tcW w:w="1763" w:type="dxa"/>
            <w:tcBorders>
              <w:top w:val="single" w:color="auto" w:sz="4" w:space="0"/>
              <w:left w:val="single" w:color="auto" w:sz="4" w:space="0"/>
              <w:bottom w:val="single" w:color="auto" w:sz="4" w:space="0"/>
              <w:right w:val="single" w:color="auto" w:sz="4" w:space="0"/>
            </w:tcBorders>
            <w:vAlign w:val="center"/>
          </w:tcPr>
          <w:p w14:paraId="2B5D0301">
            <w:pPr>
              <w:keepNext w:val="0"/>
              <w:keepLines w:val="0"/>
              <w:widowControl/>
              <w:suppressLineNumbers w:val="0"/>
              <w:snapToGrid w:val="0"/>
              <w:jc w:val="center"/>
              <w:textAlignment w:val="auto"/>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2"/>
                <w:sz w:val="21"/>
                <w:szCs w:val="21"/>
                <w:highlight w:val="none"/>
                <w:u w:val="none"/>
                <w:lang w:val="en-US" w:eastAsia="zh-CN" w:bidi="ar"/>
              </w:rPr>
              <w:t>80.755</w:t>
            </w:r>
          </w:p>
        </w:tc>
        <w:tc>
          <w:tcPr>
            <w:tcW w:w="1306" w:type="dxa"/>
            <w:tcBorders>
              <w:top w:val="single" w:color="auto" w:sz="4" w:space="0"/>
              <w:left w:val="single" w:color="auto" w:sz="4" w:space="0"/>
              <w:bottom w:val="single" w:color="auto" w:sz="4" w:space="0"/>
              <w:right w:val="single" w:color="auto" w:sz="4" w:space="0"/>
            </w:tcBorders>
            <w:vAlign w:val="center"/>
          </w:tcPr>
          <w:p w14:paraId="427BE9B9">
            <w:pPr>
              <w:autoSpaceDE/>
              <w:autoSpaceDN/>
              <w:adjustRightInd/>
              <w:snapToGrid w:val="0"/>
              <w:spacing w:line="360" w:lineRule="auto"/>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甲方4</w:t>
            </w:r>
          </w:p>
        </w:tc>
        <w:tc>
          <w:tcPr>
            <w:tcW w:w="1892" w:type="dxa"/>
            <w:vMerge w:val="continue"/>
            <w:tcBorders>
              <w:left w:val="single" w:color="auto" w:sz="4" w:space="0"/>
              <w:right w:val="single" w:color="auto" w:sz="4" w:space="0"/>
            </w:tcBorders>
            <w:vAlign w:val="center"/>
          </w:tcPr>
          <w:p w14:paraId="7579F62E">
            <w:pPr>
              <w:autoSpaceDE/>
              <w:autoSpaceDN/>
              <w:adjustRightInd/>
              <w:snapToGrid w:val="0"/>
              <w:spacing w:line="360" w:lineRule="auto"/>
              <w:jc w:val="center"/>
              <w:rPr>
                <w:rFonts w:hint="eastAsia" w:ascii="宋体" w:hAnsi="宋体" w:eastAsia="宋体" w:cs="宋体"/>
                <w:color w:val="auto"/>
                <w:sz w:val="21"/>
                <w:szCs w:val="21"/>
                <w:highlight w:val="none"/>
              </w:rPr>
            </w:pPr>
          </w:p>
        </w:tc>
      </w:tr>
      <w:tr w14:paraId="3F09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3" w:type="dxa"/>
            <w:vMerge w:val="continue"/>
            <w:tcBorders>
              <w:left w:val="single" w:color="auto" w:sz="4" w:space="0"/>
              <w:right w:val="single" w:color="auto" w:sz="4" w:space="0"/>
            </w:tcBorders>
            <w:vAlign w:val="center"/>
          </w:tcPr>
          <w:p w14:paraId="62B28226">
            <w:pPr>
              <w:numPr>
                <w:ilvl w:val="0"/>
                <w:numId w:val="0"/>
              </w:numPr>
              <w:autoSpaceDE/>
              <w:autoSpaceDN/>
              <w:adjustRightInd/>
              <w:snapToGrid/>
              <w:spacing w:line="360" w:lineRule="auto"/>
              <w:ind w:firstLine="420" w:firstLineChars="200"/>
              <w:jc w:val="center"/>
              <w:rPr>
                <w:rFonts w:hint="eastAsia" w:ascii="宋体" w:hAnsi="宋体" w:eastAsia="宋体" w:cs="宋体"/>
                <w:color w:val="auto"/>
                <w:sz w:val="21"/>
                <w:szCs w:val="21"/>
                <w:highlight w:val="none"/>
              </w:rPr>
            </w:pPr>
          </w:p>
        </w:tc>
        <w:tc>
          <w:tcPr>
            <w:tcW w:w="939" w:type="dxa"/>
            <w:vMerge w:val="continue"/>
            <w:tcBorders>
              <w:left w:val="single" w:color="auto" w:sz="4" w:space="0"/>
              <w:right w:val="single" w:color="auto" w:sz="4" w:space="0"/>
            </w:tcBorders>
            <w:vAlign w:val="center"/>
          </w:tcPr>
          <w:p w14:paraId="06B654B8">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074" w:type="dxa"/>
            <w:vMerge w:val="continue"/>
            <w:tcBorders>
              <w:left w:val="single" w:color="auto" w:sz="4" w:space="0"/>
              <w:right w:val="single" w:color="auto" w:sz="4" w:space="0"/>
            </w:tcBorders>
            <w:vAlign w:val="center"/>
          </w:tcPr>
          <w:p w14:paraId="2EE94CF0">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258" w:type="dxa"/>
            <w:vMerge w:val="continue"/>
            <w:tcBorders>
              <w:left w:val="single" w:color="auto" w:sz="4" w:space="0"/>
              <w:right w:val="single" w:color="auto" w:sz="4" w:space="0"/>
            </w:tcBorders>
            <w:vAlign w:val="center"/>
          </w:tcPr>
          <w:p w14:paraId="754037CB">
            <w:pPr>
              <w:autoSpaceDE/>
              <w:autoSpaceDN/>
              <w:adjustRightInd/>
              <w:snapToGrid/>
              <w:spacing w:line="240" w:lineRule="auto"/>
              <w:jc w:val="center"/>
              <w:rPr>
                <w:rFonts w:hint="eastAsia" w:ascii="宋体" w:hAnsi="宋体" w:eastAsia="宋体" w:cs="宋体"/>
                <w:color w:val="auto"/>
                <w:highlight w:val="none"/>
                <w:lang w:val="en-US" w:eastAsia="zh-CN"/>
              </w:rPr>
            </w:pPr>
          </w:p>
        </w:tc>
        <w:tc>
          <w:tcPr>
            <w:tcW w:w="1763" w:type="dxa"/>
            <w:tcBorders>
              <w:top w:val="single" w:color="auto" w:sz="4" w:space="0"/>
              <w:left w:val="single" w:color="auto" w:sz="4" w:space="0"/>
              <w:bottom w:val="single" w:color="auto" w:sz="4" w:space="0"/>
              <w:right w:val="single" w:color="auto" w:sz="4" w:space="0"/>
            </w:tcBorders>
            <w:vAlign w:val="center"/>
          </w:tcPr>
          <w:p w14:paraId="291C7621">
            <w:pPr>
              <w:keepNext w:val="0"/>
              <w:keepLines w:val="0"/>
              <w:widowControl/>
              <w:suppressLineNumbers w:val="0"/>
              <w:snapToGrid w:val="0"/>
              <w:jc w:val="center"/>
              <w:textAlignment w:val="auto"/>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2"/>
                <w:sz w:val="21"/>
                <w:szCs w:val="21"/>
                <w:highlight w:val="none"/>
                <w:u w:val="none"/>
                <w:lang w:val="en-US" w:eastAsia="zh-CN" w:bidi="ar"/>
              </w:rPr>
              <w:t>22242.460</w:t>
            </w:r>
          </w:p>
        </w:tc>
        <w:tc>
          <w:tcPr>
            <w:tcW w:w="1306" w:type="dxa"/>
            <w:tcBorders>
              <w:top w:val="single" w:color="auto" w:sz="4" w:space="0"/>
              <w:left w:val="single" w:color="auto" w:sz="4" w:space="0"/>
              <w:bottom w:val="single" w:color="auto" w:sz="4" w:space="0"/>
              <w:right w:val="single" w:color="auto" w:sz="4" w:space="0"/>
            </w:tcBorders>
            <w:vAlign w:val="center"/>
          </w:tcPr>
          <w:p w14:paraId="3111D466">
            <w:pPr>
              <w:autoSpaceDE/>
              <w:autoSpaceDN/>
              <w:adjustRightInd/>
              <w:snapToGrid w:val="0"/>
              <w:spacing w:line="360" w:lineRule="auto"/>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甲方5</w:t>
            </w:r>
          </w:p>
        </w:tc>
        <w:tc>
          <w:tcPr>
            <w:tcW w:w="1892" w:type="dxa"/>
            <w:vMerge w:val="continue"/>
            <w:tcBorders>
              <w:left w:val="single" w:color="auto" w:sz="4" w:space="0"/>
              <w:right w:val="single" w:color="auto" w:sz="4" w:space="0"/>
            </w:tcBorders>
            <w:vAlign w:val="center"/>
          </w:tcPr>
          <w:p w14:paraId="28490F76">
            <w:pPr>
              <w:autoSpaceDE/>
              <w:autoSpaceDN/>
              <w:adjustRightInd/>
              <w:snapToGrid w:val="0"/>
              <w:spacing w:line="360" w:lineRule="auto"/>
              <w:jc w:val="center"/>
              <w:rPr>
                <w:rFonts w:hint="eastAsia" w:ascii="宋体" w:hAnsi="宋体" w:eastAsia="宋体" w:cs="宋体"/>
                <w:color w:val="auto"/>
                <w:sz w:val="21"/>
                <w:szCs w:val="21"/>
                <w:highlight w:val="none"/>
              </w:rPr>
            </w:pPr>
          </w:p>
        </w:tc>
      </w:tr>
      <w:tr w14:paraId="0BA3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3" w:type="dxa"/>
            <w:vMerge w:val="restart"/>
            <w:tcBorders>
              <w:left w:val="single" w:color="auto" w:sz="4" w:space="0"/>
              <w:right w:val="single" w:color="auto" w:sz="4" w:space="0"/>
            </w:tcBorders>
            <w:vAlign w:val="center"/>
          </w:tcPr>
          <w:p w14:paraId="61D7974C">
            <w:pPr>
              <w:numPr>
                <w:ilvl w:val="0"/>
                <w:numId w:val="0"/>
              </w:numPr>
              <w:autoSpaceDE/>
              <w:autoSpaceDN/>
              <w:adjustRightInd/>
              <w:snapToGrid/>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液</w:t>
            </w:r>
            <w:r>
              <w:rPr>
                <w:rFonts w:hint="eastAsia" w:ascii="宋体" w:hAnsi="宋体" w:eastAsia="宋体" w:cs="宋体"/>
                <w:color w:val="auto"/>
                <w:szCs w:val="21"/>
                <w:highlight w:val="none"/>
                <w:lang w:val="en-US" w:eastAsia="zh-CN"/>
              </w:rPr>
              <w:t>体</w:t>
            </w:r>
            <w:r>
              <w:rPr>
                <w:rFonts w:hint="eastAsia" w:ascii="宋体" w:hAnsi="宋体" w:eastAsia="宋体" w:cs="宋体"/>
                <w:color w:val="auto"/>
                <w:szCs w:val="21"/>
                <w:highlight w:val="none"/>
              </w:rPr>
              <w:t>聚</w:t>
            </w:r>
            <w:r>
              <w:rPr>
                <w:rFonts w:hint="eastAsia" w:ascii="宋体" w:hAnsi="宋体" w:eastAsia="宋体" w:cs="宋体"/>
                <w:color w:val="auto"/>
                <w:szCs w:val="21"/>
                <w:highlight w:val="none"/>
                <w:lang w:val="en-US" w:eastAsia="zh-CN"/>
              </w:rPr>
              <w:t>合</w:t>
            </w:r>
            <w:r>
              <w:rPr>
                <w:rFonts w:hint="eastAsia" w:ascii="宋体" w:hAnsi="宋体" w:eastAsia="宋体" w:cs="宋体"/>
                <w:color w:val="auto"/>
                <w:szCs w:val="21"/>
                <w:highlight w:val="none"/>
              </w:rPr>
              <w:t>氯化铝铁</w:t>
            </w:r>
          </w:p>
        </w:tc>
        <w:tc>
          <w:tcPr>
            <w:tcW w:w="939" w:type="dxa"/>
            <w:vMerge w:val="restart"/>
            <w:tcBorders>
              <w:left w:val="single" w:color="auto" w:sz="4" w:space="0"/>
              <w:right w:val="single" w:color="auto" w:sz="4" w:space="0"/>
            </w:tcBorders>
            <w:vAlign w:val="center"/>
          </w:tcPr>
          <w:p w14:paraId="365F0E84">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074" w:type="dxa"/>
            <w:vMerge w:val="restart"/>
            <w:tcBorders>
              <w:left w:val="single" w:color="auto" w:sz="4" w:space="0"/>
              <w:right w:val="single" w:color="auto" w:sz="4" w:space="0"/>
            </w:tcBorders>
            <w:vAlign w:val="center"/>
          </w:tcPr>
          <w:p w14:paraId="454342F9">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258" w:type="dxa"/>
            <w:vMerge w:val="restart"/>
            <w:tcBorders>
              <w:left w:val="single" w:color="auto" w:sz="4" w:space="0"/>
              <w:right w:val="single" w:color="auto" w:sz="4" w:space="0"/>
            </w:tcBorders>
            <w:vAlign w:val="center"/>
          </w:tcPr>
          <w:p w14:paraId="53ACF140">
            <w:pPr>
              <w:snapToGrid w:val="0"/>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u w:val="none"/>
              </w:rPr>
              <w:t>27410.257</w:t>
            </w:r>
          </w:p>
        </w:tc>
        <w:tc>
          <w:tcPr>
            <w:tcW w:w="1763" w:type="dxa"/>
            <w:tcBorders>
              <w:top w:val="single" w:color="auto" w:sz="4" w:space="0"/>
              <w:left w:val="single" w:color="auto" w:sz="4" w:space="0"/>
              <w:bottom w:val="single" w:color="auto" w:sz="4" w:space="0"/>
              <w:right w:val="single" w:color="auto" w:sz="4" w:space="0"/>
            </w:tcBorders>
            <w:vAlign w:val="center"/>
          </w:tcPr>
          <w:p w14:paraId="70D0A6C0">
            <w:pPr>
              <w:keepNext w:val="0"/>
              <w:keepLines w:val="0"/>
              <w:widowControl/>
              <w:suppressLineNumbers w:val="0"/>
              <w:snapToGrid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2"/>
                <w:sz w:val="21"/>
                <w:szCs w:val="21"/>
                <w:highlight w:val="none"/>
                <w:u w:val="none"/>
                <w:lang w:val="en-US" w:eastAsia="zh-CN" w:bidi="ar"/>
              </w:rPr>
              <w:t>16483.803</w:t>
            </w:r>
          </w:p>
        </w:tc>
        <w:tc>
          <w:tcPr>
            <w:tcW w:w="1306" w:type="dxa"/>
            <w:tcBorders>
              <w:top w:val="single" w:color="auto" w:sz="4" w:space="0"/>
              <w:left w:val="single" w:color="auto" w:sz="4" w:space="0"/>
              <w:bottom w:val="single" w:color="auto" w:sz="4" w:space="0"/>
              <w:right w:val="single" w:color="auto" w:sz="4" w:space="0"/>
            </w:tcBorders>
            <w:vAlign w:val="center"/>
          </w:tcPr>
          <w:p w14:paraId="2A7847C5">
            <w:pPr>
              <w:autoSpaceDE/>
              <w:autoSpaceDN/>
              <w:adjustRightInd/>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甲方2</w:t>
            </w:r>
          </w:p>
        </w:tc>
        <w:tc>
          <w:tcPr>
            <w:tcW w:w="1892" w:type="dxa"/>
            <w:vMerge w:val="restart"/>
            <w:tcBorders>
              <w:left w:val="single" w:color="auto" w:sz="4" w:space="0"/>
              <w:right w:val="single" w:color="auto" w:sz="4" w:space="0"/>
            </w:tcBorders>
            <w:vAlign w:val="center"/>
          </w:tcPr>
          <w:p w14:paraId="44174B37">
            <w:pPr>
              <w:autoSpaceDE/>
              <w:autoSpaceDN/>
              <w:adjustRightInd/>
              <w:snapToGrid w:val="0"/>
              <w:spacing w:line="360" w:lineRule="auto"/>
              <w:jc w:val="center"/>
              <w:rPr>
                <w:rFonts w:hint="eastAsia" w:ascii="宋体" w:hAnsi="宋体" w:eastAsia="宋体" w:cs="宋体"/>
                <w:color w:val="auto"/>
                <w:sz w:val="21"/>
                <w:szCs w:val="21"/>
                <w:highlight w:val="none"/>
              </w:rPr>
            </w:pPr>
          </w:p>
        </w:tc>
      </w:tr>
      <w:tr w14:paraId="50B3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3" w:type="dxa"/>
            <w:vMerge w:val="continue"/>
            <w:tcBorders>
              <w:left w:val="single" w:color="auto" w:sz="4" w:space="0"/>
              <w:right w:val="single" w:color="auto" w:sz="4" w:space="0"/>
            </w:tcBorders>
            <w:vAlign w:val="center"/>
          </w:tcPr>
          <w:p w14:paraId="27F5EFE6">
            <w:pPr>
              <w:numPr>
                <w:ilvl w:val="0"/>
                <w:numId w:val="0"/>
              </w:numPr>
              <w:autoSpaceDE/>
              <w:autoSpaceDN/>
              <w:adjustRightInd/>
              <w:snapToGrid/>
              <w:spacing w:line="360" w:lineRule="auto"/>
              <w:ind w:firstLine="420" w:firstLineChars="200"/>
              <w:jc w:val="center"/>
              <w:rPr>
                <w:rFonts w:hint="eastAsia" w:ascii="宋体" w:hAnsi="宋体" w:eastAsia="宋体" w:cs="宋体"/>
                <w:color w:val="auto"/>
                <w:sz w:val="21"/>
                <w:szCs w:val="21"/>
                <w:highlight w:val="none"/>
              </w:rPr>
            </w:pPr>
          </w:p>
        </w:tc>
        <w:tc>
          <w:tcPr>
            <w:tcW w:w="939" w:type="dxa"/>
            <w:vMerge w:val="continue"/>
            <w:tcBorders>
              <w:left w:val="single" w:color="auto" w:sz="4" w:space="0"/>
              <w:right w:val="single" w:color="auto" w:sz="4" w:space="0"/>
            </w:tcBorders>
            <w:vAlign w:val="center"/>
          </w:tcPr>
          <w:p w14:paraId="57EE2F5F">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074" w:type="dxa"/>
            <w:vMerge w:val="continue"/>
            <w:tcBorders>
              <w:left w:val="single" w:color="auto" w:sz="4" w:space="0"/>
              <w:right w:val="single" w:color="auto" w:sz="4" w:space="0"/>
            </w:tcBorders>
            <w:vAlign w:val="center"/>
          </w:tcPr>
          <w:p w14:paraId="18EB7C95">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258" w:type="dxa"/>
            <w:vMerge w:val="continue"/>
            <w:tcBorders>
              <w:left w:val="single" w:color="auto" w:sz="4" w:space="0"/>
              <w:right w:val="single" w:color="auto" w:sz="4" w:space="0"/>
            </w:tcBorders>
            <w:vAlign w:val="center"/>
          </w:tcPr>
          <w:p w14:paraId="071DD10C">
            <w:pPr>
              <w:snapToGrid w:val="0"/>
              <w:jc w:val="center"/>
              <w:rPr>
                <w:rFonts w:hint="eastAsia" w:ascii="宋体" w:hAnsi="宋体" w:eastAsia="宋体" w:cs="宋体"/>
                <w:color w:val="auto"/>
                <w:highlight w:val="none"/>
                <w:lang w:val="en-US" w:eastAsia="zh-CN"/>
              </w:rPr>
            </w:pPr>
          </w:p>
        </w:tc>
        <w:tc>
          <w:tcPr>
            <w:tcW w:w="1763" w:type="dxa"/>
            <w:tcBorders>
              <w:top w:val="single" w:color="auto" w:sz="4" w:space="0"/>
              <w:left w:val="single" w:color="auto" w:sz="4" w:space="0"/>
              <w:bottom w:val="single" w:color="auto" w:sz="4" w:space="0"/>
              <w:right w:val="single" w:color="auto" w:sz="4" w:space="0"/>
            </w:tcBorders>
            <w:vAlign w:val="center"/>
          </w:tcPr>
          <w:p w14:paraId="0CD013A5">
            <w:pPr>
              <w:keepNext w:val="0"/>
              <w:keepLines w:val="0"/>
              <w:widowControl/>
              <w:suppressLineNumbers w:val="0"/>
              <w:snapToGrid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2"/>
                <w:sz w:val="21"/>
                <w:szCs w:val="21"/>
                <w:highlight w:val="none"/>
                <w:u w:val="none"/>
                <w:lang w:val="en-US" w:eastAsia="zh-CN" w:bidi="ar"/>
              </w:rPr>
              <w:t>10926.454</w:t>
            </w:r>
          </w:p>
        </w:tc>
        <w:tc>
          <w:tcPr>
            <w:tcW w:w="1306" w:type="dxa"/>
            <w:tcBorders>
              <w:top w:val="single" w:color="auto" w:sz="4" w:space="0"/>
              <w:left w:val="single" w:color="auto" w:sz="4" w:space="0"/>
              <w:bottom w:val="single" w:color="auto" w:sz="4" w:space="0"/>
              <w:right w:val="single" w:color="auto" w:sz="4" w:space="0"/>
            </w:tcBorders>
            <w:vAlign w:val="center"/>
          </w:tcPr>
          <w:p w14:paraId="5C874239">
            <w:pPr>
              <w:autoSpaceDE/>
              <w:autoSpaceDN/>
              <w:adjustRightInd/>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甲方6</w:t>
            </w:r>
          </w:p>
        </w:tc>
        <w:tc>
          <w:tcPr>
            <w:tcW w:w="1892" w:type="dxa"/>
            <w:vMerge w:val="continue"/>
            <w:tcBorders>
              <w:left w:val="single" w:color="auto" w:sz="4" w:space="0"/>
              <w:right w:val="single" w:color="auto" w:sz="4" w:space="0"/>
            </w:tcBorders>
            <w:vAlign w:val="center"/>
          </w:tcPr>
          <w:p w14:paraId="7E1F37EC">
            <w:pPr>
              <w:autoSpaceDE/>
              <w:autoSpaceDN/>
              <w:adjustRightInd/>
              <w:snapToGrid w:val="0"/>
              <w:spacing w:line="360" w:lineRule="auto"/>
              <w:jc w:val="center"/>
              <w:rPr>
                <w:rFonts w:hint="eastAsia" w:ascii="宋体" w:hAnsi="宋体" w:eastAsia="宋体" w:cs="宋体"/>
                <w:color w:val="auto"/>
                <w:sz w:val="21"/>
                <w:szCs w:val="21"/>
                <w:highlight w:val="none"/>
              </w:rPr>
            </w:pPr>
          </w:p>
        </w:tc>
      </w:tr>
    </w:tbl>
    <w:p w14:paraId="59488B0A">
      <w:pPr>
        <w:snapToGrid/>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备注：本次采购涉及</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运营项目及采购数量为暂定，仅为便于计算暂定合同价使用，不作为</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最终采购数量的保证，</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保留根据运营项目实际情况，对采购数量进行灵活调整的权利。实际</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bCs/>
          <w:color w:val="auto"/>
          <w:kern w:val="2"/>
          <w:sz w:val="21"/>
          <w:szCs w:val="21"/>
          <w:highlight w:val="none"/>
        </w:rPr>
        <w:t>运营项目</w:t>
      </w:r>
      <w:r>
        <w:rPr>
          <w:rFonts w:hint="eastAsia" w:ascii="宋体" w:hAnsi="宋体" w:eastAsia="宋体" w:cs="宋体"/>
          <w:b/>
          <w:color w:val="auto"/>
          <w:sz w:val="21"/>
          <w:szCs w:val="21"/>
          <w:highlight w:val="none"/>
        </w:rPr>
        <w:t>根据项目工艺及性质，结合项目实际使用效果选用，</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的实际需求数量以</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运营项目每次的供货通知为准，在供货期内乙方不得因</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实际采购数量的减少或增加而要求提供任何形式的补偿或赔偿，或要求</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按暂定采购数量采购相应货物。</w:t>
      </w:r>
    </w:p>
    <w:p w14:paraId="6137BBE0">
      <w:pPr>
        <w:snapToGrid w:val="0"/>
        <w:spacing w:line="360" w:lineRule="auto"/>
        <w:ind w:firstLine="420" w:firstLineChars="200"/>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zh-CN"/>
        </w:rPr>
        <w:t>、本合同的供货期</w:t>
      </w:r>
    </w:p>
    <w:p w14:paraId="7DB8CD4A">
      <w:pPr>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供货期自合同签订之日起至20</w:t>
      </w:r>
      <w:r>
        <w:rPr>
          <w:rFonts w:hint="eastAsia" w:ascii="宋体" w:hAnsi="宋体" w:eastAsia="宋体" w:cs="宋体"/>
          <w:color w:val="auto"/>
          <w:sz w:val="21"/>
          <w:szCs w:val="21"/>
          <w:highlight w:val="none"/>
          <w:lang w:val="en-US" w:eastAsia="zh-CN"/>
        </w:rPr>
        <w:t>27</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日止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乙方收到甲方通知后必须无条件按照甲方的要求开始供货。</w:t>
      </w:r>
    </w:p>
    <w:p w14:paraId="105482CB">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、乙方应承担完成合同义务的全部费用，包括但不限于：</w:t>
      </w:r>
    </w:p>
    <w:p w14:paraId="44957C22">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（1）合同范围内所有货物的研究、采购、制造、检验、配合试验、包装、储存、运输（退换货运输）、称重、装卸、安全、保险、培训、验收等费用；</w:t>
      </w:r>
    </w:p>
    <w:p w14:paraId="2AED4BBE">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应急供货费用、为满足项目调试需求导致的小批量、多频次分散供货的成本以及货物运输、货物验收合格前发生的安全事故所产生的一切费用；</w:t>
      </w:r>
    </w:p>
    <w:p w14:paraId="0DE43BE0">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）货物及其工艺所有制造方、使用方应支付的对专有技术、商标权、专利权和版权、设计或其他知识产权而需要向其他方支付的版税；</w:t>
      </w:r>
    </w:p>
    <w:p w14:paraId="3ECD244B">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（4）日常技术指导，免费的质保服务，包括但不限于免费对具有质量问题的货物进行处理或更换</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rPr>
        <w:t>并以甲方确认的最优化的产品成分配比向甲方供货</w:t>
      </w:r>
      <w:r>
        <w:rPr>
          <w:rFonts w:hint="eastAsia" w:ascii="宋体" w:hAnsi="宋体" w:eastAsia="宋体" w:cs="宋体"/>
          <w:color w:val="auto"/>
          <w:sz w:val="21"/>
          <w:szCs w:val="21"/>
          <w:highlight w:val="none"/>
          <w:lang w:val="zh-CN"/>
        </w:rPr>
        <w:t>；</w:t>
      </w:r>
    </w:p>
    <w:p w14:paraId="3A050337">
      <w:pPr>
        <w:snapToGrid w:val="0"/>
        <w:spacing w:line="360" w:lineRule="auto"/>
        <w:ind w:left="1018" w:leftChars="235" w:hanging="525" w:hanging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（5）合理利润、</w:t>
      </w:r>
      <w:r>
        <w:rPr>
          <w:rFonts w:hint="eastAsia" w:ascii="宋体" w:hAnsi="宋体" w:eastAsia="宋体" w:cs="宋体"/>
          <w:color w:val="auto"/>
          <w:kern w:val="2"/>
          <w:sz w:val="21"/>
          <w:szCs w:val="21"/>
          <w:highlight w:val="none"/>
          <w:lang w:val="zh-CN"/>
        </w:rPr>
        <w:t>乙方销项税额以外的税费</w:t>
      </w:r>
      <w:r>
        <w:rPr>
          <w:rFonts w:hint="eastAsia" w:ascii="宋体" w:hAnsi="宋体" w:eastAsia="宋体" w:cs="宋体"/>
          <w:color w:val="auto"/>
          <w:sz w:val="21"/>
          <w:szCs w:val="21"/>
          <w:highlight w:val="none"/>
        </w:rPr>
        <w:t>等；</w:t>
      </w:r>
    </w:p>
    <w:p w14:paraId="35169D50">
      <w:pPr>
        <w:snapToGrid w:val="0"/>
        <w:spacing w:line="360" w:lineRule="auto"/>
        <w:ind w:left="1018" w:leftChars="235" w:hanging="525" w:hangingChars="250"/>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lang w:val="zh-CN"/>
        </w:rPr>
        <w:t>（6）法律法规、商业公认、招标文件规定由乙方承担的其他直接及间接费用</w:t>
      </w:r>
      <w:r>
        <w:rPr>
          <w:rFonts w:hint="eastAsia" w:ascii="宋体" w:hAnsi="宋体" w:eastAsia="宋体" w:cs="宋体"/>
          <w:color w:val="auto"/>
          <w:kern w:val="2"/>
          <w:sz w:val="21"/>
          <w:szCs w:val="21"/>
          <w:highlight w:val="none"/>
          <w:lang w:val="zh-CN"/>
        </w:rPr>
        <w:t>。</w:t>
      </w:r>
    </w:p>
    <w:p w14:paraId="2CF8799A">
      <w:pPr>
        <w:tabs>
          <w:tab w:val="left" w:pos="6930"/>
        </w:tabs>
        <w:autoSpaceDE/>
        <w:autoSpaceDN/>
        <w:adjustRightInd/>
        <w:spacing w:line="360" w:lineRule="auto"/>
        <w:ind w:left="124" w:leftChars="59" w:firstLine="424" w:firstLineChars="201"/>
        <w:jc w:val="both"/>
        <w:rPr>
          <w:rFonts w:hint="eastAsia" w:ascii="宋体" w:hAnsi="宋体" w:eastAsia="宋体" w:cs="宋体"/>
          <w:b/>
          <w:bCs/>
          <w:color w:val="auto"/>
          <w:sz w:val="21"/>
          <w:szCs w:val="21"/>
          <w:highlight w:val="none"/>
        </w:rPr>
      </w:pPr>
      <w:r>
        <w:rPr>
          <w:rFonts w:hint="eastAsia" w:ascii="宋体" w:hAnsi="宋体" w:eastAsia="宋体" w:cs="宋体"/>
          <w:b/>
          <w:color w:val="auto"/>
          <w:kern w:val="2"/>
          <w:sz w:val="21"/>
          <w:szCs w:val="21"/>
          <w:highlight w:val="none"/>
          <w:lang w:val="en-US" w:eastAsia="zh-CN"/>
        </w:rPr>
        <w:t>4</w:t>
      </w:r>
      <w:r>
        <w:rPr>
          <w:rFonts w:hint="eastAsia" w:ascii="宋体" w:hAnsi="宋体" w:eastAsia="宋体" w:cs="宋体"/>
          <w:b/>
          <w:color w:val="auto"/>
          <w:kern w:val="2"/>
          <w:sz w:val="21"/>
          <w:szCs w:val="21"/>
          <w:highlight w:val="none"/>
          <w:lang w:val="zh-CN"/>
        </w:rPr>
        <w:t>、</w:t>
      </w:r>
      <w:r>
        <w:rPr>
          <w:rFonts w:hint="eastAsia" w:ascii="宋体" w:hAnsi="宋体" w:eastAsia="宋体" w:cs="宋体"/>
          <w:b/>
          <w:color w:val="auto"/>
          <w:szCs w:val="21"/>
          <w:highlight w:val="none"/>
          <w:lang w:val="zh-CN"/>
        </w:rPr>
        <w:t>液体</w:t>
      </w:r>
      <w:r>
        <w:rPr>
          <w:rFonts w:hint="eastAsia" w:ascii="宋体" w:hAnsi="宋体" w:eastAsia="宋体" w:cs="宋体"/>
          <w:b/>
          <w:color w:val="auto"/>
          <w:szCs w:val="21"/>
          <w:highlight w:val="none"/>
          <w:lang w:val="en-US" w:eastAsia="zh-CN"/>
        </w:rPr>
        <w:t>聚合氯化铝、液体聚合氯化铝铁</w:t>
      </w:r>
      <w:r>
        <w:rPr>
          <w:rFonts w:hint="eastAsia" w:ascii="宋体" w:hAnsi="宋体" w:eastAsia="宋体" w:cs="宋体"/>
          <w:b/>
          <w:color w:val="auto"/>
          <w:kern w:val="2"/>
          <w:sz w:val="21"/>
          <w:szCs w:val="21"/>
          <w:highlight w:val="none"/>
          <w:lang w:val="zh-CN"/>
        </w:rPr>
        <w:t>的供货须按照甲方运营项目的实际供货需求，将会存在不同项目、不同时间</w:t>
      </w:r>
      <w:r>
        <w:rPr>
          <w:rFonts w:hint="eastAsia" w:ascii="宋体" w:hAnsi="宋体" w:eastAsia="宋体" w:cs="宋体"/>
          <w:b/>
          <w:color w:val="auto"/>
          <w:kern w:val="2"/>
          <w:sz w:val="21"/>
          <w:szCs w:val="21"/>
          <w:highlight w:val="none"/>
        </w:rPr>
        <w:t>分</w:t>
      </w:r>
      <w:r>
        <w:rPr>
          <w:rFonts w:hint="eastAsia" w:ascii="宋体" w:hAnsi="宋体" w:eastAsia="宋体" w:cs="宋体"/>
          <w:b/>
          <w:color w:val="auto"/>
          <w:kern w:val="2"/>
          <w:sz w:val="21"/>
          <w:szCs w:val="21"/>
          <w:highlight w:val="none"/>
          <w:lang w:val="zh-CN"/>
        </w:rPr>
        <w:t>次供货的情况，乙方应充分考虑上述因素可能导致的增加成本，并且该成本已包含在上述全部费用内。</w:t>
      </w:r>
    </w:p>
    <w:p w14:paraId="001B41E2">
      <w:pPr>
        <w:snapToGrid w:val="0"/>
        <w:spacing w:line="360" w:lineRule="auto"/>
        <w:ind w:firstLine="420" w:firstLineChars="200"/>
        <w:rPr>
          <w:rFonts w:hint="eastAsia" w:ascii="宋体" w:hAnsi="宋体" w:eastAsia="宋体" w:cs="宋体"/>
          <w:color w:val="auto"/>
          <w:sz w:val="21"/>
          <w:szCs w:val="21"/>
          <w:highlight w:val="none"/>
        </w:rPr>
      </w:pPr>
    </w:p>
    <w:p w14:paraId="06C0580A">
      <w:pPr>
        <w:snapToGrid w:val="0"/>
        <w:spacing w:line="360" w:lineRule="auto"/>
        <w:ind w:firstLine="373" w:firstLineChars="177"/>
        <w:outlineLvl w:val="1"/>
        <w:rPr>
          <w:rFonts w:hint="eastAsia" w:ascii="宋体" w:hAnsi="宋体" w:eastAsia="宋体" w:cs="宋体"/>
          <w:b/>
          <w:color w:val="auto"/>
          <w:sz w:val="21"/>
          <w:szCs w:val="21"/>
          <w:highlight w:val="none"/>
        </w:rPr>
      </w:pPr>
      <w:bookmarkStart w:id="468" w:name="_Toc6846"/>
      <w:r>
        <w:rPr>
          <w:rFonts w:hint="eastAsia" w:ascii="宋体" w:hAnsi="宋体" w:eastAsia="宋体" w:cs="宋体"/>
          <w:b/>
          <w:color w:val="auto"/>
          <w:sz w:val="21"/>
          <w:szCs w:val="21"/>
          <w:highlight w:val="none"/>
        </w:rPr>
        <w:t>第二条 合同价款及销项税价</w:t>
      </w:r>
      <w:bookmarkEnd w:id="468"/>
    </w:p>
    <w:p w14:paraId="0292DC89">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w:t>
      </w:r>
      <w:r>
        <w:rPr>
          <w:rFonts w:hint="eastAsia" w:ascii="宋体" w:hAnsi="宋体" w:eastAsia="宋体" w:cs="宋体"/>
          <w:color w:val="auto"/>
          <w:sz w:val="21"/>
          <w:szCs w:val="21"/>
          <w:highlight w:val="none"/>
          <w:lang w:val="en-US" w:eastAsia="zh-CN"/>
        </w:rPr>
        <w:t>液体聚合氯化铝</w:t>
      </w:r>
      <w:r>
        <w:rPr>
          <w:rFonts w:hint="eastAsia" w:ascii="宋体" w:hAnsi="宋体" w:eastAsia="宋体" w:cs="宋体"/>
          <w:color w:val="auto"/>
          <w:sz w:val="21"/>
          <w:szCs w:val="21"/>
          <w:highlight w:val="none"/>
        </w:rPr>
        <w:t>综合单价（即销售额，不含乙方销项税额）为¥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液体聚合氯化铝铁</w:t>
      </w:r>
      <w:r>
        <w:rPr>
          <w:rFonts w:hint="eastAsia" w:ascii="宋体" w:hAnsi="宋体" w:eastAsia="宋体" w:cs="宋体"/>
          <w:color w:val="auto"/>
          <w:sz w:val="21"/>
          <w:szCs w:val="21"/>
          <w:highlight w:val="none"/>
        </w:rPr>
        <w:t>综合单价（即销售额，不含乙方销项税额）为¥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在本合同履行过程中，综合单</w:t>
      </w:r>
      <w:r>
        <w:rPr>
          <w:rFonts w:hint="eastAsia" w:ascii="宋体" w:hAnsi="宋体" w:eastAsia="宋体" w:cs="宋体"/>
          <w:color w:val="auto"/>
          <w:sz w:val="21"/>
          <w:szCs w:val="21"/>
          <w:highlight w:val="none"/>
        </w:rPr>
        <w:t>价（即销售额，不含乙方销项税额）</w:t>
      </w:r>
      <w:r>
        <w:rPr>
          <w:rFonts w:hint="eastAsia" w:ascii="宋体" w:hAnsi="宋体" w:eastAsia="宋体" w:cs="宋体"/>
          <w:color w:val="auto"/>
          <w:sz w:val="21"/>
          <w:szCs w:val="21"/>
          <w:highlight w:val="none"/>
          <w:lang w:val="zh-CN"/>
        </w:rPr>
        <w:t>固定不变，不因材料、成分比例调整、劳务成本、运输成本、货物等行业标准或国家标准的变动等其他理由予以变更。</w:t>
      </w:r>
      <w:r>
        <w:rPr>
          <w:rFonts w:hint="eastAsia" w:ascii="宋体" w:hAnsi="宋体" w:eastAsia="宋体" w:cs="宋体"/>
          <w:color w:val="auto"/>
          <w:sz w:val="21"/>
          <w:szCs w:val="21"/>
          <w:highlight w:val="none"/>
        </w:rPr>
        <w:t>未经甲方书面确认，乙方无权增加任何费用。</w:t>
      </w:r>
    </w:p>
    <w:p w14:paraId="383D5C5A">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w:t>
      </w:r>
      <w:r>
        <w:rPr>
          <w:rFonts w:hint="eastAsia" w:ascii="宋体" w:hAnsi="宋体" w:eastAsia="宋体" w:cs="宋体"/>
          <w:color w:val="auto"/>
          <w:kern w:val="2"/>
          <w:sz w:val="21"/>
          <w:szCs w:val="21"/>
          <w:highlight w:val="none"/>
          <w:lang w:val="zh-CN"/>
        </w:rPr>
        <w:t>《中华人民共和国增值税法实施条例》（国务院令第</w:t>
      </w:r>
      <w:r>
        <w:rPr>
          <w:rFonts w:hint="eastAsia" w:ascii="宋体" w:hAnsi="宋体" w:eastAsia="宋体" w:cs="宋体"/>
          <w:color w:val="auto"/>
          <w:kern w:val="2"/>
          <w:sz w:val="21"/>
          <w:szCs w:val="21"/>
          <w:highlight w:val="none"/>
          <w:lang w:val="en-US" w:eastAsia="zh-CN"/>
        </w:rPr>
        <w:t>826</w:t>
      </w:r>
      <w:r>
        <w:rPr>
          <w:rFonts w:hint="eastAsia" w:ascii="宋体" w:hAnsi="宋体" w:eastAsia="宋体" w:cs="宋体"/>
          <w:color w:val="auto"/>
          <w:kern w:val="2"/>
          <w:sz w:val="21"/>
          <w:szCs w:val="21"/>
          <w:highlight w:val="none"/>
          <w:lang w:val="zh-CN"/>
        </w:rPr>
        <w:t>号）</w:t>
      </w:r>
      <w:r>
        <w:rPr>
          <w:rFonts w:hint="eastAsia" w:ascii="宋体" w:hAnsi="宋体" w:eastAsia="宋体" w:cs="宋体"/>
          <w:color w:val="auto"/>
          <w:kern w:val="2"/>
          <w:sz w:val="21"/>
          <w:szCs w:val="21"/>
          <w:highlight w:val="none"/>
        </w:rPr>
        <w:t>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液体聚合氯化铝</w:t>
      </w:r>
      <w:r>
        <w:rPr>
          <w:rFonts w:hint="eastAsia" w:ascii="宋体" w:hAnsi="宋体" w:eastAsia="宋体" w:cs="宋体"/>
          <w:color w:val="auto"/>
          <w:sz w:val="21"/>
          <w:szCs w:val="21"/>
          <w:highlight w:val="none"/>
        </w:rPr>
        <w:t>对应的销项税额为¥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液体聚合氯化铝铁</w:t>
      </w:r>
      <w:r>
        <w:rPr>
          <w:rFonts w:hint="eastAsia" w:ascii="宋体" w:hAnsi="宋体" w:eastAsia="宋体" w:cs="宋体"/>
          <w:color w:val="auto"/>
          <w:sz w:val="21"/>
          <w:szCs w:val="21"/>
          <w:highlight w:val="none"/>
        </w:rPr>
        <w:t>对应的销项税额为¥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在本合同履行过程中，税收政策变动导致</w:t>
      </w:r>
      <w:r>
        <w:rPr>
          <w:rFonts w:hint="eastAsia" w:ascii="宋体" w:hAnsi="宋体" w:eastAsia="宋体" w:cs="宋体"/>
          <w:color w:val="auto"/>
          <w:kern w:val="2"/>
          <w:sz w:val="21"/>
          <w:szCs w:val="21"/>
          <w:highlight w:val="none"/>
        </w:rPr>
        <w:t>增值税</w:t>
      </w:r>
      <w:r>
        <w:rPr>
          <w:rFonts w:hint="eastAsia" w:ascii="宋体" w:hAnsi="宋体" w:eastAsia="宋体" w:cs="宋体"/>
          <w:color w:val="auto"/>
          <w:sz w:val="21"/>
          <w:szCs w:val="21"/>
          <w:highlight w:val="none"/>
          <w:lang w:val="zh-CN"/>
        </w:rPr>
        <w:t>税率调整，依法应调整</w:t>
      </w:r>
      <w:r>
        <w:rPr>
          <w:rFonts w:hint="eastAsia" w:ascii="宋体" w:hAnsi="宋体" w:eastAsia="宋体" w:cs="宋体"/>
          <w:color w:val="auto"/>
          <w:sz w:val="21"/>
          <w:szCs w:val="21"/>
          <w:highlight w:val="none"/>
        </w:rPr>
        <w:t>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6F05C080">
      <w:pPr>
        <w:spacing w:line="360" w:lineRule="auto"/>
        <w:ind w:firstLine="476" w:firstLineChars="22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因乙方未按法定税率计算税额或未根据本合同约定出具对应税额的增值税专用发票等乙方原因导致甲方多支付税额的，乙方必须退还甲方，给甲方造成损失的，乙方须向甲方赔偿</w:t>
      </w:r>
      <w:r>
        <w:rPr>
          <w:rFonts w:hint="eastAsia" w:ascii="宋体" w:hAnsi="宋体" w:eastAsia="宋体" w:cs="宋体"/>
          <w:color w:val="auto"/>
          <w:sz w:val="21"/>
          <w:szCs w:val="21"/>
          <w:highlight w:val="none"/>
        </w:rPr>
        <w:t>相应损失。</w:t>
      </w:r>
    </w:p>
    <w:p w14:paraId="180D809A">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本合同液体聚合氯化铝综合单价</w:t>
      </w:r>
      <w:r>
        <w:rPr>
          <w:rFonts w:hint="eastAsia" w:ascii="宋体" w:hAnsi="宋体" w:eastAsia="宋体" w:cs="宋体"/>
          <w:color w:val="auto"/>
          <w:sz w:val="21"/>
          <w:szCs w:val="21"/>
          <w:highlight w:val="none"/>
        </w:rPr>
        <w:t>价税合计为¥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液体聚合氯化铝铁综合单价</w:t>
      </w:r>
      <w:r>
        <w:rPr>
          <w:rFonts w:hint="eastAsia" w:ascii="宋体" w:hAnsi="宋体" w:eastAsia="宋体" w:cs="宋体"/>
          <w:color w:val="auto"/>
          <w:sz w:val="21"/>
          <w:szCs w:val="21"/>
          <w:highlight w:val="none"/>
        </w:rPr>
        <w:t>价税合计为¥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），合同履行期间根据本条第2项规定调整销项税额的，结算合同价税合计对应调整。</w:t>
      </w:r>
    </w:p>
    <w:p w14:paraId="1B960F9C">
      <w:pPr>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4、采购合同下暂定采购数量对应的</w:t>
      </w:r>
      <w:bookmarkStart w:id="469" w:name="OLE_LINK18"/>
      <w:r>
        <w:rPr>
          <w:rFonts w:hint="eastAsia" w:ascii="宋体" w:hAnsi="宋体" w:eastAsia="宋体" w:cs="宋体"/>
          <w:color w:val="auto"/>
          <w:sz w:val="21"/>
          <w:szCs w:val="21"/>
          <w:highlight w:val="none"/>
        </w:rPr>
        <w:t>暂定合同价</w:t>
      </w:r>
      <w:bookmarkEnd w:id="469"/>
      <w:r>
        <w:rPr>
          <w:rFonts w:hint="eastAsia" w:ascii="宋体" w:hAnsi="宋体" w:eastAsia="宋体" w:cs="宋体"/>
          <w:color w:val="auto"/>
          <w:sz w:val="21"/>
          <w:szCs w:val="21"/>
          <w:highlight w:val="none"/>
        </w:rPr>
        <w:t>为</w:t>
      </w:r>
      <w:bookmarkStart w:id="470" w:name="OLE_LINK17"/>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bookmarkEnd w:id="470"/>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；暂定采购数量对应的暂定合同价税合计为¥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highlight w:val="none"/>
        </w:rPr>
        <w:t>甲方1无采购需求，无需承担任何费用；甲方2暂定承担¥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暂定采购数量对应的暂定合同价税合计为</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highlight w:val="none"/>
        </w:rPr>
        <w:t>）；甲方3暂定承担¥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暂定采购数量对应的暂定合同价税合计为</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甲方</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暂定承担¥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暂定采购数量对应的暂定合同价税合计为</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甲方</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暂定承担¥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暂定采购数量对应的暂定合同价税合计为</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甲方</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暂定承担¥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暂定采购数量对应的暂定合同价税合计为</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highlight w:val="none"/>
        </w:rPr>
        <w:t>）。</w:t>
      </w:r>
    </w:p>
    <w:p w14:paraId="0038BAA6">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5、合同履约过程中，在供货期内按综合单价乘以经甲方最终验收合格的实际供货数量进行结算。</w:t>
      </w:r>
    </w:p>
    <w:p w14:paraId="60D3002A">
      <w:pPr>
        <w:pStyle w:val="17"/>
        <w:rPr>
          <w:rFonts w:hint="eastAsia" w:ascii="宋体" w:hAnsi="宋体" w:eastAsia="宋体" w:cs="宋体"/>
          <w:color w:val="auto"/>
          <w:highlight w:val="none"/>
        </w:rPr>
      </w:pPr>
    </w:p>
    <w:p w14:paraId="3D377FD1">
      <w:pPr>
        <w:snapToGrid w:val="0"/>
        <w:spacing w:line="360" w:lineRule="auto"/>
        <w:ind w:firstLine="373" w:firstLineChars="177"/>
        <w:outlineLvl w:val="1"/>
        <w:rPr>
          <w:rFonts w:hint="eastAsia" w:ascii="宋体" w:hAnsi="宋体" w:eastAsia="宋体" w:cs="宋体"/>
          <w:b/>
          <w:color w:val="auto"/>
          <w:sz w:val="21"/>
          <w:szCs w:val="21"/>
          <w:highlight w:val="none"/>
        </w:rPr>
      </w:pPr>
      <w:bookmarkStart w:id="471" w:name="_Toc28601"/>
      <w:r>
        <w:rPr>
          <w:rFonts w:hint="eastAsia" w:ascii="宋体" w:hAnsi="宋体" w:eastAsia="宋体" w:cs="宋体"/>
          <w:b/>
          <w:color w:val="auto"/>
          <w:sz w:val="21"/>
          <w:szCs w:val="21"/>
          <w:highlight w:val="none"/>
        </w:rPr>
        <w:t>第三条 合同组成</w:t>
      </w:r>
      <w:bookmarkEnd w:id="471"/>
    </w:p>
    <w:p w14:paraId="2EE87CA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14:paraId="6AAAF177">
      <w:pPr>
        <w:snapToGrid w:val="0"/>
        <w:spacing w:line="360" w:lineRule="auto"/>
        <w:ind w:firstLine="422" w:firstLineChars="200"/>
        <w:rPr>
          <w:rFonts w:hint="eastAsia" w:ascii="宋体" w:hAnsi="宋体" w:eastAsia="宋体" w:cs="宋体"/>
          <w:b/>
          <w:color w:val="auto"/>
          <w:sz w:val="21"/>
          <w:szCs w:val="21"/>
          <w:highlight w:val="none"/>
        </w:rPr>
      </w:pPr>
    </w:p>
    <w:p w14:paraId="3EC4926A">
      <w:pPr>
        <w:snapToGrid w:val="0"/>
        <w:spacing w:line="360" w:lineRule="auto"/>
        <w:ind w:firstLine="373" w:firstLineChars="177"/>
        <w:outlineLvl w:val="1"/>
        <w:rPr>
          <w:rFonts w:hint="eastAsia" w:ascii="宋体" w:hAnsi="宋体" w:eastAsia="宋体" w:cs="宋体"/>
          <w:b/>
          <w:color w:val="auto"/>
          <w:sz w:val="21"/>
          <w:szCs w:val="21"/>
          <w:highlight w:val="none"/>
          <w:lang w:val="en-US" w:eastAsia="zh-CN"/>
        </w:rPr>
      </w:pPr>
      <w:bookmarkStart w:id="472" w:name="_Toc14436"/>
      <w:r>
        <w:rPr>
          <w:rFonts w:hint="eastAsia" w:ascii="宋体" w:hAnsi="宋体" w:eastAsia="宋体" w:cs="宋体"/>
          <w:b/>
          <w:color w:val="auto"/>
          <w:sz w:val="21"/>
          <w:szCs w:val="21"/>
          <w:highlight w:val="none"/>
        </w:rPr>
        <w:t>第四条 技术要求</w:t>
      </w:r>
      <w:r>
        <w:rPr>
          <w:rFonts w:hint="eastAsia" w:ascii="宋体" w:hAnsi="宋体" w:eastAsia="宋体" w:cs="宋体"/>
          <w:b/>
          <w:color w:val="auto"/>
          <w:sz w:val="21"/>
          <w:szCs w:val="21"/>
          <w:highlight w:val="none"/>
          <w:lang w:val="en-US" w:eastAsia="zh-CN"/>
        </w:rPr>
        <w:t>及</w:t>
      </w:r>
      <w:r>
        <w:rPr>
          <w:rFonts w:hint="eastAsia" w:ascii="宋体" w:hAnsi="宋体" w:eastAsia="宋体" w:cs="宋体"/>
          <w:b/>
          <w:color w:val="auto"/>
          <w:sz w:val="21"/>
          <w:szCs w:val="21"/>
          <w:highlight w:val="none"/>
        </w:rPr>
        <w:t>质量要求</w:t>
      </w:r>
      <w:bookmarkEnd w:id="472"/>
    </w:p>
    <w:p w14:paraId="0DCA449D">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14:paraId="228A6656">
      <w:pPr>
        <w:snapToGrid w:val="0"/>
        <w:spacing w:line="360" w:lineRule="auto"/>
        <w:ind w:firstLine="0" w:firstLineChars="0"/>
        <w:rPr>
          <w:rFonts w:hint="eastAsia" w:ascii="宋体" w:hAnsi="宋体" w:eastAsia="宋体" w:cs="宋体"/>
          <w:color w:val="auto"/>
          <w:sz w:val="21"/>
          <w:szCs w:val="21"/>
          <w:highlight w:val="none"/>
        </w:rPr>
      </w:pPr>
    </w:p>
    <w:p w14:paraId="2C9FC227">
      <w:pPr>
        <w:snapToGrid w:val="0"/>
        <w:spacing w:line="360" w:lineRule="auto"/>
        <w:ind w:firstLine="422" w:firstLineChars="200"/>
        <w:outlineLvl w:val="1"/>
        <w:rPr>
          <w:rFonts w:hint="eastAsia" w:ascii="宋体" w:hAnsi="宋体" w:eastAsia="宋体" w:cs="宋体"/>
          <w:b/>
          <w:color w:val="auto"/>
          <w:sz w:val="21"/>
          <w:szCs w:val="21"/>
          <w:highlight w:val="none"/>
        </w:rPr>
      </w:pPr>
      <w:bookmarkStart w:id="473" w:name="_Toc20547"/>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条</w:t>
      </w:r>
      <w:r>
        <w:rPr>
          <w:rFonts w:hint="eastAsia" w:ascii="宋体" w:hAnsi="宋体" w:eastAsia="宋体" w:cs="宋体"/>
          <w:b/>
          <w:color w:val="auto"/>
          <w:sz w:val="21"/>
          <w:szCs w:val="21"/>
          <w:highlight w:val="none"/>
          <w:lang w:val="en-US" w:eastAsia="zh-CN"/>
        </w:rPr>
        <w:t xml:space="preserve"> 交货要求</w:t>
      </w:r>
      <w:bookmarkEnd w:id="473"/>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w:t>
      </w:r>
    </w:p>
    <w:p w14:paraId="0D16DFA3">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14:paraId="1774CF02">
      <w:pPr>
        <w:snapToGrid w:val="0"/>
        <w:spacing w:line="360" w:lineRule="auto"/>
        <w:ind w:firstLine="422" w:firstLineChars="200"/>
        <w:outlineLvl w:val="9"/>
        <w:rPr>
          <w:rFonts w:hint="eastAsia" w:ascii="宋体" w:hAnsi="宋体" w:eastAsia="宋体" w:cs="宋体"/>
          <w:b/>
          <w:color w:val="auto"/>
          <w:sz w:val="21"/>
          <w:szCs w:val="21"/>
          <w:highlight w:val="none"/>
        </w:rPr>
      </w:pPr>
    </w:p>
    <w:p w14:paraId="7D0A3209">
      <w:pPr>
        <w:snapToGrid w:val="0"/>
        <w:spacing w:line="360" w:lineRule="auto"/>
        <w:ind w:firstLine="422" w:firstLineChars="200"/>
        <w:outlineLvl w:val="1"/>
        <w:rPr>
          <w:rFonts w:hint="eastAsia" w:ascii="宋体" w:hAnsi="宋体" w:eastAsia="宋体" w:cs="宋体"/>
          <w:b/>
          <w:color w:val="auto"/>
          <w:sz w:val="21"/>
          <w:szCs w:val="21"/>
          <w:highlight w:val="none"/>
        </w:rPr>
      </w:pPr>
      <w:bookmarkStart w:id="474" w:name="_Toc6387"/>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条 储存</w:t>
      </w:r>
      <w:bookmarkEnd w:id="474"/>
    </w:p>
    <w:p w14:paraId="6B4E509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乙方应协助和指导甲方进行货物的储存，对甲方的储存方式、方法、储存数量、仓库的安全设施设备、安全生产规章制度等是否符合国家标准或者国家有关规定提出合理的建议，并进行技术指导。</w:t>
      </w:r>
    </w:p>
    <w:p w14:paraId="0D806751">
      <w:pPr>
        <w:snapToGrid w:val="0"/>
        <w:spacing w:line="360" w:lineRule="auto"/>
        <w:ind w:firstLine="373" w:firstLineChars="177"/>
        <w:rPr>
          <w:rFonts w:hint="eastAsia" w:ascii="宋体" w:hAnsi="宋体" w:eastAsia="宋体" w:cs="宋体"/>
          <w:b/>
          <w:color w:val="auto"/>
          <w:sz w:val="21"/>
          <w:szCs w:val="21"/>
          <w:highlight w:val="none"/>
        </w:rPr>
      </w:pPr>
    </w:p>
    <w:p w14:paraId="126DA553">
      <w:pPr>
        <w:snapToGrid w:val="0"/>
        <w:spacing w:line="360" w:lineRule="auto"/>
        <w:ind w:firstLine="422" w:firstLineChars="200"/>
        <w:outlineLvl w:val="1"/>
        <w:rPr>
          <w:rFonts w:hint="eastAsia" w:ascii="宋体" w:hAnsi="宋体" w:eastAsia="宋体" w:cs="宋体"/>
          <w:b/>
          <w:color w:val="auto"/>
          <w:sz w:val="21"/>
          <w:szCs w:val="21"/>
          <w:highlight w:val="none"/>
        </w:rPr>
      </w:pPr>
      <w:bookmarkStart w:id="475" w:name="_Toc7210"/>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条</w:t>
      </w:r>
      <w:r>
        <w:rPr>
          <w:rFonts w:hint="eastAsia" w:ascii="宋体" w:hAnsi="宋体" w:eastAsia="宋体" w:cs="宋体"/>
          <w:b/>
          <w:color w:val="auto"/>
          <w:sz w:val="21"/>
          <w:szCs w:val="21"/>
          <w:highlight w:val="none"/>
          <w:lang w:val="en-US" w:eastAsia="zh-CN"/>
        </w:rPr>
        <w:t xml:space="preserve"> 资料要求</w:t>
      </w:r>
      <w:bookmarkEnd w:id="475"/>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w:t>
      </w:r>
    </w:p>
    <w:p w14:paraId="315B89CA">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14:paraId="38CF5414">
      <w:pPr>
        <w:rPr>
          <w:rFonts w:hint="eastAsia" w:ascii="宋体" w:hAnsi="宋体" w:eastAsia="宋体" w:cs="宋体"/>
          <w:color w:val="auto"/>
          <w:sz w:val="21"/>
          <w:szCs w:val="21"/>
          <w:highlight w:val="none"/>
        </w:rPr>
      </w:pPr>
    </w:p>
    <w:p w14:paraId="0812B81F">
      <w:pPr>
        <w:snapToGrid w:val="0"/>
        <w:spacing w:line="360" w:lineRule="auto"/>
        <w:ind w:firstLine="373" w:firstLineChars="177"/>
        <w:outlineLvl w:val="1"/>
        <w:rPr>
          <w:rFonts w:hint="eastAsia" w:ascii="宋体" w:hAnsi="宋体" w:eastAsia="宋体" w:cs="宋体"/>
          <w:b/>
          <w:color w:val="auto"/>
          <w:sz w:val="21"/>
          <w:szCs w:val="21"/>
          <w:highlight w:val="none"/>
        </w:rPr>
      </w:pPr>
      <w:bookmarkStart w:id="476" w:name="_Toc4130"/>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条 验收要求</w:t>
      </w:r>
      <w:bookmarkEnd w:id="476"/>
    </w:p>
    <w:p w14:paraId="0257B20B">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14:paraId="7D736D4D">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（1）初步验收：</w:t>
      </w:r>
    </w:p>
    <w:p w14:paraId="6BE8D08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1）货物运抵交货地点，甲方运营项目、乙方共同验货。甲方运营项目按照本合同及招标文件，对货物的数量、品种、随车产品质量检验报告、供货单据等进行核对。</w:t>
      </w:r>
    </w:p>
    <w:p w14:paraId="19189BE1">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核对完成</w:t>
      </w:r>
      <w:r>
        <w:rPr>
          <w:rFonts w:hint="eastAsia" w:ascii="宋体" w:hAnsi="宋体" w:eastAsia="宋体" w:cs="宋体"/>
          <w:color w:val="auto"/>
          <w:kern w:val="2"/>
          <w:sz w:val="21"/>
          <w:szCs w:val="21"/>
          <w:highlight w:val="none"/>
        </w:rPr>
        <w:t>后，甲方运营项目、乙方双方</w:t>
      </w:r>
      <w:r>
        <w:rPr>
          <w:rFonts w:hint="eastAsia" w:ascii="宋体" w:hAnsi="宋体" w:eastAsia="宋体" w:cs="宋体"/>
          <w:color w:val="auto"/>
          <w:kern w:val="2"/>
          <w:sz w:val="21"/>
          <w:szCs w:val="21"/>
          <w:highlight w:val="none"/>
          <w:lang w:val="en-US" w:eastAsia="zh-CN"/>
        </w:rPr>
        <w:t>对</w:t>
      </w:r>
      <w:r>
        <w:rPr>
          <w:rFonts w:hint="eastAsia" w:ascii="宋体" w:hAnsi="宋体" w:eastAsia="宋体" w:cs="宋体"/>
          <w:color w:val="auto"/>
          <w:kern w:val="2"/>
          <w:sz w:val="21"/>
          <w:szCs w:val="21"/>
          <w:highlight w:val="none"/>
        </w:rPr>
        <w:t>随车产品质量检验报告、供货单据进行签收手续</w:t>
      </w:r>
      <w:r>
        <w:rPr>
          <w:rFonts w:hint="eastAsia" w:ascii="宋体" w:hAnsi="宋体" w:eastAsia="宋体" w:cs="宋体"/>
          <w:color w:val="auto"/>
          <w:kern w:val="2"/>
          <w:sz w:val="21"/>
          <w:szCs w:val="21"/>
          <w:highlight w:val="none"/>
          <w:lang w:val="en-US" w:eastAsia="zh-CN"/>
        </w:rPr>
        <w:t>视为完成初步验收，初步验收仅限于</w:t>
      </w:r>
      <w:r>
        <w:rPr>
          <w:rFonts w:hint="eastAsia" w:ascii="宋体" w:hAnsi="宋体" w:eastAsia="宋体" w:cs="宋体"/>
          <w:color w:val="auto"/>
          <w:kern w:val="2"/>
          <w:sz w:val="21"/>
          <w:szCs w:val="21"/>
          <w:highlight w:val="none"/>
        </w:rPr>
        <w:t>双方共同</w:t>
      </w:r>
      <w:r>
        <w:rPr>
          <w:rFonts w:hint="eastAsia" w:ascii="宋体" w:hAnsi="宋体" w:eastAsia="宋体" w:cs="宋体"/>
          <w:color w:val="auto"/>
          <w:kern w:val="2"/>
          <w:sz w:val="21"/>
          <w:szCs w:val="21"/>
          <w:highlight w:val="none"/>
          <w:lang w:val="en-US" w:eastAsia="zh-CN"/>
        </w:rPr>
        <w:t>对乙方所供货物数量、品种、</w:t>
      </w:r>
      <w:r>
        <w:rPr>
          <w:rFonts w:hint="eastAsia" w:ascii="宋体" w:hAnsi="宋体" w:eastAsia="宋体" w:cs="宋体"/>
          <w:color w:val="auto"/>
          <w:kern w:val="2"/>
          <w:sz w:val="21"/>
          <w:szCs w:val="21"/>
          <w:highlight w:val="none"/>
        </w:rPr>
        <w:t>随车产品质量检验报告</w:t>
      </w:r>
      <w:r>
        <w:rPr>
          <w:rFonts w:hint="eastAsia" w:ascii="宋体" w:hAnsi="宋体" w:eastAsia="宋体" w:cs="宋体"/>
          <w:color w:val="auto"/>
          <w:kern w:val="2"/>
          <w:sz w:val="21"/>
          <w:szCs w:val="21"/>
          <w:highlight w:val="none"/>
          <w:lang w:eastAsia="zh-CN"/>
        </w:rPr>
        <w:t>、供货单据</w:t>
      </w:r>
      <w:r>
        <w:rPr>
          <w:rFonts w:hint="eastAsia" w:ascii="宋体" w:hAnsi="宋体" w:eastAsia="宋体" w:cs="宋体"/>
          <w:color w:val="auto"/>
          <w:kern w:val="2"/>
          <w:sz w:val="21"/>
          <w:szCs w:val="21"/>
          <w:highlight w:val="none"/>
          <w:lang w:val="en-US" w:eastAsia="zh-CN"/>
        </w:rPr>
        <w:t>等符合合同技术指标要求的</w:t>
      </w:r>
      <w:r>
        <w:rPr>
          <w:rFonts w:hint="eastAsia" w:ascii="宋体" w:hAnsi="宋体" w:eastAsia="宋体" w:cs="宋体"/>
          <w:color w:val="auto"/>
          <w:kern w:val="2"/>
          <w:sz w:val="21"/>
          <w:szCs w:val="21"/>
          <w:highlight w:val="none"/>
        </w:rPr>
        <w:t>书面确认。</w:t>
      </w:r>
    </w:p>
    <w:p w14:paraId="3BC3DE5F">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（2）最终验收</w:t>
      </w:r>
    </w:p>
    <w:p w14:paraId="6877E133">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1）甲方对每次供货货物检验，检验指标由甲方</w:t>
      </w:r>
      <w:r>
        <w:rPr>
          <w:rFonts w:hint="eastAsia" w:ascii="宋体" w:hAnsi="宋体" w:eastAsia="宋体" w:cs="宋体"/>
          <w:color w:val="auto"/>
          <w:sz w:val="21"/>
          <w:szCs w:val="21"/>
          <w:highlight w:val="none"/>
          <w:lang w:val="en-US" w:eastAsia="zh-CN"/>
        </w:rPr>
        <w:t>在用户需求书</w:t>
      </w:r>
      <w:r>
        <w:rPr>
          <w:rFonts w:hint="eastAsia" w:ascii="宋体" w:hAnsi="宋体" w:eastAsia="宋体" w:cs="宋体"/>
          <w:color w:val="auto"/>
          <w:sz w:val="21"/>
          <w:szCs w:val="21"/>
          <w:highlight w:val="none"/>
        </w:rPr>
        <w:t>表1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液体聚合氯化铝主要技术指标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w:t>
      </w:r>
      <w:r>
        <w:rPr>
          <w:rFonts w:hint="eastAsia" w:ascii="宋体" w:hAnsi="宋体" w:eastAsia="宋体" w:cs="宋体"/>
          <w:b/>
          <w:bCs/>
          <w:color w:val="auto"/>
          <w:sz w:val="21"/>
          <w:szCs w:val="21"/>
          <w:highlight w:val="none"/>
        </w:rPr>
        <w:t>氧化铝的质量分数、pH、铁（Fe）、水不溶物</w:t>
      </w:r>
      <w:r>
        <w:rPr>
          <w:rFonts w:hint="eastAsia" w:ascii="宋体" w:hAnsi="宋体" w:eastAsia="宋体" w:cs="宋体"/>
          <w:color w:val="auto"/>
          <w:sz w:val="21"/>
          <w:szCs w:val="21"/>
          <w:highlight w:val="none"/>
        </w:rPr>
        <w:t>为每次</w:t>
      </w:r>
      <w:r>
        <w:rPr>
          <w:rFonts w:hint="eastAsia" w:ascii="宋体" w:hAnsi="宋体" w:eastAsia="宋体" w:cs="宋体"/>
          <w:b/>
          <w:bCs/>
          <w:color w:val="auto"/>
          <w:sz w:val="21"/>
          <w:szCs w:val="21"/>
          <w:highlight w:val="none"/>
          <w:lang w:val="en-US" w:eastAsia="zh-CN"/>
        </w:rPr>
        <w:t>聚合氯化铝</w:t>
      </w:r>
      <w:r>
        <w:rPr>
          <w:rFonts w:hint="eastAsia" w:ascii="宋体" w:hAnsi="宋体" w:eastAsia="宋体" w:cs="宋体"/>
          <w:color w:val="auto"/>
          <w:sz w:val="21"/>
          <w:szCs w:val="21"/>
          <w:highlight w:val="none"/>
        </w:rPr>
        <w:t>供货货物的批检检验指标，表</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液体聚合氯化铝</w:t>
      </w:r>
      <w:r>
        <w:rPr>
          <w:rFonts w:hint="eastAsia" w:ascii="宋体" w:hAnsi="宋体" w:eastAsia="宋体" w:cs="宋体"/>
          <w:color w:val="auto"/>
          <w:sz w:val="21"/>
          <w:szCs w:val="21"/>
          <w:highlight w:val="none"/>
          <w:lang w:val="en-US" w:eastAsia="zh-CN"/>
        </w:rPr>
        <w:t>铁</w:t>
      </w:r>
      <w:r>
        <w:rPr>
          <w:rFonts w:hint="eastAsia" w:ascii="宋体" w:hAnsi="宋体" w:eastAsia="宋体" w:cs="宋体"/>
          <w:color w:val="auto"/>
          <w:sz w:val="21"/>
          <w:szCs w:val="21"/>
          <w:highlight w:val="none"/>
        </w:rPr>
        <w:t>主要技术指标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w:t>
      </w:r>
      <w:r>
        <w:rPr>
          <w:rFonts w:hint="eastAsia" w:ascii="宋体" w:hAnsi="宋体" w:eastAsia="宋体" w:cs="宋体"/>
          <w:b/>
          <w:bCs/>
          <w:color w:val="auto"/>
          <w:sz w:val="21"/>
          <w:szCs w:val="21"/>
          <w:highlight w:val="none"/>
        </w:rPr>
        <w:t>氧化铝的质量分数、pH、</w:t>
      </w:r>
      <w:r>
        <w:rPr>
          <w:rFonts w:hint="eastAsia" w:ascii="宋体" w:hAnsi="宋体" w:eastAsia="宋体" w:cs="宋体"/>
          <w:b/>
          <w:bCs/>
          <w:color w:val="auto"/>
          <w:sz w:val="21"/>
          <w:szCs w:val="21"/>
          <w:highlight w:val="none"/>
          <w:lang w:val="en-US" w:eastAsia="zh-CN"/>
        </w:rPr>
        <w:t>全</w:t>
      </w:r>
      <w:r>
        <w:rPr>
          <w:rFonts w:hint="eastAsia" w:ascii="宋体" w:hAnsi="宋体" w:eastAsia="宋体" w:cs="宋体"/>
          <w:b/>
          <w:bCs/>
          <w:color w:val="auto"/>
          <w:sz w:val="21"/>
          <w:szCs w:val="21"/>
          <w:highlight w:val="none"/>
        </w:rPr>
        <w:t>铁（Fe）、水不溶物</w:t>
      </w:r>
      <w:r>
        <w:rPr>
          <w:rFonts w:hint="eastAsia" w:ascii="宋体" w:hAnsi="宋体" w:eastAsia="宋体" w:cs="宋体"/>
          <w:color w:val="auto"/>
          <w:sz w:val="21"/>
          <w:szCs w:val="21"/>
          <w:highlight w:val="none"/>
        </w:rPr>
        <w:t>为每次</w:t>
      </w:r>
      <w:r>
        <w:rPr>
          <w:rFonts w:hint="eastAsia" w:ascii="宋体" w:hAnsi="宋体" w:eastAsia="宋体" w:cs="宋体"/>
          <w:b/>
          <w:bCs/>
          <w:color w:val="auto"/>
          <w:sz w:val="21"/>
          <w:szCs w:val="21"/>
          <w:highlight w:val="none"/>
          <w:lang w:val="en-US" w:eastAsia="zh-CN"/>
        </w:rPr>
        <w:t>聚合氯化铝铁</w:t>
      </w:r>
      <w:r>
        <w:rPr>
          <w:rFonts w:hint="eastAsia" w:ascii="宋体" w:hAnsi="宋体" w:eastAsia="宋体" w:cs="宋体"/>
          <w:color w:val="auto"/>
          <w:sz w:val="21"/>
          <w:szCs w:val="21"/>
          <w:highlight w:val="none"/>
        </w:rPr>
        <w:t>供货货物的批检检验指标，货物批检检验指标和按需检验指标由甲方根据甲方</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sz w:val="21"/>
          <w:szCs w:val="21"/>
          <w:highlight w:val="none"/>
        </w:rPr>
        <w:t>每次货到现场时应由双方共同取样封存。若乙方无正当理由拒绝或未能</w:t>
      </w:r>
      <w:r>
        <w:rPr>
          <w:rFonts w:hint="eastAsia" w:ascii="宋体" w:hAnsi="宋体" w:eastAsia="宋体" w:cs="宋体"/>
          <w:color w:val="auto"/>
          <w:sz w:val="21"/>
          <w:szCs w:val="21"/>
          <w:highlight w:val="none"/>
          <w:lang w:val="en-US" w:eastAsia="zh-CN"/>
        </w:rPr>
        <w:t>按甲方通知</w:t>
      </w:r>
      <w:r>
        <w:rPr>
          <w:rFonts w:hint="eastAsia" w:ascii="宋体" w:hAnsi="宋体" w:eastAsia="宋体" w:cs="宋体"/>
          <w:color w:val="auto"/>
          <w:sz w:val="21"/>
          <w:szCs w:val="21"/>
          <w:highlight w:val="none"/>
        </w:rPr>
        <w:t>派员参与共同取样，则视为乙方授权甲方单独取样，该取样结果及据此进行的检验结果对乙方具有同等约束力。供货货物合格判定以甲方实验室检验结果为准。甲方根据需要可委托具有CMA认证资质的第三方检测机构检测，甲方委托的具有CMA认证资质的第三方检测机构的检验结果与甲方实验室不一致的，该次的供货货物质量判定以甲方委托的具有CMA认证资质的第三方检测机构的检验结果为准。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运营项目验收结果有异议，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应自甲方运营项目书面告知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检验结果24小时内，书面要求通过</w:t>
      </w:r>
      <w:r>
        <w:rPr>
          <w:rFonts w:hint="eastAsia" w:ascii="宋体" w:hAnsi="宋体" w:eastAsia="宋体" w:cs="宋体"/>
          <w:color w:val="auto"/>
          <w:sz w:val="21"/>
          <w:szCs w:val="21"/>
          <w:highlight w:val="none"/>
          <w:lang w:eastAsia="zh-CN"/>
        </w:rPr>
        <w:t>甲乙</w:t>
      </w:r>
      <w:r>
        <w:rPr>
          <w:rFonts w:hint="eastAsia" w:ascii="宋体" w:hAnsi="宋体" w:eastAsia="宋体" w:cs="宋体"/>
          <w:color w:val="auto"/>
          <w:sz w:val="21"/>
          <w:szCs w:val="21"/>
          <w:highlight w:val="none"/>
        </w:rPr>
        <w:t>双方确认的具有CMA认证资质的第三方单位对留样货物进行检测，最终供货产品质量判定以</w:t>
      </w:r>
      <w:r>
        <w:rPr>
          <w:rFonts w:hint="eastAsia" w:ascii="宋体" w:hAnsi="宋体" w:eastAsia="宋体" w:cs="宋体"/>
          <w:color w:val="auto"/>
          <w:sz w:val="21"/>
          <w:szCs w:val="21"/>
          <w:highlight w:val="none"/>
          <w:lang w:eastAsia="zh-CN"/>
        </w:rPr>
        <w:t>甲乙</w:t>
      </w:r>
      <w:r>
        <w:rPr>
          <w:rFonts w:hint="eastAsia" w:ascii="宋体" w:hAnsi="宋体" w:eastAsia="宋体" w:cs="宋体"/>
          <w:color w:val="auto"/>
          <w:sz w:val="21"/>
          <w:szCs w:val="21"/>
          <w:highlight w:val="none"/>
        </w:rPr>
        <w:t>双方确认的具有CMA认证资质的第三方检测机构检验结果为准；因此产生的检测费、运输费等全部费用均由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14:paraId="578D3D5F">
      <w:pPr>
        <w:autoSpaceDE/>
        <w:autoSpaceDN/>
        <w:adjustRightInd/>
        <w:spacing w:line="360" w:lineRule="auto"/>
        <w:ind w:firstLine="420" w:firstLineChars="200"/>
        <w:jc w:val="both"/>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bCs/>
          <w:color w:val="auto"/>
          <w:szCs w:val="21"/>
          <w:highlight w:val="none"/>
        </w:rPr>
        <w:t>液体聚合氯化铝货物除总磷外的技术指标检验方法按《水处理剂 聚氯化铝》（GB/T 22627-2022）中的检测方法进行，液体聚合氯化铝铁货物除总磷外的技术指标检验方法按《水处理剂 聚氯化铝铁》（HG/T 5359-2018）中的检测方法进行，液体聚合氯化铝和液体聚合氯化铝铁货物总磷检验方法按《水质 总磷的测定 钼酸铵分光光度法》（GB 11893-1989）。供货期间，如有发布最新的行业标准或国家标准，货物检验方法按发布的最新行业标准或国家标准执行。</w:t>
      </w:r>
    </w:p>
    <w:p w14:paraId="4DCB8817">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w:t>
      </w:r>
      <w:bookmarkStart w:id="477" w:name="OLE_LINK20"/>
      <w:r>
        <w:rPr>
          <w:rFonts w:hint="eastAsia" w:ascii="宋体" w:hAnsi="宋体" w:eastAsia="宋体" w:cs="宋体"/>
          <w:color w:val="auto"/>
          <w:sz w:val="21"/>
          <w:szCs w:val="21"/>
          <w:highlight w:val="none"/>
          <w:lang w:val="en-US" w:eastAsia="zh-CN"/>
        </w:rPr>
        <w:t>用户需求书</w:t>
      </w:r>
      <w:bookmarkEnd w:id="477"/>
      <w:r>
        <w:rPr>
          <w:rFonts w:hint="eastAsia" w:ascii="宋体" w:hAnsi="宋体" w:eastAsia="宋体" w:cs="宋体"/>
          <w:b/>
          <w:bCs/>
          <w:color w:val="auto"/>
          <w:szCs w:val="21"/>
          <w:highlight w:val="none"/>
        </w:rPr>
        <w:t>表1《液体聚合氯化铝主要技术指标》或表2《液体聚合氯化铝铁主要技术指标》要求则最终验收合格</w:t>
      </w:r>
      <w:r>
        <w:rPr>
          <w:rFonts w:hint="eastAsia" w:ascii="宋体" w:hAnsi="宋体" w:eastAsia="宋体" w:cs="宋体"/>
          <w:color w:val="auto"/>
          <w:sz w:val="21"/>
          <w:szCs w:val="21"/>
          <w:highlight w:val="none"/>
        </w:rPr>
        <w:t>。</w:t>
      </w:r>
    </w:p>
    <w:p w14:paraId="01676C8D">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2、货物按上述程序验收后，甲方运营项目向乙方出具书面的验收报告</w:t>
      </w:r>
      <w:r>
        <w:rPr>
          <w:rFonts w:hint="eastAsia" w:ascii="宋体" w:hAnsi="宋体" w:eastAsia="宋体" w:cs="宋体"/>
          <w:color w:val="auto"/>
          <w:kern w:val="2"/>
          <w:sz w:val="21"/>
          <w:szCs w:val="21"/>
          <w:highlight w:val="none"/>
          <w:lang w:val="en-US" w:eastAsia="zh-CN"/>
        </w:rPr>
        <w:t>并由甲</w:t>
      </w:r>
      <w:r>
        <w:rPr>
          <w:rFonts w:hint="eastAsia" w:ascii="宋体" w:hAnsi="宋体" w:eastAsia="宋体" w:cs="宋体"/>
          <w:color w:val="auto"/>
          <w:kern w:val="2"/>
          <w:sz w:val="21"/>
          <w:szCs w:val="21"/>
          <w:highlight w:val="none"/>
        </w:rPr>
        <w:t>乙</w:t>
      </w:r>
      <w:r>
        <w:rPr>
          <w:rFonts w:hint="eastAsia" w:ascii="宋体" w:hAnsi="宋体" w:eastAsia="宋体" w:cs="宋体"/>
          <w:color w:val="auto"/>
          <w:kern w:val="2"/>
          <w:sz w:val="21"/>
          <w:szCs w:val="21"/>
          <w:highlight w:val="none"/>
          <w:lang w:val="en-US" w:eastAsia="zh-CN"/>
        </w:rPr>
        <w:t>双</w:t>
      </w:r>
      <w:r>
        <w:rPr>
          <w:rFonts w:hint="eastAsia" w:ascii="宋体" w:hAnsi="宋体" w:eastAsia="宋体" w:cs="宋体"/>
          <w:color w:val="auto"/>
          <w:kern w:val="2"/>
          <w:sz w:val="21"/>
          <w:szCs w:val="21"/>
          <w:highlight w:val="none"/>
        </w:rPr>
        <w:t>方对验收报告</w:t>
      </w:r>
      <w:r>
        <w:rPr>
          <w:rFonts w:hint="eastAsia" w:ascii="宋体" w:hAnsi="宋体" w:eastAsia="宋体" w:cs="宋体"/>
          <w:color w:val="auto"/>
          <w:kern w:val="2"/>
          <w:sz w:val="21"/>
          <w:szCs w:val="21"/>
          <w:highlight w:val="none"/>
          <w:lang w:val="en-US" w:eastAsia="zh-CN"/>
        </w:rPr>
        <w:t>共同签字确认，乙方需对验收报告加盖公章或业务章确认</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lang w:val="en-US" w:eastAsia="zh-CN"/>
        </w:rPr>
        <w:t>验收报告（模板）见用户需求书附件2</w:t>
      </w:r>
      <w:r>
        <w:rPr>
          <w:rFonts w:hint="eastAsia" w:ascii="宋体" w:hAnsi="宋体" w:eastAsia="宋体" w:cs="宋体"/>
          <w:color w:val="auto"/>
          <w:kern w:val="2"/>
          <w:sz w:val="21"/>
          <w:szCs w:val="21"/>
          <w:highlight w:val="none"/>
        </w:rPr>
        <w:t>。验收报告作为对货物供货数量及主要技术指标验收的证明，不代表对货物使用效果的认可。</w:t>
      </w:r>
    </w:p>
    <w:p w14:paraId="7B4D0D4F">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3、甲方运营项目根据本条规定对货物所做出的验收，仅作为起算付款及质保期之用，</w:t>
      </w:r>
      <w:r>
        <w:rPr>
          <w:rFonts w:hint="eastAsia" w:ascii="宋体" w:hAnsi="宋体" w:eastAsia="宋体" w:cs="宋体"/>
          <w:color w:val="auto"/>
          <w:kern w:val="2"/>
          <w:sz w:val="21"/>
          <w:szCs w:val="21"/>
          <w:highlight w:val="none"/>
          <w:lang w:val="en-US" w:eastAsia="zh-CN"/>
        </w:rPr>
        <w:t>不能免除乙方的质量责任，也不能排除其后因产品实际情况与要求不符而导致的甲方退货</w:t>
      </w:r>
      <w:r>
        <w:rPr>
          <w:rFonts w:hint="eastAsia" w:ascii="宋体" w:hAnsi="宋体" w:eastAsia="宋体" w:cs="宋体"/>
          <w:color w:val="auto"/>
          <w:kern w:val="2"/>
          <w:sz w:val="21"/>
          <w:szCs w:val="21"/>
          <w:highlight w:val="none"/>
        </w:rPr>
        <w:t>，乙方仍应在质保期内对产品质量承担保证责任。</w:t>
      </w:r>
    </w:p>
    <w:p w14:paraId="744AEFBE">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4、货物在经最终验收合格前，其损耗、毁损、灭失等风险及责任由乙方承担，如因发生前述情形，导致乙方所提供的货物不能通过甲方运营项目</w:t>
      </w:r>
      <w:r>
        <w:rPr>
          <w:rFonts w:hint="eastAsia" w:ascii="宋体" w:hAnsi="宋体" w:eastAsia="宋体" w:cs="宋体"/>
          <w:color w:val="auto"/>
          <w:kern w:val="2"/>
          <w:sz w:val="21"/>
          <w:szCs w:val="21"/>
          <w:highlight w:val="none"/>
          <w:lang w:val="en-US" w:eastAsia="zh-CN"/>
        </w:rPr>
        <w:t>最终</w:t>
      </w:r>
      <w:r>
        <w:rPr>
          <w:rFonts w:hint="eastAsia" w:ascii="宋体" w:hAnsi="宋体" w:eastAsia="宋体" w:cs="宋体"/>
          <w:color w:val="auto"/>
          <w:kern w:val="2"/>
          <w:sz w:val="21"/>
          <w:szCs w:val="21"/>
          <w:highlight w:val="none"/>
        </w:rPr>
        <w:t>验收的，乙方应按甲方运营项目要求无条件予以退换货，给甲方造成损失的乙方须承担全部的赔偿责任</w:t>
      </w:r>
      <w:r>
        <w:rPr>
          <w:rFonts w:hint="eastAsia" w:ascii="宋体" w:hAnsi="宋体" w:eastAsia="宋体" w:cs="宋体"/>
          <w:color w:val="auto"/>
          <w:sz w:val="21"/>
          <w:szCs w:val="21"/>
          <w:highlight w:val="none"/>
        </w:rPr>
        <w:t>。</w:t>
      </w:r>
    </w:p>
    <w:p w14:paraId="78951FA8">
      <w:pPr>
        <w:snapToGrid w:val="0"/>
        <w:spacing w:line="360" w:lineRule="auto"/>
        <w:ind w:firstLine="0" w:firstLineChars="0"/>
        <w:rPr>
          <w:rFonts w:hint="eastAsia" w:ascii="宋体" w:hAnsi="宋体" w:eastAsia="宋体" w:cs="宋体"/>
          <w:color w:val="auto"/>
          <w:sz w:val="21"/>
          <w:szCs w:val="21"/>
          <w:highlight w:val="none"/>
        </w:rPr>
      </w:pPr>
    </w:p>
    <w:p w14:paraId="634CE8DD">
      <w:pPr>
        <w:snapToGrid w:val="0"/>
        <w:spacing w:line="360" w:lineRule="auto"/>
        <w:ind w:firstLine="422" w:firstLineChars="200"/>
        <w:outlineLvl w:val="1"/>
        <w:rPr>
          <w:rFonts w:hint="eastAsia" w:ascii="宋体" w:hAnsi="宋体" w:eastAsia="宋体" w:cs="宋体"/>
          <w:b/>
          <w:color w:val="auto"/>
          <w:sz w:val="21"/>
          <w:szCs w:val="21"/>
          <w:highlight w:val="none"/>
        </w:rPr>
      </w:pPr>
      <w:bookmarkStart w:id="478" w:name="_Toc15124"/>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条 权利保证</w:t>
      </w:r>
      <w:bookmarkEnd w:id="478"/>
    </w:p>
    <w:p w14:paraId="36C5AB2C">
      <w:pPr>
        <w:snapToGrid w:val="0"/>
        <w:spacing w:line="360" w:lineRule="auto"/>
        <w:ind w:firstLine="371" w:firstLineChars="177"/>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7155F2EF">
      <w:pPr>
        <w:snapToGrid w:val="0"/>
        <w:spacing w:line="360" w:lineRule="auto"/>
        <w:ind w:firstLine="373" w:firstLineChars="177"/>
        <w:outlineLvl w:val="9"/>
        <w:rPr>
          <w:rFonts w:hint="eastAsia" w:ascii="宋体" w:hAnsi="宋体" w:eastAsia="宋体" w:cs="宋体"/>
          <w:b/>
          <w:color w:val="auto"/>
          <w:sz w:val="21"/>
          <w:szCs w:val="21"/>
          <w:highlight w:val="none"/>
        </w:rPr>
      </w:pPr>
    </w:p>
    <w:p w14:paraId="2F435873">
      <w:pPr>
        <w:snapToGrid w:val="0"/>
        <w:spacing w:line="360" w:lineRule="auto"/>
        <w:ind w:firstLine="373" w:firstLineChars="177"/>
        <w:outlineLvl w:val="1"/>
        <w:rPr>
          <w:rFonts w:hint="eastAsia" w:ascii="宋体" w:hAnsi="宋体" w:eastAsia="宋体" w:cs="宋体"/>
          <w:b/>
          <w:color w:val="auto"/>
          <w:sz w:val="21"/>
          <w:szCs w:val="21"/>
          <w:highlight w:val="none"/>
        </w:rPr>
      </w:pPr>
      <w:bookmarkStart w:id="479" w:name="_Toc26269"/>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条 质量保证及售后服务</w:t>
      </w:r>
      <w:bookmarkEnd w:id="479"/>
    </w:p>
    <w:p w14:paraId="14AADEAA">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1、药剂保质期：</w:t>
      </w:r>
      <w:r>
        <w:rPr>
          <w:rFonts w:hint="eastAsia" w:ascii="宋体" w:hAnsi="宋体" w:eastAsia="宋体" w:cs="宋体"/>
          <w:b/>
          <w:bCs/>
          <w:color w:val="auto"/>
          <w:sz w:val="21"/>
          <w:szCs w:val="21"/>
          <w:highlight w:val="none"/>
        </w:rPr>
        <w:t>液</w:t>
      </w:r>
      <w:r>
        <w:rPr>
          <w:rFonts w:hint="eastAsia" w:ascii="宋体" w:hAnsi="宋体" w:eastAsia="宋体" w:cs="宋体"/>
          <w:b/>
          <w:bCs/>
          <w:color w:val="auto"/>
          <w:sz w:val="21"/>
          <w:szCs w:val="21"/>
          <w:highlight w:val="none"/>
          <w:lang w:val="en-US" w:eastAsia="zh-CN"/>
        </w:rPr>
        <w:t>体</w:t>
      </w:r>
      <w:r>
        <w:rPr>
          <w:rFonts w:hint="eastAsia" w:ascii="宋体" w:hAnsi="宋体" w:eastAsia="宋体" w:cs="宋体"/>
          <w:b/>
          <w:bCs/>
          <w:color w:val="auto"/>
          <w:sz w:val="21"/>
          <w:szCs w:val="21"/>
          <w:highlight w:val="none"/>
        </w:rPr>
        <w:t>聚</w:t>
      </w:r>
      <w:r>
        <w:rPr>
          <w:rFonts w:hint="eastAsia" w:ascii="宋体" w:hAnsi="宋体" w:eastAsia="宋体" w:cs="宋体"/>
          <w:b/>
          <w:bCs/>
          <w:color w:val="auto"/>
          <w:sz w:val="21"/>
          <w:szCs w:val="21"/>
          <w:highlight w:val="none"/>
          <w:lang w:val="en-US" w:eastAsia="zh-CN"/>
        </w:rPr>
        <w:t>合</w:t>
      </w:r>
      <w:r>
        <w:rPr>
          <w:rFonts w:hint="eastAsia" w:ascii="宋体" w:hAnsi="宋体" w:eastAsia="宋体" w:cs="宋体"/>
          <w:b/>
          <w:bCs/>
          <w:color w:val="auto"/>
          <w:sz w:val="21"/>
          <w:szCs w:val="21"/>
          <w:highlight w:val="none"/>
        </w:rPr>
        <w:t>氯化铝</w:t>
      </w:r>
      <w:r>
        <w:rPr>
          <w:rFonts w:hint="eastAsia" w:ascii="宋体" w:hAnsi="宋体" w:eastAsia="宋体" w:cs="宋体"/>
          <w:b/>
          <w:bCs/>
          <w:color w:val="auto"/>
          <w:sz w:val="21"/>
          <w:szCs w:val="21"/>
          <w:highlight w:val="none"/>
          <w:lang w:val="en-US" w:eastAsia="zh-CN"/>
        </w:rPr>
        <w:t>以甲方</w:t>
      </w:r>
      <w:r>
        <w:rPr>
          <w:rFonts w:hint="eastAsia" w:ascii="宋体" w:hAnsi="宋体" w:eastAsia="宋体" w:cs="宋体"/>
          <w:b/>
          <w:color w:val="auto"/>
          <w:sz w:val="21"/>
          <w:szCs w:val="21"/>
          <w:highlight w:val="none"/>
        </w:rPr>
        <w:t>运营项目</w:t>
      </w:r>
      <w:r>
        <w:rPr>
          <w:rFonts w:hint="eastAsia" w:ascii="宋体" w:hAnsi="宋体" w:eastAsia="宋体" w:cs="宋体"/>
          <w:b/>
          <w:color w:val="auto"/>
          <w:sz w:val="21"/>
          <w:szCs w:val="21"/>
          <w:highlight w:val="none"/>
          <w:lang w:val="en-US" w:eastAsia="zh-CN"/>
        </w:rPr>
        <w:t>最终</w:t>
      </w:r>
      <w:r>
        <w:rPr>
          <w:rFonts w:hint="eastAsia" w:ascii="宋体" w:hAnsi="宋体" w:eastAsia="宋体" w:cs="宋体"/>
          <w:b/>
          <w:color w:val="auto"/>
          <w:sz w:val="21"/>
          <w:szCs w:val="21"/>
          <w:highlight w:val="none"/>
        </w:rPr>
        <w:t>验收</w:t>
      </w:r>
      <w:r>
        <w:rPr>
          <w:rFonts w:hint="eastAsia" w:ascii="宋体" w:hAnsi="宋体" w:eastAsia="宋体" w:cs="宋体"/>
          <w:b/>
          <w:color w:val="auto"/>
          <w:sz w:val="21"/>
          <w:szCs w:val="21"/>
          <w:highlight w:val="none"/>
          <w:lang w:val="en-US" w:eastAsia="zh-CN"/>
        </w:rPr>
        <w:t>合格</w:t>
      </w:r>
      <w:r>
        <w:rPr>
          <w:rFonts w:hint="eastAsia" w:ascii="宋体" w:hAnsi="宋体" w:eastAsia="宋体" w:cs="宋体"/>
          <w:b/>
          <w:color w:val="auto"/>
          <w:sz w:val="21"/>
          <w:szCs w:val="21"/>
          <w:highlight w:val="none"/>
        </w:rPr>
        <w:t>之日起六个月</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液</w:t>
      </w:r>
      <w:r>
        <w:rPr>
          <w:rFonts w:hint="eastAsia" w:ascii="宋体" w:hAnsi="宋体" w:eastAsia="宋体" w:cs="宋体"/>
          <w:b/>
          <w:bCs/>
          <w:color w:val="auto"/>
          <w:sz w:val="21"/>
          <w:szCs w:val="21"/>
          <w:highlight w:val="none"/>
          <w:lang w:val="en-US" w:eastAsia="zh-CN"/>
        </w:rPr>
        <w:t>体</w:t>
      </w:r>
      <w:r>
        <w:rPr>
          <w:rFonts w:hint="eastAsia" w:ascii="宋体" w:hAnsi="宋体" w:eastAsia="宋体" w:cs="宋体"/>
          <w:b/>
          <w:bCs/>
          <w:color w:val="auto"/>
          <w:sz w:val="21"/>
          <w:szCs w:val="21"/>
          <w:highlight w:val="none"/>
        </w:rPr>
        <w:t>聚</w:t>
      </w:r>
      <w:r>
        <w:rPr>
          <w:rFonts w:hint="eastAsia" w:ascii="宋体" w:hAnsi="宋体" w:eastAsia="宋体" w:cs="宋体"/>
          <w:b/>
          <w:bCs/>
          <w:color w:val="auto"/>
          <w:sz w:val="21"/>
          <w:szCs w:val="21"/>
          <w:highlight w:val="none"/>
          <w:lang w:val="en-US" w:eastAsia="zh-CN"/>
        </w:rPr>
        <w:t>合</w:t>
      </w:r>
      <w:r>
        <w:rPr>
          <w:rFonts w:hint="eastAsia" w:ascii="宋体" w:hAnsi="宋体" w:eastAsia="宋体" w:cs="宋体"/>
          <w:b/>
          <w:bCs/>
          <w:color w:val="auto"/>
          <w:sz w:val="21"/>
          <w:szCs w:val="21"/>
          <w:highlight w:val="none"/>
        </w:rPr>
        <w:t>氯化铝</w:t>
      </w:r>
      <w:r>
        <w:rPr>
          <w:rFonts w:hint="eastAsia" w:ascii="宋体" w:hAnsi="宋体" w:eastAsia="宋体" w:cs="宋体"/>
          <w:b/>
          <w:bCs/>
          <w:color w:val="auto"/>
          <w:sz w:val="21"/>
          <w:szCs w:val="21"/>
          <w:highlight w:val="none"/>
          <w:lang w:val="en-US" w:eastAsia="zh-CN"/>
        </w:rPr>
        <w:t>铁以甲方</w:t>
      </w:r>
      <w:r>
        <w:rPr>
          <w:rFonts w:hint="eastAsia" w:ascii="宋体" w:hAnsi="宋体" w:eastAsia="宋体" w:cs="宋体"/>
          <w:b/>
          <w:color w:val="auto"/>
          <w:sz w:val="21"/>
          <w:szCs w:val="21"/>
          <w:highlight w:val="none"/>
        </w:rPr>
        <w:t>运营项目</w:t>
      </w:r>
      <w:r>
        <w:rPr>
          <w:rFonts w:hint="eastAsia" w:ascii="宋体" w:hAnsi="宋体" w:eastAsia="宋体" w:cs="宋体"/>
          <w:b/>
          <w:color w:val="auto"/>
          <w:sz w:val="21"/>
          <w:szCs w:val="21"/>
          <w:highlight w:val="none"/>
          <w:lang w:val="en-US" w:eastAsia="zh-CN"/>
        </w:rPr>
        <w:t>最终</w:t>
      </w:r>
      <w:r>
        <w:rPr>
          <w:rFonts w:hint="eastAsia" w:ascii="宋体" w:hAnsi="宋体" w:eastAsia="宋体" w:cs="宋体"/>
          <w:b/>
          <w:color w:val="auto"/>
          <w:sz w:val="21"/>
          <w:szCs w:val="21"/>
          <w:highlight w:val="none"/>
        </w:rPr>
        <w:t>验收</w:t>
      </w:r>
      <w:r>
        <w:rPr>
          <w:rFonts w:hint="eastAsia" w:ascii="宋体" w:hAnsi="宋体" w:eastAsia="宋体" w:cs="宋体"/>
          <w:b/>
          <w:color w:val="auto"/>
          <w:sz w:val="21"/>
          <w:szCs w:val="21"/>
          <w:highlight w:val="none"/>
          <w:lang w:val="en-US" w:eastAsia="zh-CN"/>
        </w:rPr>
        <w:t>合格</w:t>
      </w:r>
      <w:r>
        <w:rPr>
          <w:rFonts w:hint="eastAsia" w:ascii="宋体" w:hAnsi="宋体" w:eastAsia="宋体" w:cs="宋体"/>
          <w:b/>
          <w:color w:val="auto"/>
          <w:sz w:val="21"/>
          <w:szCs w:val="21"/>
          <w:highlight w:val="none"/>
        </w:rPr>
        <w:t>之日起</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个月</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rPr>
        <w:t>保质期内产品质量须达到本用户需求书所有技术指标要求。</w:t>
      </w:r>
    </w:p>
    <w:p w14:paraId="007D82A6">
      <w:pPr>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、乙方应具有相应的技术人员，具备供货及售前售后的服务能力。</w:t>
      </w:r>
    </w:p>
    <w:p w14:paraId="7AAF3D97">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、乙方在接到质量问题通知后 4 小时内自费派工程师到达现场对问题进行处理。</w:t>
      </w:r>
    </w:p>
    <w:p w14:paraId="0C881D40">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 w:val="21"/>
          <w:szCs w:val="21"/>
          <w:highlight w:val="none"/>
        </w:rPr>
        <w:t>应根据甲方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需要免费提供培训，相关费用已计入综合单价，甲方无需另行支付任何费用。</w:t>
      </w:r>
    </w:p>
    <w:p w14:paraId="1D5B20DC">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、培训地点、规模及时间由</w:t>
      </w:r>
      <w:r>
        <w:rPr>
          <w:rFonts w:hint="eastAsia" w:ascii="宋体" w:hAnsi="宋体" w:eastAsia="宋体" w:cs="宋体"/>
          <w:color w:val="auto"/>
          <w:sz w:val="21"/>
          <w:szCs w:val="21"/>
          <w:highlight w:val="none"/>
        </w:rPr>
        <w:t>甲方运营项目</w:t>
      </w:r>
      <w:r>
        <w:rPr>
          <w:rFonts w:hint="eastAsia" w:ascii="宋体" w:hAnsi="宋体" w:eastAsia="宋体" w:cs="宋体"/>
          <w:color w:val="auto"/>
          <w:kern w:val="2"/>
          <w:sz w:val="21"/>
          <w:szCs w:val="21"/>
          <w:highlight w:val="none"/>
        </w:rPr>
        <w:t>指定，根据培训内容复杂程度，甲方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有权要求乙方提供完整的书面培训计划和方案，列明提供培训的技术人员名单及资质，以及培训完成后甲方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人员可达到的水平等。</w:t>
      </w:r>
    </w:p>
    <w:p w14:paraId="0A97FC91">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、在交货或合同履行过程中，若因所交货物（包括但不限于品种、规格、质量）不符合</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运营项目要求、或货物使用过程中出现质量问题，导致乙方提供的生产药剂如不能通过</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运营项目验收的，</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运营项目可拒绝收货或要求乙方承担退换货责任。原则上乙方应该在不影响</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运营项目正常生产的情况下，自</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通知之时起</w:t>
      </w:r>
      <w:r>
        <w:rPr>
          <w:rFonts w:hint="eastAsia" w:ascii="宋体" w:hAnsi="宋体" w:eastAsia="宋体" w:cs="宋体"/>
          <w:color w:val="auto"/>
          <w:sz w:val="21"/>
          <w:szCs w:val="21"/>
          <w:highlight w:val="none"/>
        </w:rPr>
        <w:t>4小时内无条件予以退换货，</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不承担因验收造成的货物损耗</w:t>
      </w:r>
      <w:r>
        <w:rPr>
          <w:rFonts w:hint="eastAsia" w:ascii="宋体" w:hAnsi="宋体" w:eastAsia="宋体" w:cs="宋体"/>
          <w:color w:val="auto"/>
          <w:kern w:val="2"/>
          <w:sz w:val="21"/>
          <w:szCs w:val="21"/>
          <w:highlight w:val="none"/>
        </w:rPr>
        <w:t>及运输等一切</w:t>
      </w:r>
      <w:r>
        <w:rPr>
          <w:rFonts w:hint="eastAsia" w:ascii="宋体" w:hAnsi="宋体" w:eastAsia="宋体" w:cs="宋体"/>
          <w:color w:val="auto"/>
          <w:sz w:val="21"/>
          <w:szCs w:val="21"/>
          <w:highlight w:val="none"/>
        </w:rPr>
        <w:t>费用且不对货物承担保管责任，因此产生的费用及风险由乙方承担。</w:t>
      </w:r>
    </w:p>
    <w:p w14:paraId="6E6A4879">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、自</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通知货物检验不合格或货物使用过程中出现质量问题而要求乙方按照前述条款进行退换货之时起4小时之内乙方未将不合格货物运离</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仓库，</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可自行或委托第三方对不合格货物进行处置，该些不合格货物损毁灭失的风险及损失由乙方自行承担，乙方须承担</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处置该次不合格货物所需的全部费用，以及给甲方造成的一切损失。</w:t>
      </w:r>
    </w:p>
    <w:p w14:paraId="5546CA3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、自</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通知乙方货物检验不合格或货物使用过程中出现质量问题之时起，</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有权要求乙方按照加急供货的规定，将等量的合格货物送交</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，否则按加急供货的违约规定进行处理。</w:t>
      </w:r>
    </w:p>
    <w:p w14:paraId="17FE0BF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若因乙方所提供的产品导致甲方运营项目处理系统生产运行出现异常或故障，妨碍水处理系统正常生产运行，甲方将根据需要通知乙方到指定地点提供技术服务，如乙方接到通知，应在4小时内自费派工程师到达现场，并在甲方要求的限期内排除故障，确保不影响甲方运营项目的生产运营，且乙方须承担由此给甲方造成的一切损失。</w:t>
      </w:r>
    </w:p>
    <w:p w14:paraId="17FD1F1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、如乙方未能按照本合同约定提供质量保证及售后服务，甲方有权自行委托第三方进行处理，相应费用由乙方承担。</w:t>
      </w:r>
    </w:p>
    <w:p w14:paraId="1B6F8E08">
      <w:pPr>
        <w:rPr>
          <w:rFonts w:hint="eastAsia" w:ascii="宋体" w:hAnsi="宋体" w:eastAsia="宋体" w:cs="宋体"/>
          <w:color w:val="auto"/>
          <w:sz w:val="21"/>
          <w:szCs w:val="21"/>
          <w:highlight w:val="none"/>
        </w:rPr>
      </w:pPr>
    </w:p>
    <w:p w14:paraId="4418D37F">
      <w:pPr>
        <w:snapToGrid w:val="0"/>
        <w:spacing w:line="360" w:lineRule="auto"/>
        <w:ind w:firstLine="373" w:firstLineChars="177"/>
        <w:outlineLvl w:val="1"/>
        <w:rPr>
          <w:rFonts w:hint="eastAsia" w:ascii="宋体" w:hAnsi="宋体" w:eastAsia="宋体" w:cs="宋体"/>
          <w:b/>
          <w:color w:val="auto"/>
          <w:sz w:val="21"/>
          <w:szCs w:val="21"/>
          <w:highlight w:val="none"/>
        </w:rPr>
      </w:pPr>
      <w:bookmarkStart w:id="480" w:name="_Toc23577"/>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十一</w:t>
      </w:r>
      <w:r>
        <w:rPr>
          <w:rFonts w:hint="eastAsia" w:ascii="宋体" w:hAnsi="宋体" w:eastAsia="宋体" w:cs="宋体"/>
          <w:b/>
          <w:color w:val="auto"/>
          <w:sz w:val="21"/>
          <w:szCs w:val="21"/>
          <w:highlight w:val="none"/>
        </w:rPr>
        <w:t>条 履约担保</w:t>
      </w:r>
      <w:bookmarkEnd w:id="480"/>
    </w:p>
    <w:p w14:paraId="21D45A2D">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458C5470">
      <w:pPr>
        <w:snapToGrid w:val="0"/>
        <w:spacing w:line="360" w:lineRule="auto"/>
        <w:ind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履约保证金（银行转账形式）金额为¥     </w:t>
      </w:r>
      <w:r>
        <w:rPr>
          <w:rFonts w:hint="eastAsia" w:ascii="宋体" w:hAnsi="宋体" w:eastAsia="宋体" w:cs="宋体"/>
          <w:color w:val="auto"/>
          <w:sz w:val="21"/>
          <w:szCs w:val="21"/>
          <w:highlight w:val="none"/>
          <w:u w:val="single"/>
          <w:lang w:val="en-US" w:eastAsia="zh-CN"/>
        </w:rPr>
        <w:t>元（</w:t>
      </w:r>
      <w:r>
        <w:rPr>
          <w:rFonts w:hint="eastAsia" w:ascii="宋体" w:hAnsi="宋体" w:eastAsia="宋体" w:cs="宋体"/>
          <w:color w:val="auto"/>
          <w:sz w:val="21"/>
          <w:szCs w:val="21"/>
          <w:highlight w:val="none"/>
          <w:u w:val="single"/>
        </w:rPr>
        <w:t xml:space="preserve">大写人民币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w:t>
      </w:r>
    </w:p>
    <w:p w14:paraId="0876CE6D">
      <w:pPr>
        <w:snapToGrid w:val="0"/>
        <w:spacing w:line="360" w:lineRule="auto"/>
        <w:ind w:firstLine="371" w:firstLineChars="177"/>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lang w:val="en-US" w:eastAsia="zh-CN"/>
        </w:rPr>
        <w:t>元（</w:t>
      </w:r>
      <w:r>
        <w:rPr>
          <w:rFonts w:hint="eastAsia" w:ascii="宋体" w:hAnsi="宋体" w:eastAsia="宋体" w:cs="宋体"/>
          <w:color w:val="auto"/>
          <w:sz w:val="21"/>
          <w:szCs w:val="21"/>
          <w:highlight w:val="none"/>
          <w:u w:val="single"/>
          <w:lang w:val="zh-CN"/>
        </w:rPr>
        <w:t>大写人民币         ）</w:t>
      </w:r>
      <w:r>
        <w:rPr>
          <w:rFonts w:hint="eastAsia" w:ascii="宋体" w:hAnsi="宋体" w:eastAsia="宋体" w:cs="宋体"/>
          <w:color w:val="auto"/>
          <w:sz w:val="21"/>
          <w:szCs w:val="21"/>
          <w:highlight w:val="none"/>
          <w:lang w:val="zh-CN"/>
        </w:rPr>
        <w:t>；</w:t>
      </w:r>
    </w:p>
    <w:p w14:paraId="0779AFB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履约保证保险金额为¥     元（大写人民币     ）</w:t>
      </w:r>
      <w:r>
        <w:rPr>
          <w:rFonts w:hint="eastAsia" w:ascii="宋体" w:hAnsi="宋体" w:eastAsia="宋体" w:cs="宋体"/>
          <w:color w:val="auto"/>
          <w:sz w:val="21"/>
          <w:szCs w:val="21"/>
          <w:highlight w:val="none"/>
        </w:rPr>
        <w:t>；</w:t>
      </w:r>
    </w:p>
    <w:p w14:paraId="628DF70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担保公司履约担保书金额为¥     </w:t>
      </w:r>
      <w:r>
        <w:rPr>
          <w:rFonts w:hint="eastAsia" w:ascii="宋体" w:hAnsi="宋体" w:eastAsia="宋体" w:cs="宋体"/>
          <w:color w:val="auto"/>
          <w:sz w:val="21"/>
          <w:szCs w:val="21"/>
          <w:highlight w:val="none"/>
          <w:u w:val="single"/>
          <w:lang w:val="en-US" w:eastAsia="zh-CN"/>
        </w:rPr>
        <w:t>元（</w:t>
      </w:r>
      <w:r>
        <w:rPr>
          <w:rFonts w:hint="eastAsia" w:ascii="宋体" w:hAnsi="宋体" w:eastAsia="宋体" w:cs="宋体"/>
          <w:color w:val="auto"/>
          <w:sz w:val="21"/>
          <w:szCs w:val="21"/>
          <w:highlight w:val="none"/>
          <w:u w:val="single"/>
        </w:rPr>
        <w:t xml:space="preserve">大写人民币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w:t>
      </w:r>
    </w:p>
    <w:p w14:paraId="4A6BCB4C">
      <w:pPr>
        <w:spacing w:line="360" w:lineRule="auto"/>
        <w:ind w:left="-210" w:firstLine="420" w:firstLineChars="200"/>
        <w:rPr>
          <w:rFonts w:hint="eastAsia" w:ascii="宋体" w:hAnsi="宋体" w:eastAsia="宋体" w:cs="宋体"/>
          <w:color w:val="auto"/>
          <w:kern w:val="2"/>
          <w:sz w:val="21"/>
          <w:szCs w:val="21"/>
          <w:highlight w:val="none"/>
        </w:rPr>
      </w:pPr>
      <w:r>
        <w:rPr>
          <w:rFonts w:hint="eastAsia" w:ascii="宋体" w:hAnsi="宋体" w:eastAsia="宋体" w:cs="宋体"/>
          <w:bCs w:val="0"/>
          <w:color w:val="auto"/>
          <w:kern w:val="2"/>
          <w:sz w:val="21"/>
          <w:szCs w:val="21"/>
          <w:highlight w:val="none"/>
        </w:rPr>
        <w:t>合同履行过程中，</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 w:val="21"/>
          <w:szCs w:val="21"/>
          <w:highlight w:val="none"/>
        </w:rPr>
        <w:t>给甲方造成的损失超过履约担保数额的，</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 w:val="21"/>
          <w:szCs w:val="21"/>
          <w:highlight w:val="none"/>
        </w:rPr>
        <w:t>还应当对超过部分予以赔偿，甲方并依法追究</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 w:val="21"/>
          <w:szCs w:val="21"/>
          <w:highlight w:val="none"/>
        </w:rPr>
        <w:t>的相应责任。</w:t>
      </w:r>
    </w:p>
    <w:p w14:paraId="6F2ADC7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2、履约担保用于补偿甲方因乙方不能完全履行其合同义务而蒙受的损失或其他合同约定的事项，如发生下列任一情况时，甲方有权依合同追究乙方违约责任外，</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有权提取履约担保并进行相应处理：</w:t>
      </w:r>
    </w:p>
    <w:p w14:paraId="64550B1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22239BE7">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）在合同履行期间，乙方违约产生的违约金、赔偿、罚款或其他应付费用等项，甲方有权直接从未付货款中扣除或</w:t>
      </w:r>
      <w:r>
        <w:rPr>
          <w:rFonts w:hint="eastAsia" w:ascii="宋体" w:hAnsi="宋体" w:eastAsia="宋体" w:cs="宋体"/>
          <w:color w:val="auto"/>
          <w:sz w:val="21"/>
          <w:szCs w:val="21"/>
          <w:highlight w:val="none"/>
          <w:lang w:val="en-US" w:eastAsia="zh-CN"/>
        </w:rPr>
        <w:t>启用</w:t>
      </w:r>
      <w:r>
        <w:rPr>
          <w:rFonts w:hint="eastAsia" w:ascii="宋体" w:hAnsi="宋体" w:eastAsia="宋体" w:cs="宋体"/>
          <w:color w:val="auto"/>
          <w:sz w:val="21"/>
          <w:szCs w:val="21"/>
          <w:highlight w:val="none"/>
        </w:rPr>
        <w:t>履约担保予以支付。</w:t>
      </w:r>
    </w:p>
    <w:p w14:paraId="245A1FB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）合同期内，乙方不能及时完成合同某项义务的，甲方有权使用履约担保用于处理该项工作。</w:t>
      </w:r>
    </w:p>
    <w:p w14:paraId="5497425B">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）其他根据本合同约定或法律规定，甲方可</w:t>
      </w:r>
      <w:r>
        <w:rPr>
          <w:rFonts w:hint="eastAsia" w:ascii="宋体" w:hAnsi="宋体" w:eastAsia="宋体" w:cs="宋体"/>
          <w:color w:val="auto"/>
          <w:sz w:val="21"/>
          <w:szCs w:val="21"/>
          <w:highlight w:val="none"/>
          <w:lang w:val="en-US" w:eastAsia="zh-CN"/>
        </w:rPr>
        <w:t>启用</w:t>
      </w:r>
      <w:r>
        <w:rPr>
          <w:rFonts w:hint="eastAsia" w:ascii="宋体" w:hAnsi="宋体" w:eastAsia="宋体" w:cs="宋体"/>
          <w:color w:val="auto"/>
          <w:sz w:val="21"/>
          <w:szCs w:val="21"/>
          <w:highlight w:val="none"/>
        </w:rPr>
        <w:t>履约担保的情形。</w:t>
      </w:r>
    </w:p>
    <w:p w14:paraId="225081C0">
      <w:pPr>
        <w:spacing w:line="360" w:lineRule="auto"/>
        <w:ind w:left="-2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以履约保证金（银行转账形式）提供履约担保的，自合同签订日起满一年后，在乙方所供应全部货物经最终验收合格、甲方对乙方的履约评价合格，经甲方确认，在乙方的履约保证金未被扣除的情况下，乙方可向甲方提交退回履约保证金40%的申请。甲方审核无异议后，办理退回履约保证金40%的手续。假如履约保证金被扣除（无论扣除数额大小），甲方不退回任何履约保证金。</w:t>
      </w:r>
    </w:p>
    <w:p w14:paraId="42FFA272">
      <w:pPr>
        <w:spacing w:line="360" w:lineRule="auto"/>
        <w:ind w:left="-2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剩余的履约保证金，在合同期限届满、全部货物经最终验收合格、甲方对乙方的履约评价合格、甲方支付了全部货款（除质保金）后二十八（28）日后，经甲方确认，乙方可向甲方提交退回剩余履约保证金的申请。甲方审核无异议并在扣除相应的费用（若有）后，办理退回剩余履约保证金的手续。</w:t>
      </w:r>
    </w:p>
    <w:p w14:paraId="3491D3B7">
      <w:pPr>
        <w:spacing w:line="360" w:lineRule="auto"/>
        <w:ind w:left="-2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退回时一律以银行转账的形式无息退回到乙方的账户。如履约保证金被扣除，则只退回扣除后的余额，如全部扣除完毕，则甲方不退回履约保证金。</w:t>
      </w:r>
    </w:p>
    <w:p w14:paraId="12509738">
      <w:pPr>
        <w:numPr>
          <w:ilvl w:val="-1"/>
          <w:numId w:val="0"/>
        </w:numPr>
        <w:snapToGrid/>
        <w:spacing w:line="360" w:lineRule="auto"/>
        <w:ind w:left="-2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采用履约保证金（银行转账形式）的统一由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u w:val="single"/>
        </w:rPr>
        <w:t>东莞市石鼓净水有限公司</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rPr>
        <w:t>收取。存入以下指定银行账户：</w:t>
      </w:r>
    </w:p>
    <w:p w14:paraId="44D4A059">
      <w:pPr>
        <w:numPr>
          <w:ilvl w:val="-1"/>
          <w:numId w:val="0"/>
        </w:numPr>
        <w:snapToGrid/>
        <w:spacing w:line="360" w:lineRule="auto"/>
        <w:ind w:left="-2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Cs w:val="21"/>
          <w:highlight w:val="none"/>
        </w:rPr>
        <w:t>东莞市石鼓净水有限公司</w:t>
      </w:r>
    </w:p>
    <w:p w14:paraId="3ECB2BAA">
      <w:pPr>
        <w:numPr>
          <w:ilvl w:val="-1"/>
          <w:numId w:val="0"/>
        </w:numPr>
        <w:snapToGrid/>
        <w:spacing w:line="360" w:lineRule="auto"/>
        <w:ind w:left="-2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Cs w:val="21"/>
          <w:highlight w:val="none"/>
        </w:rPr>
        <w:t>944004010000157127</w:t>
      </w:r>
    </w:p>
    <w:p w14:paraId="2FBCA7CA">
      <w:pPr>
        <w:numPr>
          <w:ilvl w:val="-1"/>
          <w:numId w:val="0"/>
        </w:numPr>
        <w:snapToGrid/>
        <w:spacing w:line="360" w:lineRule="auto"/>
        <w:ind w:left="-2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Cs w:val="21"/>
          <w:highlight w:val="none"/>
        </w:rPr>
        <w:t>中国邮政储蓄银行股份有限公司东莞市分行</w:t>
      </w:r>
    </w:p>
    <w:p w14:paraId="2E8254EA">
      <w:pPr>
        <w:numPr>
          <w:ilvl w:val="-1"/>
          <w:numId w:val="0"/>
        </w:numPr>
        <w:snapToGrid/>
        <w:spacing w:line="360" w:lineRule="auto"/>
        <w:ind w:left="-2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4、如乙方提供不可撤销银行履约保函或履约保证保险或担保公司履约担保书作为履约担保的</w:t>
      </w:r>
      <w:r>
        <w:rPr>
          <w:rFonts w:hint="eastAsia" w:ascii="宋体" w:hAnsi="宋体" w:eastAsia="宋体" w:cs="宋体"/>
          <w:b/>
          <w:bCs/>
          <w:color w:val="auto"/>
          <w:sz w:val="21"/>
          <w:szCs w:val="21"/>
          <w:highlight w:val="none"/>
        </w:rPr>
        <w:t>，其受益人应为</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Cs w:val="21"/>
          <w:highlight w:val="none"/>
          <w:u w:val="single"/>
        </w:rPr>
        <w:t>东莞市石鼓净水有限公司</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应从合同签订之日起</w:t>
      </w:r>
      <w:r>
        <w:rPr>
          <w:rFonts w:hint="eastAsia" w:ascii="宋体" w:hAnsi="宋体" w:eastAsia="宋体" w:cs="宋体"/>
          <w:b w:val="0"/>
          <w:bCs/>
          <w:color w:val="auto"/>
          <w:sz w:val="21"/>
          <w:szCs w:val="21"/>
          <w:highlight w:val="none"/>
        </w:rPr>
        <w:t>（或签订合同前）</w:t>
      </w:r>
      <w:r>
        <w:rPr>
          <w:rFonts w:hint="eastAsia" w:ascii="宋体" w:hAnsi="宋体" w:eastAsia="宋体" w:cs="宋体"/>
          <w:color w:val="auto"/>
          <w:sz w:val="21"/>
          <w:szCs w:val="21"/>
          <w:highlight w:val="none"/>
        </w:rPr>
        <w:t>至合同期限届满并全部货物经最终验收合格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甲方向乙方支付全部货款（除质保金）后二十八（28）日内保持有效。如不可撤销银行履约保函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在规定有效期届满而货物尚未全部最终验收合格或甲方未支付完全部货款（除质保金）的，乙方必须在不可撤销银行履约保函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到期15日前无条件办理办妥符合甲方要求的延期手续或重新提供不可撤销银行履约保函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费用由乙方自行承担，</w:t>
      </w:r>
      <w:r>
        <w:rPr>
          <w:rFonts w:hint="eastAsia" w:ascii="宋体" w:hAnsi="宋体" w:eastAsia="宋体" w:cs="宋体"/>
          <w:color w:val="auto"/>
          <w:sz w:val="21"/>
          <w:szCs w:val="21"/>
          <w:highlight w:val="none"/>
        </w:rPr>
        <w:t>否则视为乙方违约，甲方有权在不可撤销银行履约保函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到期前向出具履约担保的机构提取履约担保金。在不可撤销银行履约保函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到期后乙方未按甲方要求重新提供的，乙方应向甲方支付【</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color w:val="auto"/>
          <w:sz w:val="21"/>
          <w:szCs w:val="21"/>
          <w:highlight w:val="none"/>
        </w:rPr>
        <w:t>】元违约金，</w:t>
      </w:r>
      <w:r>
        <w:rPr>
          <w:rFonts w:hint="eastAsia" w:ascii="宋体" w:hAnsi="宋体" w:eastAsia="宋体" w:cs="宋体"/>
          <w:bCs/>
          <w:color w:val="auto"/>
          <w:szCs w:val="21"/>
          <w:highlight w:val="none"/>
          <w:lang w:val="en-US" w:eastAsia="zh-CN"/>
        </w:rPr>
        <w:t>该违约金甲方有权从未付款项中扣除</w:t>
      </w:r>
      <w:r>
        <w:rPr>
          <w:rFonts w:hint="eastAsia" w:ascii="宋体" w:hAnsi="宋体" w:eastAsia="宋体" w:cs="宋体"/>
          <w:color w:val="auto"/>
          <w:sz w:val="21"/>
          <w:szCs w:val="21"/>
          <w:highlight w:val="none"/>
        </w:rPr>
        <w:t>。在乙方重新提供前甲方无需向乙方支付合同款项，且不视为甲方违约，乙方也不得以此为由拒绝或迟延履行合同义务。</w:t>
      </w:r>
    </w:p>
    <w:p w14:paraId="238E8863">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5、在合同履行过程中，不论何种原因导致履约担保数额不符合招标文件要求的，乙方应当在5日内予以补足。逾期不予补足的，甲方有权按需补足的金额要求乙方承担违约金，并要求</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限期补足，在乙方补足前甲方无需向乙方支付合同款项，且不视为甲方违约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乙方也不得以此为由拒绝或迟延履行合同义务</w:t>
      </w:r>
      <w:r>
        <w:rPr>
          <w:rFonts w:hint="eastAsia" w:ascii="宋体" w:hAnsi="宋体" w:eastAsia="宋体" w:cs="宋体"/>
          <w:color w:val="auto"/>
          <w:sz w:val="21"/>
          <w:szCs w:val="21"/>
          <w:highlight w:val="none"/>
        </w:rPr>
        <w:t>。</w:t>
      </w:r>
    </w:p>
    <w:p w14:paraId="1C29927F">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特别约定：乙方知悉并同意，在本合同履行期间，一旦发生乙方违反本合同约定义务，无需另行征得乙方同意，各甲方主体均有权就全部的履约担保金额单独或共同进行索赔，索赔方之间的担保金额分配由其内部协商确定，乙方不得以此为由提出任何异议。</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Cs w:val="21"/>
          <w:highlight w:val="none"/>
          <w:u w:val="single"/>
        </w:rPr>
        <w:t>东莞市石鼓净水有限公司</w:t>
      </w:r>
      <w:r>
        <w:rPr>
          <w:rFonts w:hint="eastAsia" w:ascii="宋体" w:hAnsi="宋体" w:eastAsia="宋体" w:cs="宋体"/>
          <w:b/>
          <w:color w:val="auto"/>
          <w:sz w:val="21"/>
          <w:szCs w:val="21"/>
          <w:highlight w:val="none"/>
          <w:u w:val="single"/>
          <w:lang w:val="en-US" w:eastAsia="zh-CN"/>
        </w:rPr>
        <w:t>】</w:t>
      </w:r>
      <w:r>
        <w:rPr>
          <w:rFonts w:hint="eastAsia" w:ascii="宋体" w:hAnsi="宋体" w:eastAsia="宋体" w:cs="宋体"/>
          <w:b/>
          <w:color w:val="auto"/>
          <w:sz w:val="21"/>
          <w:szCs w:val="21"/>
          <w:highlight w:val="none"/>
        </w:rPr>
        <w:t>作为履约担保的收取方或受益人，负责办理履约担保的索赔提取手续，并将相应款项支付给对应索赔方。</w:t>
      </w:r>
    </w:p>
    <w:p w14:paraId="3F12956C">
      <w:pPr>
        <w:snapToGrid w:val="0"/>
        <w:spacing w:line="360" w:lineRule="auto"/>
        <w:ind w:firstLine="373" w:firstLineChars="177"/>
        <w:outlineLvl w:val="1"/>
        <w:rPr>
          <w:rFonts w:hint="eastAsia" w:ascii="宋体" w:hAnsi="宋体" w:eastAsia="宋体" w:cs="宋体"/>
          <w:b/>
          <w:color w:val="auto"/>
          <w:sz w:val="21"/>
          <w:szCs w:val="21"/>
          <w:highlight w:val="none"/>
        </w:rPr>
      </w:pPr>
    </w:p>
    <w:p w14:paraId="408DAB21">
      <w:pPr>
        <w:snapToGrid w:val="0"/>
        <w:spacing w:line="360" w:lineRule="auto"/>
        <w:ind w:firstLine="373" w:firstLineChars="177"/>
        <w:outlineLvl w:val="1"/>
        <w:rPr>
          <w:rFonts w:hint="eastAsia" w:ascii="宋体" w:hAnsi="宋体" w:eastAsia="宋体" w:cs="宋体"/>
          <w:b/>
          <w:color w:val="auto"/>
          <w:sz w:val="21"/>
          <w:szCs w:val="21"/>
          <w:highlight w:val="none"/>
        </w:rPr>
      </w:pPr>
      <w:bookmarkStart w:id="481" w:name="_Toc23502"/>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条 付款方式</w:t>
      </w:r>
      <w:bookmarkEnd w:id="481"/>
    </w:p>
    <w:p w14:paraId="4DF8D11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双方一致同意，乙方按规定提供了履约担保后，甲方通过以下方式以人民币支付合同款项给乙方：</w:t>
      </w:r>
    </w:p>
    <w:p w14:paraId="066F134F">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1、合同的履约过程中，乙方根据本项目合同书约定需向甲方支付违约金、赔偿金、或其他</w:t>
      </w:r>
      <w:r>
        <w:rPr>
          <w:rFonts w:hint="eastAsia" w:ascii="宋体" w:hAnsi="宋体" w:eastAsia="宋体" w:cs="宋体"/>
          <w:color w:val="auto"/>
          <w:szCs w:val="21"/>
          <w:highlight w:val="none"/>
        </w:rPr>
        <w:t>按法律规定及本合同约定</w:t>
      </w:r>
      <w:r>
        <w:rPr>
          <w:rFonts w:hint="eastAsia" w:ascii="宋体" w:hAnsi="宋体" w:eastAsia="宋体" w:cs="宋体"/>
          <w:color w:val="auto"/>
          <w:kern w:val="2"/>
          <w:sz w:val="21"/>
          <w:szCs w:val="21"/>
          <w:highlight w:val="none"/>
          <w:lang w:val="en-US" w:eastAsia="zh-CN" w:bidi="ar-SA"/>
        </w:rPr>
        <w:t>应付费用等款项的，</w:t>
      </w:r>
      <w:r>
        <w:rPr>
          <w:rFonts w:hint="eastAsia" w:ascii="宋体" w:hAnsi="宋体" w:eastAsia="宋体" w:cs="宋体"/>
          <w:color w:val="auto"/>
          <w:szCs w:val="21"/>
          <w:highlight w:val="none"/>
        </w:rPr>
        <w:t>乙方应在收到甲方通知书之日起【</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】日内支付，若乙方对该通知书内容存在异议的，应在收到通知之日起【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】日内向甲方书面提出异议并提供相关证明材料。若乙方逾期未提出异议或提出的异议证据不充分的，视为乙方无异议或异议不成立，</w:t>
      </w:r>
      <w:r>
        <w:rPr>
          <w:rFonts w:hint="eastAsia" w:ascii="宋体" w:hAnsi="宋体" w:eastAsia="宋体" w:cs="宋体"/>
          <w:color w:val="auto"/>
          <w:kern w:val="2"/>
          <w:sz w:val="21"/>
          <w:szCs w:val="21"/>
          <w:highlight w:val="none"/>
          <w:lang w:val="en-US" w:eastAsia="zh-CN" w:bidi="ar-SA"/>
        </w:rPr>
        <w:t>乙方必须向甲方支付完相关款项后，甲方才根据合同书约定向乙方支付对应合同价和对应税额，且不视为甲方违约，乙方也不得以此为由拒绝或迟延履行合同义务，</w:t>
      </w:r>
      <w:r>
        <w:rPr>
          <w:rFonts w:hint="eastAsia" w:ascii="宋体" w:hAnsi="宋体" w:eastAsia="宋体" w:cs="宋体"/>
          <w:color w:val="auto"/>
          <w:szCs w:val="21"/>
          <w:highlight w:val="none"/>
        </w:rPr>
        <w:t>若乙方未按通知书的要求支付前述款项的，甲方有权按本合同第十一条第2点第（2）款的约定履行，</w:t>
      </w:r>
      <w:r>
        <w:rPr>
          <w:rFonts w:hint="eastAsia" w:ascii="宋体" w:hAnsi="宋体" w:eastAsia="宋体" w:cs="宋体"/>
          <w:color w:val="auto"/>
          <w:kern w:val="2"/>
          <w:sz w:val="21"/>
          <w:szCs w:val="21"/>
          <w:highlight w:val="none"/>
          <w:lang w:val="en-US" w:eastAsia="zh-CN" w:bidi="ar-SA"/>
        </w:rPr>
        <w:t>同时，乙方必须按照扣除前述费用前的合同价（销售额）开具增值税专用发票，保证增值税税额符合法律规定。</w:t>
      </w:r>
    </w:p>
    <w:p w14:paraId="73C7FBE9">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2、货物供货的款项按甲方</w:t>
      </w:r>
      <w:r>
        <w:rPr>
          <w:rFonts w:hint="eastAsia" w:ascii="宋体" w:hAnsi="宋体" w:eastAsia="宋体" w:cs="宋体"/>
          <w:color w:val="auto"/>
          <w:szCs w:val="21"/>
          <w:highlight w:val="none"/>
        </w:rPr>
        <w:t>单个运营项目按月结算，甲方</w:t>
      </w:r>
      <w:r>
        <w:rPr>
          <w:rFonts w:hint="eastAsia" w:ascii="宋体" w:hAnsi="宋体" w:eastAsia="宋体" w:cs="宋体"/>
          <w:color w:val="auto"/>
          <w:szCs w:val="21"/>
          <w:highlight w:val="none"/>
          <w:lang w:val="en-US" w:eastAsia="zh-CN"/>
        </w:rPr>
        <w:t>2、甲方3、甲方4、甲方5、甲方6分别按照其各自管理的运营项目</w:t>
      </w:r>
      <w:r>
        <w:rPr>
          <w:rFonts w:hint="eastAsia" w:ascii="宋体" w:hAnsi="宋体" w:eastAsia="宋体" w:cs="宋体"/>
          <w:color w:val="auto"/>
          <w:szCs w:val="21"/>
          <w:highlight w:val="none"/>
        </w:rPr>
        <w:t>支付对应</w:t>
      </w:r>
      <w:r>
        <w:rPr>
          <w:rFonts w:hint="eastAsia" w:ascii="宋体" w:hAnsi="宋体" w:eastAsia="宋体" w:cs="宋体"/>
          <w:color w:val="auto"/>
          <w:szCs w:val="21"/>
          <w:highlight w:val="none"/>
          <w:lang w:val="en-US" w:eastAsia="zh-CN"/>
        </w:rPr>
        <w:t>款项</w:t>
      </w:r>
      <w:r>
        <w:rPr>
          <w:rFonts w:hint="eastAsia" w:ascii="宋体" w:hAnsi="宋体" w:eastAsia="宋体" w:cs="宋体"/>
          <w:color w:val="auto"/>
          <w:kern w:val="2"/>
          <w:sz w:val="21"/>
          <w:szCs w:val="21"/>
          <w:highlight w:val="none"/>
          <w:lang w:val="en-US" w:eastAsia="zh-CN" w:bidi="ar-SA"/>
        </w:rPr>
        <w:t>。甲方对应运营项目收到货物并最终验收合格后，每月中旬办理支付上月经最终验收合格的实际供货量的款项。</w:t>
      </w:r>
    </w:p>
    <w:p w14:paraId="06B411D3">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3、乙方向甲方对应运营项目提交请款报告和请款金额等额的合法、有效的增值税专用发票，甲方对应运营项目在收到前述材料并确认无误后30个工作日内，</w:t>
      </w:r>
      <w:r>
        <w:rPr>
          <w:rFonts w:hint="eastAsia" w:ascii="宋体" w:hAnsi="宋体" w:eastAsia="宋体" w:cs="宋体"/>
          <w:color w:val="auto"/>
          <w:szCs w:val="21"/>
          <w:highlight w:val="none"/>
        </w:rPr>
        <w:t>由管理该运营项目的甲方</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3、甲方4、甲方5</w:t>
      </w:r>
      <w:r>
        <w:rPr>
          <w:rFonts w:hint="eastAsia" w:ascii="宋体" w:hAnsi="宋体" w:eastAsia="宋体" w:cs="宋体"/>
          <w:color w:val="auto"/>
          <w:szCs w:val="21"/>
          <w:highlight w:val="none"/>
        </w:rPr>
        <w:t>或甲方</w:t>
      </w:r>
      <w:r>
        <w:rPr>
          <w:rFonts w:hint="eastAsia" w:ascii="宋体" w:hAnsi="宋体" w:eastAsia="宋体" w:cs="宋体"/>
          <w:color w:val="auto"/>
          <w:szCs w:val="21"/>
          <w:highlight w:val="none"/>
          <w:lang w:val="en-US" w:eastAsia="zh-CN"/>
        </w:rPr>
        <w:t>6</w:t>
      </w:r>
      <w:r>
        <w:rPr>
          <w:rFonts w:hint="eastAsia" w:ascii="宋体" w:hAnsi="宋体" w:eastAsia="宋体" w:cs="宋体"/>
          <w:color w:val="auto"/>
          <w:kern w:val="2"/>
          <w:sz w:val="21"/>
          <w:szCs w:val="21"/>
          <w:highlight w:val="none"/>
          <w:lang w:val="en-US" w:eastAsia="zh-CN" w:bidi="ar-SA"/>
        </w:rPr>
        <w:t>支付结算上月经最终验收合格的实际供货量的结算货款和该货款对应的税额给乙方。</w:t>
      </w:r>
    </w:p>
    <w:p w14:paraId="1353F372">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4、支付方式为银行转账或银行承兑汇票，汇票期限不超过三个月，每期款项支付方式由甲方决定。</w:t>
      </w:r>
    </w:p>
    <w:p w14:paraId="7EEBAFD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迟延提供请款报告及发票或提供的请款报告、发票不符合要求的，甲方的付款时间可相应顺延，且甲方不因此承担任何责任，乙方不得以此为由拒绝或迟延履行合同义务。因支付产生的相关银行手续费用，根据有关银行规定执行。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提供的发票不符合税法规定，给甲方造成的损失由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承担全部的赔偿责任。</w:t>
      </w:r>
    </w:p>
    <w:p w14:paraId="5FECD40C">
      <w:pPr>
        <w:snapToGrid w:val="0"/>
        <w:spacing w:line="360" w:lineRule="auto"/>
        <w:ind w:firstLine="373" w:firstLineChars="177"/>
        <w:outlineLvl w:val="9"/>
        <w:rPr>
          <w:rFonts w:hint="eastAsia" w:ascii="宋体" w:hAnsi="宋体" w:eastAsia="宋体" w:cs="宋体"/>
          <w:b/>
          <w:color w:val="auto"/>
          <w:sz w:val="21"/>
          <w:szCs w:val="21"/>
          <w:highlight w:val="none"/>
        </w:rPr>
      </w:pPr>
    </w:p>
    <w:p w14:paraId="45BD1500">
      <w:pPr>
        <w:snapToGrid w:val="0"/>
        <w:spacing w:line="360" w:lineRule="auto"/>
        <w:ind w:firstLine="373" w:firstLineChars="177"/>
        <w:outlineLvl w:val="1"/>
        <w:rPr>
          <w:rFonts w:hint="eastAsia" w:ascii="宋体" w:hAnsi="宋体" w:eastAsia="宋体" w:cs="宋体"/>
          <w:b/>
          <w:color w:val="auto"/>
          <w:sz w:val="21"/>
          <w:szCs w:val="21"/>
          <w:highlight w:val="none"/>
        </w:rPr>
      </w:pPr>
      <w:bookmarkStart w:id="482" w:name="_Toc8929"/>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条 不可抗力</w:t>
      </w:r>
      <w:bookmarkEnd w:id="482"/>
    </w:p>
    <w:p w14:paraId="6EC3B2E2">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6429F660">
      <w:pPr>
        <w:snapToGrid w:val="0"/>
        <w:spacing w:line="360" w:lineRule="auto"/>
        <w:ind w:firstLine="373" w:firstLineChars="177"/>
        <w:outlineLvl w:val="9"/>
        <w:rPr>
          <w:rFonts w:hint="eastAsia" w:ascii="宋体" w:hAnsi="宋体" w:eastAsia="宋体" w:cs="宋体"/>
          <w:b/>
          <w:color w:val="auto"/>
          <w:sz w:val="21"/>
          <w:szCs w:val="21"/>
          <w:highlight w:val="none"/>
        </w:rPr>
      </w:pPr>
    </w:p>
    <w:p w14:paraId="4EACF82C">
      <w:pPr>
        <w:snapToGrid w:val="0"/>
        <w:spacing w:line="360" w:lineRule="auto"/>
        <w:ind w:firstLine="373" w:firstLineChars="177"/>
        <w:outlineLvl w:val="1"/>
        <w:rPr>
          <w:rFonts w:hint="eastAsia" w:ascii="宋体" w:hAnsi="宋体" w:eastAsia="宋体" w:cs="宋体"/>
          <w:b/>
          <w:color w:val="auto"/>
          <w:sz w:val="21"/>
          <w:szCs w:val="21"/>
          <w:highlight w:val="none"/>
        </w:rPr>
      </w:pPr>
      <w:bookmarkStart w:id="483" w:name="_Toc1793"/>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条 索赔</w:t>
      </w:r>
      <w:bookmarkEnd w:id="483"/>
    </w:p>
    <w:p w14:paraId="5D70899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乙方根据合同约定应承担退换货责任的，乙方应立即根据本合同的约定承担退换货责任。</w:t>
      </w:r>
    </w:p>
    <w:p w14:paraId="59C3C1C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2、如果乙方对甲方提出的异议及索赔负有责任，乙方应按照甲方同意的下列一种或多种方式解决索赔事宜：</w:t>
      </w:r>
    </w:p>
    <w:p w14:paraId="73EEAB46">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（1）根据甲方要求予以更换相应合同货物，乙方在甲方发出换货通知后未在甲方规定的时间内将换货货物运离甲方及更换等量的合格货物给甲方，乙方应承担因此产生的全部费用并赔偿甲方因此遭受的损失。</w:t>
      </w:r>
    </w:p>
    <w:p w14:paraId="63050D6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（2）根据甲方要求予以退回相应合同货物，并返还甲方已支付的相应货款（含合同价及</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税</w:t>
      </w:r>
      <w:r>
        <w:rPr>
          <w:rFonts w:hint="eastAsia" w:ascii="宋体" w:hAnsi="宋体" w:eastAsia="宋体" w:cs="宋体"/>
          <w:color w:val="auto"/>
          <w:sz w:val="21"/>
          <w:szCs w:val="21"/>
          <w:highlight w:val="none"/>
          <w:lang w:val="en-US" w:eastAsia="zh-CN"/>
        </w:rPr>
        <w:t>额</w:t>
      </w:r>
      <w:r>
        <w:rPr>
          <w:rFonts w:hint="eastAsia" w:ascii="宋体" w:hAnsi="宋体" w:eastAsia="宋体" w:cs="宋体"/>
          <w:color w:val="auto"/>
          <w:sz w:val="21"/>
          <w:szCs w:val="21"/>
          <w:highlight w:val="none"/>
        </w:rPr>
        <w:t>）。如造成甲方其他损失的，由乙方承担赔偿责任。</w:t>
      </w:r>
    </w:p>
    <w:p w14:paraId="6D8DE27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（3）甲方可根据货物低劣程度、损坏程度以及甲方所遭受损失的数额，要求乙方承担赔偿责任。</w:t>
      </w:r>
    </w:p>
    <w:p w14:paraId="2B2D96D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3、如果在甲方发出索赔通知后7日内，乙方未作答复或未配合现场确认的，视为乙方确认相关违约事实及认可甲方索赔要求。</w:t>
      </w:r>
    </w:p>
    <w:p w14:paraId="24C18EAB">
      <w:pPr>
        <w:snapToGrid w:val="0"/>
        <w:spacing w:line="360" w:lineRule="auto"/>
        <w:ind w:firstLine="373" w:firstLineChars="177"/>
        <w:rPr>
          <w:rFonts w:hint="eastAsia" w:ascii="宋体" w:hAnsi="宋体" w:eastAsia="宋体" w:cs="宋体"/>
          <w:b/>
          <w:color w:val="auto"/>
          <w:sz w:val="21"/>
          <w:szCs w:val="21"/>
          <w:highlight w:val="none"/>
        </w:rPr>
      </w:pPr>
    </w:p>
    <w:p w14:paraId="136B51F4">
      <w:pPr>
        <w:snapToGrid w:val="0"/>
        <w:spacing w:line="360" w:lineRule="auto"/>
        <w:ind w:firstLine="373" w:firstLineChars="177"/>
        <w:outlineLvl w:val="1"/>
        <w:rPr>
          <w:rFonts w:hint="eastAsia" w:ascii="宋体" w:hAnsi="宋体" w:eastAsia="宋体" w:cs="宋体"/>
          <w:b/>
          <w:color w:val="auto"/>
          <w:sz w:val="21"/>
          <w:szCs w:val="21"/>
          <w:highlight w:val="none"/>
        </w:rPr>
      </w:pPr>
      <w:bookmarkStart w:id="484" w:name="_Toc19141"/>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条 违约责任</w:t>
      </w:r>
      <w:bookmarkEnd w:id="484"/>
    </w:p>
    <w:p w14:paraId="2ED02A8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1、日常供货（非加急供货）时，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未在约定的时间内完成交货，或未在规定的时间内承担相应的更换、退货责任的，每逾期2小时，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有权要求乙方按该次货物含税结算货款的1%向甲方支付违约金。乙方逾期超过12小时的，甲方有权要求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额外按该次货物含税结算货款的 5 %向甲方支付违约金</w:t>
      </w:r>
      <w:r>
        <w:rPr>
          <w:rFonts w:hint="eastAsia" w:ascii="宋体" w:hAnsi="宋体" w:eastAsia="宋体" w:cs="宋体"/>
          <w:color w:val="auto"/>
          <w:szCs w:val="21"/>
          <w:highlight w:val="none"/>
        </w:rPr>
        <w:t>。以上违约金总额不超过暂定合同价的【0.1】%，</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rPr>
        <w:t>甲方损失的，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需足额赔偿</w:t>
      </w:r>
      <w:r>
        <w:rPr>
          <w:rFonts w:hint="eastAsia" w:ascii="宋体" w:hAnsi="宋体" w:eastAsia="宋体" w:cs="宋体"/>
          <w:color w:val="auto"/>
          <w:sz w:val="21"/>
          <w:szCs w:val="21"/>
          <w:highlight w:val="none"/>
          <w:lang w:val="en-US" w:eastAsia="zh-CN"/>
        </w:rPr>
        <w:t>。</w:t>
      </w:r>
    </w:p>
    <w:p w14:paraId="3387C40B">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加急供货时，乙方未在约定的时间内完成交货的，或未在规定的时间内承担相应的更换、退货责任的，每逾期1小时，甲方有权要求乙方按该次货物含税结算货款的10%向甲方支付违约金，乙方逾期超过4小时的，甲方有权单方解除合同，并要求乙方额外按该次货物含税结算货款的20%向甲方支付违约金，</w:t>
      </w:r>
      <w:r>
        <w:rPr>
          <w:rFonts w:hint="eastAsia" w:ascii="宋体" w:hAnsi="宋体" w:eastAsia="宋体" w:cs="宋体"/>
          <w:color w:val="auto"/>
          <w:szCs w:val="21"/>
          <w:highlight w:val="none"/>
        </w:rPr>
        <w:t>以上违约金总额不超过暂定合同价的【0.2】%，违约金不足以弥补甲方损失的，乙方还需足额赔偿</w:t>
      </w:r>
      <w:r>
        <w:rPr>
          <w:rFonts w:hint="eastAsia" w:ascii="宋体" w:hAnsi="宋体" w:eastAsia="宋体" w:cs="宋体"/>
          <w:color w:val="auto"/>
          <w:sz w:val="21"/>
          <w:szCs w:val="21"/>
          <w:highlight w:val="none"/>
        </w:rPr>
        <w:t>。</w:t>
      </w:r>
    </w:p>
    <w:p w14:paraId="30C01A6D">
      <w:pPr>
        <w:snapToGrid w:val="0"/>
        <w:spacing w:line="360" w:lineRule="auto"/>
        <w:ind w:firstLine="371" w:firstLineChars="17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3、乙方所交货物经甲方实验室或甲方委托的第三方检测机构检验累计出现3次（含）以上不合格的，甲方有权</w:t>
      </w:r>
      <w:r>
        <w:rPr>
          <w:rFonts w:hint="eastAsia" w:ascii="宋体" w:hAnsi="宋体" w:eastAsia="宋体" w:cs="宋体"/>
          <w:color w:val="auto"/>
          <w:szCs w:val="21"/>
          <w:highlight w:val="none"/>
        </w:rPr>
        <w:t>要求乙方一次性支付【25,000.00】元的违约金</w:t>
      </w:r>
      <w:r>
        <w:rPr>
          <w:rFonts w:hint="eastAsia" w:ascii="宋体" w:hAnsi="宋体" w:eastAsia="宋体" w:cs="宋体"/>
          <w:color w:val="auto"/>
          <w:sz w:val="21"/>
          <w:szCs w:val="21"/>
          <w:highlight w:val="none"/>
        </w:rPr>
        <w:t>。</w:t>
      </w:r>
    </w:p>
    <w:p w14:paraId="559F414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如因</w:t>
      </w:r>
      <w:r>
        <w:rPr>
          <w:rFonts w:hint="eastAsia" w:ascii="宋体" w:hAnsi="宋体" w:eastAsia="宋体" w:cs="宋体"/>
          <w:color w:val="auto"/>
          <w:sz w:val="21"/>
          <w:szCs w:val="21"/>
          <w:highlight w:val="none"/>
          <w:lang w:val="en-US" w:eastAsia="zh-CN"/>
        </w:rPr>
        <w:t>乙方提供的</w:t>
      </w:r>
      <w:r>
        <w:rPr>
          <w:rFonts w:hint="eastAsia" w:ascii="宋体" w:hAnsi="宋体" w:eastAsia="宋体" w:cs="宋体"/>
          <w:color w:val="auto"/>
          <w:sz w:val="21"/>
          <w:szCs w:val="21"/>
          <w:highlight w:val="none"/>
        </w:rPr>
        <w:t>药剂问题对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生产、成本造成影响，</w:t>
      </w:r>
      <w:r>
        <w:rPr>
          <w:rFonts w:hint="eastAsia" w:ascii="宋体" w:hAnsi="宋体" w:eastAsia="宋体" w:cs="宋体"/>
          <w:color w:val="auto"/>
          <w:highlight w:val="none"/>
          <w:lang w:val="en-US" w:eastAsia="zh-CN"/>
        </w:rPr>
        <w:t>未</w:t>
      </w:r>
      <w:r>
        <w:rPr>
          <w:rFonts w:hint="eastAsia" w:ascii="宋体" w:hAnsi="宋体" w:eastAsia="宋体" w:cs="宋体"/>
          <w:color w:val="auto"/>
          <w:sz w:val="21"/>
          <w:szCs w:val="21"/>
          <w:highlight w:val="none"/>
        </w:rPr>
        <w:t>造成甲方运营项目出水水质指标超标</w:t>
      </w:r>
      <w:r>
        <w:rPr>
          <w:rFonts w:hint="eastAsia" w:ascii="宋体" w:hAnsi="宋体" w:eastAsia="宋体" w:cs="宋体"/>
          <w:color w:val="auto"/>
          <w:sz w:val="21"/>
          <w:szCs w:val="21"/>
          <w:highlight w:val="none"/>
          <w:lang w:val="en-US" w:eastAsia="zh-CN"/>
        </w:rPr>
        <w:t>等严重影响</w:t>
      </w:r>
      <w:r>
        <w:rPr>
          <w:rFonts w:hint="eastAsia" w:ascii="宋体" w:hAnsi="宋体" w:eastAsia="宋体" w:cs="宋体"/>
          <w:color w:val="auto"/>
          <w:sz w:val="21"/>
          <w:szCs w:val="21"/>
          <w:highlight w:val="none"/>
        </w:rPr>
        <w:t>甲方运营项目生产的情况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按该次货物含税结算货款的20%向甲方支付违约金，</w:t>
      </w:r>
      <w:r>
        <w:rPr>
          <w:rFonts w:hint="eastAsia" w:ascii="宋体" w:hAnsi="宋体" w:eastAsia="宋体" w:cs="宋体"/>
          <w:color w:val="auto"/>
          <w:szCs w:val="21"/>
          <w:highlight w:val="none"/>
        </w:rPr>
        <w:t>前述违约金不足以弥补甲方损失的，乙方还需足额赔偿</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造成甲方运营项目出水水质指标超标</w:t>
      </w:r>
      <w:r>
        <w:rPr>
          <w:rFonts w:hint="eastAsia" w:ascii="宋体" w:hAnsi="宋体" w:eastAsia="宋体" w:cs="宋体"/>
          <w:color w:val="auto"/>
          <w:sz w:val="21"/>
          <w:szCs w:val="21"/>
          <w:highlight w:val="none"/>
          <w:lang w:val="en-US" w:eastAsia="zh-CN"/>
        </w:rPr>
        <w:t>等严重影响</w:t>
      </w:r>
      <w:r>
        <w:rPr>
          <w:rFonts w:hint="eastAsia" w:ascii="宋体" w:hAnsi="宋体" w:eastAsia="宋体" w:cs="宋体"/>
          <w:color w:val="auto"/>
          <w:sz w:val="21"/>
          <w:szCs w:val="21"/>
          <w:highlight w:val="none"/>
        </w:rPr>
        <w:t>甲方运营项目生产的情况，甲方有权追究乙方由此造成的损失，并有权单方面中止或解除合同，暂停或取消其供货资格，</w:t>
      </w:r>
      <w:r>
        <w:rPr>
          <w:rFonts w:hint="eastAsia" w:ascii="宋体" w:hAnsi="宋体" w:eastAsia="宋体" w:cs="宋体"/>
          <w:color w:val="auto"/>
          <w:szCs w:val="21"/>
          <w:highlight w:val="none"/>
        </w:rPr>
        <w:t>并要求乙方一次性支付【100,000.00】元的违约金</w:t>
      </w:r>
      <w:r>
        <w:rPr>
          <w:rFonts w:hint="eastAsia" w:ascii="宋体" w:hAnsi="宋体" w:eastAsia="宋体" w:cs="宋体"/>
          <w:color w:val="auto"/>
          <w:sz w:val="21"/>
          <w:szCs w:val="21"/>
          <w:highlight w:val="none"/>
        </w:rPr>
        <w:t>。</w:t>
      </w:r>
    </w:p>
    <w:p w14:paraId="509FE814">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对于货物最终验收不合格且甲方运营项目已经开始使用或者使用完毕无法退换的，货款按照以下方式处理：①若甲方已支付货款的，则乙方应向甲方退还已支付的货款；②若甲方未支付货款的，则甲方无需支付货款。</w:t>
      </w:r>
    </w:p>
    <w:p w14:paraId="07CFE5EB">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、授予合同前或合同履行中，甲方有权实地核查乙方在投标时提供的分支机构或服务机构的场地、生产/储存/运输设备设施及能力等材料的符合性，若发现虚假将取消中标资格，且甲方有权</w:t>
      </w:r>
      <w:r>
        <w:rPr>
          <w:rFonts w:hint="eastAsia" w:ascii="宋体" w:hAnsi="宋体" w:eastAsia="宋体" w:cs="宋体"/>
          <w:color w:val="auto"/>
          <w:sz w:val="21"/>
          <w:szCs w:val="21"/>
          <w:highlight w:val="none"/>
          <w:lang w:val="en-US" w:eastAsia="zh-CN"/>
        </w:rPr>
        <w:t>单方解除</w:t>
      </w:r>
      <w:r>
        <w:rPr>
          <w:rFonts w:hint="eastAsia" w:ascii="宋体" w:hAnsi="宋体" w:eastAsia="宋体" w:cs="宋体"/>
          <w:color w:val="auto"/>
          <w:sz w:val="21"/>
          <w:szCs w:val="21"/>
          <w:highlight w:val="none"/>
        </w:rPr>
        <w:t>合同。因此给甲方造成损失的，全部由乙方承担。</w:t>
      </w:r>
    </w:p>
    <w:p w14:paraId="03233535">
      <w:pPr>
        <w:snapToGrid w:val="0"/>
        <w:spacing w:line="360" w:lineRule="auto"/>
        <w:ind w:firstLine="371" w:firstLineChars="17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r>
        <w:rPr>
          <w:rFonts w:hint="eastAsia" w:ascii="宋体" w:hAnsi="宋体" w:eastAsia="宋体" w:cs="宋体"/>
          <w:color w:val="auto"/>
          <w:sz w:val="21"/>
          <w:szCs w:val="21"/>
          <w:highlight w:val="none"/>
          <w:lang w:eastAsia="zh-CN"/>
        </w:rPr>
        <w:t>。</w:t>
      </w:r>
    </w:p>
    <w:p w14:paraId="7FBB8939">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、乙方有义务接受甲方的监督、评价及考核，且同意甲方关于供货资格供应商的管理规则及要求。</w:t>
      </w:r>
      <w:r>
        <w:rPr>
          <w:rFonts w:hint="eastAsia" w:ascii="宋体" w:hAnsi="宋体" w:eastAsia="宋体" w:cs="宋体"/>
          <w:color w:val="auto"/>
          <w:sz w:val="21"/>
          <w:szCs w:val="21"/>
          <w:highlight w:val="none"/>
          <w:lang w:eastAsia="zh-CN" w:bidi="ar"/>
        </w:rPr>
        <w:t>甲方</w:t>
      </w:r>
      <w:r>
        <w:rPr>
          <w:rFonts w:hint="eastAsia" w:ascii="宋体" w:hAnsi="宋体" w:eastAsia="宋体" w:cs="宋体"/>
          <w:color w:val="auto"/>
          <w:sz w:val="21"/>
          <w:szCs w:val="21"/>
          <w:highlight w:val="none"/>
          <w:lang w:val="en-US" w:eastAsia="zh-CN" w:bidi="ar"/>
        </w:rPr>
        <w:t>各</w:t>
      </w:r>
      <w:r>
        <w:rPr>
          <w:rFonts w:hint="eastAsia" w:ascii="宋体" w:hAnsi="宋体" w:eastAsia="宋体" w:cs="宋体"/>
          <w:color w:val="auto"/>
          <w:sz w:val="21"/>
          <w:szCs w:val="21"/>
          <w:highlight w:val="none"/>
          <w:lang w:bidi="ar"/>
        </w:rPr>
        <w:t>运营项目每月在付款手续前对</w:t>
      </w:r>
      <w:r>
        <w:rPr>
          <w:rFonts w:hint="eastAsia" w:ascii="宋体" w:hAnsi="宋体" w:eastAsia="宋体" w:cs="宋体"/>
          <w:color w:val="auto"/>
          <w:sz w:val="21"/>
          <w:szCs w:val="21"/>
          <w:highlight w:val="none"/>
          <w:lang w:eastAsia="zh-CN" w:bidi="ar"/>
        </w:rPr>
        <w:t>乙方</w:t>
      </w:r>
      <w:r>
        <w:rPr>
          <w:rFonts w:hint="eastAsia" w:ascii="宋体" w:hAnsi="宋体" w:eastAsia="宋体" w:cs="宋体"/>
          <w:color w:val="auto"/>
          <w:sz w:val="21"/>
          <w:szCs w:val="21"/>
          <w:highlight w:val="none"/>
          <w:lang w:bidi="ar"/>
        </w:rPr>
        <w:t>的履约情况进行评价，填写《供应商履约评价表》（详见用户需求书 附件3）。考核评分满分为100分，若某运营项目对乙方的考核评分分数低于80分、达到60分时，乙方应按该月货物含税结算货款的20%向管理该</w:t>
      </w:r>
      <w:r>
        <w:rPr>
          <w:rFonts w:hint="eastAsia" w:ascii="宋体" w:hAnsi="宋体" w:eastAsia="宋体" w:cs="宋体"/>
          <w:color w:val="auto"/>
          <w:sz w:val="21"/>
          <w:szCs w:val="21"/>
          <w:highlight w:val="none"/>
          <w:lang w:val="en-US" w:eastAsia="zh-CN" w:bidi="ar"/>
        </w:rPr>
        <w:t>运营项目的甲方</w:t>
      </w:r>
      <w:r>
        <w:rPr>
          <w:rFonts w:hint="eastAsia" w:ascii="宋体" w:hAnsi="宋体" w:eastAsia="宋体" w:cs="宋体"/>
          <w:color w:val="auto"/>
          <w:sz w:val="21"/>
          <w:szCs w:val="21"/>
          <w:highlight w:val="none"/>
          <w:lang w:bidi="ar"/>
        </w:rPr>
        <w:t>支付违约金；若某运营项目对乙方的考核评分分数低于60分时，乙方应按该月货物含税结算货款的30%向管理该</w:t>
      </w:r>
      <w:r>
        <w:rPr>
          <w:rFonts w:hint="eastAsia" w:ascii="宋体" w:hAnsi="宋体" w:eastAsia="宋体" w:cs="宋体"/>
          <w:color w:val="auto"/>
          <w:sz w:val="21"/>
          <w:szCs w:val="21"/>
          <w:highlight w:val="none"/>
          <w:lang w:val="en-US" w:eastAsia="zh-CN" w:bidi="ar"/>
        </w:rPr>
        <w:t>运营项目的甲方</w:t>
      </w:r>
      <w:r>
        <w:rPr>
          <w:rFonts w:hint="eastAsia" w:ascii="宋体" w:hAnsi="宋体" w:eastAsia="宋体" w:cs="宋体"/>
          <w:color w:val="auto"/>
          <w:sz w:val="21"/>
          <w:szCs w:val="21"/>
          <w:highlight w:val="none"/>
          <w:lang w:bidi="ar"/>
        </w:rPr>
        <w:t>支付违约金。</w:t>
      </w:r>
      <w:r>
        <w:rPr>
          <w:rFonts w:hint="eastAsia" w:ascii="宋体" w:hAnsi="宋体" w:eastAsia="宋体" w:cs="宋体"/>
          <w:color w:val="auto"/>
          <w:szCs w:val="21"/>
          <w:highlight w:val="none"/>
          <w:lang w:bidi="ar"/>
        </w:rPr>
        <w:t>以上违约金总额不超过暂定合同价的【5】%。</w:t>
      </w:r>
      <w:r>
        <w:rPr>
          <w:rFonts w:hint="eastAsia" w:ascii="宋体" w:hAnsi="宋体" w:eastAsia="宋体" w:cs="宋体"/>
          <w:color w:val="auto"/>
          <w:sz w:val="21"/>
          <w:szCs w:val="21"/>
          <w:highlight w:val="none"/>
          <w:lang w:bidi="ar"/>
        </w:rPr>
        <w:t>若供货期内累计出现3次（含）以上评审结论为不合格的</w:t>
      </w:r>
      <w:r>
        <w:rPr>
          <w:rFonts w:hint="eastAsia" w:ascii="宋体" w:hAnsi="宋体" w:eastAsia="宋体" w:cs="宋体"/>
          <w:color w:val="auto"/>
          <w:szCs w:val="21"/>
          <w:highlight w:val="none"/>
          <w:lang w:bidi="ar"/>
        </w:rPr>
        <w:t>（考核评分分数低于80分）</w:t>
      </w:r>
      <w:r>
        <w:rPr>
          <w:rFonts w:hint="eastAsia" w:ascii="宋体" w:hAnsi="宋体" w:eastAsia="宋体" w:cs="宋体"/>
          <w:color w:val="auto"/>
          <w:sz w:val="21"/>
          <w:szCs w:val="21"/>
          <w:highlight w:val="none"/>
          <w:lang w:bidi="ar"/>
        </w:rPr>
        <w:t>，甲方有权取消乙方的供货资格并单方解除合同、</w:t>
      </w:r>
      <w:r>
        <w:rPr>
          <w:rFonts w:hint="eastAsia" w:ascii="宋体" w:hAnsi="宋体" w:eastAsia="宋体" w:cs="宋体"/>
          <w:color w:val="auto"/>
          <w:szCs w:val="21"/>
          <w:highlight w:val="none"/>
          <w:lang w:bidi="ar"/>
        </w:rPr>
        <w:t>并要求乙方一次性支付【20,000.00】元的违约金</w:t>
      </w:r>
      <w:r>
        <w:rPr>
          <w:rFonts w:hint="eastAsia" w:ascii="宋体" w:hAnsi="宋体" w:eastAsia="宋体" w:cs="宋体"/>
          <w:color w:val="auto"/>
          <w:sz w:val="21"/>
          <w:szCs w:val="21"/>
          <w:highlight w:val="none"/>
          <w:lang w:bidi="ar"/>
        </w:rPr>
        <w:t>。</w:t>
      </w:r>
    </w:p>
    <w:p w14:paraId="4021D59D">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、无论是否在质保期内，因货物质量问题发生安全事故或引起其他损失、造成不良后果的，乙方应承担全部责任及损失赔偿，</w:t>
      </w:r>
      <w:r>
        <w:rPr>
          <w:rFonts w:hint="eastAsia" w:ascii="宋体" w:hAnsi="宋体" w:eastAsia="宋体" w:cs="宋体"/>
          <w:color w:val="auto"/>
          <w:sz w:val="21"/>
          <w:szCs w:val="21"/>
          <w:highlight w:val="none"/>
          <w:lang w:eastAsia="zh-Hans"/>
        </w:rPr>
        <w:t>同时甲方有权单方解除本合同且要求乙方一次性支付</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Hans"/>
        </w:rPr>
        <w:t>10</w:t>
      </w:r>
      <w:r>
        <w:rPr>
          <w:rFonts w:hint="eastAsia" w:ascii="宋体" w:hAnsi="宋体" w:eastAsia="宋体" w:cs="宋体"/>
          <w:color w:val="auto"/>
          <w:sz w:val="21"/>
          <w:szCs w:val="21"/>
          <w:highlight w:val="none"/>
          <w:u w:val="single"/>
          <w:lang w:eastAsia="zh-Hans"/>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eastAsia="zh-Hans"/>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eastAsia="zh-Hans"/>
        </w:rPr>
        <w:t>元</w:t>
      </w:r>
      <w:r>
        <w:rPr>
          <w:rFonts w:hint="eastAsia" w:ascii="宋体" w:hAnsi="宋体" w:eastAsia="宋体" w:cs="宋体"/>
          <w:color w:val="auto"/>
          <w:sz w:val="21"/>
          <w:szCs w:val="21"/>
          <w:highlight w:val="none"/>
          <w:lang w:eastAsia="zh-Hans"/>
        </w:rPr>
        <w:t>的违约金</w:t>
      </w:r>
      <w:r>
        <w:rPr>
          <w:rFonts w:hint="eastAsia" w:ascii="宋体" w:hAnsi="宋体" w:eastAsia="宋体" w:cs="宋体"/>
          <w:color w:val="auto"/>
          <w:sz w:val="21"/>
          <w:szCs w:val="21"/>
          <w:highlight w:val="none"/>
        </w:rPr>
        <w:t>。</w:t>
      </w:r>
    </w:p>
    <w:p w14:paraId="4B132116">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一次性支付</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10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rPr>
        <w:t>的违约金</w:t>
      </w:r>
      <w:r>
        <w:rPr>
          <w:rFonts w:hint="eastAsia" w:ascii="宋体" w:hAnsi="宋体" w:eastAsia="宋体" w:cs="宋体"/>
          <w:bCs/>
          <w:color w:val="auto"/>
          <w:sz w:val="21"/>
          <w:szCs w:val="21"/>
          <w:highlight w:val="none"/>
        </w:rPr>
        <w:t>，且乙方须承担由此给甲方造成的一切损失。乙方及其工作人员的保密义务不因本合同的终止而终止，直至相关保密信息被合法公开时止。</w:t>
      </w:r>
    </w:p>
    <w:p w14:paraId="0BD79809">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一次性支付</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10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rPr>
        <w:t>的违约金，违约金不够赔偿甲方损失的，乙方需继续赔偿，且甲方有权单方解除合同，并要求乙方一次性支付【</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】元的违约金。</w:t>
      </w:r>
    </w:p>
    <w:p w14:paraId="63ABE4A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在合同的履行期间，乙方应当保持相应资质的有效性</w:t>
      </w:r>
      <w:r>
        <w:rPr>
          <w:rFonts w:hint="eastAsia" w:ascii="宋体" w:hAnsi="宋体" w:eastAsia="宋体" w:cs="宋体"/>
          <w:color w:val="auto"/>
          <w:sz w:val="21"/>
          <w:szCs w:val="21"/>
          <w:highlight w:val="none"/>
        </w:rPr>
        <w:t>，并符合国家的相关规定。若乙方在合同期内有关资质不符合招标要求及国家规定的，甲方有权单方解除合同，要求乙方一次性支付【</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】元的违约金，</w:t>
      </w:r>
      <w:r>
        <w:rPr>
          <w:rFonts w:hint="eastAsia" w:ascii="宋体" w:hAnsi="宋体" w:eastAsia="宋体" w:cs="宋体"/>
          <w:color w:val="auto"/>
          <w:sz w:val="21"/>
          <w:szCs w:val="21"/>
          <w:highlight w:val="none"/>
          <w:lang w:val="en-US"/>
        </w:rPr>
        <w:t>并</w:t>
      </w:r>
      <w:r>
        <w:rPr>
          <w:rFonts w:hint="eastAsia" w:ascii="宋体" w:hAnsi="宋体" w:eastAsia="宋体" w:cs="宋体"/>
          <w:color w:val="auto"/>
          <w:sz w:val="21"/>
          <w:szCs w:val="21"/>
          <w:highlight w:val="none"/>
        </w:rPr>
        <w:t>有权依法</w:t>
      </w:r>
      <w:r>
        <w:rPr>
          <w:rFonts w:hint="eastAsia" w:ascii="宋体" w:hAnsi="宋体" w:eastAsia="宋体" w:cs="宋体"/>
          <w:color w:val="auto"/>
          <w:sz w:val="21"/>
          <w:szCs w:val="21"/>
          <w:highlight w:val="none"/>
          <w:lang w:val="en-US" w:eastAsia="zh-CN"/>
        </w:rPr>
        <w:t>自行</w:t>
      </w:r>
      <w:r>
        <w:rPr>
          <w:rFonts w:hint="eastAsia" w:ascii="宋体" w:hAnsi="宋体" w:eastAsia="宋体" w:cs="宋体"/>
          <w:color w:val="auto"/>
          <w:sz w:val="21"/>
          <w:szCs w:val="21"/>
          <w:highlight w:val="none"/>
        </w:rPr>
        <w:t>委托有资质的第三方继续履行本合同义务，由此造成的一切损失（包括但不限于重新采购的差价、委托第三方的费用）由乙方全部承担。</w:t>
      </w:r>
    </w:p>
    <w:p w14:paraId="62A5EAB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、乙方车辆在甲方运营项目行驶时，必须严格遵守厂区道路限行，限速和限重要求，如因乙方未遵守前述要求，对厂区/甲方（含其人员）、乙方人员、第三方造成损失的，乙方须承担</w:t>
      </w:r>
      <w:r>
        <w:rPr>
          <w:rFonts w:hint="eastAsia" w:ascii="宋体" w:hAnsi="宋体" w:eastAsia="宋体" w:cs="宋体"/>
          <w:color w:val="auto"/>
          <w:sz w:val="21"/>
          <w:szCs w:val="21"/>
          <w:highlight w:val="none"/>
          <w:lang w:val="en-US" w:eastAsia="zh-CN"/>
        </w:rPr>
        <w:t>全部</w:t>
      </w:r>
      <w:r>
        <w:rPr>
          <w:rFonts w:hint="eastAsia" w:ascii="宋体" w:hAnsi="宋体" w:eastAsia="宋体" w:cs="宋体"/>
          <w:color w:val="auto"/>
          <w:sz w:val="21"/>
          <w:szCs w:val="21"/>
          <w:highlight w:val="none"/>
        </w:rPr>
        <w:t>赔偿责任。</w:t>
      </w:r>
    </w:p>
    <w:p w14:paraId="558AC0F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、乙方违反约定将合同项下乙方的权利义务全部转让给第三方，或未经甲方书面同意将部分权利义务转让给第三方的，甲方有权要求乙方支付暂定合同价【</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的违约金，并有权单方解除本合同，若由此给甲方造成损失的，乙方还应当承担全部赔偿责任。如因乙方将乙方本合同项下全部/部分权利义务转让给第三方导致安全事故或人身损害事故的，造成甲方其他损失的或甲方被认定承担赔偿责任的，甲方向乙方追偿并要求乙方另行承担暂定合同价【</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】%的违约金，前述违约金不足以弥补甲方损失的，乙方还需足额赔偿。</w:t>
      </w:r>
    </w:p>
    <w:p w14:paraId="4D41F30A">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、因乙方违反本合同约定导致甲方权益受损的，甲方为维护自身权益所支付的所有费用均由乙方承担，包括但不限于甲方为此支付的诉讼费、律师费、鉴定费、</w:t>
      </w:r>
      <w:r>
        <w:rPr>
          <w:rFonts w:hint="eastAsia" w:ascii="宋体" w:hAnsi="宋体" w:eastAsia="宋体" w:cs="宋体"/>
          <w:color w:val="auto"/>
          <w:sz w:val="21"/>
          <w:szCs w:val="21"/>
          <w:highlight w:val="none"/>
          <w:lang w:val="en-US" w:eastAsia="zh-CN"/>
        </w:rPr>
        <w:t>保全费、担保费、</w:t>
      </w:r>
      <w:r>
        <w:rPr>
          <w:rFonts w:hint="eastAsia" w:ascii="宋体" w:hAnsi="宋体" w:eastAsia="宋体" w:cs="宋体"/>
          <w:color w:val="auto"/>
          <w:sz w:val="21"/>
          <w:szCs w:val="21"/>
          <w:highlight w:val="none"/>
        </w:rPr>
        <w:t>公证费、交通住宿费等全部费用。</w:t>
      </w:r>
    </w:p>
    <w:p w14:paraId="12803D20">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  </w:t>
      </w:r>
    </w:p>
    <w:p w14:paraId="1073DAE8">
      <w:pPr>
        <w:snapToGrid w:val="0"/>
        <w:spacing w:line="360" w:lineRule="auto"/>
        <w:ind w:firstLine="371" w:firstLineChars="177"/>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乙方违反本合同约定或未按投标时投标文件中承诺的事项履约，合同对违约责任有特别约定的，适用该特别约定；无特别约定的，甲方有权要求乙方向甲方支付暂定合同价【</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】%作为违约金。违约金不足以弥补甲方因此所受损失的，乙方应予以补足。</w:t>
      </w:r>
    </w:p>
    <w:p w14:paraId="685319FF">
      <w:pPr>
        <w:pStyle w:val="6"/>
        <w:rPr>
          <w:rFonts w:hint="eastAsia" w:ascii="宋体" w:hAnsi="宋体" w:eastAsia="宋体" w:cs="宋体"/>
          <w:color w:val="auto"/>
          <w:highlight w:val="none"/>
        </w:rPr>
      </w:pPr>
    </w:p>
    <w:p w14:paraId="46CDD645">
      <w:pPr>
        <w:snapToGrid w:val="0"/>
        <w:spacing w:line="360" w:lineRule="auto"/>
        <w:ind w:firstLine="373" w:firstLineChars="177"/>
        <w:outlineLvl w:val="1"/>
        <w:rPr>
          <w:rFonts w:hint="eastAsia" w:ascii="宋体" w:hAnsi="宋体" w:eastAsia="宋体" w:cs="宋体"/>
          <w:b/>
          <w:color w:val="auto"/>
          <w:sz w:val="21"/>
          <w:szCs w:val="21"/>
          <w:highlight w:val="none"/>
        </w:rPr>
      </w:pPr>
      <w:bookmarkStart w:id="485" w:name="_Toc6782"/>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条 争议解决</w:t>
      </w:r>
      <w:bookmarkEnd w:id="485"/>
    </w:p>
    <w:p w14:paraId="16C42F1B">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双方在履约中发生争执和分歧，双方应通过友好协商解决，如不能通过友好协商解决的，任何一方均可向甲方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住所地有管辖权的人民法院提起诉讼解决。</w:t>
      </w:r>
    </w:p>
    <w:p w14:paraId="73B3E540">
      <w:pPr>
        <w:snapToGrid w:val="0"/>
        <w:spacing w:line="360" w:lineRule="auto"/>
        <w:ind w:firstLine="371" w:firstLineChars="177"/>
        <w:rPr>
          <w:rFonts w:hint="eastAsia" w:ascii="宋体" w:hAnsi="宋体" w:eastAsia="宋体" w:cs="宋体"/>
          <w:color w:val="auto"/>
          <w:sz w:val="21"/>
          <w:szCs w:val="21"/>
          <w:highlight w:val="none"/>
        </w:rPr>
      </w:pPr>
    </w:p>
    <w:p w14:paraId="064AB298">
      <w:pPr>
        <w:snapToGrid w:val="0"/>
        <w:spacing w:line="360" w:lineRule="auto"/>
        <w:ind w:firstLine="373" w:firstLineChars="177"/>
        <w:outlineLvl w:val="1"/>
        <w:rPr>
          <w:rFonts w:hint="eastAsia" w:ascii="宋体" w:hAnsi="宋体" w:eastAsia="宋体" w:cs="宋体"/>
          <w:b/>
          <w:color w:val="auto"/>
          <w:sz w:val="21"/>
          <w:szCs w:val="21"/>
          <w:highlight w:val="none"/>
        </w:rPr>
      </w:pPr>
      <w:bookmarkStart w:id="486" w:name="_Toc22521"/>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条 其他</w:t>
      </w:r>
      <w:bookmarkEnd w:id="486"/>
    </w:p>
    <w:p w14:paraId="19647696">
      <w:pPr>
        <w:snapToGrid w:val="0"/>
        <w:spacing w:line="360" w:lineRule="auto"/>
        <w:ind w:firstLine="371" w:firstLineChars="177"/>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1、乙方必须清楚理解：</w:t>
      </w:r>
      <w:r>
        <w:rPr>
          <w:rFonts w:hint="eastAsia" w:ascii="宋体" w:hAnsi="宋体" w:eastAsia="宋体" w:cs="宋体"/>
          <w:color w:val="auto"/>
          <w:sz w:val="21"/>
          <w:szCs w:val="21"/>
          <w:highlight w:val="none"/>
        </w:rPr>
        <w:t>本合同不具排他性，甲方对本合同范围内的具体项目享有自主选择的权利。</w:t>
      </w:r>
      <w:r>
        <w:rPr>
          <w:rFonts w:hint="eastAsia" w:ascii="宋体" w:hAnsi="宋体" w:eastAsia="宋体" w:cs="宋体"/>
          <w:bCs/>
          <w:color w:val="auto"/>
          <w:sz w:val="21"/>
          <w:szCs w:val="21"/>
          <w:highlight w:val="none"/>
        </w:rPr>
        <w:t>本合同仅作为乙方在本合同期限内取得向甲方供应</w:t>
      </w:r>
      <w:r>
        <w:rPr>
          <w:rFonts w:hint="eastAsia" w:ascii="宋体" w:hAnsi="宋体" w:eastAsia="宋体" w:cs="宋体"/>
          <w:b/>
          <w:color w:val="auto"/>
          <w:sz w:val="21"/>
          <w:szCs w:val="21"/>
          <w:highlight w:val="none"/>
        </w:rPr>
        <w:t>液体</w:t>
      </w:r>
      <w:r>
        <w:rPr>
          <w:rFonts w:hint="eastAsia" w:ascii="宋体" w:hAnsi="宋体" w:eastAsia="宋体" w:cs="宋体"/>
          <w:b/>
          <w:color w:val="auto"/>
          <w:sz w:val="21"/>
          <w:szCs w:val="21"/>
          <w:highlight w:val="none"/>
          <w:lang w:val="en-US" w:eastAsia="zh-CN"/>
        </w:rPr>
        <w:t>聚合氯化铝、液体聚合氯化铝铁</w:t>
      </w:r>
      <w:r>
        <w:rPr>
          <w:rFonts w:hint="eastAsia" w:ascii="宋体" w:hAnsi="宋体" w:eastAsia="宋体" w:cs="宋体"/>
          <w:bCs/>
          <w:color w:val="auto"/>
          <w:sz w:val="21"/>
          <w:szCs w:val="21"/>
          <w:highlight w:val="none"/>
        </w:rPr>
        <w:t>的资格，但并不代表乙方必然取得具体运营项目供货的权利。甲方根据乙方资质条件、履约能力和实际履约情况、甲方根据具体运营项目实际需求仍有权另行采购其他第三方进行本合同范围内的货物供货服务。</w:t>
      </w:r>
    </w:p>
    <w:p w14:paraId="4F22164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5E09013A">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有义务配合甲方运营项目进行货物的小试及中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14:paraId="724E73D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4、乙方应提供符合技术指标的药剂，保证供货的药剂在甲方运营项目良好的使用效果。</w:t>
      </w:r>
    </w:p>
    <w:p w14:paraId="3FF3156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5、甲方按本合同约定单方解除合同的，乙方应在收到甲方单方解除合同书面通知之日起30日内与甲方共同确认已完成的供货量及金额，未经甲乙双方共同确认的供货量不得再要求结算。</w:t>
      </w:r>
    </w:p>
    <w:p w14:paraId="4CC9404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6、基于乙方的专业特长，甲方代表（合同签字者）对关于产品质量指标的确认、变更等，仅是程序性行为，并非就是对乙方产品质量责任的免除，乙方仍要对所供的产品承担全部责任。</w:t>
      </w:r>
    </w:p>
    <w:p w14:paraId="67A6B9F5">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7、合同履约过程中，若发现</w:t>
      </w:r>
      <w:r>
        <w:rPr>
          <w:rFonts w:hint="eastAsia" w:ascii="宋体" w:hAnsi="宋体" w:eastAsia="宋体" w:cs="宋体"/>
          <w:b/>
          <w:bCs/>
          <w:color w:val="auto"/>
          <w:kern w:val="2"/>
          <w:sz w:val="21"/>
          <w:szCs w:val="21"/>
          <w:highlight w:val="none"/>
          <w:lang w:val="zh-CN"/>
        </w:rPr>
        <w:t>同一种货物或服务存在有选择性的报价或</w:t>
      </w:r>
      <w:r>
        <w:rPr>
          <w:rFonts w:hint="eastAsia" w:ascii="宋体" w:hAnsi="宋体" w:eastAsia="宋体" w:cs="宋体"/>
          <w:b/>
          <w:bCs/>
          <w:color w:val="auto"/>
          <w:sz w:val="21"/>
          <w:szCs w:val="21"/>
          <w:highlight w:val="none"/>
          <w:lang w:val="zh-CN"/>
        </w:rPr>
        <w:t>不是固定的报价的</w:t>
      </w:r>
      <w:r>
        <w:rPr>
          <w:rFonts w:hint="eastAsia" w:ascii="宋体" w:hAnsi="宋体" w:eastAsia="宋体" w:cs="宋体"/>
          <w:b/>
          <w:bCs/>
          <w:color w:val="auto"/>
          <w:kern w:val="2"/>
          <w:sz w:val="21"/>
          <w:szCs w:val="21"/>
          <w:highlight w:val="none"/>
          <w:lang w:val="zh-CN"/>
        </w:rPr>
        <w:t>，或存在</w:t>
      </w:r>
      <w:r>
        <w:rPr>
          <w:rFonts w:hint="eastAsia" w:ascii="宋体" w:hAnsi="宋体" w:eastAsia="宋体" w:cs="宋体"/>
          <w:b/>
          <w:bCs/>
          <w:color w:val="auto"/>
          <w:sz w:val="21"/>
          <w:szCs w:val="21"/>
          <w:highlight w:val="none"/>
        </w:rPr>
        <w:t>多种理解方式的情况发生时，按最有利甲方的方式解释。</w:t>
      </w:r>
    </w:p>
    <w:p w14:paraId="4DA4DBBE">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8、合同所有附件及本项目的招标文件、答疑文件、投标文件、补充通知及相关承诺、协议等均为本合同有效组成部分，与本合同同具法律效力，该等文件与本合同正文约定不一致的，以有利于甲方的约定为准。</w:t>
      </w:r>
    </w:p>
    <w:p w14:paraId="6A360A3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3日内书面告知甲方，否则甲方仍按合同中列明的乙方“地址”发出相关通知、函件等并视为有效送达。</w:t>
      </w:r>
    </w:p>
    <w:p w14:paraId="58ACC49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、本合同壹式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份，均具有同等法律效力。</w:t>
      </w:r>
    </w:p>
    <w:p w14:paraId="39DCEC9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lang w:val="en-US" w:eastAsia="zh-CN"/>
        </w:rPr>
        <w:t>甲乙</w:t>
      </w:r>
      <w:r>
        <w:rPr>
          <w:rFonts w:hint="eastAsia" w:ascii="宋体" w:hAnsi="宋体" w:eastAsia="宋体" w:cs="宋体"/>
          <w:color w:val="auto"/>
          <w:sz w:val="21"/>
          <w:szCs w:val="21"/>
          <w:highlight w:val="none"/>
        </w:rPr>
        <w:t>双方盖章、并经</w:t>
      </w:r>
      <w:r>
        <w:rPr>
          <w:rFonts w:hint="eastAsia" w:ascii="宋体" w:hAnsi="宋体" w:eastAsia="宋体" w:cs="宋体"/>
          <w:color w:val="auto"/>
          <w:sz w:val="21"/>
          <w:szCs w:val="21"/>
          <w:highlight w:val="none"/>
          <w:lang w:val="en-US" w:eastAsia="zh-CN"/>
        </w:rPr>
        <w:t>双方</w:t>
      </w:r>
      <w:r>
        <w:rPr>
          <w:rFonts w:hint="eastAsia" w:ascii="宋体" w:hAnsi="宋体" w:eastAsia="宋体" w:cs="宋体"/>
          <w:color w:val="auto"/>
          <w:sz w:val="21"/>
          <w:szCs w:val="21"/>
          <w:highlight w:val="none"/>
        </w:rPr>
        <w:t>法定代表人签字之日起生效。</w:t>
      </w:r>
    </w:p>
    <w:p w14:paraId="05C96963">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、本合同未尽事宜，由双方协商处理。</w:t>
      </w:r>
    </w:p>
    <w:p w14:paraId="4AA4775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、合同附件：1.用户需求书；</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.廉洁协议书；</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.安全生产管理协议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4.分项报价表</w:t>
      </w:r>
      <w:r>
        <w:rPr>
          <w:rFonts w:hint="eastAsia" w:ascii="宋体" w:hAnsi="宋体" w:eastAsia="宋体" w:cs="宋体"/>
          <w:color w:val="auto"/>
          <w:sz w:val="21"/>
          <w:szCs w:val="21"/>
          <w:highlight w:val="none"/>
        </w:rPr>
        <w:t>。</w:t>
      </w:r>
    </w:p>
    <w:p w14:paraId="69570DA3">
      <w:pPr>
        <w:spacing w:line="360" w:lineRule="auto"/>
        <w:ind w:left="317" w:hanging="527"/>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（以下无正文内容为签字盖章页）</w:t>
      </w:r>
    </w:p>
    <w:p w14:paraId="72D4DFC9">
      <w:pPr>
        <w:ind w:firstLine="420" w:firstLineChars="200"/>
        <w:rPr>
          <w:rFonts w:hint="eastAsia" w:ascii="宋体" w:hAnsi="宋体" w:eastAsia="宋体" w:cs="宋体"/>
          <w:color w:val="auto"/>
          <w:sz w:val="21"/>
          <w:szCs w:val="21"/>
          <w:highlight w:val="none"/>
        </w:rPr>
      </w:pPr>
    </w:p>
    <w:p w14:paraId="2EEF6F13">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甲方</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甲方2</w:t>
      </w:r>
      <w:r>
        <w:rPr>
          <w:rFonts w:hint="eastAsia" w:ascii="宋体" w:hAnsi="宋体" w:eastAsia="宋体" w:cs="宋体"/>
          <w:b/>
          <w:color w:val="auto"/>
          <w:sz w:val="21"/>
          <w:szCs w:val="21"/>
          <w:highlight w:val="none"/>
        </w:rPr>
        <w:t>：</w:t>
      </w:r>
    </w:p>
    <w:p w14:paraId="0114E123">
      <w:pPr>
        <w:snapToGrid w:val="0"/>
        <w:spacing w:line="360" w:lineRule="auto"/>
        <w:ind w:firstLine="424" w:firstLineChars="202"/>
        <w:rPr>
          <w:rFonts w:hint="eastAsia" w:ascii="宋体" w:hAnsi="宋体" w:eastAsia="宋体" w:cs="宋体"/>
          <w:color w:val="auto"/>
          <w:sz w:val="21"/>
          <w:szCs w:val="21"/>
          <w:highlight w:val="none"/>
        </w:rPr>
      </w:pPr>
    </w:p>
    <w:p w14:paraId="1D4317F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法定代表人：                           </w:t>
      </w:r>
    </w:p>
    <w:p w14:paraId="68F1195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地址：</w:t>
      </w:r>
    </w:p>
    <w:p w14:paraId="4D5CFBD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p>
    <w:p w14:paraId="6900808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传真：</w:t>
      </w:r>
    </w:p>
    <w:p w14:paraId="209FEB6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开户银行：</w:t>
      </w:r>
    </w:p>
    <w:p w14:paraId="79B3836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银行账户：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银行账户：</w:t>
      </w:r>
    </w:p>
    <w:p w14:paraId="50957E2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银行账号：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银行账号：</w:t>
      </w:r>
    </w:p>
    <w:p w14:paraId="09483CED">
      <w:pPr>
        <w:snapToGrid w:val="0"/>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FEA97B2">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甲方</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甲方4</w:t>
      </w:r>
      <w:r>
        <w:rPr>
          <w:rFonts w:hint="eastAsia" w:ascii="宋体" w:hAnsi="宋体" w:eastAsia="宋体" w:cs="宋体"/>
          <w:b/>
          <w:color w:val="auto"/>
          <w:sz w:val="21"/>
          <w:szCs w:val="21"/>
          <w:highlight w:val="none"/>
        </w:rPr>
        <w:t>：</w:t>
      </w:r>
    </w:p>
    <w:p w14:paraId="3D9FD53A">
      <w:pPr>
        <w:snapToGrid w:val="0"/>
        <w:spacing w:line="360" w:lineRule="auto"/>
        <w:ind w:firstLine="424" w:firstLineChars="202"/>
        <w:rPr>
          <w:rFonts w:hint="eastAsia" w:ascii="宋体" w:hAnsi="宋体" w:eastAsia="宋体" w:cs="宋体"/>
          <w:color w:val="auto"/>
          <w:sz w:val="21"/>
          <w:szCs w:val="21"/>
          <w:highlight w:val="none"/>
        </w:rPr>
      </w:pPr>
    </w:p>
    <w:p w14:paraId="6A060B2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法定代表人：                           </w:t>
      </w:r>
    </w:p>
    <w:p w14:paraId="1F540D3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地址：</w:t>
      </w:r>
    </w:p>
    <w:p w14:paraId="12C4D1B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p>
    <w:p w14:paraId="7C81861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传真：</w:t>
      </w:r>
    </w:p>
    <w:p w14:paraId="13DF570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开户银行：</w:t>
      </w:r>
    </w:p>
    <w:p w14:paraId="587F23D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银行账户：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银行账户：</w:t>
      </w:r>
    </w:p>
    <w:p w14:paraId="2E7234F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银行账号：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银行账号：</w:t>
      </w:r>
    </w:p>
    <w:p w14:paraId="6397AEFC">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A5362F5">
      <w:pPr>
        <w:snapToGrid/>
        <w:spacing w:line="240" w:lineRule="auto"/>
        <w:ind w:firstLine="420" w:firstLineChars="200"/>
        <w:rPr>
          <w:rFonts w:hint="eastAsia" w:ascii="宋体" w:hAnsi="宋体" w:eastAsia="宋体" w:cs="宋体"/>
          <w:color w:val="auto"/>
          <w:sz w:val="21"/>
          <w:szCs w:val="21"/>
          <w:highlight w:val="none"/>
        </w:rPr>
      </w:pPr>
    </w:p>
    <w:p w14:paraId="28B621CF">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甲方</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甲方6</w:t>
      </w:r>
      <w:r>
        <w:rPr>
          <w:rFonts w:hint="eastAsia" w:ascii="宋体" w:hAnsi="宋体" w:eastAsia="宋体" w:cs="宋体"/>
          <w:b/>
          <w:color w:val="auto"/>
          <w:sz w:val="21"/>
          <w:szCs w:val="21"/>
          <w:highlight w:val="none"/>
        </w:rPr>
        <w:t>：</w:t>
      </w:r>
    </w:p>
    <w:p w14:paraId="0DCD7EA3">
      <w:pPr>
        <w:snapToGrid w:val="0"/>
        <w:spacing w:line="360" w:lineRule="auto"/>
        <w:ind w:firstLine="424" w:firstLineChars="202"/>
        <w:rPr>
          <w:rFonts w:hint="eastAsia" w:ascii="宋体" w:hAnsi="宋体" w:eastAsia="宋体" w:cs="宋体"/>
          <w:color w:val="auto"/>
          <w:sz w:val="21"/>
          <w:szCs w:val="21"/>
          <w:highlight w:val="none"/>
        </w:rPr>
      </w:pPr>
    </w:p>
    <w:p w14:paraId="7085A71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法定代表人：                           </w:t>
      </w:r>
    </w:p>
    <w:p w14:paraId="374D63A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地址：</w:t>
      </w:r>
    </w:p>
    <w:p w14:paraId="061B32F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p>
    <w:p w14:paraId="538DC1E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传真：</w:t>
      </w:r>
    </w:p>
    <w:p w14:paraId="0A85F37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开户银行：</w:t>
      </w:r>
    </w:p>
    <w:p w14:paraId="273F821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银行账户：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银行账户：</w:t>
      </w:r>
    </w:p>
    <w:p w14:paraId="6874661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银行账号：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银行账号：</w:t>
      </w:r>
    </w:p>
    <w:p w14:paraId="118D762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778A842">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乙方</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w:t>
      </w:r>
    </w:p>
    <w:p w14:paraId="7FC9D1A3">
      <w:pPr>
        <w:snapToGrid w:val="0"/>
        <w:spacing w:line="360" w:lineRule="auto"/>
        <w:ind w:firstLine="424" w:firstLineChars="202"/>
        <w:rPr>
          <w:rFonts w:hint="eastAsia" w:ascii="宋体" w:hAnsi="宋体" w:eastAsia="宋体" w:cs="宋体"/>
          <w:color w:val="auto"/>
          <w:sz w:val="21"/>
          <w:szCs w:val="21"/>
          <w:highlight w:val="none"/>
        </w:rPr>
      </w:pPr>
    </w:p>
    <w:p w14:paraId="7FAA64A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p>
    <w:p w14:paraId="704A8C2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lang w:val="en-US" w:eastAsia="zh-CN"/>
        </w:rPr>
        <w:t xml:space="preserve">    </w:t>
      </w:r>
    </w:p>
    <w:p w14:paraId="00C92CC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r>
        <w:rPr>
          <w:rFonts w:hint="eastAsia" w:ascii="宋体" w:hAnsi="宋体" w:eastAsia="宋体" w:cs="宋体"/>
          <w:color w:val="auto"/>
          <w:sz w:val="21"/>
          <w:szCs w:val="21"/>
          <w:highlight w:val="none"/>
          <w:lang w:val="en-US" w:eastAsia="zh-CN"/>
        </w:rPr>
        <w:t xml:space="preserve">    </w:t>
      </w:r>
    </w:p>
    <w:p w14:paraId="3C218D9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传真：                                  </w:t>
      </w:r>
      <w:r>
        <w:rPr>
          <w:rFonts w:hint="eastAsia" w:ascii="宋体" w:hAnsi="宋体" w:eastAsia="宋体" w:cs="宋体"/>
          <w:color w:val="auto"/>
          <w:sz w:val="21"/>
          <w:szCs w:val="21"/>
          <w:highlight w:val="none"/>
          <w:lang w:val="en-US" w:eastAsia="zh-CN"/>
        </w:rPr>
        <w:t xml:space="preserve">    </w:t>
      </w:r>
    </w:p>
    <w:p w14:paraId="0C07DA3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r>
        <w:rPr>
          <w:rFonts w:hint="eastAsia" w:ascii="宋体" w:hAnsi="宋体" w:eastAsia="宋体" w:cs="宋体"/>
          <w:color w:val="auto"/>
          <w:sz w:val="21"/>
          <w:szCs w:val="21"/>
          <w:highlight w:val="none"/>
          <w:lang w:val="en-US" w:eastAsia="zh-CN"/>
        </w:rPr>
        <w:t xml:space="preserve">    </w:t>
      </w:r>
    </w:p>
    <w:p w14:paraId="56293BF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银行账户：                              </w:t>
      </w:r>
      <w:r>
        <w:rPr>
          <w:rFonts w:hint="eastAsia" w:ascii="宋体" w:hAnsi="宋体" w:eastAsia="宋体" w:cs="宋体"/>
          <w:color w:val="auto"/>
          <w:sz w:val="21"/>
          <w:szCs w:val="21"/>
          <w:highlight w:val="none"/>
          <w:lang w:val="en-US" w:eastAsia="zh-CN"/>
        </w:rPr>
        <w:t xml:space="preserve">    </w:t>
      </w:r>
    </w:p>
    <w:p w14:paraId="1277EC8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银行账号：                              </w:t>
      </w:r>
      <w:r>
        <w:rPr>
          <w:rFonts w:hint="eastAsia" w:ascii="宋体" w:hAnsi="宋体" w:eastAsia="宋体" w:cs="宋体"/>
          <w:color w:val="auto"/>
          <w:sz w:val="21"/>
          <w:szCs w:val="21"/>
          <w:highlight w:val="none"/>
          <w:lang w:val="en-US" w:eastAsia="zh-CN"/>
        </w:rPr>
        <w:t xml:space="preserve">    </w:t>
      </w:r>
    </w:p>
    <w:p w14:paraId="773F0665">
      <w:pPr>
        <w:snapToGrid w:val="0"/>
        <w:spacing w:line="360" w:lineRule="auto"/>
        <w:ind w:firstLine="420" w:firstLineChars="200"/>
        <w:rPr>
          <w:rFonts w:hint="eastAsia" w:ascii="宋体" w:hAnsi="宋体" w:eastAsia="宋体" w:cs="宋体"/>
          <w:color w:val="auto"/>
          <w:sz w:val="21"/>
          <w:szCs w:val="21"/>
          <w:highlight w:val="none"/>
        </w:rPr>
      </w:pPr>
    </w:p>
    <w:p w14:paraId="27922E6D">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签约日期：</w:t>
      </w:r>
    </w:p>
    <w:p w14:paraId="28C34937">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签约地点：</w:t>
      </w:r>
    </w:p>
    <w:p w14:paraId="627C1D28">
      <w:pPr>
        <w:pageBreakBefore/>
        <w:spacing w:line="360" w:lineRule="auto"/>
        <w:rPr>
          <w:rFonts w:hint="eastAsia" w:ascii="宋体" w:hAnsi="宋体" w:eastAsia="宋体" w:cs="宋体"/>
          <w:b/>
          <w:color w:val="auto"/>
          <w:szCs w:val="22"/>
          <w:highlight w:val="none"/>
        </w:rPr>
      </w:pPr>
      <w:r>
        <w:rPr>
          <w:rFonts w:hint="eastAsia" w:ascii="宋体" w:hAnsi="宋体" w:eastAsia="宋体" w:cs="宋体"/>
          <w:b/>
          <w:color w:val="auto"/>
          <w:szCs w:val="22"/>
          <w:highlight w:val="none"/>
        </w:rPr>
        <w:t>附件</w:t>
      </w:r>
      <w:r>
        <w:rPr>
          <w:rFonts w:hint="eastAsia" w:ascii="宋体" w:hAnsi="宋体" w:eastAsia="宋体" w:cs="宋体"/>
          <w:b/>
          <w:color w:val="auto"/>
          <w:szCs w:val="22"/>
          <w:highlight w:val="none"/>
          <w:lang w:val="en-US" w:eastAsia="zh-CN"/>
        </w:rPr>
        <w:t>2</w:t>
      </w:r>
      <w:r>
        <w:rPr>
          <w:rFonts w:hint="eastAsia" w:ascii="宋体" w:hAnsi="宋体" w:eastAsia="宋体" w:cs="宋体"/>
          <w:b/>
          <w:color w:val="auto"/>
          <w:szCs w:val="22"/>
          <w:highlight w:val="none"/>
        </w:rPr>
        <w:t>：廉洁协议书</w:t>
      </w:r>
    </w:p>
    <w:p w14:paraId="68DD4CBC">
      <w:pPr>
        <w:spacing w:line="360" w:lineRule="auto"/>
        <w:jc w:val="center"/>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rPr>
        <w:t>廉洁协议书</w:t>
      </w:r>
    </w:p>
    <w:p w14:paraId="7C5CA647">
      <w:pPr>
        <w:spacing w:line="360" w:lineRule="auto"/>
        <w:rPr>
          <w:rFonts w:hint="eastAsia" w:ascii="宋体" w:hAnsi="宋体" w:eastAsia="宋体" w:cs="宋体"/>
          <w:color w:val="auto"/>
          <w:sz w:val="21"/>
          <w:szCs w:val="21"/>
          <w:highlight w:val="none"/>
        </w:rPr>
      </w:pPr>
    </w:p>
    <w:p w14:paraId="76597C3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Cs w:val="21"/>
          <w:highlight w:val="none"/>
        </w:rPr>
        <w:t>东莞市水务环境投资控股集团净水有限公司2026年-2027年生产药剂液体聚合氯化铝、液体聚合氯化铝铁采购项目</w:t>
      </w: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p>
    <w:p w14:paraId="685ADBB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（业主单位）：</w:t>
      </w:r>
    </w:p>
    <w:p w14:paraId="32FB52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（业主单位）：</w:t>
      </w:r>
    </w:p>
    <w:p w14:paraId="72CDF0A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（业主单位）：</w:t>
      </w:r>
    </w:p>
    <w:p w14:paraId="6C3D795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（业主单位）：</w:t>
      </w:r>
    </w:p>
    <w:p w14:paraId="6E8B8AE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（业主单位）：</w:t>
      </w:r>
    </w:p>
    <w:p w14:paraId="5FF9F40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（业主单位）：</w:t>
      </w:r>
    </w:p>
    <w:p w14:paraId="664F1A7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（以下统称为“甲方”）</w:t>
      </w:r>
      <w:r>
        <w:rPr>
          <w:rFonts w:hint="eastAsia" w:ascii="宋体" w:hAnsi="宋体" w:eastAsia="宋体" w:cs="宋体"/>
          <w:color w:val="auto"/>
          <w:sz w:val="21"/>
          <w:szCs w:val="21"/>
          <w:highlight w:val="none"/>
        </w:rPr>
        <w:t xml:space="preserve"> </w:t>
      </w:r>
    </w:p>
    <w:p w14:paraId="1A60D21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 </w:t>
      </w:r>
    </w:p>
    <w:p w14:paraId="6349C22F">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1A43A0EE">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甲乙双方的权利和义务</w:t>
      </w:r>
    </w:p>
    <w:p w14:paraId="16851196">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5510D169">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7E60FDA7">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4ECCD8CE">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31D47DBD">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4B6FB356">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31BA57A4">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甲方的义务</w:t>
      </w:r>
    </w:p>
    <w:p w14:paraId="64215BD8">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30346C2D">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663FFDE6">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35C73E5D">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410E199E">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1D09FF50">
      <w:pPr>
        <w:spacing w:line="360" w:lineRule="auto"/>
        <w:ind w:firstLine="478" w:firstLineChars="228"/>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53806B88">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520B3E6A">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14:paraId="569B083B">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74C59794">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4A112DBF">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68B69CB6">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448F8390">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775442B4">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04E5CE33">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2C03FC6">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14:paraId="265E010C">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（一）甲方违反本协议第一、第二条给乙方单位造成经济损失的，应予以赔偿。</w:t>
      </w:r>
    </w:p>
    <w:p w14:paraId="4C7BE728">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（二）乙方违反本协议第一、第三条给甲方单位造成经济损失的，应予以赔偿。</w:t>
      </w:r>
    </w:p>
    <w:p w14:paraId="7F05D214">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监督检查</w:t>
      </w:r>
    </w:p>
    <w:p w14:paraId="63E22E50">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60166DB3">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第六条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举报信访受理</w:t>
      </w:r>
    </w:p>
    <w:p w14:paraId="02016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（一）举报受理部门：</w:t>
      </w:r>
      <w:r>
        <w:rPr>
          <w:rFonts w:hint="eastAsia" w:ascii="宋体" w:hAnsi="宋体" w:eastAsia="宋体" w:cs="宋体"/>
          <w:color w:val="auto"/>
          <w:szCs w:val="21"/>
          <w:highlight w:val="none"/>
          <w:lang w:eastAsia="zh-CN"/>
        </w:rPr>
        <w:t>东莞市水务环境投资控股集团有限公司</w:t>
      </w:r>
      <w:r>
        <w:rPr>
          <w:rFonts w:hint="eastAsia" w:ascii="宋体" w:hAnsi="宋体" w:eastAsia="宋体" w:cs="宋体"/>
          <w:color w:val="auto"/>
          <w:szCs w:val="21"/>
          <w:highlight w:val="none"/>
        </w:rPr>
        <w:t>纪检监察部。</w:t>
      </w:r>
    </w:p>
    <w:p w14:paraId="42FD4B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723093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rFonts w:hint="eastAsia" w:ascii="宋体" w:hAnsi="宋体" w:eastAsia="宋体" w:cs="宋体"/>
          <w:color w:val="auto"/>
          <w:szCs w:val="22"/>
          <w:highlight w:val="none"/>
        </w:rPr>
        <w:fldChar w:fldCharType="begin"/>
      </w:r>
      <w:r>
        <w:rPr>
          <w:rFonts w:hint="eastAsia" w:ascii="宋体" w:hAnsi="宋体" w:eastAsia="宋体" w:cs="宋体"/>
          <w:color w:val="auto"/>
          <w:szCs w:val="22"/>
          <w:highlight w:val="none"/>
        </w:rPr>
        <w:instrText xml:space="preserve"> HYPERLINK "mailto:jcsj@dgswjt.cn。" </w:instrText>
      </w:r>
      <w:r>
        <w:rPr>
          <w:rFonts w:hint="eastAsia" w:ascii="宋体" w:hAnsi="宋体" w:eastAsia="宋体" w:cs="宋体"/>
          <w:color w:val="auto"/>
          <w:szCs w:val="22"/>
          <w:highlight w:val="none"/>
        </w:rPr>
        <w:fldChar w:fldCharType="separate"/>
      </w:r>
      <w:r>
        <w:rPr>
          <w:rFonts w:hint="eastAsia" w:ascii="宋体" w:hAnsi="宋体" w:eastAsia="宋体" w:cs="宋体"/>
          <w:color w:val="auto"/>
          <w:sz w:val="21"/>
          <w:szCs w:val="21"/>
          <w:highlight w:val="none"/>
          <w:u w:val="none"/>
        </w:rPr>
        <w:t>jcsj@dgswjt.cn。</w:t>
      </w:r>
      <w:r>
        <w:rPr>
          <w:rFonts w:hint="eastAsia" w:ascii="宋体" w:hAnsi="宋体" w:eastAsia="宋体" w:cs="宋体"/>
          <w:color w:val="auto"/>
          <w:sz w:val="21"/>
          <w:szCs w:val="21"/>
          <w:highlight w:val="none"/>
          <w:u w:val="none"/>
        </w:rPr>
        <w:fldChar w:fldCharType="end"/>
      </w:r>
    </w:p>
    <w:p w14:paraId="10F8348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（四）信访地址：广东省东莞市东城街道育华路1号。</w:t>
      </w:r>
    </w:p>
    <w:p w14:paraId="09F96618">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条  其他</w:t>
      </w:r>
    </w:p>
    <w:p w14:paraId="493EF393">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本协议有效期为甲乙双方盖章、并经</w:t>
      </w:r>
      <w:r>
        <w:rPr>
          <w:rFonts w:hint="eastAsia" w:ascii="宋体" w:hAnsi="宋体" w:eastAsia="宋体" w:cs="宋体"/>
          <w:color w:val="auto"/>
          <w:sz w:val="21"/>
          <w:szCs w:val="21"/>
          <w:highlight w:val="none"/>
          <w:lang w:val="en-US" w:eastAsia="zh-CN"/>
        </w:rPr>
        <w:t>双</w:t>
      </w:r>
      <w:r>
        <w:rPr>
          <w:rFonts w:hint="eastAsia" w:ascii="宋体" w:hAnsi="宋体" w:eastAsia="宋体" w:cs="宋体"/>
          <w:color w:val="auto"/>
          <w:sz w:val="21"/>
          <w:szCs w:val="21"/>
          <w:highlight w:val="none"/>
        </w:rPr>
        <w:t>方法定代表人签字之日起至该采购项目</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验收完毕，质保期/供货期满后止。本协议一式   份，甲、乙双方各执   份，甲、乙双方上级主管部门各执   份。</w:t>
      </w:r>
    </w:p>
    <w:p w14:paraId="1C452C16">
      <w:pPr>
        <w:spacing w:line="360" w:lineRule="auto"/>
        <w:ind w:firstLine="478" w:firstLineChars="228"/>
        <w:rPr>
          <w:rFonts w:hint="eastAsia" w:ascii="宋体" w:hAnsi="宋体" w:eastAsia="宋体" w:cs="宋体"/>
          <w:color w:val="auto"/>
          <w:sz w:val="21"/>
          <w:szCs w:val="21"/>
          <w:highlight w:val="none"/>
        </w:rPr>
      </w:pPr>
    </w:p>
    <w:p w14:paraId="7AE0AD29">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（盖章）：                           </w:t>
      </w:r>
      <w:r>
        <w:rPr>
          <w:rFonts w:hint="eastAsia" w:ascii="宋体" w:hAnsi="宋体" w:eastAsia="宋体" w:cs="宋体"/>
          <w:color w:val="auto"/>
          <w:sz w:val="21"/>
          <w:szCs w:val="21"/>
          <w:highlight w:val="none"/>
          <w:lang w:val="en-US" w:eastAsia="zh-CN"/>
        </w:rPr>
        <w:t>甲方2</w:t>
      </w:r>
      <w:r>
        <w:rPr>
          <w:rFonts w:hint="eastAsia" w:ascii="宋体" w:hAnsi="宋体" w:eastAsia="宋体" w:cs="宋体"/>
          <w:color w:val="auto"/>
          <w:sz w:val="21"/>
          <w:szCs w:val="21"/>
          <w:highlight w:val="none"/>
        </w:rPr>
        <w:t xml:space="preserve">（盖章）： </w:t>
      </w:r>
    </w:p>
    <w:p w14:paraId="1721C151">
      <w:pPr>
        <w:spacing w:line="360" w:lineRule="auto"/>
        <w:ind w:firstLine="478" w:firstLineChars="228"/>
        <w:rPr>
          <w:rFonts w:hint="eastAsia" w:ascii="宋体" w:hAnsi="宋体" w:eastAsia="宋体" w:cs="宋体"/>
          <w:color w:val="auto"/>
          <w:sz w:val="21"/>
          <w:szCs w:val="21"/>
          <w:highlight w:val="none"/>
        </w:rPr>
      </w:pPr>
    </w:p>
    <w:p w14:paraId="2916942E">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法定代表人：</w:t>
      </w:r>
    </w:p>
    <w:p w14:paraId="2F770C7B">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代表：                               </w:t>
      </w:r>
      <w:r>
        <w:rPr>
          <w:rFonts w:hint="eastAsia" w:ascii="宋体" w:hAnsi="宋体" w:eastAsia="宋体" w:cs="宋体"/>
          <w:color w:val="auto"/>
          <w:sz w:val="21"/>
          <w:szCs w:val="21"/>
          <w:highlight w:val="none"/>
          <w:lang w:val="en-US" w:eastAsia="zh-CN"/>
        </w:rPr>
        <w:t>甲方2</w:t>
      </w:r>
      <w:r>
        <w:rPr>
          <w:rFonts w:hint="eastAsia" w:ascii="宋体" w:hAnsi="宋体" w:eastAsia="宋体" w:cs="宋体"/>
          <w:color w:val="auto"/>
          <w:sz w:val="21"/>
          <w:szCs w:val="21"/>
          <w:highlight w:val="none"/>
        </w:rPr>
        <w:t>代表：</w:t>
      </w:r>
    </w:p>
    <w:p w14:paraId="2EBEF503">
      <w:pPr>
        <w:spacing w:line="360" w:lineRule="auto"/>
        <w:ind w:firstLine="478" w:firstLineChars="228"/>
        <w:rPr>
          <w:rFonts w:hint="eastAsia" w:ascii="宋体" w:hAnsi="宋体" w:eastAsia="宋体" w:cs="宋体"/>
          <w:color w:val="auto"/>
          <w:sz w:val="21"/>
          <w:szCs w:val="21"/>
          <w:highlight w:val="none"/>
        </w:rPr>
      </w:pPr>
    </w:p>
    <w:p w14:paraId="3DCA6A6B">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（盖章）：                           </w:t>
      </w:r>
      <w:r>
        <w:rPr>
          <w:rFonts w:hint="eastAsia" w:ascii="宋体" w:hAnsi="宋体" w:eastAsia="宋体" w:cs="宋体"/>
          <w:color w:val="auto"/>
          <w:sz w:val="21"/>
          <w:szCs w:val="21"/>
          <w:highlight w:val="none"/>
          <w:lang w:val="en-US" w:eastAsia="zh-CN"/>
        </w:rPr>
        <w:t>甲方4</w:t>
      </w:r>
      <w:r>
        <w:rPr>
          <w:rFonts w:hint="eastAsia" w:ascii="宋体" w:hAnsi="宋体" w:eastAsia="宋体" w:cs="宋体"/>
          <w:color w:val="auto"/>
          <w:sz w:val="21"/>
          <w:szCs w:val="21"/>
          <w:highlight w:val="none"/>
        </w:rPr>
        <w:t xml:space="preserve">（盖章）： </w:t>
      </w:r>
    </w:p>
    <w:p w14:paraId="0C050DF6">
      <w:pPr>
        <w:spacing w:line="360" w:lineRule="auto"/>
        <w:ind w:firstLine="478" w:firstLineChars="228"/>
        <w:rPr>
          <w:rFonts w:hint="eastAsia" w:ascii="宋体" w:hAnsi="宋体" w:eastAsia="宋体" w:cs="宋体"/>
          <w:color w:val="auto"/>
          <w:sz w:val="21"/>
          <w:szCs w:val="21"/>
          <w:highlight w:val="none"/>
        </w:rPr>
      </w:pPr>
    </w:p>
    <w:p w14:paraId="26DFFDEC">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法定代表人：</w:t>
      </w:r>
    </w:p>
    <w:p w14:paraId="37FCBB6A">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代表：                             </w:t>
      </w:r>
      <w:r>
        <w:rPr>
          <w:rFonts w:hint="eastAsia" w:ascii="宋体" w:hAnsi="宋体" w:eastAsia="宋体" w:cs="宋体"/>
          <w:color w:val="auto"/>
          <w:sz w:val="21"/>
          <w:szCs w:val="21"/>
          <w:highlight w:val="none"/>
          <w:lang w:val="en-US" w:eastAsia="zh-CN"/>
        </w:rPr>
        <w:t xml:space="preserve"> 甲方4</w:t>
      </w:r>
      <w:r>
        <w:rPr>
          <w:rFonts w:hint="eastAsia" w:ascii="宋体" w:hAnsi="宋体" w:eastAsia="宋体" w:cs="宋体"/>
          <w:color w:val="auto"/>
          <w:sz w:val="21"/>
          <w:szCs w:val="21"/>
          <w:highlight w:val="none"/>
        </w:rPr>
        <w:t>代表：</w:t>
      </w:r>
    </w:p>
    <w:p w14:paraId="6519D8B1">
      <w:pPr>
        <w:spacing w:line="360" w:lineRule="auto"/>
        <w:ind w:firstLine="478" w:firstLineChars="228"/>
        <w:rPr>
          <w:rFonts w:hint="eastAsia" w:ascii="宋体" w:hAnsi="宋体" w:eastAsia="宋体" w:cs="宋体"/>
          <w:color w:val="auto"/>
          <w:sz w:val="21"/>
          <w:szCs w:val="21"/>
          <w:highlight w:val="none"/>
        </w:rPr>
      </w:pPr>
    </w:p>
    <w:p w14:paraId="1CC6A413">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（盖章）：                           </w:t>
      </w:r>
      <w:r>
        <w:rPr>
          <w:rFonts w:hint="eastAsia" w:ascii="宋体" w:hAnsi="宋体" w:eastAsia="宋体" w:cs="宋体"/>
          <w:color w:val="auto"/>
          <w:sz w:val="21"/>
          <w:szCs w:val="21"/>
          <w:highlight w:val="none"/>
          <w:lang w:val="en-US" w:eastAsia="zh-CN"/>
        </w:rPr>
        <w:t>甲方6</w:t>
      </w:r>
      <w:r>
        <w:rPr>
          <w:rFonts w:hint="eastAsia" w:ascii="宋体" w:hAnsi="宋体" w:eastAsia="宋体" w:cs="宋体"/>
          <w:color w:val="auto"/>
          <w:sz w:val="21"/>
          <w:szCs w:val="21"/>
          <w:highlight w:val="none"/>
        </w:rPr>
        <w:t xml:space="preserve">（盖章）： </w:t>
      </w:r>
    </w:p>
    <w:p w14:paraId="0BE679F4">
      <w:pPr>
        <w:spacing w:line="360" w:lineRule="auto"/>
        <w:ind w:firstLine="478" w:firstLineChars="228"/>
        <w:rPr>
          <w:rFonts w:hint="eastAsia" w:ascii="宋体" w:hAnsi="宋体" w:eastAsia="宋体" w:cs="宋体"/>
          <w:color w:val="auto"/>
          <w:sz w:val="21"/>
          <w:szCs w:val="21"/>
          <w:highlight w:val="none"/>
        </w:rPr>
      </w:pPr>
    </w:p>
    <w:p w14:paraId="7F45E662">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法定代表人：</w:t>
      </w:r>
    </w:p>
    <w:p w14:paraId="17618307">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代表：                             </w:t>
      </w:r>
      <w:r>
        <w:rPr>
          <w:rFonts w:hint="eastAsia" w:ascii="宋体" w:hAnsi="宋体" w:eastAsia="宋体" w:cs="宋体"/>
          <w:color w:val="auto"/>
          <w:sz w:val="21"/>
          <w:szCs w:val="21"/>
          <w:highlight w:val="none"/>
          <w:lang w:val="en-US" w:eastAsia="zh-CN"/>
        </w:rPr>
        <w:t xml:space="preserve"> 甲方6</w:t>
      </w:r>
      <w:r>
        <w:rPr>
          <w:rFonts w:hint="eastAsia" w:ascii="宋体" w:hAnsi="宋体" w:eastAsia="宋体" w:cs="宋体"/>
          <w:color w:val="auto"/>
          <w:sz w:val="21"/>
          <w:szCs w:val="21"/>
          <w:highlight w:val="none"/>
        </w:rPr>
        <w:t>代表：</w:t>
      </w:r>
    </w:p>
    <w:p w14:paraId="65B58730">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p>
    <w:p w14:paraId="4164FB42">
      <w:pPr>
        <w:ind w:firstLine="478" w:firstLineChars="228"/>
        <w:rPr>
          <w:rFonts w:hint="eastAsia" w:ascii="宋体" w:hAnsi="宋体" w:eastAsia="宋体" w:cs="宋体"/>
          <w:color w:val="auto"/>
          <w:sz w:val="21"/>
          <w:szCs w:val="21"/>
          <w:highlight w:val="none"/>
        </w:rPr>
      </w:pPr>
    </w:p>
    <w:p w14:paraId="2623C8A2">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 xml:space="preserve">盖章）：                            </w:t>
      </w:r>
    </w:p>
    <w:p w14:paraId="1795F45A">
      <w:pPr>
        <w:spacing w:line="360" w:lineRule="auto"/>
        <w:ind w:firstLine="478" w:firstLineChars="228"/>
        <w:rPr>
          <w:rFonts w:hint="eastAsia" w:ascii="宋体" w:hAnsi="宋体" w:eastAsia="宋体" w:cs="宋体"/>
          <w:color w:val="auto"/>
          <w:sz w:val="21"/>
          <w:szCs w:val="21"/>
          <w:highlight w:val="none"/>
        </w:rPr>
      </w:pPr>
    </w:p>
    <w:p w14:paraId="4D50A72B">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p w14:paraId="002798E4">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 xml:space="preserve">代表：                             </w:t>
      </w:r>
      <w:r>
        <w:rPr>
          <w:rFonts w:hint="eastAsia" w:ascii="宋体" w:hAnsi="宋体" w:eastAsia="宋体" w:cs="宋体"/>
          <w:color w:val="auto"/>
          <w:sz w:val="21"/>
          <w:szCs w:val="21"/>
          <w:highlight w:val="none"/>
          <w:lang w:val="en-US" w:eastAsia="zh-CN"/>
        </w:rPr>
        <w:t xml:space="preserve"> </w:t>
      </w:r>
    </w:p>
    <w:p w14:paraId="0EA98CE7">
      <w:pPr>
        <w:ind w:firstLine="478" w:firstLineChars="228"/>
        <w:rPr>
          <w:rFonts w:hint="eastAsia" w:ascii="宋体" w:hAnsi="宋体" w:eastAsia="宋体" w:cs="宋体"/>
          <w:color w:val="auto"/>
          <w:sz w:val="21"/>
          <w:szCs w:val="21"/>
          <w:highlight w:val="none"/>
        </w:rPr>
      </w:pPr>
    </w:p>
    <w:p w14:paraId="4C567DBF">
      <w:pPr>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14:paraId="74AB1B5E">
      <w:pPr>
        <w:pageBreakBefore/>
        <w:outlineLvl w:val="9"/>
        <w:rPr>
          <w:rFonts w:hint="eastAsia" w:ascii="宋体" w:hAnsi="宋体" w:eastAsia="宋体" w:cs="宋体"/>
          <w:b/>
          <w:color w:val="auto"/>
          <w:szCs w:val="22"/>
          <w:highlight w:val="none"/>
        </w:rPr>
      </w:pPr>
      <w:r>
        <w:rPr>
          <w:rFonts w:hint="eastAsia" w:ascii="宋体" w:hAnsi="宋体" w:eastAsia="宋体" w:cs="宋体"/>
          <w:b/>
          <w:color w:val="auto"/>
          <w:szCs w:val="22"/>
          <w:highlight w:val="none"/>
        </w:rPr>
        <w:t>附件</w:t>
      </w:r>
      <w:r>
        <w:rPr>
          <w:rFonts w:hint="eastAsia" w:ascii="宋体" w:hAnsi="宋体" w:eastAsia="宋体" w:cs="宋体"/>
          <w:b/>
          <w:color w:val="auto"/>
          <w:szCs w:val="22"/>
          <w:highlight w:val="none"/>
          <w:lang w:val="en-US" w:eastAsia="zh-CN"/>
        </w:rPr>
        <w:t>3</w:t>
      </w:r>
      <w:r>
        <w:rPr>
          <w:rFonts w:hint="eastAsia" w:ascii="宋体" w:hAnsi="宋体" w:eastAsia="宋体" w:cs="宋体"/>
          <w:b/>
          <w:color w:val="auto"/>
          <w:szCs w:val="22"/>
          <w:highlight w:val="none"/>
        </w:rPr>
        <w:t>：安全生产管理协议</w:t>
      </w:r>
    </w:p>
    <w:p w14:paraId="7726B3CA">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
          <w:color w:val="auto"/>
          <w:sz w:val="32"/>
          <w:szCs w:val="21"/>
          <w:highlight w:val="none"/>
        </w:rPr>
        <w:t>安全生产管理协议</w:t>
      </w:r>
    </w:p>
    <w:p w14:paraId="425AC529">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rPr>
        <w:t>甲方</w:t>
      </w:r>
      <w:r>
        <w:rPr>
          <w:rFonts w:hint="eastAsia" w:ascii="仿宋_GB2312" w:hAnsi="仿宋" w:eastAsia="仿宋_GB2312" w:cs="仿宋"/>
          <w:color w:val="auto"/>
          <w:sz w:val="28"/>
          <w:szCs w:val="28"/>
          <w:highlight w:val="none"/>
          <w:lang w:val="en-US" w:eastAsia="zh-CN"/>
        </w:rPr>
        <w:t>1</w:t>
      </w:r>
      <w:r>
        <w:rPr>
          <w:rFonts w:hint="eastAsia" w:ascii="仿宋_GB2312" w:hAnsi="仿宋" w:eastAsia="仿宋_GB2312" w:cs="仿宋"/>
          <w:color w:val="auto"/>
          <w:sz w:val="28"/>
          <w:szCs w:val="28"/>
          <w:highlight w:val="none"/>
        </w:rPr>
        <w:t>：</w:t>
      </w:r>
      <w:r>
        <w:rPr>
          <w:rFonts w:ascii="仿宋_GB2312" w:hAnsi="仿宋" w:eastAsia="仿宋_GB2312" w:cs="仿宋"/>
          <w:color w:val="auto"/>
          <w:sz w:val="28"/>
          <w:szCs w:val="28"/>
          <w:highlight w:val="none"/>
          <w:u w:val="single"/>
        </w:rPr>
        <w:t xml:space="preserve">                                   </w:t>
      </w:r>
    </w:p>
    <w:p w14:paraId="51BDDB24">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rPr>
        <w:t>地址</w:t>
      </w:r>
      <w:r>
        <w:rPr>
          <w:rFonts w:ascii="仿宋_GB2312" w:hAnsi="仿宋" w:eastAsia="仿宋_GB2312" w:cs="仿宋"/>
          <w:color w:val="auto"/>
          <w:sz w:val="28"/>
          <w:szCs w:val="28"/>
          <w:highlight w:val="none"/>
        </w:rPr>
        <w:t xml:space="preserve">: </w:t>
      </w:r>
      <w:r>
        <w:rPr>
          <w:rFonts w:ascii="仿宋_GB2312" w:hAnsi="仿宋" w:eastAsia="仿宋_GB2312" w:cs="仿宋"/>
          <w:color w:val="auto"/>
          <w:sz w:val="28"/>
          <w:szCs w:val="28"/>
          <w:highlight w:val="none"/>
          <w:u w:val="single"/>
        </w:rPr>
        <w:t xml:space="preserve">                                   </w:t>
      </w:r>
    </w:p>
    <w:p w14:paraId="44667DA4">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lang w:val="en-US" w:eastAsia="zh-CN"/>
        </w:rPr>
        <w:t>电话：</w:t>
      </w:r>
      <w:r>
        <w:rPr>
          <w:rFonts w:ascii="仿宋_GB2312" w:hAnsi="仿宋" w:eastAsia="仿宋_GB2312" w:cs="仿宋"/>
          <w:color w:val="auto"/>
          <w:sz w:val="28"/>
          <w:szCs w:val="28"/>
          <w:highlight w:val="none"/>
          <w:u w:val="single"/>
        </w:rPr>
        <w:t xml:space="preserve">                                   </w:t>
      </w:r>
    </w:p>
    <w:p w14:paraId="106B6395">
      <w:pPr>
        <w:spacing w:line="360" w:lineRule="auto"/>
        <w:rPr>
          <w:rFonts w:hint="eastAsia" w:ascii="仿宋_GB2312" w:hAnsi="仿宋" w:eastAsia="仿宋_GB2312" w:cs="仿宋"/>
          <w:color w:val="auto"/>
          <w:sz w:val="28"/>
          <w:szCs w:val="28"/>
          <w:highlight w:val="none"/>
        </w:rPr>
      </w:pPr>
    </w:p>
    <w:p w14:paraId="1ED1F3C6">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rPr>
        <w:t>甲方</w:t>
      </w:r>
      <w:r>
        <w:rPr>
          <w:rFonts w:hint="eastAsia" w:ascii="仿宋_GB2312" w:hAnsi="仿宋" w:eastAsia="仿宋_GB2312" w:cs="仿宋"/>
          <w:color w:val="auto"/>
          <w:sz w:val="28"/>
          <w:szCs w:val="28"/>
          <w:highlight w:val="none"/>
          <w:lang w:val="en-US" w:eastAsia="zh-CN"/>
        </w:rPr>
        <w:t>2</w:t>
      </w:r>
      <w:r>
        <w:rPr>
          <w:rFonts w:hint="eastAsia" w:ascii="仿宋_GB2312" w:hAnsi="仿宋" w:eastAsia="仿宋_GB2312" w:cs="仿宋"/>
          <w:color w:val="auto"/>
          <w:sz w:val="28"/>
          <w:szCs w:val="28"/>
          <w:highlight w:val="none"/>
        </w:rPr>
        <w:t>：</w:t>
      </w:r>
      <w:r>
        <w:rPr>
          <w:rFonts w:ascii="仿宋_GB2312" w:hAnsi="仿宋" w:eastAsia="仿宋_GB2312" w:cs="仿宋"/>
          <w:color w:val="auto"/>
          <w:sz w:val="28"/>
          <w:szCs w:val="28"/>
          <w:highlight w:val="none"/>
          <w:u w:val="single"/>
        </w:rPr>
        <w:t xml:space="preserve">                                   </w:t>
      </w:r>
    </w:p>
    <w:p w14:paraId="313F3EBD">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rPr>
        <w:t>地址</w:t>
      </w:r>
      <w:r>
        <w:rPr>
          <w:rFonts w:ascii="仿宋_GB2312" w:hAnsi="仿宋" w:eastAsia="仿宋_GB2312" w:cs="仿宋"/>
          <w:color w:val="auto"/>
          <w:sz w:val="28"/>
          <w:szCs w:val="28"/>
          <w:highlight w:val="none"/>
        </w:rPr>
        <w:t xml:space="preserve">: </w:t>
      </w:r>
      <w:r>
        <w:rPr>
          <w:rFonts w:ascii="仿宋_GB2312" w:hAnsi="仿宋" w:eastAsia="仿宋_GB2312" w:cs="仿宋"/>
          <w:color w:val="auto"/>
          <w:sz w:val="28"/>
          <w:szCs w:val="28"/>
          <w:highlight w:val="none"/>
          <w:u w:val="single"/>
        </w:rPr>
        <w:t xml:space="preserve">                                   </w:t>
      </w:r>
    </w:p>
    <w:p w14:paraId="5102DC14">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lang w:val="en-US" w:eastAsia="zh-CN"/>
        </w:rPr>
        <w:t>电话：</w:t>
      </w:r>
      <w:r>
        <w:rPr>
          <w:rFonts w:ascii="仿宋_GB2312" w:hAnsi="仿宋" w:eastAsia="仿宋_GB2312" w:cs="仿宋"/>
          <w:color w:val="auto"/>
          <w:sz w:val="28"/>
          <w:szCs w:val="28"/>
          <w:highlight w:val="none"/>
          <w:u w:val="single"/>
        </w:rPr>
        <w:t xml:space="preserve">                                   </w:t>
      </w:r>
    </w:p>
    <w:p w14:paraId="09621C06">
      <w:pPr>
        <w:spacing w:line="360" w:lineRule="auto"/>
        <w:rPr>
          <w:rFonts w:hint="eastAsia" w:ascii="仿宋_GB2312" w:hAnsi="仿宋" w:eastAsia="仿宋_GB2312" w:cs="仿宋"/>
          <w:color w:val="auto"/>
          <w:sz w:val="28"/>
          <w:szCs w:val="28"/>
          <w:highlight w:val="none"/>
        </w:rPr>
      </w:pPr>
    </w:p>
    <w:p w14:paraId="35EA8840">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rPr>
        <w:t>甲方</w:t>
      </w:r>
      <w:r>
        <w:rPr>
          <w:rFonts w:hint="eastAsia" w:ascii="仿宋_GB2312" w:hAnsi="仿宋" w:eastAsia="仿宋_GB2312" w:cs="仿宋"/>
          <w:color w:val="auto"/>
          <w:sz w:val="28"/>
          <w:szCs w:val="28"/>
          <w:highlight w:val="none"/>
          <w:lang w:val="en-US" w:eastAsia="zh-CN"/>
        </w:rPr>
        <w:t>3</w:t>
      </w:r>
      <w:r>
        <w:rPr>
          <w:rFonts w:hint="eastAsia" w:ascii="仿宋_GB2312" w:hAnsi="仿宋" w:eastAsia="仿宋_GB2312" w:cs="仿宋"/>
          <w:color w:val="auto"/>
          <w:sz w:val="28"/>
          <w:szCs w:val="28"/>
          <w:highlight w:val="none"/>
        </w:rPr>
        <w:t>：</w:t>
      </w:r>
      <w:r>
        <w:rPr>
          <w:rFonts w:ascii="仿宋_GB2312" w:hAnsi="仿宋" w:eastAsia="仿宋_GB2312" w:cs="仿宋"/>
          <w:color w:val="auto"/>
          <w:sz w:val="28"/>
          <w:szCs w:val="28"/>
          <w:highlight w:val="none"/>
          <w:u w:val="single"/>
        </w:rPr>
        <w:t xml:space="preserve">                                   </w:t>
      </w:r>
    </w:p>
    <w:p w14:paraId="183BC520">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rPr>
        <w:t>地址</w:t>
      </w:r>
      <w:r>
        <w:rPr>
          <w:rFonts w:ascii="仿宋_GB2312" w:hAnsi="仿宋" w:eastAsia="仿宋_GB2312" w:cs="仿宋"/>
          <w:color w:val="auto"/>
          <w:sz w:val="28"/>
          <w:szCs w:val="28"/>
          <w:highlight w:val="none"/>
        </w:rPr>
        <w:t xml:space="preserve">: </w:t>
      </w:r>
      <w:r>
        <w:rPr>
          <w:rFonts w:ascii="仿宋_GB2312" w:hAnsi="仿宋" w:eastAsia="仿宋_GB2312" w:cs="仿宋"/>
          <w:color w:val="auto"/>
          <w:sz w:val="28"/>
          <w:szCs w:val="28"/>
          <w:highlight w:val="none"/>
          <w:u w:val="single"/>
        </w:rPr>
        <w:t xml:space="preserve">                                   </w:t>
      </w:r>
    </w:p>
    <w:p w14:paraId="1041DE0E">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lang w:val="en-US" w:eastAsia="zh-CN"/>
        </w:rPr>
        <w:t>电话：</w:t>
      </w:r>
      <w:r>
        <w:rPr>
          <w:rFonts w:ascii="仿宋_GB2312" w:hAnsi="仿宋" w:eastAsia="仿宋_GB2312" w:cs="仿宋"/>
          <w:color w:val="auto"/>
          <w:sz w:val="28"/>
          <w:szCs w:val="28"/>
          <w:highlight w:val="none"/>
          <w:u w:val="single"/>
        </w:rPr>
        <w:t xml:space="preserve">                                   </w:t>
      </w:r>
    </w:p>
    <w:p w14:paraId="7829BA90">
      <w:pPr>
        <w:spacing w:line="360" w:lineRule="auto"/>
        <w:rPr>
          <w:rFonts w:hint="default" w:ascii="仿宋_GB2312" w:hAnsi="仿宋" w:eastAsia="仿宋_GB2312" w:cs="仿宋"/>
          <w:color w:val="auto"/>
          <w:sz w:val="28"/>
          <w:szCs w:val="28"/>
          <w:highlight w:val="none"/>
          <w:u w:val="single"/>
          <w:lang w:val="en-US" w:eastAsia="zh-CN"/>
        </w:rPr>
      </w:pPr>
    </w:p>
    <w:p w14:paraId="1985121D">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rPr>
        <w:t>甲方</w:t>
      </w:r>
      <w:r>
        <w:rPr>
          <w:rFonts w:hint="eastAsia" w:ascii="仿宋_GB2312" w:hAnsi="仿宋" w:eastAsia="仿宋_GB2312" w:cs="仿宋"/>
          <w:color w:val="auto"/>
          <w:sz w:val="28"/>
          <w:szCs w:val="28"/>
          <w:highlight w:val="none"/>
          <w:lang w:val="en-US" w:eastAsia="zh-CN"/>
        </w:rPr>
        <w:t>4</w:t>
      </w:r>
      <w:r>
        <w:rPr>
          <w:rFonts w:hint="eastAsia" w:ascii="仿宋_GB2312" w:hAnsi="仿宋" w:eastAsia="仿宋_GB2312" w:cs="仿宋"/>
          <w:color w:val="auto"/>
          <w:sz w:val="28"/>
          <w:szCs w:val="28"/>
          <w:highlight w:val="none"/>
        </w:rPr>
        <w:t>：</w:t>
      </w:r>
      <w:r>
        <w:rPr>
          <w:rFonts w:ascii="仿宋_GB2312" w:hAnsi="仿宋" w:eastAsia="仿宋_GB2312" w:cs="仿宋"/>
          <w:color w:val="auto"/>
          <w:sz w:val="28"/>
          <w:szCs w:val="28"/>
          <w:highlight w:val="none"/>
          <w:u w:val="single"/>
        </w:rPr>
        <w:t xml:space="preserve">                                   </w:t>
      </w:r>
    </w:p>
    <w:p w14:paraId="12BB98AE">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rPr>
        <w:t>地址</w:t>
      </w:r>
      <w:r>
        <w:rPr>
          <w:rFonts w:ascii="仿宋_GB2312" w:hAnsi="仿宋" w:eastAsia="仿宋_GB2312" w:cs="仿宋"/>
          <w:color w:val="auto"/>
          <w:sz w:val="28"/>
          <w:szCs w:val="28"/>
          <w:highlight w:val="none"/>
        </w:rPr>
        <w:t xml:space="preserve">: </w:t>
      </w:r>
      <w:r>
        <w:rPr>
          <w:rFonts w:ascii="仿宋_GB2312" w:hAnsi="仿宋" w:eastAsia="仿宋_GB2312" w:cs="仿宋"/>
          <w:color w:val="auto"/>
          <w:sz w:val="28"/>
          <w:szCs w:val="28"/>
          <w:highlight w:val="none"/>
          <w:u w:val="single"/>
        </w:rPr>
        <w:t xml:space="preserve">                                   </w:t>
      </w:r>
    </w:p>
    <w:p w14:paraId="4B4AA9BE">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lang w:val="en-US" w:eastAsia="zh-CN"/>
        </w:rPr>
        <w:t>电话：</w:t>
      </w:r>
      <w:r>
        <w:rPr>
          <w:rFonts w:ascii="仿宋_GB2312" w:hAnsi="仿宋" w:eastAsia="仿宋_GB2312" w:cs="仿宋"/>
          <w:color w:val="auto"/>
          <w:sz w:val="28"/>
          <w:szCs w:val="28"/>
          <w:highlight w:val="none"/>
          <w:u w:val="single"/>
        </w:rPr>
        <w:t xml:space="preserve">                                   </w:t>
      </w:r>
    </w:p>
    <w:p w14:paraId="7E667658">
      <w:pPr>
        <w:spacing w:line="360" w:lineRule="auto"/>
        <w:rPr>
          <w:rFonts w:hint="eastAsia" w:ascii="仿宋_GB2312" w:hAnsi="仿宋" w:eastAsia="仿宋_GB2312" w:cs="仿宋"/>
          <w:color w:val="auto"/>
          <w:sz w:val="28"/>
          <w:szCs w:val="28"/>
          <w:highlight w:val="none"/>
        </w:rPr>
      </w:pPr>
    </w:p>
    <w:p w14:paraId="30E5ABC2">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rPr>
        <w:t>甲方</w:t>
      </w:r>
      <w:r>
        <w:rPr>
          <w:rFonts w:hint="eastAsia" w:ascii="仿宋_GB2312" w:hAnsi="仿宋" w:eastAsia="仿宋_GB2312" w:cs="仿宋"/>
          <w:color w:val="auto"/>
          <w:sz w:val="28"/>
          <w:szCs w:val="28"/>
          <w:highlight w:val="none"/>
          <w:lang w:val="en-US" w:eastAsia="zh-CN"/>
        </w:rPr>
        <w:t>5</w:t>
      </w:r>
      <w:r>
        <w:rPr>
          <w:rFonts w:hint="eastAsia" w:ascii="仿宋_GB2312" w:hAnsi="仿宋" w:eastAsia="仿宋_GB2312" w:cs="仿宋"/>
          <w:color w:val="auto"/>
          <w:sz w:val="28"/>
          <w:szCs w:val="28"/>
          <w:highlight w:val="none"/>
        </w:rPr>
        <w:t>：</w:t>
      </w:r>
      <w:r>
        <w:rPr>
          <w:rFonts w:ascii="仿宋_GB2312" w:hAnsi="仿宋" w:eastAsia="仿宋_GB2312" w:cs="仿宋"/>
          <w:color w:val="auto"/>
          <w:sz w:val="28"/>
          <w:szCs w:val="28"/>
          <w:highlight w:val="none"/>
          <w:u w:val="single"/>
        </w:rPr>
        <w:t xml:space="preserve">                                   </w:t>
      </w:r>
    </w:p>
    <w:p w14:paraId="2135D3C2">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rPr>
        <w:t>地址</w:t>
      </w:r>
      <w:r>
        <w:rPr>
          <w:rFonts w:ascii="仿宋_GB2312" w:hAnsi="仿宋" w:eastAsia="仿宋_GB2312" w:cs="仿宋"/>
          <w:color w:val="auto"/>
          <w:sz w:val="28"/>
          <w:szCs w:val="28"/>
          <w:highlight w:val="none"/>
        </w:rPr>
        <w:t xml:space="preserve">: </w:t>
      </w:r>
      <w:r>
        <w:rPr>
          <w:rFonts w:ascii="仿宋_GB2312" w:hAnsi="仿宋" w:eastAsia="仿宋_GB2312" w:cs="仿宋"/>
          <w:color w:val="auto"/>
          <w:sz w:val="28"/>
          <w:szCs w:val="28"/>
          <w:highlight w:val="none"/>
          <w:u w:val="single"/>
        </w:rPr>
        <w:t xml:space="preserve">                                   </w:t>
      </w:r>
    </w:p>
    <w:p w14:paraId="19B075C5">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lang w:val="en-US" w:eastAsia="zh-CN"/>
        </w:rPr>
        <w:t>电话：</w:t>
      </w:r>
      <w:r>
        <w:rPr>
          <w:rFonts w:ascii="仿宋_GB2312" w:hAnsi="仿宋" w:eastAsia="仿宋_GB2312" w:cs="仿宋"/>
          <w:color w:val="auto"/>
          <w:sz w:val="28"/>
          <w:szCs w:val="28"/>
          <w:highlight w:val="none"/>
          <w:u w:val="single"/>
        </w:rPr>
        <w:t xml:space="preserve">                                   </w:t>
      </w:r>
    </w:p>
    <w:p w14:paraId="1D61A1E4">
      <w:pPr>
        <w:spacing w:line="360" w:lineRule="auto"/>
        <w:rPr>
          <w:rFonts w:hint="eastAsia" w:ascii="仿宋_GB2312" w:hAnsi="仿宋" w:eastAsia="仿宋_GB2312" w:cs="仿宋"/>
          <w:color w:val="auto"/>
          <w:sz w:val="28"/>
          <w:szCs w:val="28"/>
          <w:highlight w:val="none"/>
        </w:rPr>
      </w:pPr>
    </w:p>
    <w:p w14:paraId="17940A28">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rPr>
        <w:t>甲方</w:t>
      </w:r>
      <w:r>
        <w:rPr>
          <w:rFonts w:hint="eastAsia" w:ascii="仿宋_GB2312" w:hAnsi="仿宋" w:eastAsia="仿宋_GB2312" w:cs="仿宋"/>
          <w:color w:val="auto"/>
          <w:sz w:val="28"/>
          <w:szCs w:val="28"/>
          <w:highlight w:val="none"/>
          <w:lang w:val="en-US" w:eastAsia="zh-CN"/>
        </w:rPr>
        <w:t>6</w:t>
      </w:r>
      <w:r>
        <w:rPr>
          <w:rFonts w:hint="eastAsia" w:ascii="仿宋_GB2312" w:hAnsi="仿宋" w:eastAsia="仿宋_GB2312" w:cs="仿宋"/>
          <w:color w:val="auto"/>
          <w:sz w:val="28"/>
          <w:szCs w:val="28"/>
          <w:highlight w:val="none"/>
        </w:rPr>
        <w:t>：</w:t>
      </w:r>
      <w:r>
        <w:rPr>
          <w:rFonts w:ascii="仿宋_GB2312" w:hAnsi="仿宋" w:eastAsia="仿宋_GB2312" w:cs="仿宋"/>
          <w:color w:val="auto"/>
          <w:sz w:val="28"/>
          <w:szCs w:val="28"/>
          <w:highlight w:val="none"/>
          <w:u w:val="single"/>
        </w:rPr>
        <w:t xml:space="preserve">                                   </w:t>
      </w:r>
    </w:p>
    <w:p w14:paraId="1265191C">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rPr>
        <w:t>地址</w:t>
      </w:r>
      <w:r>
        <w:rPr>
          <w:rFonts w:ascii="仿宋_GB2312" w:hAnsi="仿宋" w:eastAsia="仿宋_GB2312" w:cs="仿宋"/>
          <w:color w:val="auto"/>
          <w:sz w:val="28"/>
          <w:szCs w:val="28"/>
          <w:highlight w:val="none"/>
        </w:rPr>
        <w:t xml:space="preserve">: </w:t>
      </w:r>
      <w:r>
        <w:rPr>
          <w:rFonts w:ascii="仿宋_GB2312" w:hAnsi="仿宋" w:eastAsia="仿宋_GB2312" w:cs="仿宋"/>
          <w:color w:val="auto"/>
          <w:sz w:val="28"/>
          <w:szCs w:val="28"/>
          <w:highlight w:val="none"/>
          <w:u w:val="single"/>
        </w:rPr>
        <w:t xml:space="preserve">                                   </w:t>
      </w:r>
    </w:p>
    <w:p w14:paraId="72157C87">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lang w:val="en-US" w:eastAsia="zh-CN"/>
        </w:rPr>
        <w:t>电话：</w:t>
      </w:r>
      <w:r>
        <w:rPr>
          <w:rFonts w:ascii="仿宋_GB2312" w:hAnsi="仿宋" w:eastAsia="仿宋_GB2312" w:cs="仿宋"/>
          <w:color w:val="auto"/>
          <w:sz w:val="28"/>
          <w:szCs w:val="28"/>
          <w:highlight w:val="none"/>
          <w:u w:val="single"/>
        </w:rPr>
        <w:t xml:space="preserve">                                   </w:t>
      </w:r>
    </w:p>
    <w:p w14:paraId="5E4B3894">
      <w:pPr>
        <w:spacing w:line="360" w:lineRule="auto"/>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（以下统称为“甲方”）</w:t>
      </w:r>
    </w:p>
    <w:p w14:paraId="3AF40C63">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rPr>
        <w:t>乙方：</w:t>
      </w:r>
      <w:r>
        <w:rPr>
          <w:rFonts w:ascii="仿宋_GB2312" w:hAnsi="仿宋" w:eastAsia="仿宋_GB2312" w:cs="仿宋"/>
          <w:color w:val="auto"/>
          <w:sz w:val="28"/>
          <w:szCs w:val="28"/>
          <w:highlight w:val="none"/>
          <w:u w:val="single"/>
        </w:rPr>
        <w:t xml:space="preserve">                                   </w:t>
      </w:r>
    </w:p>
    <w:p w14:paraId="635AD00B">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rPr>
        <w:t>地址</w:t>
      </w:r>
      <w:r>
        <w:rPr>
          <w:rFonts w:ascii="仿宋_GB2312" w:hAnsi="仿宋" w:eastAsia="仿宋_GB2312" w:cs="仿宋"/>
          <w:color w:val="auto"/>
          <w:sz w:val="28"/>
          <w:szCs w:val="28"/>
          <w:highlight w:val="none"/>
        </w:rPr>
        <w:t>:</w:t>
      </w:r>
      <w:r>
        <w:rPr>
          <w:rFonts w:ascii="仿宋_GB2312" w:hAnsi="仿宋" w:eastAsia="仿宋_GB2312" w:cs="仿宋"/>
          <w:color w:val="auto"/>
          <w:sz w:val="28"/>
          <w:szCs w:val="28"/>
          <w:highlight w:val="none"/>
          <w:u w:val="single"/>
        </w:rPr>
        <w:t xml:space="preserve">                                    </w:t>
      </w:r>
    </w:p>
    <w:p w14:paraId="056CBE4E">
      <w:pPr>
        <w:spacing w:line="360" w:lineRule="auto"/>
        <w:rPr>
          <w:rFonts w:hint="default" w:ascii="仿宋_GB2312" w:hAnsi="仿宋" w:eastAsia="仿宋_GB2312" w:cs="仿宋"/>
          <w:color w:val="auto"/>
          <w:sz w:val="28"/>
          <w:szCs w:val="28"/>
          <w:highlight w:val="none"/>
          <w:lang w:val="en-US" w:eastAsia="zh-CN"/>
        </w:rPr>
      </w:pPr>
      <w:r>
        <w:rPr>
          <w:rFonts w:hint="eastAsia" w:ascii="仿宋_GB2312" w:hAnsi="仿宋" w:eastAsia="仿宋_GB2312" w:cs="仿宋"/>
          <w:color w:val="auto"/>
          <w:sz w:val="28"/>
          <w:szCs w:val="28"/>
          <w:highlight w:val="none"/>
          <w:lang w:val="en-US" w:eastAsia="zh-CN"/>
        </w:rPr>
        <w:t>电话：</w:t>
      </w:r>
      <w:r>
        <w:rPr>
          <w:rFonts w:ascii="仿宋_GB2312" w:hAnsi="仿宋" w:eastAsia="仿宋_GB2312" w:cs="仿宋"/>
          <w:color w:val="auto"/>
          <w:sz w:val="28"/>
          <w:szCs w:val="28"/>
          <w:highlight w:val="none"/>
          <w:u w:val="single"/>
        </w:rPr>
        <w:t xml:space="preserve">                                   </w:t>
      </w:r>
    </w:p>
    <w:p w14:paraId="644CC15E">
      <w:pPr>
        <w:spacing w:line="360" w:lineRule="auto"/>
        <w:rPr>
          <w:rFonts w:ascii="仿宋_GB2312" w:hAnsi="仿宋" w:eastAsia="仿宋_GB2312" w:cs="仿宋"/>
          <w:color w:val="auto"/>
          <w:sz w:val="28"/>
          <w:szCs w:val="28"/>
          <w:highlight w:val="none"/>
        </w:rPr>
      </w:pPr>
    </w:p>
    <w:p w14:paraId="47E7F1E4">
      <w:pPr>
        <w:pStyle w:val="20"/>
        <w:spacing w:line="276" w:lineRule="auto"/>
        <w:ind w:left="0" w:leftChars="0" w:firstLine="560" w:firstLineChars="200"/>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根据《中华人民共和国安全生产法》和《建设工程安全生产管理条例》等法规要求，为加强作业现场的安全管理，落实各自</w:t>
      </w:r>
      <w:r>
        <w:rPr>
          <w:rFonts w:hint="eastAsia" w:ascii="仿宋" w:hAnsi="仿宋" w:eastAsia="仿宋" w:cs="仿宋"/>
          <w:color w:val="auto"/>
          <w:sz w:val="28"/>
          <w:szCs w:val="28"/>
          <w:highlight w:val="none"/>
        </w:rPr>
        <w:t>的安全生产职责，进一步加强作业的安全管理，杜绝作业人员因安全管理不善而引发的各类安全事故，保证甲、乙双方的财产和员工的人身安全不受侵害，经甲乙双方协商一致，签订协议如下：</w:t>
      </w:r>
    </w:p>
    <w:p w14:paraId="489D7983">
      <w:pPr>
        <w:autoSpaceDE/>
        <w:autoSpaceDN/>
        <w:adjustRightInd/>
        <w:spacing w:line="500" w:lineRule="exact"/>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r>
        <w:rPr>
          <w:rFonts w:ascii="仿宋" w:hAnsi="仿宋" w:eastAsia="仿宋" w:cs="仿宋"/>
          <w:color w:val="auto"/>
          <w:sz w:val="28"/>
          <w:szCs w:val="28"/>
          <w:highlight w:val="none"/>
          <w:u w:val="single"/>
        </w:rPr>
        <w:t xml:space="preserve">                                   </w:t>
      </w:r>
    </w:p>
    <w:p w14:paraId="67ACE7BE">
      <w:pPr>
        <w:autoSpaceDE/>
        <w:autoSpaceDN/>
        <w:adjustRightInd/>
        <w:spacing w:line="500" w:lineRule="exact"/>
        <w:ind w:firstLine="560" w:firstLineChars="200"/>
        <w:jc w:val="both"/>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项目地点：</w:t>
      </w:r>
      <w:r>
        <w:rPr>
          <w:rFonts w:ascii="仿宋" w:hAnsi="仿宋" w:eastAsia="仿宋" w:cs="仿宋"/>
          <w:color w:val="auto"/>
          <w:sz w:val="28"/>
          <w:szCs w:val="28"/>
          <w:highlight w:val="none"/>
          <w:u w:val="single"/>
        </w:rPr>
        <w:t xml:space="preserve">                                   </w:t>
      </w:r>
      <w:r>
        <w:rPr>
          <w:rFonts w:ascii="仿宋" w:hAnsi="仿宋" w:eastAsia="仿宋" w:cs="仿宋"/>
          <w:color w:val="auto"/>
          <w:sz w:val="28"/>
          <w:szCs w:val="28"/>
          <w:highlight w:val="none"/>
        </w:rPr>
        <w:t xml:space="preserve">                                                   </w:t>
      </w:r>
    </w:p>
    <w:p w14:paraId="3A0739A1">
      <w:pPr>
        <w:autoSpaceDE/>
        <w:autoSpaceDN/>
        <w:adjustRightInd/>
        <w:spacing w:line="500" w:lineRule="exact"/>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项目时间：</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r>
        <w:rPr>
          <w:rFonts w:ascii="仿宋" w:hAnsi="仿宋" w:eastAsia="仿宋" w:cs="仿宋"/>
          <w:color w:val="auto"/>
          <w:sz w:val="28"/>
          <w:szCs w:val="28"/>
          <w:highlight w:val="none"/>
        </w:rPr>
        <w:t xml:space="preserve">  至 </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0076E1DB">
      <w:pPr>
        <w:autoSpaceDE/>
        <w:autoSpaceDN/>
        <w:adjustRightInd/>
        <w:spacing w:line="276" w:lineRule="auto"/>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一、污水处理厂风险辨识</w:t>
      </w:r>
    </w:p>
    <w:p w14:paraId="64B6DA4E">
      <w:pPr>
        <w:spacing w:before="181" w:line="276" w:lineRule="auto"/>
        <w:ind w:left="100" w:right="99" w:firstLine="600" w:firstLineChars="200"/>
        <w:jc w:val="both"/>
        <w:rPr>
          <w:rFonts w:ascii="仿宋" w:hAnsi="仿宋" w:eastAsia="仿宋" w:cs="仿宋"/>
          <w:color w:val="auto"/>
          <w:sz w:val="30"/>
          <w:szCs w:val="30"/>
          <w:highlight w:val="none"/>
        </w:rPr>
      </w:pPr>
      <w:r>
        <w:rPr>
          <w:rFonts w:ascii="仿宋" w:hAnsi="仿宋" w:eastAsia="仿宋" w:cs="仿宋"/>
          <w:color w:val="auto"/>
          <w:sz w:val="30"/>
          <w:szCs w:val="30"/>
          <w:highlight w:val="none"/>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auto"/>
          <w:sz w:val="30"/>
          <w:szCs w:val="30"/>
          <w:highlight w:val="none"/>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71B314D6">
      <w:pPr>
        <w:spacing w:before="181" w:line="276" w:lineRule="auto"/>
        <w:ind w:left="100" w:right="99" w:firstLine="600" w:firstLineChars="200"/>
        <w:jc w:val="both"/>
        <w:rPr>
          <w:rFonts w:ascii="仿宋" w:hAnsi="仿宋" w:eastAsia="仿宋" w:cs="仿宋"/>
          <w:color w:val="auto"/>
          <w:sz w:val="30"/>
          <w:szCs w:val="30"/>
          <w:highlight w:val="none"/>
        </w:rPr>
      </w:pPr>
      <w:r>
        <w:rPr>
          <w:rFonts w:ascii="仿宋" w:hAnsi="仿宋" w:eastAsia="仿宋" w:cs="仿宋"/>
          <w:color w:val="auto"/>
          <w:sz w:val="30"/>
          <w:szCs w:val="30"/>
          <w:highlight w:val="none"/>
        </w:rPr>
        <w:t>2、其他有限空间辨识，如:建筑施工未完工的地下暗室、管道及管道井等封闭、半封闭的设施及场所（地下隐蔽工程、</w:t>
      </w:r>
      <w:r>
        <w:rPr>
          <w:rFonts w:hint="eastAsia" w:ascii="仿宋" w:hAnsi="仿宋" w:eastAsia="仿宋" w:cs="仿宋"/>
          <w:color w:val="auto"/>
          <w:sz w:val="30"/>
          <w:szCs w:val="30"/>
          <w:highlight w:val="none"/>
        </w:rPr>
        <w:t>密闭容器、长期不用的设施或通风不畅的场所等）等。</w:t>
      </w:r>
    </w:p>
    <w:p w14:paraId="2A78E03E">
      <w:pPr>
        <w:spacing w:before="44" w:line="276" w:lineRule="auto"/>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二、危害因素分析</w:t>
      </w:r>
    </w:p>
    <w:p w14:paraId="3502A246">
      <w:pPr>
        <w:autoSpaceDE/>
        <w:autoSpaceDN/>
        <w:adjustRightInd/>
        <w:spacing w:line="276" w:lineRule="auto"/>
        <w:ind w:firstLine="600" w:firstLineChars="200"/>
        <w:jc w:val="both"/>
        <w:rPr>
          <w:rFonts w:hint="eastAsia" w:ascii="仿宋" w:hAnsi="仿宋" w:eastAsia="仿宋" w:cs="仿宋"/>
          <w:color w:val="auto"/>
          <w:sz w:val="30"/>
          <w:szCs w:val="30"/>
          <w:highlight w:val="none"/>
          <w:lang w:eastAsia="zh-CN"/>
        </w:rPr>
      </w:pPr>
      <w:r>
        <w:rPr>
          <w:rFonts w:ascii="仿宋" w:hAnsi="仿宋" w:eastAsia="仿宋" w:cs="仿宋"/>
          <w:color w:val="auto"/>
          <w:sz w:val="30"/>
          <w:szCs w:val="30"/>
          <w:highlight w:val="none"/>
        </w:rPr>
        <w:t>实施作业前，乙方应当对作业环境进行评估，分析存在的危险有害因素，列出危害因素清单</w:t>
      </w:r>
      <w:r>
        <w:rPr>
          <w:rFonts w:hint="eastAsia" w:ascii="仿宋" w:hAnsi="仿宋" w:eastAsia="仿宋" w:cs="仿宋"/>
          <w:color w:val="auto"/>
          <w:sz w:val="30"/>
          <w:szCs w:val="30"/>
          <w:highlight w:val="none"/>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仿宋" w:hAnsi="仿宋" w:eastAsia="仿宋" w:cs="仿宋"/>
          <w:color w:val="auto"/>
          <w:sz w:val="30"/>
          <w:szCs w:val="30"/>
          <w:highlight w:val="none"/>
          <w:lang w:eastAsia="zh-CN"/>
        </w:rPr>
        <w:t>。</w:t>
      </w:r>
    </w:p>
    <w:p w14:paraId="631A0636">
      <w:pPr>
        <w:numPr>
          <w:ilvl w:val="255"/>
          <w:numId w:val="0"/>
        </w:numPr>
        <w:autoSpaceDE/>
        <w:autoSpaceDN/>
        <w:adjustRightInd/>
        <w:spacing w:line="500" w:lineRule="exact"/>
        <w:jc w:val="both"/>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三、协议实施条款</w:t>
      </w:r>
    </w:p>
    <w:p w14:paraId="4C8090DB">
      <w:pPr>
        <w:numPr>
          <w:ilvl w:val="0"/>
          <w:numId w:val="3"/>
        </w:numPr>
        <w:spacing w:line="276" w:lineRule="auto"/>
        <w:ind w:firstLine="400" w:firstLineChars="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“相关方”是指：在公司从事与公司生产经营活动有关的、在公司内从事各种公务活动和进行业务往来的外部单位和个人</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以下简称“相关方”</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 xml:space="preserve">。主要包括： </w:t>
      </w:r>
    </w:p>
    <w:p w14:paraId="6E778EBF">
      <w:pPr>
        <w:numPr>
          <w:ilvl w:val="-1"/>
          <w:numId w:val="0"/>
        </w:numPr>
        <w:spacing w:line="276" w:lineRule="auto"/>
        <w:ind w:left="0"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（1）依照与公司订立的有关合同，在公司内从事基建、设</w:t>
      </w:r>
    </w:p>
    <w:p w14:paraId="04BFFA50">
      <w:pPr>
        <w:numPr>
          <w:ilvl w:val="-1"/>
          <w:numId w:val="0"/>
        </w:numPr>
        <w:spacing w:line="276" w:lineRule="auto"/>
        <w:ind w:left="0"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备安装、维修保养、运输、后勤服务、劳务输出以及其他承包各种项目的外来单位或个人。 </w:t>
      </w:r>
    </w:p>
    <w:p w14:paraId="35AB0D9F">
      <w:pPr>
        <w:numPr>
          <w:ilvl w:val="0"/>
          <w:numId w:val="4"/>
        </w:numPr>
        <w:autoSpaceDE/>
        <w:autoSpaceDN/>
        <w:adjustRightInd/>
        <w:spacing w:line="276" w:lineRule="auto"/>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进入单位内进行商务洽谈、参观访问、工作检查、学习交流及其他各类公务活动的外来单位或个人。</w:t>
      </w:r>
    </w:p>
    <w:p w14:paraId="136E8936">
      <w:pPr>
        <w:numPr>
          <w:ilvl w:val="0"/>
          <w:numId w:val="4"/>
        </w:numPr>
        <w:autoSpaceDE/>
        <w:autoSpaceDN/>
        <w:adjustRightInd/>
        <w:spacing w:line="276" w:lineRule="auto"/>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目前我司相关方包括但不限于保安人员、绿化环卫人员、安装施工人员、配送人员、参观人员等。</w:t>
      </w:r>
    </w:p>
    <w:p w14:paraId="2DFFA46E">
      <w:pPr>
        <w:numPr>
          <w:ilvl w:val="0"/>
          <w:numId w:val="3"/>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危险作业包括但不限于以下内容：临水作业、进入受限空间作业、临时用电作业、高处作业、断路作业、破土作业、吊装作业、盲板抽堵作业。（以下简称：危险作业）</w:t>
      </w:r>
    </w:p>
    <w:p w14:paraId="79CF75BC">
      <w:pPr>
        <w:numPr>
          <w:ilvl w:val="0"/>
          <w:numId w:val="3"/>
        </w:numPr>
        <w:spacing w:line="276" w:lineRule="auto"/>
        <w:ind w:firstLine="400" w:firstLineChars="0"/>
        <w:rPr>
          <w:rFonts w:ascii="仿宋" w:hAnsi="仿宋" w:eastAsia="仿宋" w:cs="仿宋"/>
          <w:color w:val="auto"/>
          <w:sz w:val="30"/>
          <w:szCs w:val="30"/>
          <w:highlight w:val="none"/>
        </w:rPr>
      </w:pPr>
      <w:r>
        <w:rPr>
          <w:rFonts w:ascii="仿宋" w:hAnsi="仿宋" w:eastAsia="仿宋" w:cs="仿宋"/>
          <w:color w:val="auto"/>
          <w:sz w:val="30"/>
          <w:szCs w:val="30"/>
          <w:highlight w:val="none"/>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08F361F2">
      <w:pPr>
        <w:numPr>
          <w:ilvl w:val="0"/>
          <w:numId w:val="3"/>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安全交底。每次进行危险作业等其他可能存在危险的作业前需由乙方的带班人员对作业人员进行安全交底。</w:t>
      </w:r>
    </w:p>
    <w:p w14:paraId="602599C7">
      <w:pPr>
        <w:numPr>
          <w:ilvl w:val="0"/>
          <w:numId w:val="3"/>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乙方需完善并加强对</w:t>
      </w:r>
      <w:r>
        <w:rPr>
          <w:rFonts w:hint="eastAsia" w:ascii="仿宋" w:hAnsi="仿宋" w:eastAsia="仿宋" w:cs="仿宋"/>
          <w:color w:val="auto"/>
          <w:sz w:val="30"/>
          <w:szCs w:val="30"/>
          <w:highlight w:val="none"/>
          <w:lang w:val="en-US" w:eastAsia="zh-CN"/>
        </w:rPr>
        <w:t>相关方的的日常考勤管理，严格遵守厂区对进出人员的管理要求。</w:t>
      </w:r>
    </w:p>
    <w:p w14:paraId="5A898553">
      <w:pPr>
        <w:numPr>
          <w:ilvl w:val="0"/>
          <w:numId w:val="3"/>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乙方应</w:t>
      </w:r>
      <w:r>
        <w:rPr>
          <w:rFonts w:hint="eastAsia" w:ascii="仿宋" w:hAnsi="仿宋" w:eastAsia="仿宋" w:cs="仿宋"/>
          <w:color w:val="auto"/>
          <w:sz w:val="30"/>
          <w:szCs w:val="30"/>
          <w:highlight w:val="none"/>
          <w:lang w:val="en-US" w:eastAsia="zh-CN"/>
        </w:rPr>
        <w:t>在</w:t>
      </w:r>
      <w:r>
        <w:rPr>
          <w:rFonts w:hint="eastAsia" w:ascii="仿宋" w:hAnsi="仿宋" w:eastAsia="仿宋" w:cs="仿宋"/>
          <w:color w:val="auto"/>
          <w:sz w:val="30"/>
          <w:szCs w:val="30"/>
          <w:highlight w:val="none"/>
        </w:rPr>
        <w:t>作业场所配备</w:t>
      </w:r>
      <w:r>
        <w:rPr>
          <w:rFonts w:hint="eastAsia" w:ascii="仿宋" w:hAnsi="仿宋" w:eastAsia="仿宋" w:cs="仿宋"/>
          <w:color w:val="auto"/>
          <w:sz w:val="30"/>
          <w:szCs w:val="30"/>
          <w:highlight w:val="none"/>
          <w:lang w:val="en-US" w:eastAsia="zh-CN"/>
        </w:rPr>
        <w:t>专职或兼职</w:t>
      </w:r>
      <w:r>
        <w:rPr>
          <w:rFonts w:hint="eastAsia" w:ascii="仿宋" w:hAnsi="仿宋" w:eastAsia="仿宋" w:cs="仿宋"/>
          <w:color w:val="auto"/>
          <w:sz w:val="30"/>
          <w:szCs w:val="30"/>
          <w:highlight w:val="none"/>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仿宋" w:hAnsi="仿宋" w:eastAsia="仿宋" w:cs="仿宋"/>
          <w:color w:val="auto"/>
          <w:sz w:val="30"/>
          <w:szCs w:val="30"/>
          <w:highlight w:val="none"/>
          <w:lang w:val="en-US" w:eastAsia="zh-CN"/>
        </w:rPr>
        <w:t>进行维修作业</w:t>
      </w:r>
      <w:r>
        <w:rPr>
          <w:rFonts w:hint="eastAsia" w:ascii="仿宋" w:hAnsi="仿宋" w:eastAsia="仿宋" w:cs="仿宋"/>
          <w:color w:val="auto"/>
          <w:sz w:val="30"/>
          <w:szCs w:val="30"/>
          <w:highlight w:val="none"/>
        </w:rPr>
        <w:t>等其他可能存在危险的作业前需由</w:t>
      </w:r>
      <w:r>
        <w:rPr>
          <w:rFonts w:hint="eastAsia" w:ascii="仿宋" w:hAnsi="仿宋" w:eastAsia="仿宋" w:cs="仿宋"/>
          <w:color w:val="auto"/>
          <w:sz w:val="30"/>
          <w:szCs w:val="30"/>
          <w:highlight w:val="none"/>
          <w:lang w:val="en-US" w:eastAsia="zh-CN"/>
        </w:rPr>
        <w:t>乙方的</w:t>
      </w:r>
      <w:r>
        <w:rPr>
          <w:rFonts w:hint="eastAsia" w:ascii="仿宋" w:hAnsi="仿宋" w:eastAsia="仿宋" w:cs="仿宋"/>
          <w:color w:val="auto"/>
          <w:sz w:val="30"/>
          <w:szCs w:val="30"/>
          <w:highlight w:val="none"/>
        </w:rPr>
        <w:t>带班</w:t>
      </w:r>
      <w:r>
        <w:rPr>
          <w:rFonts w:hint="eastAsia" w:ascii="仿宋" w:hAnsi="仿宋" w:eastAsia="仿宋" w:cs="仿宋"/>
          <w:color w:val="auto"/>
          <w:sz w:val="30"/>
          <w:szCs w:val="30"/>
          <w:highlight w:val="none"/>
          <w:lang w:val="en-US" w:eastAsia="zh-CN"/>
        </w:rPr>
        <w:t>人员</w:t>
      </w:r>
      <w:r>
        <w:rPr>
          <w:rFonts w:hint="eastAsia" w:ascii="仿宋" w:hAnsi="仿宋" w:eastAsia="仿宋" w:cs="仿宋"/>
          <w:color w:val="auto"/>
          <w:sz w:val="30"/>
          <w:szCs w:val="30"/>
          <w:highlight w:val="none"/>
        </w:rPr>
        <w:t>对作业人员进行安全交底。</w:t>
      </w:r>
    </w:p>
    <w:p w14:paraId="778E1A57">
      <w:pPr>
        <w:numPr>
          <w:ilvl w:val="0"/>
          <w:numId w:val="3"/>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乙方使用被派遣劳动者的，应当将被派遣劳动者纳入本单位从业人员统一管理，对被派遣劳动者进行岗位安全操作规程和安全操作技能的教育和培训。</w:t>
      </w:r>
    </w:p>
    <w:p w14:paraId="1A3B958E">
      <w:pPr>
        <w:numPr>
          <w:ilvl w:val="0"/>
          <w:numId w:val="3"/>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乙方应制定与作业范围相适应的应急处置预案，并定期组织演练或者参加甲方组织的演练。</w:t>
      </w:r>
    </w:p>
    <w:p w14:paraId="24E720AC">
      <w:pPr>
        <w:numPr>
          <w:ilvl w:val="0"/>
          <w:numId w:val="3"/>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6AEACFA5">
      <w:pPr>
        <w:numPr>
          <w:ilvl w:val="0"/>
          <w:numId w:val="3"/>
        </w:numPr>
        <w:spacing w:line="276" w:lineRule="auto"/>
        <w:ind w:firstLine="400" w:firstLineChars="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乙方应当教育和督促从业人员严格执行本单位的安全生产规章制度和安全操作规程；并向从业人员如实告知作业场所和工作岗位存在的危险因素、防范措施以及事故应急措施。</w:t>
      </w:r>
    </w:p>
    <w:p w14:paraId="0E060C38">
      <w:pPr>
        <w:numPr>
          <w:ilvl w:val="0"/>
          <w:numId w:val="3"/>
        </w:numPr>
        <w:spacing w:line="276" w:lineRule="auto"/>
        <w:ind w:firstLine="400" w:firstLineChars="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乙方依法参加工伤保险，为从业人员缴纳保险费，并应当为从事危险作业的人员办理意外伤害保险。</w:t>
      </w:r>
    </w:p>
    <w:p w14:paraId="41DB9DF7">
      <w:pPr>
        <w:numPr>
          <w:ilvl w:val="0"/>
          <w:numId w:val="3"/>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乙方应严格遵守国家、地方政府有关安全生产及劳动保护的法律法规、标准、规定，贯彻执行甲方的各项安全管理规章制度，严格按照生产场所操作规程制度。</w:t>
      </w:r>
    </w:p>
    <w:p w14:paraId="0112A53F">
      <w:pPr>
        <w:numPr>
          <w:ilvl w:val="0"/>
          <w:numId w:val="3"/>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2E217799">
      <w:pPr>
        <w:numPr>
          <w:ilvl w:val="0"/>
          <w:numId w:val="3"/>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55ECD583">
      <w:pPr>
        <w:numPr>
          <w:ilvl w:val="0"/>
          <w:numId w:val="3"/>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0FD6A665">
      <w:pPr>
        <w:numPr>
          <w:ilvl w:val="0"/>
          <w:numId w:val="3"/>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仿宋" w:hAnsi="仿宋" w:eastAsia="仿宋" w:cs="仿宋"/>
          <w:color w:val="auto"/>
          <w:sz w:val="30"/>
          <w:szCs w:val="30"/>
          <w:highlight w:val="none"/>
          <w:lang w:val="en-US" w:eastAsia="zh-CN"/>
        </w:rPr>
        <w:t>单方</w:t>
      </w:r>
      <w:r>
        <w:rPr>
          <w:rFonts w:hint="eastAsia" w:ascii="仿宋" w:hAnsi="仿宋" w:eastAsia="仿宋" w:cs="仿宋"/>
          <w:color w:val="auto"/>
          <w:sz w:val="30"/>
          <w:szCs w:val="30"/>
          <w:highlight w:val="none"/>
        </w:rPr>
        <w:t>解除合同，并要求乙方清退出场。</w:t>
      </w:r>
    </w:p>
    <w:p w14:paraId="630151FF">
      <w:pPr>
        <w:numPr>
          <w:ilvl w:val="0"/>
          <w:numId w:val="3"/>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2E9B87FB">
      <w:pPr>
        <w:numPr>
          <w:ilvl w:val="0"/>
          <w:numId w:val="3"/>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w:t>
      </w:r>
      <w:r>
        <w:rPr>
          <w:rFonts w:hint="eastAsia" w:ascii="仿宋" w:hAnsi="仿宋" w:eastAsia="仿宋" w:cs="仿宋"/>
          <w:color w:val="auto"/>
          <w:sz w:val="30"/>
          <w:szCs w:val="30"/>
          <w:highlight w:val="none"/>
          <w:lang w:val="en-US" w:eastAsia="zh-CN"/>
        </w:rPr>
        <w:t>作业人员在甲方区域内</w:t>
      </w:r>
      <w:r>
        <w:rPr>
          <w:rFonts w:hint="eastAsia" w:ascii="仿宋" w:hAnsi="仿宋" w:eastAsia="仿宋" w:cs="仿宋"/>
          <w:color w:val="auto"/>
          <w:sz w:val="30"/>
          <w:szCs w:val="30"/>
          <w:highlight w:val="none"/>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color w:val="auto"/>
          <w:sz w:val="28"/>
          <w:szCs w:val="28"/>
          <w:highlight w:val="none"/>
        </w:rPr>
        <w:t>若甲方代为承担相应责任的，有权全部向乙方追偿</w:t>
      </w:r>
      <w:r>
        <w:rPr>
          <w:rFonts w:hint="eastAsia" w:ascii="Times New Roman" w:hAnsi="Times New Roman" w:eastAsia="仿宋" w:cs="Times New Roman"/>
          <w:color w:val="auto"/>
          <w:sz w:val="28"/>
          <w:szCs w:val="28"/>
          <w:highlight w:val="none"/>
          <w:lang w:val="en-US" w:eastAsia="zh-CN"/>
        </w:rPr>
        <w:t>并要求乙方承担违约责任</w:t>
      </w:r>
      <w:r>
        <w:rPr>
          <w:rFonts w:hint="default" w:ascii="Times New Roman" w:hAnsi="Times New Roman" w:eastAsia="仿宋" w:cs="Times New Roman"/>
          <w:color w:val="auto"/>
          <w:sz w:val="28"/>
          <w:szCs w:val="28"/>
          <w:highlight w:val="none"/>
        </w:rPr>
        <w:t>。</w:t>
      </w:r>
    </w:p>
    <w:p w14:paraId="029B4F62">
      <w:pPr>
        <w:numPr>
          <w:ilvl w:val="0"/>
          <w:numId w:val="3"/>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乙方作业人员未经许可不得随意到厂区区域以内的其它工作场所活动，活动内容包括不限于采摘水果、前往其他池体活动、攀爬构筑物等危险行为，出现人身损伤或伤亡的，由乙方自行负责一切责任。</w:t>
      </w:r>
    </w:p>
    <w:p w14:paraId="1DBCF80A">
      <w:pPr>
        <w:numPr>
          <w:ilvl w:val="0"/>
          <w:numId w:val="3"/>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在作业过程中，需要进行动土、动火、登高、吊装、断路、进入限制性空间等危险性较高的作业时，乙方的作业负责人、专职或兼职安全员必须现场确认，作业前报甲方。根据甲方的关于危险作业安全要求执行。</w:t>
      </w:r>
    </w:p>
    <w:p w14:paraId="6CB6A4CF">
      <w:pPr>
        <w:numPr>
          <w:ilvl w:val="0"/>
          <w:numId w:val="3"/>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因乙方原因，造成乙方损失，由乙方自负，给甲方造成财产损失和人员伤害，乙方要负全部责任，并全额赔偿甲方。</w:t>
      </w:r>
    </w:p>
    <w:p w14:paraId="4F11ECFC">
      <w:pPr>
        <w:numPr>
          <w:ilvl w:val="0"/>
          <w:numId w:val="3"/>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非因甲方原因，造成乙方损失的，甲方不承担任何责任，由乙方自行承担全部责任。</w:t>
      </w:r>
    </w:p>
    <w:p w14:paraId="053CAA6E">
      <w:pPr>
        <w:numPr>
          <w:ilvl w:val="0"/>
          <w:numId w:val="3"/>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乙方应严格遵守法律法规以及甲方的安全管理要求，并接受甲方的安全生产工作协调和监督，积极消除安全隐患。安全管理的基本要求包括但不限于以下条款：</w:t>
      </w:r>
    </w:p>
    <w:p w14:paraId="08B7112B">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①禁火区内严禁吸烟、动火。有火灾危险的作业区域，乙方必须配置足够的灭火设施。</w:t>
      </w:r>
    </w:p>
    <w:p w14:paraId="5DF96B81">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②焊接、气割作业时两瓶距离必须达到</w:t>
      </w:r>
      <w:r>
        <w:rPr>
          <w:rFonts w:ascii="仿宋" w:hAnsi="仿宋" w:eastAsia="仿宋" w:cs="仿宋"/>
          <w:color w:val="auto"/>
          <w:sz w:val="30"/>
          <w:szCs w:val="30"/>
          <w:highlight w:val="none"/>
        </w:rPr>
        <w:t>5M及以上，气瓶距可能产生火花的电器、设备和其它火源的间距必须达到10M及以上。</w:t>
      </w:r>
    </w:p>
    <w:p w14:paraId="5E75BB53">
      <w:pPr>
        <w:spacing w:line="276" w:lineRule="auto"/>
        <w:ind w:left="525" w:leftChars="250" w:firstLine="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③严禁</w:t>
      </w:r>
      <w:r>
        <w:rPr>
          <w:rFonts w:hint="default" w:ascii="仿宋" w:hAnsi="仿宋" w:eastAsia="仿宋" w:cs="仿宋"/>
          <w:color w:val="auto"/>
          <w:sz w:val="30"/>
          <w:szCs w:val="30"/>
          <w:highlight w:val="none"/>
          <w:lang w:val="en-US"/>
        </w:rPr>
        <w:t>在厂内道路、消防通道内搭建临时建筑或堆放物资</w:t>
      </w:r>
      <w:r>
        <w:rPr>
          <w:rFonts w:hint="eastAsia" w:ascii="仿宋" w:hAnsi="仿宋" w:eastAsia="仿宋" w:cs="仿宋"/>
          <w:color w:val="auto"/>
          <w:sz w:val="30"/>
          <w:szCs w:val="30"/>
          <w:highlight w:val="none"/>
          <w:lang w:val="en-US" w:eastAsia="zh-CN"/>
        </w:rPr>
        <w:t>；</w:t>
      </w:r>
    </w:p>
    <w:p w14:paraId="49E837F5">
      <w:pPr>
        <w:spacing w:line="276" w:lineRule="auto"/>
        <w:ind w:left="0" w:leftChars="0" w:firstLine="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严禁</w:t>
      </w:r>
      <w:r>
        <w:rPr>
          <w:rFonts w:hint="eastAsia" w:ascii="仿宋" w:hAnsi="仿宋" w:eastAsia="仿宋" w:cs="仿宋"/>
          <w:color w:val="auto"/>
          <w:sz w:val="30"/>
          <w:szCs w:val="30"/>
          <w:highlight w:val="none"/>
        </w:rPr>
        <w:t>占用、堵塞、遮掩、挪用、损毁、破坏</w:t>
      </w:r>
      <w:r>
        <w:rPr>
          <w:rFonts w:hint="eastAsia" w:ascii="仿宋" w:hAnsi="仿宋" w:eastAsia="仿宋" w:cs="仿宋"/>
          <w:color w:val="auto"/>
          <w:sz w:val="30"/>
          <w:szCs w:val="30"/>
          <w:highlight w:val="none"/>
          <w:lang w:val="en-US" w:eastAsia="zh-CN"/>
        </w:rPr>
        <w:t>或因装修作业等工作或其他原因导致消防设施设备损坏</w:t>
      </w:r>
      <w:r>
        <w:rPr>
          <w:rFonts w:hint="eastAsia" w:ascii="仿宋" w:hAnsi="仿宋" w:eastAsia="仿宋" w:cs="仿宋"/>
          <w:color w:val="auto"/>
          <w:sz w:val="30"/>
          <w:szCs w:val="30"/>
          <w:highlight w:val="none"/>
        </w:rPr>
        <w:t>。</w:t>
      </w:r>
    </w:p>
    <w:p w14:paraId="1CABFF31">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④作业场所的电动工具、电焊机等须有漏电保护器和相应的安全防护装置。</w:t>
      </w:r>
    </w:p>
    <w:p w14:paraId="08978550">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⑤作业现场及居住室、办公室内的用电设施必须符合要求，严禁电线乱接、乱拉，刀闸和开关无盖，在电器设施上堆放物品。</w:t>
      </w:r>
    </w:p>
    <w:p w14:paraId="2D63C64E">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⑥防雷、防静电设施及用电设施要有良好接地。</w:t>
      </w:r>
    </w:p>
    <w:p w14:paraId="035251DA">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⑦作业现场的危险区域，如临边、深坑、土方堆填区等，必须设置围栏和危险标志，夜间要设信号灯。</w:t>
      </w:r>
    </w:p>
    <w:p w14:paraId="097E2EDF">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3D5A0B35">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7985AD23">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6AE5297F">
      <w:pPr>
        <w:numPr>
          <w:ilvl w:val="0"/>
          <w:numId w:val="3"/>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30341561">
      <w:pPr>
        <w:numPr>
          <w:ilvl w:val="0"/>
          <w:numId w:val="3"/>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乙方必须接受甲方的检查与监督，并应主动配合，做好安全工作。乙方若有出现违反本协议</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第三条，</w:t>
      </w:r>
      <w:r>
        <w:rPr>
          <w:rFonts w:hint="eastAsia" w:ascii="仿宋" w:hAnsi="仿宋" w:eastAsia="仿宋" w:cs="仿宋"/>
          <w:color w:val="auto"/>
          <w:sz w:val="30"/>
          <w:szCs w:val="30"/>
          <w:highlight w:val="none"/>
        </w:rPr>
        <w:t>协议实施条款</w:t>
      </w:r>
      <w:r>
        <w:rPr>
          <w:rFonts w:hint="eastAsia" w:ascii="仿宋" w:hAnsi="仿宋" w:eastAsia="仿宋" w:cs="仿宋"/>
          <w:color w:val="auto"/>
          <w:sz w:val="30"/>
          <w:szCs w:val="30"/>
          <w:highlight w:val="none"/>
          <w:lang w:eastAsia="zh-CN"/>
        </w:rPr>
        <w:t>”</w:t>
      </w:r>
      <w:r>
        <w:rPr>
          <w:rFonts w:ascii="仿宋" w:hAnsi="仿宋" w:eastAsia="仿宋" w:cs="仿宋"/>
          <w:color w:val="auto"/>
          <w:sz w:val="30"/>
          <w:szCs w:val="30"/>
          <w:highlight w:val="none"/>
        </w:rPr>
        <w:t>任一情形的，甲方有权要求乙方立即整改，且甲方有权视情况从工程结算款/服务价款中扣除（1000-2000）元/次作为违约金。</w:t>
      </w:r>
    </w:p>
    <w:p w14:paraId="48B4E34E">
      <w:pPr>
        <w:numPr>
          <w:ilvl w:val="0"/>
          <w:numId w:val="3"/>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若乙方有下列情形之一的或在整改后仍违反协议的，甲方有权单方解除合同，</w:t>
      </w:r>
      <w:r>
        <w:rPr>
          <w:rFonts w:hint="eastAsia" w:ascii="仿宋" w:hAnsi="仿宋" w:eastAsia="仿宋" w:cs="仿宋"/>
          <w:color w:val="auto"/>
          <w:sz w:val="30"/>
          <w:szCs w:val="30"/>
          <w:highlight w:val="none"/>
          <w:lang w:val="en-US" w:eastAsia="zh-CN"/>
        </w:rPr>
        <w:t>甲方有权要求</w:t>
      </w:r>
      <w:r>
        <w:rPr>
          <w:rFonts w:hint="eastAsia" w:ascii="仿宋" w:hAnsi="仿宋" w:eastAsia="仿宋" w:cs="仿宋"/>
          <w:color w:val="auto"/>
          <w:sz w:val="30"/>
          <w:szCs w:val="30"/>
          <w:highlight w:val="none"/>
        </w:rPr>
        <w:t>乙方向甲方支付</w:t>
      </w:r>
      <w:r>
        <w:rPr>
          <w:rFonts w:hint="eastAsia" w:ascii="仿宋" w:hAnsi="仿宋" w:eastAsia="仿宋" w:cs="仿宋"/>
          <w:color w:val="auto"/>
          <w:sz w:val="30"/>
          <w:szCs w:val="30"/>
          <w:highlight w:val="none"/>
          <w:lang w:val="en-US" w:eastAsia="zh-CN"/>
        </w:rPr>
        <w:t>本合同总金额的10%</w:t>
      </w:r>
      <w:r>
        <w:rPr>
          <w:rFonts w:hint="eastAsia" w:ascii="仿宋" w:hAnsi="仿宋" w:eastAsia="仿宋" w:cs="仿宋"/>
          <w:color w:val="auto"/>
          <w:sz w:val="30"/>
          <w:szCs w:val="30"/>
          <w:highlight w:val="none"/>
        </w:rPr>
        <w:t>作为违约金，同时甲方有权要求乙方承担第</w:t>
      </w:r>
      <w:r>
        <w:rPr>
          <w:rFonts w:hint="eastAsia" w:ascii="仿宋" w:hAnsi="仿宋" w:eastAsia="仿宋" w:cs="仿宋"/>
          <w:color w:val="auto"/>
          <w:sz w:val="30"/>
          <w:szCs w:val="30"/>
          <w:highlight w:val="none"/>
          <w:lang w:val="en-US" w:eastAsia="zh-CN"/>
        </w:rPr>
        <w:t>25</w:t>
      </w:r>
      <w:r>
        <w:rPr>
          <w:rFonts w:ascii="仿宋" w:hAnsi="仿宋" w:eastAsia="仿宋" w:cs="仿宋"/>
          <w:color w:val="auto"/>
          <w:sz w:val="30"/>
          <w:szCs w:val="30"/>
          <w:highlight w:val="none"/>
        </w:rPr>
        <w:t>条的违约金。造成甲方损失的，乙方需另行赔偿：</w:t>
      </w:r>
    </w:p>
    <w:p w14:paraId="64EF537C">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①乙方不能提供与项目相匹配的营业执照、施工资质、安全生产许可证、技术人员、特种作业人员、安全员和设备设施的；</w:t>
      </w:r>
    </w:p>
    <w:p w14:paraId="53E792AE">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②乙方未对作业人员进行岗位安全操作规程和安全操作技能的教育和培训的；没有向作业人员提供劳动防护用品的；</w:t>
      </w:r>
    </w:p>
    <w:p w14:paraId="566212E0">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③乙方未对所属员工定期开展安全教育培训的；</w:t>
      </w:r>
    </w:p>
    <w:p w14:paraId="70C1410F">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④在开展涉及危险性较高的作业时，乙方未在作业前报甲方的；</w:t>
      </w:r>
    </w:p>
    <w:p w14:paraId="763C070C">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⑤乙方违章作业或违章指挥作业的；</w:t>
      </w:r>
    </w:p>
    <w:p w14:paraId="35408E21">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⑥乙方现场安全管理不到位或不服从甲方安全管理的；</w:t>
      </w:r>
    </w:p>
    <w:p w14:paraId="1318C7BD">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⑦发生事故后，乙方未及时开展应急救援工作的；</w:t>
      </w:r>
    </w:p>
    <w:p w14:paraId="658E1F54">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⑨未制定与作业范围相适应的应急处置预案；</w:t>
      </w:r>
    </w:p>
    <w:p w14:paraId="05828AEB">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⑩乙方不履行协议义务或者未按协议约定履行义务的其他情况。</w:t>
      </w:r>
    </w:p>
    <w:p w14:paraId="3F82B760">
      <w:pPr>
        <w:numPr>
          <w:ilvl w:val="0"/>
          <w:numId w:val="3"/>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乙方需</w:t>
      </w:r>
      <w:r>
        <w:rPr>
          <w:rFonts w:hint="eastAsia" w:ascii="仿宋" w:hAnsi="仿宋" w:eastAsia="仿宋" w:cs="仿宋"/>
          <w:color w:val="auto"/>
          <w:sz w:val="30"/>
          <w:szCs w:val="30"/>
          <w:highlight w:val="none"/>
        </w:rPr>
        <w:t>做好</w:t>
      </w:r>
      <w:r>
        <w:rPr>
          <w:rFonts w:hint="eastAsia" w:ascii="仿宋" w:hAnsi="仿宋" w:eastAsia="仿宋" w:cs="仿宋"/>
          <w:color w:val="auto"/>
          <w:sz w:val="30"/>
          <w:szCs w:val="30"/>
          <w:highlight w:val="none"/>
          <w:lang w:val="en-US" w:eastAsia="zh-CN"/>
        </w:rPr>
        <w:t>临水</w:t>
      </w:r>
      <w:r>
        <w:rPr>
          <w:rFonts w:hint="eastAsia" w:ascii="仿宋" w:hAnsi="仿宋" w:eastAsia="仿宋" w:cs="仿宋"/>
          <w:color w:val="auto"/>
          <w:sz w:val="30"/>
          <w:szCs w:val="30"/>
          <w:highlight w:val="none"/>
        </w:rPr>
        <w:t>作业安全保障工作，</w:t>
      </w:r>
      <w:r>
        <w:rPr>
          <w:rFonts w:hint="eastAsia" w:ascii="仿宋" w:hAnsi="仿宋" w:eastAsia="仿宋" w:cs="仿宋"/>
          <w:color w:val="auto"/>
          <w:sz w:val="30"/>
          <w:szCs w:val="30"/>
          <w:highlight w:val="none"/>
          <w:lang w:val="en-US" w:eastAsia="zh-CN"/>
        </w:rPr>
        <w:t>临水</w:t>
      </w:r>
      <w:r>
        <w:rPr>
          <w:rFonts w:hint="eastAsia" w:ascii="仿宋" w:hAnsi="仿宋" w:eastAsia="仿宋" w:cs="仿宋"/>
          <w:color w:val="auto"/>
          <w:sz w:val="30"/>
          <w:szCs w:val="30"/>
          <w:highlight w:val="none"/>
        </w:rPr>
        <w:t>作业的范围包括但不限于：构筑物水面垃圾的打捞（含粗格栅、细格栅、生化池、沉淀池/二沉池；生化池、二沉池、滤布滤池、出水明渠、硝化池、反硝化池等构筑物）的池内清洗等。具体要求如下：</w:t>
      </w:r>
    </w:p>
    <w:p w14:paraId="20809387">
      <w:pPr>
        <w:numPr>
          <w:ilvl w:val="0"/>
          <w:numId w:val="5"/>
        </w:numPr>
        <w:spacing w:line="276"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乙方在实施</w:t>
      </w:r>
      <w:r>
        <w:rPr>
          <w:rFonts w:hint="eastAsia" w:ascii="仿宋" w:hAnsi="仿宋" w:eastAsia="仿宋" w:cs="仿宋"/>
          <w:color w:val="auto"/>
          <w:sz w:val="30"/>
          <w:szCs w:val="30"/>
          <w:highlight w:val="none"/>
          <w:lang w:val="en-US" w:eastAsia="zh-CN"/>
        </w:rPr>
        <w:t>临水</w:t>
      </w:r>
      <w:r>
        <w:rPr>
          <w:rFonts w:hint="eastAsia" w:ascii="仿宋" w:hAnsi="仿宋" w:eastAsia="仿宋" w:cs="仿宋"/>
          <w:color w:val="auto"/>
          <w:sz w:val="30"/>
          <w:szCs w:val="30"/>
          <w:highlight w:val="none"/>
        </w:rPr>
        <w:t>作业时，需设一名或以上监护人员</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作业</w:t>
      </w:r>
      <w:r>
        <w:rPr>
          <w:rFonts w:hint="eastAsia" w:ascii="仿宋" w:hAnsi="仿宋" w:eastAsia="仿宋" w:cs="仿宋"/>
          <w:color w:val="auto"/>
          <w:sz w:val="30"/>
          <w:szCs w:val="30"/>
          <w:highlight w:val="none"/>
        </w:rPr>
        <w:t>存在</w:t>
      </w:r>
      <w:r>
        <w:rPr>
          <w:rFonts w:hint="eastAsia" w:ascii="仿宋" w:hAnsi="仿宋" w:eastAsia="仿宋" w:cs="仿宋"/>
          <w:color w:val="auto"/>
          <w:sz w:val="30"/>
          <w:szCs w:val="30"/>
          <w:highlight w:val="none"/>
          <w:lang w:val="en-US" w:eastAsia="zh-CN"/>
        </w:rPr>
        <w:t>多种</w:t>
      </w:r>
      <w:r>
        <w:rPr>
          <w:rFonts w:hint="eastAsia" w:ascii="仿宋" w:hAnsi="仿宋" w:eastAsia="仿宋" w:cs="仿宋"/>
          <w:color w:val="auto"/>
          <w:sz w:val="30"/>
          <w:szCs w:val="30"/>
          <w:highlight w:val="none"/>
        </w:rPr>
        <w:t>危险作业</w:t>
      </w:r>
      <w:r>
        <w:rPr>
          <w:rFonts w:hint="eastAsia" w:ascii="仿宋" w:hAnsi="仿宋" w:eastAsia="仿宋" w:cs="仿宋"/>
          <w:color w:val="auto"/>
          <w:sz w:val="30"/>
          <w:szCs w:val="30"/>
          <w:highlight w:val="none"/>
          <w:lang w:val="en-US" w:eastAsia="zh-CN"/>
        </w:rPr>
        <w:t>情况下，</w:t>
      </w:r>
      <w:r>
        <w:rPr>
          <w:rFonts w:hint="eastAsia" w:ascii="仿宋" w:hAnsi="仿宋" w:eastAsia="仿宋" w:cs="仿宋"/>
          <w:color w:val="auto"/>
          <w:sz w:val="30"/>
          <w:szCs w:val="30"/>
          <w:highlight w:val="none"/>
        </w:rPr>
        <w:t>需严格落实2人或2人以上为一组协同作业</w:t>
      </w:r>
      <w:r>
        <w:rPr>
          <w:rFonts w:hint="eastAsia" w:ascii="仿宋" w:hAnsi="仿宋" w:eastAsia="仿宋" w:cs="仿宋"/>
          <w:color w:val="auto"/>
          <w:sz w:val="30"/>
          <w:szCs w:val="30"/>
          <w:highlight w:val="none"/>
          <w:lang w:val="en-US" w:eastAsia="zh-CN"/>
        </w:rPr>
        <w:t>或交替作业</w:t>
      </w:r>
      <w:r>
        <w:rPr>
          <w:rFonts w:hint="eastAsia" w:ascii="仿宋" w:hAnsi="仿宋" w:eastAsia="仿宋" w:cs="仿宋"/>
          <w:color w:val="auto"/>
          <w:sz w:val="30"/>
          <w:szCs w:val="30"/>
          <w:highlight w:val="none"/>
        </w:rPr>
        <w:t>，不能单独作业。</w:t>
      </w:r>
    </w:p>
    <w:p w14:paraId="3F1156F4">
      <w:pPr>
        <w:numPr>
          <w:ilvl w:val="0"/>
          <w:numId w:val="5"/>
        </w:numPr>
        <w:spacing w:line="276"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危险作业前，必须检查作业工具是否完好，做好交底工作。</w:t>
      </w:r>
    </w:p>
    <w:p w14:paraId="1D2C40DC">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）危险作业时，必须做好安全防护措施（穿戴救生衣、安全绳（带）、水鞋、手套、不得穿拖鞋或凉鞋等），严格落实2人或2人以上为一组进行协同作业，不得单独作业。</w:t>
      </w:r>
    </w:p>
    <w:p w14:paraId="33E939EB">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）如遇阴雨及大雾、雷暴雨、台风等恶劣天气，禁止危险作业。</w:t>
      </w:r>
    </w:p>
    <w:p w14:paraId="4F92EAAF">
      <w:pPr>
        <w:numPr>
          <w:ilvl w:val="0"/>
          <w:numId w:val="3"/>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乙方对作业过程中潜在的安全风险不明确的，不可盲目作业，否则，造成的后果由乙方独自承担。</w:t>
      </w:r>
    </w:p>
    <w:p w14:paraId="26FA91CC">
      <w:pPr>
        <w:numPr>
          <w:ilvl w:val="0"/>
          <w:numId w:val="3"/>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本协议一式</w:t>
      </w:r>
      <w:r>
        <w:rPr>
          <w:rFonts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份，甲、乙双方各执</w:t>
      </w:r>
      <w:r>
        <w:rPr>
          <w:rFonts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份，自双方盖章，并经双方法定代表人签字后生效。</w:t>
      </w:r>
    </w:p>
    <w:p w14:paraId="1E5B7DD7">
      <w:pPr>
        <w:spacing w:line="276" w:lineRule="auto"/>
        <w:ind w:firstLine="560" w:firstLineChars="200"/>
        <w:rPr>
          <w:rFonts w:ascii="仿宋" w:hAnsi="仿宋" w:eastAsia="仿宋" w:cs="仿宋"/>
          <w:color w:val="auto"/>
          <w:sz w:val="28"/>
          <w:highlight w:val="none"/>
        </w:rPr>
      </w:pPr>
    </w:p>
    <w:p w14:paraId="34C4778B">
      <w:pPr>
        <w:spacing w:line="276" w:lineRule="auto"/>
        <w:ind w:firstLine="568" w:firstLineChars="202"/>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乙方声明：</w:t>
      </w:r>
    </w:p>
    <w:p w14:paraId="6B6BBF18">
      <w:pPr>
        <w:spacing w:line="276" w:lineRule="auto"/>
        <w:ind w:firstLine="568" w:firstLineChars="202"/>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乙方已认真阅读协议内容，对协议条款、现场的安全管理要求、安全风险充分理解，并自愿承担因违约造成的一切后果。</w:t>
      </w:r>
    </w:p>
    <w:p w14:paraId="57F68A69">
      <w:pPr>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lang w:eastAsia="zh-CN"/>
        </w:rPr>
        <w:t>（</w:t>
      </w:r>
      <w:r>
        <w:rPr>
          <w:rFonts w:hint="eastAsia" w:ascii="仿宋_GB2312" w:hAnsi="仿宋" w:eastAsia="仿宋_GB2312" w:cs="仿宋"/>
          <w:color w:val="auto"/>
          <w:sz w:val="28"/>
          <w:szCs w:val="28"/>
          <w:highlight w:val="none"/>
          <w:lang w:val="en-US" w:eastAsia="zh-CN"/>
        </w:rPr>
        <w:t>以下无正文</w:t>
      </w:r>
      <w:r>
        <w:rPr>
          <w:rFonts w:hint="eastAsia" w:ascii="仿宋_GB2312" w:hAnsi="仿宋" w:eastAsia="仿宋_GB2312" w:cs="仿宋"/>
          <w:color w:val="auto"/>
          <w:sz w:val="28"/>
          <w:szCs w:val="28"/>
          <w:highlight w:val="none"/>
          <w:lang w:eastAsia="zh-CN"/>
        </w:rPr>
        <w:t>）</w:t>
      </w:r>
    </w:p>
    <w:p w14:paraId="490592A4">
      <w:pPr>
        <w:ind w:firstLine="560" w:firstLineChars="200"/>
        <w:rPr>
          <w:rFonts w:ascii="仿宋_GB2312" w:hAnsi="仿宋" w:eastAsia="仿宋_GB2312" w:cs="仿宋"/>
          <w:color w:val="auto"/>
          <w:sz w:val="28"/>
          <w:szCs w:val="28"/>
          <w:highlight w:val="none"/>
        </w:rPr>
      </w:pPr>
    </w:p>
    <w:p w14:paraId="28BED845">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（盖章）：</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甲方2</w:t>
      </w:r>
      <w:r>
        <w:rPr>
          <w:rFonts w:ascii="仿宋" w:hAnsi="仿宋" w:eastAsia="仿宋" w:cs="仿宋"/>
          <w:color w:val="auto"/>
          <w:sz w:val="28"/>
          <w:szCs w:val="28"/>
          <w:highlight w:val="none"/>
        </w:rPr>
        <w:t xml:space="preserve">（盖章）： </w:t>
      </w:r>
    </w:p>
    <w:p w14:paraId="05701084">
      <w:pPr>
        <w:spacing w:line="3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法定代表人</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法定代表人</w:t>
      </w:r>
      <w:r>
        <w:rPr>
          <w:rFonts w:hint="eastAsia" w:ascii="仿宋" w:hAnsi="仿宋" w:eastAsia="仿宋" w:cs="仿宋"/>
          <w:color w:val="auto"/>
          <w:sz w:val="28"/>
          <w:szCs w:val="28"/>
          <w:highlight w:val="none"/>
        </w:rPr>
        <w:t>：</w:t>
      </w:r>
    </w:p>
    <w:p w14:paraId="05547FF4">
      <w:pPr>
        <w:rPr>
          <w:rFonts w:hint="eastAsia" w:ascii="仿宋" w:hAnsi="仿宋" w:eastAsia="仿宋" w:cs="仿宋"/>
          <w:color w:val="auto"/>
          <w:sz w:val="28"/>
          <w:szCs w:val="28"/>
          <w:highlight w:val="none"/>
        </w:rPr>
      </w:pPr>
    </w:p>
    <w:p w14:paraId="5822145F">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（盖章）：</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甲方4</w:t>
      </w:r>
      <w:r>
        <w:rPr>
          <w:rFonts w:ascii="仿宋" w:hAnsi="仿宋" w:eastAsia="仿宋" w:cs="仿宋"/>
          <w:color w:val="auto"/>
          <w:sz w:val="28"/>
          <w:szCs w:val="28"/>
          <w:highlight w:val="none"/>
        </w:rPr>
        <w:t xml:space="preserve">（盖章）： </w:t>
      </w:r>
    </w:p>
    <w:p w14:paraId="56ED9B33">
      <w:pPr>
        <w:spacing w:line="3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法定代表人</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法定代表人</w:t>
      </w:r>
      <w:r>
        <w:rPr>
          <w:rFonts w:hint="eastAsia" w:ascii="仿宋" w:hAnsi="仿宋" w:eastAsia="仿宋" w:cs="仿宋"/>
          <w:color w:val="auto"/>
          <w:sz w:val="28"/>
          <w:szCs w:val="28"/>
          <w:highlight w:val="none"/>
        </w:rPr>
        <w:t>：</w:t>
      </w:r>
    </w:p>
    <w:p w14:paraId="712850EA">
      <w:pPr>
        <w:spacing w:line="360" w:lineRule="exact"/>
        <w:rPr>
          <w:rFonts w:hint="eastAsia" w:ascii="仿宋" w:hAnsi="仿宋" w:eastAsia="仿宋" w:cs="仿宋"/>
          <w:color w:val="auto"/>
          <w:sz w:val="28"/>
          <w:szCs w:val="28"/>
          <w:highlight w:val="none"/>
        </w:rPr>
      </w:pPr>
    </w:p>
    <w:p w14:paraId="6FD907D6">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（盖章）：</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甲方6</w:t>
      </w:r>
      <w:r>
        <w:rPr>
          <w:rFonts w:ascii="仿宋" w:hAnsi="仿宋" w:eastAsia="仿宋" w:cs="仿宋"/>
          <w:color w:val="auto"/>
          <w:sz w:val="28"/>
          <w:szCs w:val="28"/>
          <w:highlight w:val="none"/>
        </w:rPr>
        <w:t xml:space="preserve">（盖章）： </w:t>
      </w:r>
    </w:p>
    <w:p w14:paraId="3F5DDDB3">
      <w:pPr>
        <w:spacing w:line="3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法定代表人</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法定代表人</w:t>
      </w:r>
      <w:r>
        <w:rPr>
          <w:rFonts w:hint="eastAsia" w:ascii="仿宋" w:hAnsi="仿宋" w:eastAsia="仿宋" w:cs="仿宋"/>
          <w:color w:val="auto"/>
          <w:sz w:val="28"/>
          <w:szCs w:val="28"/>
          <w:highlight w:val="none"/>
        </w:rPr>
        <w:t>：</w:t>
      </w:r>
    </w:p>
    <w:p w14:paraId="29B230C8">
      <w:pPr>
        <w:spacing w:line="360" w:lineRule="exact"/>
        <w:rPr>
          <w:rFonts w:ascii="仿宋" w:hAnsi="仿宋" w:eastAsia="仿宋" w:cs="仿宋"/>
          <w:color w:val="auto"/>
          <w:sz w:val="28"/>
          <w:szCs w:val="28"/>
          <w:highlight w:val="none"/>
        </w:rPr>
      </w:pPr>
      <w:r>
        <w:rPr>
          <w:rFonts w:ascii="仿宋" w:hAnsi="仿宋" w:eastAsia="仿宋" w:cs="仿宋"/>
          <w:color w:val="auto"/>
          <w:sz w:val="28"/>
          <w:szCs w:val="28"/>
          <w:highlight w:val="none"/>
        </w:rPr>
        <w:t xml:space="preserve">                </w:t>
      </w:r>
    </w:p>
    <w:p w14:paraId="371C57BC">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 xml:space="preserve">（盖章）：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w:t>
      </w:r>
    </w:p>
    <w:p w14:paraId="197E02B5">
      <w:pPr>
        <w:spacing w:line="36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法定代表人：                </w:t>
      </w:r>
    </w:p>
    <w:p w14:paraId="6105FD7A">
      <w:pPr>
        <w:spacing w:line="360" w:lineRule="exact"/>
        <w:rPr>
          <w:rFonts w:hint="eastAsia" w:ascii="仿宋" w:hAnsi="仿宋" w:eastAsia="仿宋" w:cs="仿宋"/>
          <w:color w:val="auto"/>
          <w:sz w:val="28"/>
          <w:szCs w:val="28"/>
          <w:highlight w:val="none"/>
          <w:lang w:val="en-US" w:eastAsia="zh-CN"/>
        </w:rPr>
      </w:pPr>
    </w:p>
    <w:p w14:paraId="18DAE995">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签订</w:t>
      </w:r>
      <w:r>
        <w:rPr>
          <w:rFonts w:hint="eastAsia" w:ascii="仿宋" w:hAnsi="仿宋" w:eastAsia="仿宋" w:cs="仿宋"/>
          <w:color w:val="auto"/>
          <w:sz w:val="28"/>
          <w:szCs w:val="28"/>
          <w:highlight w:val="none"/>
        </w:rPr>
        <w:t>日期：</w:t>
      </w:r>
    </w:p>
    <w:p w14:paraId="49957158">
      <w:pPr>
        <w:autoSpaceDE w:val="0"/>
        <w:autoSpaceDN w:val="0"/>
        <w:adjustRightInd w:val="0"/>
        <w:snapToGrid w:val="0"/>
        <w:spacing w:line="360" w:lineRule="auto"/>
        <w:jc w:val="left"/>
        <w:rPr>
          <w:rFonts w:ascii="宋体" w:hAnsi="宋体" w:eastAsia="宋体" w:cs="Times New Roman"/>
          <w:color w:val="auto"/>
          <w:kern w:val="0"/>
          <w:szCs w:val="21"/>
          <w:highlight w:val="none"/>
        </w:rPr>
      </w:pPr>
      <w:r>
        <w:rPr>
          <w:rFonts w:hint="eastAsia" w:ascii="仿宋" w:hAnsi="仿宋" w:eastAsia="仿宋" w:cs="仿宋"/>
          <w:color w:val="auto"/>
          <w:sz w:val="28"/>
          <w:szCs w:val="28"/>
          <w:highlight w:val="none"/>
          <w:lang w:val="en-US" w:eastAsia="zh-CN"/>
        </w:rPr>
        <w:t>签订地点：广东省东莞市</w:t>
      </w:r>
    </w:p>
    <w:p w14:paraId="449796F0">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1E8A560">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22940C4">
      <w:pPr>
        <w:pageBreakBefore/>
        <w:spacing w:before="120" w:beforeLines="50" w:after="120" w:afterLines="50" w:line="360" w:lineRule="auto"/>
        <w:jc w:val="center"/>
        <w:outlineLvl w:val="1"/>
        <w:rPr>
          <w:rFonts w:ascii="宋体" w:hAnsi="宋体" w:eastAsia="宋体" w:cs="Times New Roman"/>
          <w:b/>
          <w:bCs/>
          <w:color w:val="auto"/>
          <w:sz w:val="32"/>
          <w:szCs w:val="32"/>
          <w:highlight w:val="none"/>
          <w:lang w:val="zh-CN"/>
        </w:rPr>
      </w:pPr>
      <w:bookmarkStart w:id="487" w:name="_Toc24712"/>
      <w:bookmarkStart w:id="488" w:name="_Toc23576"/>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87"/>
      <w:bookmarkEnd w:id="488"/>
    </w:p>
    <w:p w14:paraId="2C172356">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一、不可撤销银行履约保函格式</w:t>
      </w:r>
    </w:p>
    <w:p w14:paraId="66AE490F">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6EA14A68">
      <w:pPr>
        <w:widowControl/>
        <w:autoSpaceDE w:val="0"/>
        <w:autoSpaceDN w:val="0"/>
        <w:adjustRightInd w:val="0"/>
        <w:spacing w:line="360" w:lineRule="auto"/>
        <w:jc w:val="left"/>
        <w:rPr>
          <w:rFonts w:ascii="宋体" w:hAnsi="宋体" w:eastAsia="宋体" w:cs="宋体"/>
          <w:color w:val="auto"/>
          <w:kern w:val="0"/>
          <w:szCs w:val="21"/>
          <w:highlight w:val="none"/>
        </w:rPr>
      </w:pPr>
    </w:p>
    <w:p w14:paraId="24F67FCD">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hint="eastAsia" w:ascii="宋体" w:hAnsi="宋体" w:eastAsia="宋体" w:cs="Times New Roman"/>
          <w:color w:val="auto"/>
          <w:kern w:val="0"/>
          <w:szCs w:val="21"/>
          <w:highlight w:val="none"/>
        </w:rPr>
        <w:t>保函</w:t>
      </w:r>
      <w:r>
        <w:rPr>
          <w:rFonts w:ascii="宋体" w:hAnsi="宋体" w:eastAsia="宋体" w:cs="Times New Roman"/>
          <w:color w:val="auto"/>
          <w:kern w:val="0"/>
          <w:szCs w:val="21"/>
          <w:highlight w:val="none"/>
        </w:rPr>
        <w:t>编号：</w:t>
      </w:r>
    </w:p>
    <w:p w14:paraId="6743D55C">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61D823C6">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6CC8292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0E2530CC">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7895BFE2">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7B491860">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249AB803">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应从合同签订之日起至合同期限届满并全部货物经最终验收合格，受益人向申请人支付全部货款（除质保金）后二十八（28）日内保持有效。</w:t>
      </w:r>
    </w:p>
    <w:p w14:paraId="473E1886">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1AC33499">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4CEA9F2D">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41D51B32">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07771D08">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7B057294">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2D1DBE7">
      <w:pPr>
        <w:widowControl/>
        <w:autoSpaceDE w:val="0"/>
        <w:autoSpaceDN w:val="0"/>
        <w:adjustRightInd w:val="0"/>
        <w:spacing w:line="360" w:lineRule="auto"/>
        <w:jc w:val="left"/>
        <w:rPr>
          <w:rFonts w:ascii="宋体" w:hAnsi="宋体" w:eastAsia="宋体" w:cs="宋体"/>
          <w:color w:val="auto"/>
          <w:kern w:val="0"/>
          <w:szCs w:val="21"/>
          <w:highlight w:val="none"/>
        </w:rPr>
      </w:pPr>
    </w:p>
    <w:p w14:paraId="1FCF0BC2">
      <w:pPr>
        <w:widowControl/>
        <w:autoSpaceDE w:val="0"/>
        <w:autoSpaceDN w:val="0"/>
        <w:adjustRightInd w:val="0"/>
        <w:spacing w:line="360" w:lineRule="auto"/>
        <w:jc w:val="left"/>
        <w:rPr>
          <w:rFonts w:ascii="宋体" w:hAnsi="宋体" w:eastAsia="宋体" w:cs="宋体"/>
          <w:color w:val="auto"/>
          <w:kern w:val="0"/>
          <w:szCs w:val="21"/>
          <w:highlight w:val="none"/>
        </w:rPr>
      </w:pPr>
    </w:p>
    <w:p w14:paraId="1F8BEE6D">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headerReference r:id="rId8" w:type="first"/>
          <w:footerReference r:id="rId10" w:type="first"/>
          <w:footerReference r:id="rId9" w:type="default"/>
          <w:pgSz w:w="12240" w:h="15840"/>
          <w:pgMar w:top="1191" w:right="1043" w:bottom="1191" w:left="1043" w:header="720" w:footer="720" w:gutter="0"/>
          <w:cols w:space="720" w:num="1"/>
          <w:titlePg/>
          <w:docGrid w:linePitch="326" w:charSpace="0"/>
        </w:sectPr>
      </w:pPr>
    </w:p>
    <w:p w14:paraId="0AD9387B">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二、履约保证保险凭证格式</w:t>
      </w:r>
    </w:p>
    <w:p w14:paraId="22C8707F">
      <w:pPr>
        <w:autoSpaceDE w:val="0"/>
        <w:autoSpaceDN w:val="0"/>
        <w:adjustRightInd w:val="0"/>
        <w:jc w:val="center"/>
        <w:rPr>
          <w:rFonts w:ascii="宋体" w:hAnsi="宋体" w:eastAsia="宋体" w:cs="Times New Roman"/>
          <w:b/>
          <w:color w:val="auto"/>
          <w:kern w:val="0"/>
          <w:sz w:val="30"/>
          <w:szCs w:val="30"/>
          <w:highlight w:val="none"/>
        </w:rPr>
      </w:pPr>
    </w:p>
    <w:p w14:paraId="33F309E8">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履约保证保险凭证</w:t>
      </w:r>
    </w:p>
    <w:p w14:paraId="353331EF">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46B46B0">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79AE5AB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09ACFD0B">
      <w:pPr>
        <w:autoSpaceDE w:val="0"/>
        <w:autoSpaceDN w:val="0"/>
        <w:adjustRightInd w:val="0"/>
        <w:spacing w:line="360" w:lineRule="auto"/>
        <w:ind w:firstLine="437"/>
        <w:jc w:val="left"/>
        <w:rPr>
          <w:rFonts w:ascii="宋体" w:hAnsi="宋体" w:eastAsia="宋体" w:cs="宋体"/>
          <w:color w:val="auto"/>
          <w:kern w:val="0"/>
          <w:szCs w:val="21"/>
          <w:highlight w:val="none"/>
        </w:rPr>
      </w:pPr>
    </w:p>
    <w:p w14:paraId="19B4EAFE">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14:paraId="2A792F8A">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2055880F">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1D47AD4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3DA0D991">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14:paraId="6D3EE32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470193FB">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2170EE6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427A4191">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78A615D9">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45081285">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rPr>
        <w:t>履约保证保险</w:t>
      </w:r>
      <w:r>
        <w:rPr>
          <w:rFonts w:hint="eastAsia" w:ascii="宋体" w:hAnsi="宋体" w:eastAsia="宋体" w:cs="Times New Roman"/>
          <w:color w:val="auto"/>
          <w:kern w:val="0"/>
          <w:szCs w:val="21"/>
          <w:highlight w:val="none"/>
        </w:rPr>
        <w:t>应从合同签订之日起至合同期限届满并全部货物经最终验收合格，受益人向申请人支付全部货款（除质保金）后二十八（28）日内保持有效。</w:t>
      </w:r>
    </w:p>
    <w:p w14:paraId="4B62133C">
      <w:pPr>
        <w:rPr>
          <w:color w:val="auto"/>
          <w:highlight w:val="none"/>
        </w:rPr>
      </w:pPr>
    </w:p>
    <w:p w14:paraId="63623ECA">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w:t>
      </w:r>
      <w:r>
        <w:rPr>
          <w:rFonts w:ascii="宋体" w:hAnsi="宋体" w:eastAsia="宋体" w:cs="宋体"/>
          <w:color w:val="auto"/>
          <w:kern w:val="0"/>
          <w:szCs w:val="21"/>
          <w:highlight w:val="none"/>
        </w:rPr>
        <w:t xml:space="preserve">XXX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14:paraId="5BE82DD7">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66F1C7BF">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1DA08FC9">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w:t>
      </w:r>
      <w:r>
        <w:rPr>
          <w:rFonts w:ascii="宋体" w:hAnsi="宋体" w:eastAsia="宋体" w:cs="宋体"/>
          <w:color w:val="auto"/>
          <w:kern w:val="0"/>
          <w:szCs w:val="21"/>
          <w:highlight w:val="none"/>
        </w:rPr>
        <w:t xml:space="preserve">________ </w:t>
      </w:r>
    </w:p>
    <w:p w14:paraId="3909FE92">
      <w:pPr>
        <w:jc w:val="right"/>
        <w:rPr>
          <w:rFonts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r>
        <w:rPr>
          <w:rFonts w:hint="eastAsia" w:ascii="宋体" w:hAnsi="宋体" w:eastAsia="宋体" w:cs="Times New Roman"/>
          <w:b/>
          <w:color w:val="auto"/>
          <w:kern w:val="0"/>
          <w:sz w:val="28"/>
          <w:szCs w:val="28"/>
          <w:highlight w:val="none"/>
        </w:rPr>
        <w:br w:type="page"/>
      </w:r>
    </w:p>
    <w:p w14:paraId="6A99B94E">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三、担保公司履约担保书格式</w:t>
      </w:r>
    </w:p>
    <w:p w14:paraId="1B9859D1">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0F76206C">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66A9B831">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6B4F3D44">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0871E9DD">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13662BE9">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5F17F0E5">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rPr>
        <w:t>履约担保书应从合同签订之日起至合同期限届满并全部货物经最终验收合格，受益人向申请人支付全部货款（除质保金）后二十八（28）日内保持有效。</w:t>
      </w:r>
    </w:p>
    <w:p w14:paraId="61EEC7D1">
      <w:pPr>
        <w:autoSpaceDE w:val="0"/>
        <w:autoSpaceDN w:val="0"/>
        <w:adjustRightInd w:val="0"/>
        <w:spacing w:line="360" w:lineRule="auto"/>
        <w:jc w:val="left"/>
        <w:rPr>
          <w:rFonts w:ascii="宋体" w:hAnsi="宋体" w:eastAsia="宋体" w:cs="Times New Roman"/>
          <w:color w:val="auto"/>
          <w:kern w:val="0"/>
          <w:szCs w:val="21"/>
          <w:highlight w:val="none"/>
        </w:rPr>
      </w:pPr>
    </w:p>
    <w:p w14:paraId="3F53D431">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086826AC">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179C3ED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487219E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45E3396B">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1E7317FA">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76088301">
      <w:pPr>
        <w:autoSpaceDE w:val="0"/>
        <w:autoSpaceDN w:val="0"/>
        <w:adjustRightInd w:val="0"/>
        <w:spacing w:line="360" w:lineRule="auto"/>
        <w:jc w:val="left"/>
        <w:rPr>
          <w:rFonts w:ascii="宋体" w:hAnsi="宋体" w:eastAsia="宋体" w:cs="Times New Roman"/>
          <w:color w:val="auto"/>
          <w:kern w:val="0"/>
          <w:szCs w:val="21"/>
          <w:highlight w:val="none"/>
        </w:rPr>
      </w:pPr>
    </w:p>
    <w:p w14:paraId="2C109F66">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B1F022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58436B1D">
      <w:pPr>
        <w:widowControl/>
        <w:autoSpaceDE w:val="0"/>
        <w:autoSpaceDN w:val="0"/>
        <w:adjustRightInd w:val="0"/>
        <w:spacing w:line="360" w:lineRule="auto"/>
        <w:ind w:left="436" w:leftChars="-59" w:hanging="560" w:hangingChars="267"/>
        <w:jc w:val="left"/>
        <w:rPr>
          <w:rFonts w:ascii="宋体" w:hAnsi="宋体" w:eastAsia="宋体" w:cs="宋体"/>
          <w:color w:val="auto"/>
          <w:szCs w:val="24"/>
          <w:highlight w:val="none"/>
          <w:lang w:val="zh-CN"/>
        </w:rPr>
      </w:pPr>
    </w:p>
    <w:p w14:paraId="1111A5DD">
      <w:pPr>
        <w:pStyle w:val="6"/>
        <w:rPr>
          <w:color w:val="auto"/>
          <w:highlight w:val="none"/>
          <w:lang w:val="zh-CN"/>
        </w:rPr>
      </w:pPr>
    </w:p>
    <w:p w14:paraId="1D88118D">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89" w:name="_Toc28424"/>
      <w:r>
        <w:rPr>
          <w:rFonts w:hint="eastAsia" w:ascii="宋体" w:hAnsi="宋体" w:eastAsia="宋体" w:cs="宋体"/>
          <w:b/>
          <w:bCs/>
          <w:color w:val="auto"/>
          <w:kern w:val="44"/>
          <w:sz w:val="32"/>
          <w:szCs w:val="32"/>
          <w:highlight w:val="none"/>
          <w:lang w:val="zh-CN"/>
        </w:rPr>
        <w:t>第六篇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投标文件格式</w:t>
      </w:r>
      <w:bookmarkEnd w:id="441"/>
      <w:bookmarkEnd w:id="442"/>
      <w:bookmarkEnd w:id="443"/>
      <w:bookmarkEnd w:id="444"/>
      <w:bookmarkEnd w:id="445"/>
      <w:bookmarkEnd w:id="446"/>
      <w:bookmarkEnd w:id="489"/>
    </w:p>
    <w:p w14:paraId="3A8AC49A">
      <w:pPr>
        <w:pStyle w:val="46"/>
        <w:jc w:val="center"/>
        <w:outlineLvl w:val="1"/>
        <w:rPr>
          <w:rFonts w:hAnsi="宋体" w:eastAsia="宋体" w:cs="宋体"/>
          <w:b/>
          <w:bCs w:val="0"/>
          <w:color w:val="auto"/>
          <w:sz w:val="32"/>
          <w:szCs w:val="32"/>
          <w:highlight w:val="none"/>
        </w:rPr>
      </w:pPr>
      <w:bookmarkStart w:id="490" w:name="_Toc18802"/>
      <w:bookmarkStart w:id="491" w:name="_Toc211622201"/>
      <w:r>
        <w:rPr>
          <w:rFonts w:hint="eastAsia" w:hAnsi="宋体" w:eastAsia="宋体" w:cs="宋体"/>
          <w:b/>
          <w:bCs w:val="0"/>
          <w:color w:val="auto"/>
          <w:sz w:val="32"/>
          <w:szCs w:val="32"/>
          <w:highlight w:val="none"/>
        </w:rPr>
        <w:t>一 商务标格式</w:t>
      </w:r>
      <w:bookmarkEnd w:id="490"/>
      <w:bookmarkEnd w:id="491"/>
    </w:p>
    <w:p w14:paraId="32D59589">
      <w:pPr>
        <w:rPr>
          <w:rFonts w:ascii="宋体" w:hAnsi="宋体" w:eastAsia="宋体" w:cs="宋体"/>
          <w:color w:val="auto"/>
          <w:sz w:val="84"/>
          <w:highlight w:val="none"/>
        </w:rPr>
      </w:pPr>
      <w:bookmarkStart w:id="492" w:name="_Toc486167709"/>
      <w:bookmarkStart w:id="493" w:name="_Toc1977721"/>
      <w:bookmarkStart w:id="494" w:name="_Toc102860411"/>
      <w:bookmarkStart w:id="495" w:name="_Toc142508362"/>
      <w:bookmarkStart w:id="496" w:name="_Toc21133_WPSOffice_Level2"/>
      <w:bookmarkStart w:id="497" w:name="_Toc533708121"/>
      <w:bookmarkStart w:id="498" w:name="_Toc94107202"/>
      <w:bookmarkStart w:id="499" w:name="_Toc102860067"/>
      <w:bookmarkStart w:id="500" w:name="_Toc140596921"/>
      <w:bookmarkStart w:id="501" w:name="_Toc104991868"/>
      <w:r>
        <w:rPr>
          <w:rFonts w:hint="eastAsia" w:ascii="宋体" w:hAnsi="宋体" w:eastAsia="宋体" w:cs="宋体"/>
          <w:b/>
          <w:color w:val="auto"/>
          <w:kern w:val="0"/>
          <w:sz w:val="32"/>
          <w:szCs w:val="32"/>
          <w:highlight w:val="none"/>
        </w:rPr>
        <w:br w:type="page"/>
      </w:r>
    </w:p>
    <w:p w14:paraId="44A5F0A2">
      <w:pPr>
        <w:pStyle w:val="20"/>
        <w:spacing w:line="360" w:lineRule="auto"/>
        <w:jc w:val="center"/>
        <w:rPr>
          <w:rFonts w:ascii="宋体" w:hAnsi="宋体" w:cs="宋体"/>
          <w:color w:val="auto"/>
          <w:sz w:val="84"/>
          <w:highlight w:val="none"/>
        </w:rPr>
      </w:pPr>
    </w:p>
    <w:p w14:paraId="6AE9C054">
      <w:pPr>
        <w:pStyle w:val="20"/>
        <w:spacing w:line="360" w:lineRule="auto"/>
        <w:jc w:val="center"/>
        <w:rPr>
          <w:rFonts w:ascii="宋体" w:hAnsi="宋体" w:cs="宋体"/>
          <w:color w:val="auto"/>
          <w:sz w:val="84"/>
          <w:highlight w:val="none"/>
        </w:rPr>
      </w:pPr>
    </w:p>
    <w:p w14:paraId="2AC1FCF7">
      <w:pPr>
        <w:pStyle w:val="20"/>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2E241A38">
      <w:pPr>
        <w:pStyle w:val="20"/>
        <w:spacing w:line="360" w:lineRule="auto"/>
        <w:rPr>
          <w:rFonts w:ascii="宋体" w:hAnsi="宋体" w:cs="宋体"/>
          <w:color w:val="auto"/>
          <w:highlight w:val="none"/>
        </w:rPr>
      </w:pPr>
    </w:p>
    <w:p w14:paraId="6A69E8B3">
      <w:pPr>
        <w:pStyle w:val="20"/>
        <w:spacing w:line="360" w:lineRule="auto"/>
        <w:rPr>
          <w:rFonts w:ascii="宋体" w:hAnsi="宋体" w:cs="宋体"/>
          <w:color w:val="auto"/>
          <w:highlight w:val="none"/>
        </w:rPr>
      </w:pPr>
    </w:p>
    <w:p w14:paraId="077E8C60">
      <w:pPr>
        <w:pStyle w:val="20"/>
        <w:spacing w:line="360" w:lineRule="auto"/>
        <w:rPr>
          <w:rFonts w:ascii="宋体" w:hAnsi="宋体" w:cs="宋体"/>
          <w:color w:val="auto"/>
          <w:highlight w:val="none"/>
        </w:rPr>
      </w:pPr>
    </w:p>
    <w:p w14:paraId="67F4668C">
      <w:pPr>
        <w:pStyle w:val="20"/>
        <w:spacing w:line="360" w:lineRule="auto"/>
        <w:rPr>
          <w:rFonts w:ascii="宋体" w:hAnsi="宋体" w:cs="宋体"/>
          <w:color w:val="auto"/>
          <w:highlight w:val="none"/>
        </w:rPr>
      </w:pPr>
    </w:p>
    <w:p w14:paraId="016218B2">
      <w:pPr>
        <w:pStyle w:val="20"/>
        <w:spacing w:line="360" w:lineRule="auto"/>
        <w:rPr>
          <w:rFonts w:ascii="宋体" w:hAnsi="宋体" w:cs="宋体"/>
          <w:color w:val="auto"/>
          <w:highlight w:val="none"/>
        </w:rPr>
      </w:pPr>
    </w:p>
    <w:p w14:paraId="23A5D03E">
      <w:pPr>
        <w:pStyle w:val="20"/>
        <w:spacing w:line="360" w:lineRule="auto"/>
        <w:rPr>
          <w:rFonts w:ascii="宋体" w:hAnsi="宋体" w:cs="宋体"/>
          <w:color w:val="auto"/>
          <w:highlight w:val="none"/>
        </w:rPr>
      </w:pPr>
    </w:p>
    <w:p w14:paraId="3042A866">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5FA3BBD1">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57958D97">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投标文件商务标 </w:t>
      </w:r>
    </w:p>
    <w:p w14:paraId="0753D853">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0DEFD153">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14:paraId="44E31BDB">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21CB38BD">
      <w:pPr>
        <w:pStyle w:val="20"/>
        <w:spacing w:line="360" w:lineRule="auto"/>
        <w:rPr>
          <w:rFonts w:ascii="宋体" w:hAnsi="宋体" w:cs="宋体"/>
          <w:color w:val="auto"/>
          <w:highlight w:val="none"/>
        </w:rPr>
      </w:pPr>
    </w:p>
    <w:p w14:paraId="41C4B700">
      <w:pPr>
        <w:pStyle w:val="20"/>
        <w:spacing w:line="360" w:lineRule="auto"/>
        <w:rPr>
          <w:rFonts w:ascii="宋体" w:hAnsi="宋体" w:cs="宋体"/>
          <w:color w:val="auto"/>
          <w:highlight w:val="none"/>
        </w:rPr>
      </w:pPr>
      <w:r>
        <w:rPr>
          <w:rFonts w:hint="eastAsia" w:ascii="宋体" w:hAnsi="宋体" w:cs="宋体"/>
          <w:color w:val="auto"/>
          <w:highlight w:val="none"/>
        </w:rPr>
        <w:br w:type="page"/>
      </w:r>
    </w:p>
    <w:p w14:paraId="7E7AC76D">
      <w:pPr>
        <w:pStyle w:val="20"/>
        <w:spacing w:line="500" w:lineRule="exact"/>
        <w:jc w:val="center"/>
        <w:outlineLvl w:val="1"/>
        <w:rPr>
          <w:rFonts w:ascii="宋体" w:hAnsi="宋体" w:cs="宋体"/>
          <w:b/>
          <w:bCs/>
          <w:color w:val="auto"/>
          <w:sz w:val="24"/>
          <w:szCs w:val="24"/>
          <w:highlight w:val="none"/>
        </w:rPr>
      </w:pPr>
      <w:bookmarkStart w:id="502" w:name="_Toc27943"/>
      <w:bookmarkStart w:id="503" w:name="_Toc16205"/>
      <w:bookmarkStart w:id="504" w:name="_Toc25406"/>
      <w:bookmarkStart w:id="505" w:name="_Toc31361"/>
      <w:bookmarkStart w:id="506" w:name="_Toc17612"/>
      <w:bookmarkStart w:id="507" w:name="_Toc195714374"/>
      <w:bookmarkStart w:id="508" w:name="_Toc10999"/>
      <w:bookmarkStart w:id="509" w:name="_Toc211622202"/>
      <w:r>
        <w:rPr>
          <w:rFonts w:hint="eastAsia" w:ascii="宋体" w:hAnsi="宋体" w:cs="宋体"/>
          <w:b/>
          <w:bCs/>
          <w:color w:val="auto"/>
          <w:sz w:val="24"/>
          <w:szCs w:val="24"/>
          <w:highlight w:val="none"/>
        </w:rPr>
        <w:t>目录</w:t>
      </w:r>
      <w:bookmarkEnd w:id="502"/>
      <w:bookmarkEnd w:id="503"/>
      <w:bookmarkEnd w:id="504"/>
      <w:bookmarkEnd w:id="505"/>
      <w:bookmarkEnd w:id="506"/>
      <w:bookmarkEnd w:id="507"/>
      <w:bookmarkEnd w:id="508"/>
      <w:bookmarkEnd w:id="509"/>
    </w:p>
    <w:p w14:paraId="2E377CAD">
      <w:pPr>
        <w:pBdr>
          <w:bottom w:val="single" w:color="auto" w:sz="6" w:space="0"/>
        </w:pBdr>
        <w:spacing w:line="500" w:lineRule="exact"/>
        <w:ind w:firstLine="470" w:firstLineChars="224"/>
        <w:jc w:val="left"/>
        <w:rPr>
          <w:rFonts w:ascii="宋体" w:hAnsi="宋体" w:eastAsia="宋体" w:cs="宋体"/>
          <w:color w:val="auto"/>
          <w:szCs w:val="21"/>
          <w:highlight w:val="none"/>
        </w:rPr>
      </w:pPr>
      <w:r>
        <w:rPr>
          <w:rFonts w:hint="eastAsia" w:ascii="宋体" w:hAnsi="宋体" w:eastAsia="宋体" w:cs="宋体"/>
          <w:color w:val="auto"/>
          <w:szCs w:val="21"/>
          <w:highlight w:val="none"/>
        </w:rPr>
        <w:t>一、投标函；</w:t>
      </w:r>
    </w:p>
    <w:p w14:paraId="1E7C9FC0">
      <w:pPr>
        <w:pBdr>
          <w:bottom w:val="single" w:color="auto" w:sz="6" w:space="0"/>
        </w:pBdr>
        <w:spacing w:line="500" w:lineRule="exact"/>
        <w:ind w:firstLine="470" w:firstLineChars="224"/>
        <w:jc w:val="left"/>
        <w:rPr>
          <w:rFonts w:ascii="宋体" w:hAnsi="宋体" w:eastAsia="宋体" w:cs="宋体"/>
          <w:color w:val="auto"/>
          <w:szCs w:val="21"/>
          <w:highlight w:val="none"/>
        </w:rPr>
      </w:pPr>
      <w:r>
        <w:rPr>
          <w:rFonts w:hint="eastAsia" w:ascii="宋体" w:hAnsi="宋体" w:eastAsia="宋体" w:cs="宋体"/>
          <w:color w:val="auto"/>
          <w:szCs w:val="21"/>
          <w:highlight w:val="none"/>
        </w:rPr>
        <w:t>二、投标承诺书；</w:t>
      </w:r>
    </w:p>
    <w:p w14:paraId="48379180">
      <w:pPr>
        <w:pBdr>
          <w:bottom w:val="single" w:color="auto" w:sz="6" w:space="0"/>
        </w:pBdr>
        <w:spacing w:line="500" w:lineRule="exact"/>
        <w:ind w:firstLine="470" w:firstLineChars="224"/>
        <w:jc w:val="left"/>
        <w:rPr>
          <w:rFonts w:ascii="宋体" w:hAnsi="宋体" w:eastAsia="宋体" w:cs="宋体"/>
          <w:color w:val="auto"/>
          <w:szCs w:val="21"/>
          <w:highlight w:val="none"/>
        </w:rPr>
      </w:pPr>
      <w:r>
        <w:rPr>
          <w:rFonts w:hint="eastAsia" w:ascii="宋体" w:hAnsi="宋体" w:eastAsia="宋体" w:cs="宋体"/>
          <w:color w:val="auto"/>
          <w:szCs w:val="21"/>
          <w:highlight w:val="none"/>
        </w:rPr>
        <w:t>三、供货及/或提供服务过程承诺函；</w:t>
      </w:r>
    </w:p>
    <w:p w14:paraId="5DF77EB8">
      <w:pPr>
        <w:pBdr>
          <w:bottom w:val="single" w:color="auto" w:sz="6" w:space="0"/>
        </w:pBdr>
        <w:spacing w:line="500" w:lineRule="exact"/>
        <w:ind w:firstLine="470" w:firstLineChars="224"/>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四、分项报价表</w:t>
      </w:r>
      <w:r>
        <w:rPr>
          <w:rFonts w:hint="eastAsia" w:ascii="宋体" w:hAnsi="宋体" w:eastAsia="宋体" w:cs="宋体"/>
          <w:color w:val="auto"/>
          <w:szCs w:val="21"/>
          <w:highlight w:val="none"/>
          <w:lang w:eastAsia="zh-CN"/>
        </w:rPr>
        <w:t>；</w:t>
      </w:r>
    </w:p>
    <w:p w14:paraId="3D8CE20A">
      <w:pPr>
        <w:pBdr>
          <w:bottom w:val="single" w:color="auto" w:sz="6" w:space="0"/>
        </w:pBdr>
        <w:spacing w:line="500" w:lineRule="exact"/>
        <w:ind w:firstLine="470" w:firstLineChars="224"/>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、投标人资格证明文件：</w:t>
      </w:r>
    </w:p>
    <w:p w14:paraId="1CA53318">
      <w:pPr>
        <w:pBdr>
          <w:bottom w:val="single" w:color="auto" w:sz="6" w:space="0"/>
        </w:pBdr>
        <w:spacing w:line="500" w:lineRule="exact"/>
        <w:ind w:firstLine="470" w:firstLineChars="224"/>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、投标人基本情况一览表；</w:t>
      </w:r>
    </w:p>
    <w:p w14:paraId="7294E03B">
      <w:pPr>
        <w:pBdr>
          <w:bottom w:val="single" w:color="auto" w:sz="6" w:space="0"/>
        </w:pBdr>
        <w:spacing w:line="500" w:lineRule="exact"/>
        <w:ind w:firstLine="470" w:firstLineChars="224"/>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、投标人财务状况表；</w:t>
      </w:r>
    </w:p>
    <w:p w14:paraId="4F0FA4ED">
      <w:pPr>
        <w:pBdr>
          <w:bottom w:val="single" w:color="auto" w:sz="6" w:space="0"/>
        </w:pBdr>
        <w:spacing w:line="500" w:lineRule="exact"/>
        <w:ind w:firstLine="470" w:firstLineChars="224"/>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、合同条款响应程度（合同条款偏离表）；</w:t>
      </w:r>
    </w:p>
    <w:p w14:paraId="250EABC4">
      <w:pPr>
        <w:pBdr>
          <w:bottom w:val="single" w:color="auto" w:sz="6" w:space="0"/>
        </w:pBdr>
        <w:spacing w:line="500" w:lineRule="exact"/>
        <w:ind w:firstLine="470" w:firstLineChars="224"/>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、业绩表；</w:t>
      </w:r>
    </w:p>
    <w:p w14:paraId="66DFD37A">
      <w:pPr>
        <w:pBdr>
          <w:bottom w:val="single" w:color="auto" w:sz="6" w:space="0"/>
        </w:pBdr>
        <w:spacing w:line="500" w:lineRule="exact"/>
        <w:ind w:firstLine="470" w:firstLineChars="224"/>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十</w:t>
      </w:r>
      <w:r>
        <w:rPr>
          <w:rFonts w:hint="eastAsia" w:ascii="宋体" w:hAnsi="宋体" w:eastAsia="宋体" w:cs="宋体"/>
          <w:color w:val="auto"/>
          <w:szCs w:val="21"/>
          <w:highlight w:val="none"/>
        </w:rPr>
        <w:t>、投标人资格证明文件以外的其他资质证书、知识产权证书及获得的相关获奖、认证证书、社会评价资料证明文件扫描件等投标人认为有需要证明其具备为本次招标项目</w:t>
      </w:r>
      <w:r>
        <w:rPr>
          <w:rFonts w:hint="eastAsia" w:ascii="宋体" w:hAnsi="宋体" w:eastAsia="宋体" w:cs="宋体"/>
          <w:color w:val="auto"/>
          <w:szCs w:val="21"/>
          <w:highlight w:val="none"/>
          <w:lang w:val="zh-CN"/>
        </w:rPr>
        <w:t>提供货物</w:t>
      </w:r>
      <w:r>
        <w:rPr>
          <w:rFonts w:hint="eastAsia" w:ascii="宋体" w:hAnsi="宋体" w:eastAsia="宋体" w:cs="宋体"/>
          <w:color w:val="auto"/>
          <w:szCs w:val="21"/>
          <w:highlight w:val="none"/>
        </w:rPr>
        <w:t>及有关</w:t>
      </w:r>
      <w:r>
        <w:rPr>
          <w:rFonts w:hint="eastAsia" w:ascii="宋体" w:hAnsi="宋体" w:eastAsia="宋体" w:cs="宋体"/>
          <w:color w:val="auto"/>
          <w:szCs w:val="21"/>
          <w:highlight w:val="none"/>
          <w:lang w:val="zh-CN"/>
        </w:rPr>
        <w:t>服务能力</w:t>
      </w:r>
      <w:r>
        <w:rPr>
          <w:rFonts w:hint="eastAsia" w:ascii="宋体" w:hAnsi="宋体" w:eastAsia="宋体" w:cs="宋体"/>
          <w:color w:val="auto"/>
          <w:szCs w:val="21"/>
          <w:highlight w:val="none"/>
        </w:rPr>
        <w:t>的有关其它商务文件（不做强制要求）。</w:t>
      </w:r>
    </w:p>
    <w:p w14:paraId="2D3EA625">
      <w:pPr>
        <w:pBdr>
          <w:bottom w:val="single" w:color="auto" w:sz="6" w:space="0"/>
        </w:pBdr>
        <w:spacing w:line="500" w:lineRule="exact"/>
        <w:ind w:firstLine="720" w:firstLineChars="224"/>
        <w:jc w:val="left"/>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51ABD2A">
      <w:pPr>
        <w:rPr>
          <w:rFonts w:ascii="宋体" w:hAnsi="宋体" w:eastAsia="宋体" w:cs="宋体"/>
          <w:b/>
          <w:color w:val="auto"/>
          <w:kern w:val="0"/>
          <w:sz w:val="32"/>
          <w:szCs w:val="32"/>
          <w:highlight w:val="none"/>
        </w:rPr>
      </w:pPr>
    </w:p>
    <w:p w14:paraId="5FEB4EAA">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510" w:name="_Toc13281"/>
      <w:bookmarkStart w:id="511" w:name="_Toc27679"/>
      <w:bookmarkStart w:id="512" w:name="_Toc23782"/>
      <w:bookmarkStart w:id="513" w:name="_Toc23325"/>
      <w:bookmarkStart w:id="514" w:name="_Toc211622203"/>
      <w:r>
        <w:rPr>
          <w:rFonts w:hint="eastAsia" w:ascii="宋体" w:hAnsi="宋体" w:eastAsia="宋体" w:cs="宋体"/>
          <w:b/>
          <w:color w:val="auto"/>
          <w:kern w:val="0"/>
          <w:sz w:val="32"/>
          <w:szCs w:val="32"/>
          <w:highlight w:val="none"/>
        </w:rPr>
        <w:t>一、投标函格式</w:t>
      </w:r>
      <w:bookmarkEnd w:id="492"/>
      <w:bookmarkEnd w:id="493"/>
      <w:bookmarkEnd w:id="494"/>
      <w:bookmarkEnd w:id="495"/>
      <w:bookmarkEnd w:id="496"/>
      <w:bookmarkEnd w:id="497"/>
      <w:bookmarkEnd w:id="498"/>
      <w:bookmarkEnd w:id="499"/>
      <w:bookmarkEnd w:id="500"/>
      <w:bookmarkEnd w:id="501"/>
      <w:bookmarkEnd w:id="510"/>
      <w:bookmarkEnd w:id="511"/>
      <w:bookmarkEnd w:id="512"/>
      <w:bookmarkEnd w:id="513"/>
      <w:bookmarkEnd w:id="514"/>
    </w:p>
    <w:p w14:paraId="2FCB3BBE">
      <w:pPr>
        <w:autoSpaceDE w:val="0"/>
        <w:autoSpaceDN w:val="0"/>
        <w:adjustRightInd w:val="0"/>
        <w:spacing w:line="360" w:lineRule="auto"/>
        <w:jc w:val="center"/>
        <w:rPr>
          <w:rFonts w:ascii="宋体" w:hAnsi="宋体" w:eastAsia="宋体" w:cs="宋体"/>
          <w:b/>
          <w:bCs/>
          <w:color w:val="auto"/>
          <w:sz w:val="30"/>
          <w:szCs w:val="30"/>
          <w:highlight w:val="none"/>
        </w:rPr>
      </w:pPr>
      <w:bookmarkStart w:id="515" w:name="_Toc16695_WPSOffice_Level3"/>
      <w:r>
        <w:rPr>
          <w:rFonts w:hint="eastAsia" w:ascii="宋体" w:hAnsi="宋体" w:eastAsia="宋体" w:cs="宋体"/>
          <w:b/>
          <w:bCs/>
          <w:color w:val="auto"/>
          <w:sz w:val="30"/>
          <w:szCs w:val="30"/>
          <w:highlight w:val="none"/>
          <w:lang w:val="zh-CN"/>
        </w:rPr>
        <w:t>投 标 函</w:t>
      </w:r>
      <w:bookmarkEnd w:id="515"/>
    </w:p>
    <w:p w14:paraId="0B025BA3">
      <w:pPr>
        <w:autoSpaceDE w:val="0"/>
        <w:autoSpaceDN w:val="0"/>
        <w:adjustRightInd w:val="0"/>
        <w:spacing w:line="360" w:lineRule="auto"/>
        <w:rPr>
          <w:rFonts w:ascii="宋体" w:hAnsi="宋体" w:eastAsia="宋体" w:cs="宋体"/>
          <w:color w:val="auto"/>
          <w:szCs w:val="21"/>
          <w:highlight w:val="none"/>
          <w:lang w:val="zh-CN"/>
        </w:rPr>
      </w:pPr>
    </w:p>
    <w:p w14:paraId="641FA464">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rPr>
        <w:t>东莞市水务环境投资控股集团净水有限公司</w:t>
      </w:r>
    </w:p>
    <w:p w14:paraId="376C1B48">
      <w:pPr>
        <w:autoSpaceDE w:val="0"/>
        <w:autoSpaceDN w:val="0"/>
        <w:adjustRightInd w:val="0"/>
        <w:spacing w:line="360" w:lineRule="auto"/>
        <w:rPr>
          <w:rFonts w:ascii="宋体" w:hAnsi="宋体" w:eastAsia="宋体" w:cs="宋体"/>
          <w:color w:val="auto"/>
          <w:szCs w:val="21"/>
          <w:highlight w:val="none"/>
        </w:rPr>
      </w:pPr>
    </w:p>
    <w:p w14:paraId="15AD431A">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东莞市水务环境投资控股集团净水有限公司2026年-2027年生产药剂液体聚合氯化铝、液体聚合氯化铝铁采购项目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0E51A8D0">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1FD43A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val="zh-CN"/>
        </w:rPr>
        <w:t>的投标；</w:t>
      </w:r>
    </w:p>
    <w:p w14:paraId="0850971F">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3BF9EA7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36DE5E60">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（四）我方明白并愿意在规定的递交投标文件截止时间和日期之后，投标有效期之内撤销投标，则不予退还我方投标保证金；</w:t>
      </w:r>
    </w:p>
    <w:p w14:paraId="47F3994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52C9001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0AA927A9">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7DA3C55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6398622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405268CF">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3111828">
      <w:pPr>
        <w:autoSpaceDE w:val="0"/>
        <w:autoSpaceDN w:val="0"/>
        <w:adjustRightInd w:val="0"/>
        <w:spacing w:line="360" w:lineRule="auto"/>
        <w:ind w:firstLine="315" w:firstLineChars="150"/>
        <w:rPr>
          <w:rFonts w:ascii="宋体" w:hAnsi="宋体" w:eastAsia="宋体" w:cs="宋体"/>
          <w:color w:val="auto"/>
          <w:szCs w:val="21"/>
          <w:highlight w:val="none"/>
          <w:lang w:val="zh-CN"/>
        </w:rPr>
      </w:pPr>
      <w:bookmarkStart w:id="516" w:name="_Toc3743"/>
      <w:r>
        <w:rPr>
          <w:rFonts w:hint="eastAsia" w:ascii="宋体" w:hAnsi="宋体" w:eastAsia="宋体" w:cs="宋体"/>
          <w:color w:val="auto"/>
          <w:szCs w:val="21"/>
          <w:highlight w:val="none"/>
          <w:lang w:val="zh-CN"/>
        </w:rPr>
        <w:t>（十一）所有与本投标有关的函件请发往下列地址：</w:t>
      </w:r>
      <w:bookmarkEnd w:id="516"/>
    </w:p>
    <w:p w14:paraId="1DFD7D75">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13D30246">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77B15B97">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275DE296">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58BABC79">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106BB55E">
      <w:pPr>
        <w:autoSpaceDE w:val="0"/>
        <w:autoSpaceDN w:val="0"/>
        <w:adjustRightInd w:val="0"/>
        <w:spacing w:line="360" w:lineRule="auto"/>
        <w:ind w:firstLine="4960" w:firstLineChars="2362"/>
        <w:rPr>
          <w:rFonts w:ascii="宋体" w:hAnsi="宋体" w:eastAsia="宋体" w:cs="宋体"/>
          <w:color w:val="auto"/>
          <w:szCs w:val="21"/>
          <w:highlight w:val="none"/>
          <w:lang w:val="zh-CN"/>
        </w:rPr>
      </w:pPr>
    </w:p>
    <w:p w14:paraId="7A069C2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39C416C">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218C77C2">
      <w:pPr>
        <w:autoSpaceDE w:val="0"/>
        <w:autoSpaceDN w:val="0"/>
        <w:adjustRightInd w:val="0"/>
        <w:spacing w:line="360" w:lineRule="auto"/>
        <w:ind w:firstLine="4960" w:firstLineChars="2362"/>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D24FED3">
      <w:pPr>
        <w:tabs>
          <w:tab w:val="left" w:pos="567"/>
        </w:tabs>
        <w:autoSpaceDE w:val="0"/>
        <w:autoSpaceDN w:val="0"/>
        <w:adjustRightInd w:val="0"/>
        <w:spacing w:line="360" w:lineRule="auto"/>
        <w:ind w:left="357" w:leftChars="-100" w:hanging="567"/>
        <w:jc w:val="center"/>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672F37FB">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bookmarkStart w:id="517" w:name="_Toc3104"/>
      <w:bookmarkStart w:id="518" w:name="_Toc30995"/>
      <w:bookmarkStart w:id="519" w:name="_Toc102860412"/>
      <w:bookmarkStart w:id="520" w:name="_Toc12417"/>
      <w:bookmarkStart w:id="521" w:name="_Toc486167710"/>
      <w:bookmarkStart w:id="522" w:name="_Toc1977722"/>
      <w:bookmarkStart w:id="523" w:name="_Toc140596922"/>
      <w:bookmarkStart w:id="524" w:name="_Toc102860068"/>
      <w:bookmarkStart w:id="525" w:name="_Toc94107203"/>
      <w:bookmarkStart w:id="526" w:name="_Toc28613_WPSOffice_Level2"/>
      <w:bookmarkStart w:id="527" w:name="_Toc533708122"/>
      <w:bookmarkStart w:id="528" w:name="_Toc104991869"/>
      <w:bookmarkStart w:id="529" w:name="_Toc142508363"/>
    </w:p>
    <w:p w14:paraId="6CC9489D">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530" w:name="_Toc28715"/>
      <w:bookmarkStart w:id="531" w:name="_Toc211622204"/>
      <w:r>
        <w:rPr>
          <w:rFonts w:hint="eastAsia" w:ascii="宋体" w:hAnsi="宋体" w:eastAsia="宋体" w:cs="宋体"/>
          <w:b/>
          <w:color w:val="auto"/>
          <w:kern w:val="0"/>
          <w:sz w:val="32"/>
          <w:szCs w:val="32"/>
          <w:highlight w:val="none"/>
        </w:rPr>
        <w:t>二、投标承诺书格式</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6B05622C">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1CEF9435">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13659B74">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东莞市水务环境投资控股集团净水有限公司2026年-2027年生产药剂液体聚合氯化铝、液体聚合氯化铝铁采购项目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767674FD">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31.2款约定按时提供原件核查的，因此导致我方无法参与东莞市水务环境投资控股集团有限公司相关招标采购活动的，由我方自行承担全部后果。</w:t>
      </w:r>
    </w:p>
    <w:p w14:paraId="5EB612F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2C288CB9">
      <w:pPr>
        <w:autoSpaceDE w:val="0"/>
        <w:autoSpaceDN w:val="0"/>
        <w:adjustRightInd w:val="0"/>
        <w:spacing w:line="360" w:lineRule="auto"/>
        <w:jc w:val="left"/>
        <w:rPr>
          <w:rFonts w:ascii="宋体" w:hAnsi="宋体" w:eastAsia="宋体" w:cs="宋体"/>
          <w:color w:val="auto"/>
          <w:kern w:val="0"/>
          <w:sz w:val="24"/>
          <w:szCs w:val="24"/>
          <w:highlight w:val="none"/>
        </w:rPr>
      </w:pPr>
    </w:p>
    <w:p w14:paraId="7E1F1216">
      <w:pPr>
        <w:autoSpaceDE w:val="0"/>
        <w:autoSpaceDN w:val="0"/>
        <w:adjustRightInd w:val="0"/>
        <w:spacing w:line="360" w:lineRule="auto"/>
        <w:jc w:val="left"/>
        <w:rPr>
          <w:rFonts w:ascii="宋体" w:hAnsi="宋体" w:eastAsia="宋体" w:cs="宋体"/>
          <w:color w:val="auto"/>
          <w:kern w:val="0"/>
          <w:sz w:val="24"/>
          <w:szCs w:val="24"/>
          <w:highlight w:val="none"/>
        </w:rPr>
      </w:pPr>
    </w:p>
    <w:p w14:paraId="14AED58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D02B9C8">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46099A4F">
      <w:pPr>
        <w:autoSpaceDE w:val="0"/>
        <w:autoSpaceDN w:val="0"/>
        <w:adjustRightInd w:val="0"/>
        <w:spacing w:line="360" w:lineRule="auto"/>
        <w:ind w:firstLine="4960" w:firstLineChars="2362"/>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D6C1608">
      <w:pPr>
        <w:autoSpaceDE w:val="0"/>
        <w:autoSpaceDN w:val="0"/>
        <w:adjustRightInd w:val="0"/>
        <w:spacing w:line="360" w:lineRule="auto"/>
        <w:jc w:val="center"/>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5738C5B7">
      <w:pPr>
        <w:autoSpaceDE w:val="0"/>
        <w:autoSpaceDN w:val="0"/>
        <w:adjustRightInd w:val="0"/>
        <w:spacing w:line="360" w:lineRule="auto"/>
        <w:jc w:val="left"/>
        <w:rPr>
          <w:rFonts w:ascii="宋体" w:hAnsi="宋体" w:eastAsia="宋体" w:cs="宋体"/>
          <w:color w:val="auto"/>
          <w:kern w:val="0"/>
          <w:sz w:val="24"/>
          <w:szCs w:val="24"/>
          <w:highlight w:val="none"/>
        </w:rPr>
      </w:pPr>
    </w:p>
    <w:p w14:paraId="749D5E5A">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0F82C9A2">
      <w:pPr>
        <w:autoSpaceDE w:val="0"/>
        <w:autoSpaceDN w:val="0"/>
        <w:adjustRightInd w:val="0"/>
        <w:spacing w:line="360" w:lineRule="auto"/>
        <w:jc w:val="left"/>
        <w:rPr>
          <w:rFonts w:ascii="宋体" w:hAnsi="宋体" w:eastAsia="宋体" w:cs="宋体"/>
          <w:color w:val="auto"/>
          <w:kern w:val="0"/>
          <w:sz w:val="24"/>
          <w:szCs w:val="24"/>
          <w:highlight w:val="none"/>
        </w:rPr>
      </w:pPr>
    </w:p>
    <w:p w14:paraId="3F7C29C4">
      <w:pPr>
        <w:autoSpaceDE w:val="0"/>
        <w:autoSpaceDN w:val="0"/>
        <w:adjustRightInd w:val="0"/>
        <w:spacing w:line="360" w:lineRule="auto"/>
        <w:jc w:val="left"/>
        <w:rPr>
          <w:rFonts w:ascii="宋体" w:hAnsi="宋体" w:eastAsia="宋体" w:cs="宋体"/>
          <w:color w:val="auto"/>
          <w:kern w:val="0"/>
          <w:sz w:val="24"/>
          <w:szCs w:val="24"/>
          <w:highlight w:val="none"/>
        </w:rPr>
      </w:pPr>
      <w:bookmarkStart w:id="532" w:name="_Toc316896755"/>
      <w:bookmarkStart w:id="533" w:name="_Toc311032584"/>
      <w:bookmarkStart w:id="534" w:name="_Toc326768876"/>
    </w:p>
    <w:p w14:paraId="7891021C">
      <w:pPr>
        <w:pageBreakBefore/>
        <w:autoSpaceDE w:val="0"/>
        <w:autoSpaceDN w:val="0"/>
        <w:adjustRightInd w:val="0"/>
        <w:spacing w:line="360" w:lineRule="auto"/>
        <w:jc w:val="left"/>
        <w:outlineLvl w:val="1"/>
        <w:rPr>
          <w:rFonts w:ascii="宋体" w:hAnsi="宋体" w:eastAsia="宋体" w:cs="宋体"/>
          <w:b/>
          <w:color w:val="auto"/>
          <w:kern w:val="44"/>
          <w:sz w:val="32"/>
          <w:szCs w:val="32"/>
          <w:highlight w:val="none"/>
        </w:rPr>
      </w:pPr>
      <w:bookmarkStart w:id="535" w:name="_Toc102860413"/>
      <w:bookmarkStart w:id="536" w:name="_Toc94107204"/>
      <w:bookmarkStart w:id="537" w:name="_Toc82182546"/>
      <w:bookmarkStart w:id="538" w:name="_Toc142508364"/>
      <w:bookmarkStart w:id="539" w:name="_Toc29910"/>
      <w:bookmarkStart w:id="540" w:name="_Toc24336"/>
      <w:bookmarkStart w:id="541" w:name="_Toc102860069"/>
      <w:bookmarkStart w:id="542" w:name="_Toc5532"/>
      <w:bookmarkStart w:id="543" w:name="_Toc211622205"/>
      <w:bookmarkStart w:id="544" w:name="_Toc140596923"/>
      <w:bookmarkStart w:id="545" w:name="_Toc5075"/>
      <w:bookmarkStart w:id="546" w:name="_Toc104991870"/>
      <w:bookmarkStart w:id="547" w:name="_Toc86764083"/>
      <w:bookmarkStart w:id="548" w:name="_Toc1977723"/>
      <w:bookmarkStart w:id="549" w:name="_Toc486167711"/>
      <w:bookmarkStart w:id="550" w:name="_Toc533708123"/>
      <w:bookmarkStart w:id="551" w:name="_Toc7024_WPSOffice_Level2"/>
      <w:r>
        <w:rPr>
          <w:rFonts w:hint="eastAsia" w:ascii="宋体" w:hAnsi="宋体" w:eastAsia="宋体" w:cs="宋体"/>
          <w:b/>
          <w:color w:val="auto"/>
          <w:kern w:val="44"/>
          <w:sz w:val="32"/>
          <w:szCs w:val="32"/>
          <w:highlight w:val="none"/>
        </w:rPr>
        <w:t>三、供货及/或提供服务过程承诺函格式</w:t>
      </w:r>
      <w:bookmarkEnd w:id="535"/>
      <w:bookmarkEnd w:id="536"/>
      <w:bookmarkEnd w:id="537"/>
      <w:bookmarkEnd w:id="538"/>
      <w:bookmarkEnd w:id="539"/>
      <w:bookmarkEnd w:id="540"/>
      <w:bookmarkEnd w:id="541"/>
      <w:bookmarkEnd w:id="542"/>
      <w:bookmarkEnd w:id="543"/>
      <w:bookmarkEnd w:id="544"/>
      <w:bookmarkEnd w:id="545"/>
      <w:bookmarkEnd w:id="546"/>
      <w:bookmarkEnd w:id="547"/>
    </w:p>
    <w:p w14:paraId="76A18ADF">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7AB7A76C">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致东莞市水务环境投资控股集团净水有限公司：</w:t>
      </w:r>
    </w:p>
    <w:p w14:paraId="4F5FFEA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eastAsia="zh-CN"/>
        </w:rPr>
        <w:t>东莞市水务环境投资控股集团净水有限公司2026年-2027年生产药剂液体聚合氯化铝、液体聚合氯化铝铁采购项目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6C0F94E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5449C00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29BEB63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4BA8418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5D0C89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737D466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419D6FA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283392F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3419882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4AFEBF3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7D4E43E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14FD9BA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81FF3C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6504AA9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4480FBF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7BFD176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6D98EA8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7C2B343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428822E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48A19B0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65F3626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6DC52B23">
      <w:pPr>
        <w:autoSpaceDE w:val="0"/>
        <w:autoSpaceDN w:val="0"/>
        <w:adjustRightInd w:val="0"/>
        <w:spacing w:line="360" w:lineRule="auto"/>
        <w:ind w:firstLine="5040"/>
        <w:rPr>
          <w:rFonts w:ascii="宋体" w:hAnsi="宋体" w:eastAsia="宋体" w:cs="宋体"/>
          <w:color w:val="auto"/>
          <w:kern w:val="0"/>
          <w:szCs w:val="21"/>
          <w:highlight w:val="none"/>
        </w:rPr>
      </w:pPr>
      <w:bookmarkStart w:id="552" w:name="_Toc18346"/>
      <w:bookmarkStart w:id="553" w:name="_Toc142508366"/>
      <w:bookmarkStart w:id="554" w:name="_Toc1140"/>
      <w:bookmarkStart w:id="555" w:name="_Toc102860071"/>
      <w:bookmarkStart w:id="556" w:name="_Toc94107206"/>
      <w:bookmarkStart w:id="557" w:name="_Toc140596925"/>
      <w:bookmarkStart w:id="558" w:name="_Toc13416"/>
      <w:bookmarkStart w:id="559" w:name="_Toc104991872"/>
      <w:bookmarkStart w:id="560" w:name="_Toc102860415"/>
      <w:r>
        <w:rPr>
          <w:rFonts w:hint="eastAsia" w:ascii="宋体" w:hAnsi="宋体" w:eastAsia="宋体" w:cs="宋体"/>
          <w:color w:val="auto"/>
          <w:kern w:val="0"/>
          <w:szCs w:val="21"/>
          <w:highlight w:val="none"/>
        </w:rPr>
        <w:t xml:space="preserve">                                 </w:t>
      </w:r>
    </w:p>
    <w:p w14:paraId="140217B7">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FB6D0D1">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3E78E0BD">
      <w:pPr>
        <w:autoSpaceDE w:val="0"/>
        <w:autoSpaceDN w:val="0"/>
        <w:adjustRightInd w:val="0"/>
        <w:spacing w:line="360" w:lineRule="auto"/>
        <w:ind w:firstLine="4960" w:firstLineChars="2362"/>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77EB5D4">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28122F83">
      <w:pPr>
        <w:autoSpaceDE/>
        <w:autoSpaceDN/>
        <w:adjustRightInd/>
        <w:spacing w:line="240" w:lineRule="auto"/>
        <w:jc w:val="left"/>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br w:type="page"/>
      </w:r>
    </w:p>
    <w:p w14:paraId="23B3CDDD">
      <w:pPr>
        <w:pageBreakBefore/>
        <w:tabs>
          <w:tab w:val="left" w:pos="567"/>
        </w:tabs>
        <w:autoSpaceDE w:val="0"/>
        <w:autoSpaceDN w:val="0"/>
        <w:adjustRightInd w:val="0"/>
        <w:spacing w:line="360" w:lineRule="auto"/>
        <w:jc w:val="left"/>
        <w:outlineLvl w:val="1"/>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四、分项报价表</w:t>
      </w:r>
    </w:p>
    <w:p w14:paraId="4A308A0B">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分项报价表</w:t>
      </w:r>
    </w:p>
    <w:p w14:paraId="7A0A46D5">
      <w:pPr>
        <w:spacing w:line="360" w:lineRule="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rPr>
        <w:t>东莞市水务环境投资控股集团净水有限公司2026年-2027年生产药剂液体聚合氯化铝、液体聚合氯化铝铁采购项目</w:t>
      </w:r>
    </w:p>
    <w:p w14:paraId="481C34E8">
      <w:pPr>
        <w:spacing w:line="360" w:lineRule="auto"/>
        <w:rPr>
          <w:rFonts w:hint="eastAsia" w:ascii="宋体" w:hAnsi="宋体" w:eastAsia="宋体" w:cs="宋体"/>
          <w:b/>
          <w:color w:val="auto"/>
          <w:kern w:val="0"/>
          <w:szCs w:val="21"/>
          <w:highlight w:val="none"/>
          <w:u w:val="single"/>
          <w:lang w:val="en-US" w:eastAsia="zh-CN"/>
        </w:rPr>
      </w:pPr>
      <w:r>
        <w:rPr>
          <w:rFonts w:hint="eastAsia" w:ascii="宋体" w:hAnsi="宋体" w:eastAsia="宋体" w:cs="宋体"/>
          <w:b/>
          <w:color w:val="auto"/>
          <w:kern w:val="0"/>
          <w:szCs w:val="21"/>
          <w:highlight w:val="none"/>
        </w:rPr>
        <w:t>招标编号：</w:t>
      </w:r>
      <w:r>
        <w:rPr>
          <w:rFonts w:hint="eastAsia" w:ascii="宋体" w:hAnsi="宋体" w:eastAsia="宋体" w:cs="宋体"/>
          <w:b/>
          <w:color w:val="auto"/>
          <w:kern w:val="0"/>
          <w:szCs w:val="21"/>
          <w:highlight w:val="none"/>
          <w:u w:val="single"/>
          <w:lang w:val="en-US" w:eastAsia="zh-CN"/>
        </w:rPr>
        <w:t xml:space="preserve">              </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1241"/>
        <w:gridCol w:w="1241"/>
        <w:gridCol w:w="1527"/>
        <w:gridCol w:w="2018"/>
        <w:gridCol w:w="2728"/>
      </w:tblGrid>
      <w:tr w14:paraId="2EEC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78" w:type="pct"/>
            <w:vAlign w:val="center"/>
          </w:tcPr>
          <w:p w14:paraId="4E104081">
            <w:pPr>
              <w:spacing w:line="240" w:lineRule="auto"/>
              <w:jc w:val="center"/>
              <w:rPr>
                <w:rFonts w:ascii="宋体" w:hAnsi="宋体" w:eastAsia="宋体" w:cs="宋体"/>
                <w:color w:val="auto"/>
                <w:kern w:val="0"/>
                <w:sz w:val="21"/>
                <w:szCs w:val="21"/>
                <w:highlight w:val="none"/>
                <w:vertAlign w:val="baseline"/>
              </w:rPr>
            </w:pPr>
            <w:r>
              <w:rPr>
                <w:rFonts w:hint="eastAsia" w:ascii="宋体" w:hAnsi="宋体" w:eastAsia="宋体" w:cs="宋体"/>
                <w:b/>
                <w:bCs/>
                <w:color w:val="auto"/>
                <w:kern w:val="0"/>
                <w:sz w:val="21"/>
                <w:szCs w:val="21"/>
                <w:highlight w:val="none"/>
                <w:vertAlign w:val="baseline"/>
              </w:rPr>
              <w:t>货物名称</w:t>
            </w:r>
          </w:p>
        </w:tc>
        <w:tc>
          <w:tcPr>
            <w:tcW w:w="598" w:type="pct"/>
            <w:vAlign w:val="center"/>
          </w:tcPr>
          <w:p w14:paraId="6C6AC61B">
            <w:pPr>
              <w:spacing w:line="240" w:lineRule="auto"/>
              <w:jc w:val="center"/>
              <w:rPr>
                <w:rFonts w:hint="eastAsia" w:ascii="宋体" w:hAnsi="宋体" w:eastAsia="宋体" w:cs="宋体"/>
                <w:b/>
                <w:bCs/>
                <w:color w:val="auto"/>
                <w:kern w:val="0"/>
                <w:sz w:val="21"/>
                <w:szCs w:val="21"/>
                <w:highlight w:val="none"/>
                <w:vertAlign w:val="baseline"/>
              </w:rPr>
            </w:pPr>
            <w:r>
              <w:rPr>
                <w:rFonts w:hint="eastAsia" w:ascii="宋体" w:hAnsi="宋体" w:eastAsia="宋体" w:cs="宋体"/>
                <w:b/>
                <w:bCs/>
                <w:color w:val="auto"/>
                <w:kern w:val="0"/>
                <w:sz w:val="21"/>
                <w:szCs w:val="21"/>
                <w:highlight w:val="none"/>
                <w:vertAlign w:val="baseline"/>
              </w:rPr>
              <w:t>品牌</w:t>
            </w:r>
          </w:p>
        </w:tc>
        <w:tc>
          <w:tcPr>
            <w:tcW w:w="598" w:type="pct"/>
            <w:vAlign w:val="center"/>
          </w:tcPr>
          <w:p w14:paraId="2845F8FE">
            <w:pPr>
              <w:spacing w:line="240" w:lineRule="auto"/>
              <w:jc w:val="center"/>
              <w:rPr>
                <w:rFonts w:hint="eastAsia" w:ascii="宋体" w:hAnsi="宋体" w:eastAsia="宋体" w:cs="宋体"/>
                <w:b/>
                <w:bCs/>
                <w:color w:val="auto"/>
                <w:kern w:val="0"/>
                <w:sz w:val="21"/>
                <w:szCs w:val="21"/>
                <w:highlight w:val="none"/>
                <w:vertAlign w:val="baseline"/>
              </w:rPr>
            </w:pPr>
            <w:r>
              <w:rPr>
                <w:rFonts w:hint="eastAsia" w:ascii="宋体" w:hAnsi="宋体" w:eastAsia="宋体" w:cs="宋体"/>
                <w:b/>
                <w:bCs/>
                <w:color w:val="auto"/>
                <w:kern w:val="0"/>
                <w:sz w:val="21"/>
                <w:szCs w:val="21"/>
                <w:highlight w:val="none"/>
                <w:vertAlign w:val="baseline"/>
              </w:rPr>
              <w:t>产地</w:t>
            </w:r>
          </w:p>
        </w:tc>
        <w:tc>
          <w:tcPr>
            <w:tcW w:w="736" w:type="pct"/>
            <w:vAlign w:val="center"/>
          </w:tcPr>
          <w:p w14:paraId="5F470FE5">
            <w:pPr>
              <w:spacing w:line="240" w:lineRule="auto"/>
              <w:jc w:val="center"/>
              <w:rPr>
                <w:rFonts w:hint="eastAsia" w:ascii="宋体" w:hAnsi="宋体" w:eastAsia="宋体" w:cs="宋体"/>
                <w:b/>
                <w:bCs/>
                <w:color w:val="auto"/>
                <w:kern w:val="0"/>
                <w:sz w:val="21"/>
                <w:szCs w:val="21"/>
                <w:highlight w:val="none"/>
                <w:vertAlign w:val="baseline"/>
              </w:rPr>
            </w:pPr>
            <w:r>
              <w:rPr>
                <w:rFonts w:hint="eastAsia" w:ascii="宋体" w:hAnsi="宋体" w:eastAsia="宋体" w:cs="宋体"/>
                <w:b/>
                <w:bCs/>
                <w:color w:val="auto"/>
                <w:kern w:val="0"/>
                <w:sz w:val="21"/>
                <w:szCs w:val="21"/>
                <w:highlight w:val="none"/>
                <w:vertAlign w:val="baseline"/>
              </w:rPr>
              <w:t>暂定采购数量（吨）</w:t>
            </w:r>
          </w:p>
        </w:tc>
        <w:tc>
          <w:tcPr>
            <w:tcW w:w="972" w:type="pct"/>
            <w:vAlign w:val="center"/>
          </w:tcPr>
          <w:p w14:paraId="5A89022B">
            <w:pPr>
              <w:spacing w:line="240" w:lineRule="auto"/>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综合单价（元/吨）</w:t>
            </w:r>
          </w:p>
          <w:p w14:paraId="0E333536">
            <w:pPr>
              <w:spacing w:line="240" w:lineRule="auto"/>
              <w:jc w:val="center"/>
              <w:rPr>
                <w:rFonts w:hint="eastAsia" w:ascii="宋体" w:hAnsi="宋体" w:eastAsia="宋体" w:cs="宋体"/>
                <w:b/>
                <w:bCs/>
                <w:color w:val="auto"/>
                <w:kern w:val="0"/>
                <w:sz w:val="21"/>
                <w:szCs w:val="21"/>
                <w:highlight w:val="none"/>
                <w:vertAlign w:val="baseline"/>
              </w:rPr>
            </w:pPr>
            <w:r>
              <w:rPr>
                <w:rFonts w:hint="eastAsia" w:ascii="宋体" w:hAnsi="宋体" w:eastAsia="宋体" w:cs="宋体"/>
                <w:b/>
                <w:bCs/>
                <w:color w:val="auto"/>
                <w:kern w:val="0"/>
                <w:sz w:val="21"/>
                <w:szCs w:val="21"/>
                <w:highlight w:val="none"/>
                <w:vertAlign w:val="baseline"/>
                <w:lang w:val="en-US" w:eastAsia="zh-CN"/>
              </w:rPr>
              <w:t>（不含销项税）</w:t>
            </w:r>
          </w:p>
        </w:tc>
        <w:tc>
          <w:tcPr>
            <w:tcW w:w="1315" w:type="pct"/>
            <w:vAlign w:val="center"/>
          </w:tcPr>
          <w:p w14:paraId="11F2B17E">
            <w:pPr>
              <w:spacing w:line="240" w:lineRule="auto"/>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分项合计（元）</w:t>
            </w:r>
          </w:p>
          <w:p w14:paraId="12534752">
            <w:pPr>
              <w:spacing w:line="240" w:lineRule="auto"/>
              <w:jc w:val="center"/>
              <w:rPr>
                <w:rFonts w:hint="eastAsia" w:ascii="宋体" w:hAnsi="宋体" w:eastAsia="宋体" w:cs="宋体"/>
                <w:b/>
                <w:bCs/>
                <w:color w:val="auto"/>
                <w:kern w:val="0"/>
                <w:sz w:val="21"/>
                <w:szCs w:val="21"/>
                <w:highlight w:val="none"/>
                <w:vertAlign w:val="baseline"/>
              </w:rPr>
            </w:pPr>
            <w:r>
              <w:rPr>
                <w:rFonts w:hint="eastAsia" w:ascii="宋体" w:hAnsi="宋体" w:eastAsia="宋体" w:cs="宋体"/>
                <w:b/>
                <w:bCs/>
                <w:color w:val="auto"/>
                <w:kern w:val="0"/>
                <w:sz w:val="21"/>
                <w:szCs w:val="21"/>
                <w:highlight w:val="none"/>
                <w:vertAlign w:val="baseline"/>
                <w:lang w:val="en-US" w:eastAsia="zh-CN"/>
              </w:rPr>
              <w:t>（不含销项税）</w:t>
            </w:r>
          </w:p>
        </w:tc>
      </w:tr>
      <w:tr w14:paraId="2C5E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8" w:type="pct"/>
            <w:vAlign w:val="center"/>
          </w:tcPr>
          <w:p w14:paraId="49EE595F">
            <w:pPr>
              <w:spacing w:line="240" w:lineRule="auto"/>
              <w:jc w:val="center"/>
              <w:rPr>
                <w:rFonts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rPr>
              <w:t>液体聚合氯化铝</w:t>
            </w:r>
          </w:p>
        </w:tc>
        <w:tc>
          <w:tcPr>
            <w:tcW w:w="598" w:type="pct"/>
            <w:vAlign w:val="center"/>
          </w:tcPr>
          <w:p w14:paraId="1C09025A">
            <w:pPr>
              <w:spacing w:line="240" w:lineRule="auto"/>
              <w:jc w:val="center"/>
              <w:rPr>
                <w:rFonts w:ascii="宋体" w:hAnsi="宋体" w:eastAsia="宋体" w:cs="宋体"/>
                <w:color w:val="auto"/>
                <w:kern w:val="0"/>
                <w:sz w:val="21"/>
                <w:szCs w:val="21"/>
                <w:highlight w:val="none"/>
                <w:vertAlign w:val="baseline"/>
              </w:rPr>
            </w:pPr>
          </w:p>
        </w:tc>
        <w:tc>
          <w:tcPr>
            <w:tcW w:w="598" w:type="pct"/>
            <w:vAlign w:val="center"/>
          </w:tcPr>
          <w:p w14:paraId="0738B3D1">
            <w:pPr>
              <w:spacing w:line="240" w:lineRule="auto"/>
              <w:jc w:val="center"/>
              <w:rPr>
                <w:rFonts w:ascii="宋体" w:hAnsi="宋体" w:eastAsia="宋体" w:cs="宋体"/>
                <w:color w:val="auto"/>
                <w:kern w:val="0"/>
                <w:sz w:val="21"/>
                <w:szCs w:val="21"/>
                <w:highlight w:val="none"/>
                <w:vertAlign w:val="baseline"/>
              </w:rPr>
            </w:pPr>
          </w:p>
        </w:tc>
        <w:tc>
          <w:tcPr>
            <w:tcW w:w="736" w:type="pct"/>
            <w:vAlign w:val="center"/>
          </w:tcPr>
          <w:p w14:paraId="1804EF7B">
            <w:pPr>
              <w:spacing w:line="240" w:lineRule="auto"/>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rPr>
              <w:t xml:space="preserve">72,135.933 </w:t>
            </w:r>
          </w:p>
        </w:tc>
        <w:tc>
          <w:tcPr>
            <w:tcW w:w="972" w:type="pct"/>
            <w:vAlign w:val="center"/>
          </w:tcPr>
          <w:p w14:paraId="14F94FE0">
            <w:pPr>
              <w:spacing w:line="240" w:lineRule="auto"/>
              <w:jc w:val="center"/>
              <w:rPr>
                <w:rFonts w:ascii="宋体" w:hAnsi="宋体" w:eastAsia="宋体" w:cs="宋体"/>
                <w:color w:val="auto"/>
                <w:kern w:val="0"/>
                <w:sz w:val="21"/>
                <w:szCs w:val="21"/>
                <w:highlight w:val="none"/>
                <w:vertAlign w:val="baseline"/>
              </w:rPr>
            </w:pPr>
          </w:p>
        </w:tc>
        <w:tc>
          <w:tcPr>
            <w:tcW w:w="1315" w:type="pct"/>
            <w:vAlign w:val="center"/>
          </w:tcPr>
          <w:p w14:paraId="7C008106">
            <w:pPr>
              <w:spacing w:line="240" w:lineRule="auto"/>
              <w:jc w:val="center"/>
              <w:rPr>
                <w:rFonts w:ascii="宋体" w:hAnsi="宋体" w:eastAsia="宋体" w:cs="宋体"/>
                <w:color w:val="auto"/>
                <w:kern w:val="0"/>
                <w:sz w:val="21"/>
                <w:szCs w:val="21"/>
                <w:highlight w:val="none"/>
                <w:vertAlign w:val="baseline"/>
              </w:rPr>
            </w:pPr>
          </w:p>
        </w:tc>
      </w:tr>
      <w:tr w14:paraId="31B2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8" w:type="pct"/>
            <w:vAlign w:val="center"/>
          </w:tcPr>
          <w:p w14:paraId="34D91754">
            <w:pPr>
              <w:spacing w:line="240" w:lineRule="auto"/>
              <w:jc w:val="center"/>
              <w:rPr>
                <w:rFonts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rPr>
              <w:t>液体聚合氯化铝铁</w:t>
            </w:r>
          </w:p>
        </w:tc>
        <w:tc>
          <w:tcPr>
            <w:tcW w:w="598" w:type="pct"/>
            <w:vAlign w:val="center"/>
          </w:tcPr>
          <w:p w14:paraId="66C18BBB">
            <w:pPr>
              <w:spacing w:line="240" w:lineRule="auto"/>
              <w:jc w:val="center"/>
              <w:rPr>
                <w:rFonts w:ascii="宋体" w:hAnsi="宋体" w:eastAsia="宋体" w:cs="宋体"/>
                <w:color w:val="auto"/>
                <w:kern w:val="0"/>
                <w:sz w:val="21"/>
                <w:szCs w:val="21"/>
                <w:highlight w:val="none"/>
                <w:vertAlign w:val="baseline"/>
              </w:rPr>
            </w:pPr>
          </w:p>
        </w:tc>
        <w:tc>
          <w:tcPr>
            <w:tcW w:w="598" w:type="pct"/>
            <w:vAlign w:val="center"/>
          </w:tcPr>
          <w:p w14:paraId="114FA2D8">
            <w:pPr>
              <w:spacing w:line="240" w:lineRule="auto"/>
              <w:jc w:val="center"/>
              <w:rPr>
                <w:rFonts w:ascii="宋体" w:hAnsi="宋体" w:eastAsia="宋体" w:cs="宋体"/>
                <w:color w:val="auto"/>
                <w:kern w:val="0"/>
                <w:sz w:val="21"/>
                <w:szCs w:val="21"/>
                <w:highlight w:val="none"/>
                <w:vertAlign w:val="baseline"/>
              </w:rPr>
            </w:pPr>
          </w:p>
        </w:tc>
        <w:tc>
          <w:tcPr>
            <w:tcW w:w="736" w:type="pct"/>
            <w:vAlign w:val="center"/>
          </w:tcPr>
          <w:p w14:paraId="3C90FD39">
            <w:pPr>
              <w:spacing w:line="240" w:lineRule="auto"/>
              <w:jc w:val="center"/>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val="en-US" w:eastAsia="zh-CN"/>
              </w:rPr>
              <w:t xml:space="preserve">27,410.257 </w:t>
            </w:r>
          </w:p>
        </w:tc>
        <w:tc>
          <w:tcPr>
            <w:tcW w:w="972" w:type="pct"/>
            <w:vAlign w:val="center"/>
          </w:tcPr>
          <w:p w14:paraId="5CBEF9F3">
            <w:pPr>
              <w:spacing w:line="240" w:lineRule="auto"/>
              <w:jc w:val="center"/>
              <w:rPr>
                <w:rFonts w:ascii="宋体" w:hAnsi="宋体" w:eastAsia="宋体" w:cs="宋体"/>
                <w:color w:val="auto"/>
                <w:kern w:val="0"/>
                <w:sz w:val="21"/>
                <w:szCs w:val="21"/>
                <w:highlight w:val="none"/>
                <w:vertAlign w:val="baseline"/>
              </w:rPr>
            </w:pPr>
          </w:p>
        </w:tc>
        <w:tc>
          <w:tcPr>
            <w:tcW w:w="1315" w:type="pct"/>
            <w:vAlign w:val="center"/>
          </w:tcPr>
          <w:p w14:paraId="64FAB452">
            <w:pPr>
              <w:spacing w:line="240" w:lineRule="auto"/>
              <w:jc w:val="center"/>
              <w:rPr>
                <w:rFonts w:ascii="宋体" w:hAnsi="宋体" w:eastAsia="宋体" w:cs="宋体"/>
                <w:color w:val="auto"/>
                <w:kern w:val="0"/>
                <w:sz w:val="21"/>
                <w:szCs w:val="21"/>
                <w:highlight w:val="none"/>
                <w:vertAlign w:val="baseline"/>
              </w:rPr>
            </w:pPr>
          </w:p>
        </w:tc>
      </w:tr>
      <w:tr w14:paraId="49F3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84" w:type="pct"/>
            <w:gridSpan w:val="5"/>
            <w:vAlign w:val="center"/>
          </w:tcPr>
          <w:p w14:paraId="0A70ABA8">
            <w:pPr>
              <w:spacing w:line="240" w:lineRule="auto"/>
              <w:jc w:val="center"/>
              <w:rPr>
                <w:rFonts w:ascii="宋体" w:hAnsi="宋体" w:eastAsia="宋体" w:cs="宋体"/>
                <w:color w:val="auto"/>
                <w:kern w:val="0"/>
                <w:sz w:val="21"/>
                <w:szCs w:val="21"/>
                <w:highlight w:val="none"/>
                <w:vertAlign w:val="baseline"/>
              </w:rPr>
            </w:pPr>
            <w:r>
              <w:rPr>
                <w:rFonts w:hint="eastAsia" w:ascii="宋体" w:hAnsi="宋体" w:eastAsia="宋体" w:cs="宋体"/>
                <w:b/>
                <w:bCs/>
                <w:color w:val="auto"/>
                <w:kern w:val="0"/>
                <w:sz w:val="21"/>
                <w:szCs w:val="21"/>
                <w:highlight w:val="none"/>
                <w:vertAlign w:val="baseline"/>
              </w:rPr>
              <w:t>投标报价（投标值）（元，总价）（不含销项税）</w:t>
            </w:r>
          </w:p>
        </w:tc>
        <w:tc>
          <w:tcPr>
            <w:tcW w:w="1315" w:type="pct"/>
            <w:vAlign w:val="center"/>
          </w:tcPr>
          <w:p w14:paraId="7C641A67">
            <w:pPr>
              <w:spacing w:line="240" w:lineRule="auto"/>
              <w:jc w:val="center"/>
              <w:rPr>
                <w:rFonts w:ascii="宋体" w:hAnsi="宋体" w:eastAsia="宋体" w:cs="宋体"/>
                <w:color w:val="auto"/>
                <w:kern w:val="0"/>
                <w:sz w:val="21"/>
                <w:szCs w:val="21"/>
                <w:highlight w:val="none"/>
                <w:vertAlign w:val="baseline"/>
              </w:rPr>
            </w:pPr>
          </w:p>
        </w:tc>
      </w:tr>
    </w:tbl>
    <w:p w14:paraId="723EF437">
      <w:pPr>
        <w:rPr>
          <w:rFonts w:ascii="宋体" w:hAnsi="宋体" w:eastAsia="宋体" w:cs="宋体"/>
          <w:color w:val="auto"/>
          <w:kern w:val="0"/>
          <w:sz w:val="20"/>
          <w:szCs w:val="21"/>
          <w:highlight w:val="none"/>
        </w:rPr>
      </w:pPr>
    </w:p>
    <w:p w14:paraId="7C21369E">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322E6B27">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w:t>
      </w:r>
      <w:r>
        <w:rPr>
          <w:rFonts w:hint="eastAsia" w:ascii="宋体" w:hAnsi="宋体" w:eastAsia="宋体" w:cs="Times New Roman"/>
          <w:b/>
          <w:color w:val="auto"/>
          <w:kern w:val="0"/>
          <w:szCs w:val="21"/>
          <w:highlight w:val="none"/>
          <w:u w:val="single"/>
          <w:lang w:eastAsia="zh-CN"/>
        </w:rPr>
        <w:t>《中华人民共和国增值税法》及其实施条例</w:t>
      </w:r>
      <w:r>
        <w:rPr>
          <w:rFonts w:hint="eastAsia" w:ascii="宋体" w:hAnsi="宋体" w:eastAsia="宋体" w:cs="Times New Roman"/>
          <w:b/>
          <w:color w:val="auto"/>
          <w:kern w:val="0"/>
          <w:szCs w:val="21"/>
          <w:highlight w:val="none"/>
          <w:u w:val="single"/>
        </w:rPr>
        <w:t>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01107261">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）投标人的投标报价或综合单价高于不含税最高投标限价或不含税预算综合单价的，该投标人的投标文件将被视为无效投标。</w:t>
      </w:r>
    </w:p>
    <w:p w14:paraId="1EE204F6">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表的投标报价为不含税综合单价乘以暂定采购数量的总价。分项报价表内投标报价金额与按综合单价计算的总金额不一致的，以综合单价计算结果为准，综合单价金额小数点有明显错位的，应以总价为准，并修正综合单价；对不同文字文本投标文件的解释发生异议的，以中文文本为准。</w:t>
      </w:r>
    </w:p>
    <w:p w14:paraId="53043FD5">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（4）上述暂定采购数量仅为方便合计投标报价使用，不作为招标人最终购买数量的保证，我方承诺不因实际采购数量的减少或增加而要求招标人提供任何形式的补偿或赔偿。</w:t>
      </w:r>
    </w:p>
    <w:p w14:paraId="4A0D403B">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（5）综合单价、投标报价</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总价）</w:t>
      </w:r>
      <w:r>
        <w:rPr>
          <w:rFonts w:hint="eastAsia" w:ascii="宋体" w:hAnsi="宋体" w:eastAsia="宋体" w:cs="Times New Roman"/>
          <w:color w:val="auto"/>
          <w:kern w:val="0"/>
          <w:szCs w:val="21"/>
          <w:highlight w:val="none"/>
          <w:lang w:val="en-US" w:eastAsia="zh-CN"/>
        </w:rPr>
        <w:t>最多</w:t>
      </w:r>
      <w:r>
        <w:rPr>
          <w:rFonts w:hint="eastAsia" w:ascii="宋体" w:hAnsi="宋体" w:eastAsia="宋体" w:cs="Times New Roman"/>
          <w:color w:val="auto"/>
          <w:kern w:val="0"/>
          <w:szCs w:val="21"/>
          <w:highlight w:val="none"/>
        </w:rPr>
        <w:t>保留小数点后两位。</w:t>
      </w:r>
    </w:p>
    <w:p w14:paraId="396BE113">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由投标人使用投标人的企业数字证书，法定代表人或其授权代表数字证书电子签名。</w:t>
      </w:r>
    </w:p>
    <w:p w14:paraId="1C4D8249">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p>
    <w:p w14:paraId="76A10A4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58A98A6">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261F1C8F">
      <w:pPr>
        <w:autoSpaceDE w:val="0"/>
        <w:autoSpaceDN w:val="0"/>
        <w:adjustRightInd w:val="0"/>
        <w:spacing w:line="360" w:lineRule="auto"/>
        <w:ind w:firstLine="4960" w:firstLineChars="2362"/>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12CEAFF">
      <w:pPr>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br w:type="page"/>
      </w:r>
    </w:p>
    <w:p w14:paraId="54F5603C">
      <w:pPr>
        <w:pageBreakBefore/>
        <w:tabs>
          <w:tab w:val="left" w:pos="567"/>
        </w:tabs>
        <w:autoSpaceDE w:val="0"/>
        <w:autoSpaceDN w:val="0"/>
        <w:adjustRightInd w:val="0"/>
        <w:spacing w:line="360" w:lineRule="auto"/>
        <w:jc w:val="left"/>
        <w:outlineLvl w:val="1"/>
        <w:rPr>
          <w:rFonts w:ascii="宋体" w:hAnsi="宋体" w:eastAsia="宋体" w:cs="宋体"/>
          <w:b/>
          <w:color w:val="auto"/>
          <w:kern w:val="0"/>
          <w:sz w:val="32"/>
          <w:szCs w:val="32"/>
          <w:highlight w:val="none"/>
        </w:rPr>
      </w:pPr>
      <w:bookmarkStart w:id="561" w:name="_Toc13097"/>
      <w:bookmarkStart w:id="562" w:name="_Toc211622206"/>
      <w:r>
        <w:rPr>
          <w:rFonts w:hint="eastAsia" w:ascii="宋体" w:hAnsi="宋体" w:eastAsia="宋体" w:cs="宋体"/>
          <w:b/>
          <w:color w:val="auto"/>
          <w:kern w:val="0"/>
          <w:sz w:val="32"/>
          <w:szCs w:val="32"/>
          <w:highlight w:val="none"/>
          <w:lang w:val="en-US" w:eastAsia="zh-CN"/>
        </w:rPr>
        <w:t>五</w:t>
      </w:r>
      <w:r>
        <w:rPr>
          <w:rFonts w:hint="eastAsia" w:ascii="宋体" w:hAnsi="宋体" w:eastAsia="宋体" w:cs="宋体"/>
          <w:b/>
          <w:color w:val="auto"/>
          <w:kern w:val="0"/>
          <w:sz w:val="32"/>
          <w:szCs w:val="32"/>
          <w:highlight w:val="none"/>
        </w:rPr>
        <w:t>、</w:t>
      </w:r>
      <w:bookmarkEnd w:id="548"/>
      <w:bookmarkEnd w:id="549"/>
      <w:bookmarkEnd w:id="550"/>
      <w:bookmarkEnd w:id="551"/>
      <w:bookmarkEnd w:id="552"/>
      <w:bookmarkEnd w:id="553"/>
      <w:bookmarkEnd w:id="554"/>
      <w:bookmarkEnd w:id="555"/>
      <w:bookmarkEnd w:id="556"/>
      <w:bookmarkEnd w:id="557"/>
      <w:bookmarkEnd w:id="558"/>
      <w:bookmarkEnd w:id="559"/>
      <w:bookmarkEnd w:id="560"/>
      <w:bookmarkStart w:id="563" w:name="_Toc23083"/>
      <w:bookmarkStart w:id="564" w:name="_Toc26516"/>
      <w:bookmarkStart w:id="565" w:name="_Toc1977725"/>
      <w:bookmarkStart w:id="566" w:name="_Toc104991875"/>
      <w:bookmarkStart w:id="567" w:name="_Toc102860418"/>
      <w:bookmarkStart w:id="568" w:name="_Toc140596928"/>
      <w:bookmarkStart w:id="569" w:name="_Toc94107209"/>
      <w:bookmarkStart w:id="570" w:name="_Toc142508369"/>
      <w:bookmarkStart w:id="571" w:name="_Toc102860074"/>
      <w:bookmarkStart w:id="572" w:name="_Toc6190"/>
      <w:bookmarkStart w:id="573" w:name="_Toc486167712"/>
      <w:bookmarkStart w:id="574" w:name="_Toc533708124"/>
      <w:bookmarkStart w:id="575" w:name="_Toc20759_WPSOffice_Level2"/>
      <w:r>
        <w:rPr>
          <w:rFonts w:hint="eastAsia" w:ascii="宋体" w:hAnsi="宋体" w:eastAsia="宋体" w:cs="宋体"/>
          <w:b/>
          <w:color w:val="auto"/>
          <w:kern w:val="0"/>
          <w:sz w:val="32"/>
          <w:szCs w:val="32"/>
          <w:highlight w:val="none"/>
        </w:rPr>
        <w:t>投标人资格证明文件</w:t>
      </w:r>
      <w:bookmarkEnd w:id="561"/>
      <w:bookmarkEnd w:id="562"/>
      <w:bookmarkEnd w:id="563"/>
      <w:bookmarkEnd w:id="564"/>
      <w:bookmarkEnd w:id="565"/>
      <w:bookmarkEnd w:id="566"/>
      <w:bookmarkEnd w:id="567"/>
      <w:bookmarkEnd w:id="568"/>
      <w:bookmarkEnd w:id="569"/>
      <w:bookmarkEnd w:id="570"/>
      <w:bookmarkEnd w:id="571"/>
      <w:bookmarkEnd w:id="572"/>
    </w:p>
    <w:p w14:paraId="176F64D8">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76" w:name="_Toc140596929"/>
      <w:bookmarkStart w:id="577" w:name="_Toc142508370"/>
      <w:bookmarkStart w:id="578" w:name="_Toc25267"/>
      <w:bookmarkStart w:id="579" w:name="_Toc17358"/>
      <w:bookmarkStart w:id="580" w:name="_Toc102860419"/>
      <w:bookmarkStart w:id="581" w:name="_Toc94107210"/>
      <w:bookmarkStart w:id="582" w:name="_Toc104991876"/>
      <w:bookmarkStart w:id="583" w:name="_Toc102860075"/>
      <w:bookmarkStart w:id="584" w:name="_Toc29874"/>
      <w:bookmarkStart w:id="585" w:name="_Toc15831"/>
      <w:bookmarkStart w:id="586" w:name="_Toc211622207"/>
      <w:bookmarkStart w:id="587"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w:t>
      </w:r>
      <w:bookmarkEnd w:id="576"/>
      <w:bookmarkEnd w:id="577"/>
      <w:bookmarkEnd w:id="578"/>
      <w:bookmarkEnd w:id="579"/>
      <w:bookmarkEnd w:id="580"/>
      <w:bookmarkEnd w:id="581"/>
      <w:bookmarkEnd w:id="582"/>
      <w:bookmarkEnd w:id="583"/>
      <w:bookmarkEnd w:id="584"/>
      <w:r>
        <w:rPr>
          <w:rFonts w:hint="eastAsia" w:ascii="宋体" w:hAnsi="宋体" w:eastAsia="宋体" w:cs="宋体"/>
          <w:b/>
          <w:color w:val="auto"/>
          <w:kern w:val="0"/>
          <w:sz w:val="30"/>
          <w:szCs w:val="30"/>
          <w:highlight w:val="none"/>
        </w:rPr>
        <w:t>原件扫描件</w:t>
      </w:r>
      <w:bookmarkEnd w:id="585"/>
      <w:bookmarkEnd w:id="586"/>
    </w:p>
    <w:p w14:paraId="09FE6DE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F0C5499">
      <w:pPr>
        <w:tabs>
          <w:tab w:val="left" w:pos="567"/>
        </w:tabs>
        <w:autoSpaceDE w:val="0"/>
        <w:autoSpaceDN w:val="0"/>
        <w:adjustRightInd w:val="0"/>
        <w:spacing w:line="360" w:lineRule="auto"/>
        <w:ind w:firstLine="316" w:firstLineChars="150"/>
        <w:jc w:val="left"/>
        <w:rPr>
          <w:rFonts w:ascii="宋体" w:hAnsi="宋体" w:eastAsia="宋体" w:cs="宋体"/>
          <w:b/>
          <w:color w:val="auto"/>
          <w:kern w:val="0"/>
          <w:szCs w:val="21"/>
          <w:highlight w:val="none"/>
        </w:rPr>
        <w:sectPr>
          <w:footerReference r:id="rId12" w:type="first"/>
          <w:footerReference r:id="rId11" w:type="default"/>
          <w:pgSz w:w="12240" w:h="15840"/>
          <w:pgMar w:top="1191" w:right="1043" w:bottom="1191" w:left="1043" w:header="720" w:footer="720" w:gutter="0"/>
          <w:cols w:space="720" w:num="1"/>
          <w:titlePg/>
          <w:docGrid w:linePitch="326" w:charSpace="0"/>
        </w:sectPr>
      </w:pPr>
    </w:p>
    <w:p w14:paraId="3631943B">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88" w:name="_Toc102860420"/>
      <w:bookmarkStart w:id="589" w:name="_Toc140596930"/>
      <w:bookmarkStart w:id="590" w:name="_Toc104991877"/>
      <w:bookmarkStart w:id="591" w:name="_Toc102860076"/>
      <w:bookmarkStart w:id="592" w:name="_Toc7756"/>
      <w:bookmarkStart w:id="593" w:name="_Toc27861"/>
      <w:bookmarkStart w:id="594" w:name="_Toc94107211"/>
      <w:bookmarkStart w:id="595" w:name="_Toc142508371"/>
      <w:bookmarkStart w:id="596" w:name="_Toc25013"/>
      <w:bookmarkStart w:id="597" w:name="_Toc3327"/>
      <w:bookmarkStart w:id="598" w:name="_Toc211622208"/>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.2 </w:t>
      </w:r>
      <w:bookmarkEnd w:id="588"/>
      <w:bookmarkEnd w:id="589"/>
      <w:bookmarkEnd w:id="590"/>
      <w:bookmarkEnd w:id="591"/>
      <w:bookmarkEnd w:id="592"/>
      <w:bookmarkEnd w:id="593"/>
      <w:bookmarkEnd w:id="594"/>
      <w:bookmarkEnd w:id="595"/>
      <w:bookmarkEnd w:id="596"/>
      <w:r>
        <w:rPr>
          <w:rFonts w:hint="eastAsia" w:ascii="宋体" w:hAnsi="宋体" w:eastAsia="宋体" w:cs="宋体"/>
          <w:b/>
          <w:color w:val="auto"/>
          <w:kern w:val="0"/>
          <w:sz w:val="30"/>
          <w:szCs w:val="30"/>
          <w:highlight w:val="none"/>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bookmarkEnd w:id="597"/>
      <w:bookmarkEnd w:id="598"/>
    </w:p>
    <w:p w14:paraId="3281B615">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599" w:name="_Toc104991878"/>
      <w:bookmarkStart w:id="600" w:name="_Toc9132"/>
      <w:bookmarkStart w:id="601" w:name="_Toc211622209"/>
      <w:bookmarkStart w:id="602" w:name="_Toc102860421"/>
      <w:bookmarkStart w:id="603" w:name="_Toc94107212"/>
      <w:bookmarkStart w:id="604" w:name="_Toc140596931"/>
      <w:bookmarkStart w:id="605" w:name="_Toc7441"/>
      <w:bookmarkStart w:id="606" w:name="_Toc142508372"/>
      <w:bookmarkStart w:id="607" w:name="_Toc102860077"/>
      <w:bookmarkStart w:id="608" w:name="_Toc17499"/>
      <w:bookmarkStart w:id="609" w:name="_Toc18015"/>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法定代表人身份证明书、法定代表人授权书格式（法定代表人投标时只需提供法定代表人身份证明书，委托他人为投标代表或签署投标文件时需同时提供法定代表人授权书）</w:t>
      </w:r>
      <w:bookmarkEnd w:id="599"/>
      <w:bookmarkEnd w:id="600"/>
      <w:bookmarkEnd w:id="601"/>
      <w:bookmarkEnd w:id="602"/>
      <w:bookmarkEnd w:id="603"/>
      <w:bookmarkEnd w:id="604"/>
      <w:bookmarkEnd w:id="605"/>
      <w:bookmarkEnd w:id="606"/>
      <w:bookmarkEnd w:id="607"/>
      <w:bookmarkEnd w:id="608"/>
      <w:bookmarkEnd w:id="609"/>
    </w:p>
    <w:p w14:paraId="16152FDB">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73"/>
      <w:bookmarkEnd w:id="574"/>
      <w:bookmarkEnd w:id="575"/>
      <w:bookmarkEnd w:id="587"/>
    </w:p>
    <w:p w14:paraId="1987A2A7">
      <w:pPr>
        <w:spacing w:before="120" w:after="120" w:line="360" w:lineRule="auto"/>
        <w:ind w:firstLine="608" w:firstLineChars="202"/>
        <w:jc w:val="center"/>
        <w:rPr>
          <w:rFonts w:ascii="宋体" w:hAnsi="宋体" w:eastAsia="宋体" w:cs="宋体"/>
          <w:b/>
          <w:bCs/>
          <w:color w:val="auto"/>
          <w:sz w:val="30"/>
          <w:szCs w:val="30"/>
          <w:highlight w:val="none"/>
        </w:rPr>
      </w:pPr>
      <w:bookmarkStart w:id="610" w:name="_Toc11033_WPSOffice_Level3"/>
      <w:r>
        <w:rPr>
          <w:rFonts w:hint="eastAsia" w:ascii="宋体" w:hAnsi="宋体" w:eastAsia="宋体" w:cs="宋体"/>
          <w:b/>
          <w:color w:val="auto"/>
          <w:sz w:val="30"/>
          <w:szCs w:val="30"/>
          <w:highlight w:val="none"/>
        </w:rPr>
        <w:t>法定代</w:t>
      </w:r>
      <w:bookmarkStart w:id="611" w:name="_Toc36971359"/>
      <w:bookmarkStart w:id="612" w:name="_Toc45995270"/>
      <w:r>
        <w:rPr>
          <w:rFonts w:hint="eastAsia" w:ascii="宋体" w:hAnsi="宋体" w:eastAsia="宋体" w:cs="宋体"/>
          <w:b/>
          <w:color w:val="auto"/>
          <w:sz w:val="30"/>
          <w:szCs w:val="30"/>
          <w:highlight w:val="none"/>
        </w:rPr>
        <w:t>表人身份证明书</w:t>
      </w:r>
      <w:bookmarkEnd w:id="610"/>
    </w:p>
    <w:bookmarkEnd w:id="611"/>
    <w:bookmarkEnd w:id="612"/>
    <w:p w14:paraId="71AB2A5F">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475B6EC9">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0329F312">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762142B9">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0AFEA3B0">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490C2836">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5FAB8F51">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附 法定代表人身份证原件扫描件</w:t>
      </w:r>
    </w:p>
    <w:p w14:paraId="416919BC">
      <w:pPr>
        <w:snapToGrid w:val="0"/>
        <w:spacing w:line="360" w:lineRule="auto"/>
        <w:ind w:firstLine="3465" w:firstLineChars="1650"/>
        <w:rPr>
          <w:rFonts w:ascii="宋体" w:hAnsi="宋体" w:eastAsia="宋体" w:cs="宋体"/>
          <w:color w:val="auto"/>
          <w:kern w:val="3"/>
          <w:szCs w:val="24"/>
          <w:highlight w:val="none"/>
        </w:rPr>
      </w:pPr>
    </w:p>
    <w:p w14:paraId="1D0100F1">
      <w:pPr>
        <w:snapToGrid w:val="0"/>
        <w:spacing w:line="360" w:lineRule="auto"/>
        <w:ind w:firstLine="3465" w:firstLineChars="1650"/>
        <w:rPr>
          <w:rFonts w:ascii="宋体" w:hAnsi="宋体" w:eastAsia="宋体" w:cs="宋体"/>
          <w:color w:val="auto"/>
          <w:kern w:val="3"/>
          <w:szCs w:val="24"/>
          <w:highlight w:val="none"/>
          <w:u w:val="single"/>
        </w:rPr>
      </w:pPr>
      <w:r>
        <w:rPr>
          <w:rFonts w:hint="eastAsia" w:ascii="宋体" w:hAnsi="宋体" w:eastAsia="宋体" w:cs="宋体"/>
          <w:color w:val="auto"/>
          <w:kern w:val="3"/>
          <w:szCs w:val="24"/>
          <w:highlight w:val="none"/>
        </w:rPr>
        <w:t>投 标 人：</w:t>
      </w:r>
      <w:r>
        <w:rPr>
          <w:rFonts w:hint="eastAsia" w:ascii="宋体" w:hAnsi="宋体" w:eastAsia="宋体" w:cs="宋体"/>
          <w:color w:val="auto"/>
          <w:kern w:val="3"/>
          <w:szCs w:val="24"/>
          <w:highlight w:val="none"/>
          <w:u w:val="single"/>
        </w:rPr>
        <w:t xml:space="preserve">             </w:t>
      </w:r>
      <w:r>
        <w:rPr>
          <w:rFonts w:hint="eastAsia" w:ascii="宋体" w:hAnsi="宋体" w:eastAsia="宋体" w:cs="宋体"/>
          <w:color w:val="auto"/>
          <w:szCs w:val="21"/>
          <w:highlight w:val="none"/>
          <w:u w:val="single"/>
        </w:rPr>
        <w:t>（企业数字证书电子签名）</w:t>
      </w:r>
    </w:p>
    <w:p w14:paraId="05836DFE">
      <w:pPr>
        <w:spacing w:before="120" w:after="120" w:line="360" w:lineRule="auto"/>
        <w:ind w:left="340" w:leftChars="162" w:firstLine="474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38B42C16">
      <w:pPr>
        <w:autoSpaceDE w:val="0"/>
        <w:autoSpaceDN w:val="0"/>
        <w:adjustRightInd w:val="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58433DC"/>
                          <w:p w14:paraId="3F4B228C"/>
                          <w:p w14:paraId="758D4E21"/>
                          <w:p w14:paraId="0196F61E"/>
                          <w:p w14:paraId="19CF7662">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358433DC"/>
                    <w:p w14:paraId="3F4B228C"/>
                    <w:p w14:paraId="758D4E21"/>
                    <w:p w14:paraId="0196F61E"/>
                    <w:p w14:paraId="19CF7662">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8A52129"/>
                          <w:p w14:paraId="5A3F36FD"/>
                          <w:p w14:paraId="402A8289"/>
                          <w:p w14:paraId="541AACC4"/>
                          <w:p w14:paraId="2A11A853">
                            <w:pPr>
                              <w:jc w:val="center"/>
                              <w:rPr>
                                <w:szCs w:val="21"/>
                              </w:rPr>
                            </w:pPr>
                            <w:r>
                              <w:rPr>
                                <w:rFonts w:hint="eastAsia"/>
                                <w:szCs w:val="21"/>
                              </w:rPr>
                              <w:t>法定代表人身份证反面</w:t>
                            </w:r>
                          </w:p>
                          <w:p w14:paraId="60063D5B">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8A52129"/>
                    <w:p w14:paraId="5A3F36FD"/>
                    <w:p w14:paraId="402A8289"/>
                    <w:p w14:paraId="541AACC4"/>
                    <w:p w14:paraId="2A11A853">
                      <w:pPr>
                        <w:jc w:val="center"/>
                        <w:rPr>
                          <w:szCs w:val="21"/>
                        </w:rPr>
                      </w:pPr>
                      <w:r>
                        <w:rPr>
                          <w:rFonts w:hint="eastAsia"/>
                          <w:szCs w:val="21"/>
                        </w:rPr>
                        <w:t>法定代表人身份证反面</w:t>
                      </w:r>
                    </w:p>
                    <w:p w14:paraId="60063D5B">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8C89277"/>
                          <w:p w14:paraId="1DFCBC6A"/>
                          <w:p w14:paraId="1F3AEEDA"/>
                          <w:p w14:paraId="35EB6ADA"/>
                          <w:p w14:paraId="73B46606">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58C89277"/>
                    <w:p w14:paraId="1DFCBC6A"/>
                    <w:p w14:paraId="1F3AEEDA"/>
                    <w:p w14:paraId="35EB6ADA"/>
                    <w:p w14:paraId="73B46606">
                      <w:pPr>
                        <w:jc w:val="center"/>
                      </w:pPr>
                      <w:r>
                        <w:rPr>
                          <w:rFonts w:hint="eastAsia"/>
                        </w:rPr>
                        <w:t>身份证正面</w:t>
                      </w:r>
                    </w:p>
                  </w:txbxContent>
                </v:textbox>
              </v:shape>
            </w:pict>
          </mc:Fallback>
        </mc:AlternateContent>
      </w:r>
    </w:p>
    <w:p w14:paraId="433F8293">
      <w:pPr>
        <w:autoSpaceDE w:val="0"/>
        <w:autoSpaceDN w:val="0"/>
        <w:adjustRightInd w:val="0"/>
        <w:jc w:val="left"/>
        <w:rPr>
          <w:rFonts w:ascii="宋体" w:hAnsi="宋体" w:eastAsia="宋体" w:cs="宋体"/>
          <w:color w:val="auto"/>
          <w:kern w:val="0"/>
          <w:sz w:val="24"/>
          <w:szCs w:val="24"/>
          <w:highlight w:val="none"/>
        </w:rPr>
      </w:pPr>
    </w:p>
    <w:p w14:paraId="4D0186D4">
      <w:pPr>
        <w:autoSpaceDE w:val="0"/>
        <w:autoSpaceDN w:val="0"/>
        <w:adjustRightInd w:val="0"/>
        <w:jc w:val="left"/>
        <w:rPr>
          <w:rFonts w:ascii="宋体" w:hAnsi="宋体" w:eastAsia="宋体" w:cs="宋体"/>
          <w:color w:val="auto"/>
          <w:kern w:val="0"/>
          <w:sz w:val="24"/>
          <w:szCs w:val="24"/>
          <w:highlight w:val="none"/>
        </w:rPr>
      </w:pPr>
    </w:p>
    <w:p w14:paraId="100196F3">
      <w:pPr>
        <w:autoSpaceDE w:val="0"/>
        <w:autoSpaceDN w:val="0"/>
        <w:adjustRightInd w:val="0"/>
        <w:jc w:val="left"/>
        <w:rPr>
          <w:rFonts w:ascii="宋体" w:hAnsi="宋体" w:eastAsia="宋体" w:cs="宋体"/>
          <w:color w:val="auto"/>
          <w:kern w:val="0"/>
          <w:sz w:val="24"/>
          <w:szCs w:val="24"/>
          <w:highlight w:val="none"/>
        </w:rPr>
      </w:pPr>
    </w:p>
    <w:p w14:paraId="25332A7F">
      <w:pPr>
        <w:autoSpaceDE w:val="0"/>
        <w:autoSpaceDN w:val="0"/>
        <w:adjustRightInd w:val="0"/>
        <w:jc w:val="left"/>
        <w:rPr>
          <w:rFonts w:ascii="宋体" w:hAnsi="宋体" w:eastAsia="宋体" w:cs="宋体"/>
          <w:color w:val="auto"/>
          <w:kern w:val="0"/>
          <w:sz w:val="24"/>
          <w:szCs w:val="24"/>
          <w:highlight w:val="none"/>
        </w:rPr>
      </w:pPr>
    </w:p>
    <w:p w14:paraId="09F740F0">
      <w:pPr>
        <w:autoSpaceDE w:val="0"/>
        <w:autoSpaceDN w:val="0"/>
        <w:adjustRightInd w:val="0"/>
        <w:jc w:val="left"/>
        <w:rPr>
          <w:rFonts w:ascii="宋体" w:hAnsi="宋体" w:eastAsia="宋体" w:cs="宋体"/>
          <w:color w:val="auto"/>
          <w:kern w:val="0"/>
          <w:sz w:val="24"/>
          <w:szCs w:val="24"/>
          <w:highlight w:val="none"/>
        </w:rPr>
      </w:pPr>
    </w:p>
    <w:p w14:paraId="16CC0EB3">
      <w:pPr>
        <w:autoSpaceDE w:val="0"/>
        <w:autoSpaceDN w:val="0"/>
        <w:adjustRightInd w:val="0"/>
        <w:jc w:val="left"/>
        <w:rPr>
          <w:rFonts w:ascii="宋体" w:hAnsi="宋体" w:eastAsia="宋体" w:cs="宋体"/>
          <w:color w:val="auto"/>
          <w:kern w:val="0"/>
          <w:sz w:val="24"/>
          <w:szCs w:val="24"/>
          <w:highlight w:val="none"/>
        </w:rPr>
      </w:pPr>
    </w:p>
    <w:p w14:paraId="7422C701">
      <w:pPr>
        <w:autoSpaceDE w:val="0"/>
        <w:autoSpaceDN w:val="0"/>
        <w:adjustRightInd w:val="0"/>
        <w:jc w:val="left"/>
        <w:rPr>
          <w:rFonts w:ascii="宋体" w:hAnsi="宋体" w:eastAsia="宋体" w:cs="宋体"/>
          <w:color w:val="auto"/>
          <w:kern w:val="0"/>
          <w:sz w:val="24"/>
          <w:szCs w:val="24"/>
          <w:highlight w:val="none"/>
        </w:rPr>
      </w:pPr>
    </w:p>
    <w:p w14:paraId="465AF5D8">
      <w:pPr>
        <w:autoSpaceDE w:val="0"/>
        <w:autoSpaceDN w:val="0"/>
        <w:adjustRightInd w:val="0"/>
        <w:jc w:val="left"/>
        <w:rPr>
          <w:rFonts w:ascii="宋体" w:hAnsi="宋体" w:eastAsia="宋体" w:cs="宋体"/>
          <w:color w:val="auto"/>
          <w:kern w:val="0"/>
          <w:sz w:val="24"/>
          <w:szCs w:val="24"/>
          <w:highlight w:val="none"/>
        </w:rPr>
      </w:pPr>
    </w:p>
    <w:p w14:paraId="357FA433">
      <w:pPr>
        <w:autoSpaceDE w:val="0"/>
        <w:autoSpaceDN w:val="0"/>
        <w:adjustRightInd w:val="0"/>
        <w:jc w:val="left"/>
        <w:rPr>
          <w:rFonts w:ascii="宋体" w:hAnsi="宋体" w:eastAsia="宋体" w:cs="宋体"/>
          <w:color w:val="auto"/>
          <w:kern w:val="0"/>
          <w:sz w:val="24"/>
          <w:szCs w:val="24"/>
          <w:highlight w:val="none"/>
        </w:rPr>
      </w:pPr>
    </w:p>
    <w:p w14:paraId="4DF0346B">
      <w:pPr>
        <w:autoSpaceDE w:val="0"/>
        <w:autoSpaceDN w:val="0"/>
        <w:adjustRightInd w:val="0"/>
        <w:jc w:val="left"/>
        <w:rPr>
          <w:rFonts w:ascii="宋体" w:hAnsi="宋体" w:eastAsia="宋体" w:cs="宋体"/>
          <w:b/>
          <w:color w:val="auto"/>
          <w:kern w:val="0"/>
          <w:szCs w:val="21"/>
          <w:highlight w:val="none"/>
        </w:rPr>
      </w:pPr>
    </w:p>
    <w:p w14:paraId="2C1DDDF4">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1D24ACBD">
      <w:pPr>
        <w:autoSpaceDE w:val="0"/>
        <w:autoSpaceDN w:val="0"/>
        <w:adjustRightInd w:val="0"/>
        <w:jc w:val="left"/>
        <w:rPr>
          <w:rFonts w:ascii="宋体" w:hAnsi="宋体" w:eastAsia="宋体" w:cs="宋体"/>
          <w:color w:val="auto"/>
          <w:kern w:val="0"/>
          <w:szCs w:val="21"/>
          <w:highlight w:val="none"/>
        </w:rPr>
      </w:pPr>
    </w:p>
    <w:p w14:paraId="312C2ADA">
      <w:pPr>
        <w:autoSpaceDE w:val="0"/>
        <w:autoSpaceDN w:val="0"/>
        <w:adjustRightInd w:val="0"/>
        <w:jc w:val="center"/>
        <w:rPr>
          <w:rFonts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说明：由投标人使用投标人的企业数字证书电子签名。</w:t>
      </w:r>
    </w:p>
    <w:p w14:paraId="596997C7">
      <w:pPr>
        <w:autoSpaceDE w:val="0"/>
        <w:autoSpaceDN w:val="0"/>
        <w:adjustRightInd w:val="0"/>
        <w:jc w:val="left"/>
        <w:rPr>
          <w:rFonts w:ascii="宋体" w:hAnsi="宋体" w:eastAsia="宋体" w:cs="宋体"/>
          <w:color w:val="auto"/>
          <w:kern w:val="0"/>
          <w:szCs w:val="21"/>
          <w:highlight w:val="none"/>
        </w:rPr>
      </w:pPr>
    </w:p>
    <w:p w14:paraId="4CFD376F">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32"/>
      <w:bookmarkEnd w:id="533"/>
      <w:bookmarkEnd w:id="534"/>
      <w:bookmarkStart w:id="613" w:name="_Toc533708125"/>
      <w:bookmarkStart w:id="614" w:name="_Toc486167713"/>
      <w:bookmarkStart w:id="615" w:name="_Toc6240_WPSOffice_Level2"/>
      <w:bookmarkStart w:id="616" w:name="_Toc1977727"/>
      <w:r>
        <w:rPr>
          <w:rFonts w:hint="eastAsia" w:ascii="宋体" w:hAnsi="宋体" w:eastAsia="宋体" w:cs="宋体"/>
          <w:b/>
          <w:color w:val="auto"/>
          <w:szCs w:val="24"/>
          <w:highlight w:val="none"/>
        </w:rPr>
        <w:t>（2）法定代表人授权书格式</w:t>
      </w:r>
      <w:bookmarkEnd w:id="613"/>
      <w:bookmarkEnd w:id="614"/>
      <w:bookmarkEnd w:id="615"/>
      <w:bookmarkEnd w:id="616"/>
    </w:p>
    <w:p w14:paraId="17B8DC0B">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5FFF10AA">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17" w:name="_Toc29146_WPSOffice_Level3"/>
      <w:r>
        <w:rPr>
          <w:rFonts w:hint="eastAsia" w:ascii="宋体" w:hAnsi="宋体" w:eastAsia="宋体" w:cs="宋体"/>
          <w:b/>
          <w:bCs/>
          <w:color w:val="auto"/>
          <w:sz w:val="30"/>
          <w:szCs w:val="30"/>
          <w:highlight w:val="none"/>
          <w:lang w:val="zh-CN"/>
        </w:rPr>
        <w:t>法定代表人授权书</w:t>
      </w:r>
      <w:bookmarkEnd w:id="617"/>
    </w:p>
    <w:p w14:paraId="571BE718">
      <w:pPr>
        <w:autoSpaceDE w:val="0"/>
        <w:autoSpaceDN w:val="0"/>
        <w:adjustRightInd w:val="0"/>
        <w:spacing w:line="360" w:lineRule="auto"/>
        <w:jc w:val="center"/>
        <w:rPr>
          <w:rFonts w:ascii="宋体" w:hAnsi="宋体" w:eastAsia="宋体" w:cs="宋体"/>
          <w:color w:val="auto"/>
          <w:szCs w:val="28"/>
          <w:highlight w:val="none"/>
          <w:lang w:val="zh-CN"/>
        </w:rPr>
      </w:pPr>
    </w:p>
    <w:p w14:paraId="1C7491CA">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致：东莞市水务环境投资控股集团净水有限公司</w:t>
      </w:r>
    </w:p>
    <w:p w14:paraId="6A45078D">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东莞市水务环境投资控股集团净水有限公司2026年-2027年生产药剂液体聚合氯化铝、液体聚合氯化铝铁采购项目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0D0623E6">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530636E8">
      <w:pPr>
        <w:spacing w:before="120" w:after="120" w:line="360" w:lineRule="auto"/>
        <w:ind w:left="348" w:leftChars="136" w:hanging="62"/>
        <w:rPr>
          <w:rFonts w:ascii="宋体" w:hAnsi="宋体" w:eastAsia="宋体" w:cs="宋体"/>
          <w:color w:val="auto"/>
          <w:szCs w:val="24"/>
          <w:highlight w:val="none"/>
        </w:rPr>
      </w:pPr>
    </w:p>
    <w:p w14:paraId="26EE7B8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（企业数字证书电子签名）</w:t>
      </w:r>
    </w:p>
    <w:p w14:paraId="0514622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221FFFF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（电子签名）</w:t>
      </w:r>
    </w:p>
    <w:p w14:paraId="3057561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BFDCFFC">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（电子签名）</w:t>
      </w:r>
    </w:p>
    <w:p w14:paraId="4360DF8C">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6F769C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1CDAD18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5269740B">
      <w:pPr>
        <w:pStyle w:val="34"/>
        <w:widowControl w:val="0"/>
        <w:snapToGrid w:val="0"/>
        <w:spacing w:before="0" w:beforeAutospacing="0" w:after="0" w:afterAutospacing="0" w:line="360" w:lineRule="auto"/>
        <w:jc w:val="center"/>
        <w:rPr>
          <w:rFonts w:eastAsia="宋体" w:cs="宋体"/>
          <w:b/>
          <w:color w:val="auto"/>
          <w:sz w:val="21"/>
          <w:szCs w:val="21"/>
          <w:highlight w:val="none"/>
          <w:lang w:bidi="ar"/>
        </w:rPr>
      </w:pPr>
    </w:p>
    <w:p w14:paraId="2F22A646">
      <w:pPr>
        <w:widowControl/>
        <w:autoSpaceDE w:val="0"/>
        <w:autoSpaceDN w:val="0"/>
        <w:spacing w:before="120" w:after="120" w:line="360" w:lineRule="auto"/>
        <w:ind w:right="781" w:rightChars="372" w:firstLine="422" w:firstLineChars="200"/>
        <w:jc w:val="center"/>
        <w:textAlignment w:val="bottom"/>
        <w:rPr>
          <w:rFonts w:ascii="宋体" w:hAnsi="宋体" w:eastAsia="宋体" w:cs="宋体"/>
          <w:b/>
          <w:bCs/>
          <w:color w:val="auto"/>
          <w:szCs w:val="21"/>
          <w:highlight w:val="none"/>
          <w:u w:val="single"/>
          <w:lang w:bidi="ar"/>
        </w:rPr>
      </w:pPr>
      <w:r>
        <w:rPr>
          <w:rFonts w:hint="eastAsia" w:ascii="宋体" w:hAnsi="宋体" w:eastAsia="宋体" w:cs="宋体"/>
          <w:b/>
          <w:bCs/>
          <w:color w:val="auto"/>
          <w:szCs w:val="21"/>
          <w:highlight w:val="none"/>
          <w:u w:val="single"/>
          <w:lang w:bidi="ar"/>
        </w:rPr>
        <w:t>说明：由投标人使用投标人的企业数字证书，法定代表人、其授权代表数字证书电子签名。</w:t>
      </w:r>
    </w:p>
    <w:p w14:paraId="71DC7CD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44C062C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rPr>
        <w:t>附 法定代表人、被授权人身份证扫描件</w:t>
      </w:r>
    </w:p>
    <w:p w14:paraId="5CEFFD7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6BDBE23"/>
                          <w:p w14:paraId="3749066B"/>
                          <w:p w14:paraId="2BB4DDA2"/>
                          <w:p w14:paraId="10A89889"/>
                          <w:p w14:paraId="5C903080">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1312;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26BDBE23"/>
                    <w:p w14:paraId="3749066B"/>
                    <w:p w14:paraId="2BB4DDA2"/>
                    <w:p w14:paraId="10A89889"/>
                    <w:p w14:paraId="5C903080">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0DF889F"/>
                          <w:p w14:paraId="23DBEBCF"/>
                          <w:p w14:paraId="4CACB82A"/>
                          <w:p w14:paraId="38D8CE2B"/>
                          <w:p w14:paraId="2EBE9112">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59264;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10DF889F"/>
                    <w:p w14:paraId="23DBEBCF"/>
                    <w:p w14:paraId="4CACB82A"/>
                    <w:p w14:paraId="38D8CE2B"/>
                    <w:p w14:paraId="2EBE9112">
                      <w:pPr>
                        <w:jc w:val="center"/>
                        <w:rPr>
                          <w:rFonts w:hAnsi="宋体"/>
                        </w:rPr>
                      </w:pPr>
                      <w:r>
                        <w:rPr>
                          <w:rFonts w:hint="eastAsia" w:hAnsi="宋体"/>
                        </w:rPr>
                        <w:t>法定代表人身份证正面</w:t>
                      </w:r>
                    </w:p>
                  </w:txbxContent>
                </v:textbox>
              </v:shape>
            </w:pict>
          </mc:Fallback>
        </mc:AlternateContent>
      </w:r>
    </w:p>
    <w:p w14:paraId="6DD7E23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1E6DC5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3B0FFA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343480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2C710A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596589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044F3C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E2BEE8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BE7324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1861435"/>
                          <w:p w14:paraId="37C00E11">
                            <w:pPr>
                              <w:jc w:val="center"/>
                              <w:rPr>
                                <w:rFonts w:hAnsi="宋体"/>
                                <w:color w:val="FF0000"/>
                              </w:rPr>
                            </w:pPr>
                          </w:p>
                          <w:p w14:paraId="50EF0DD9">
                            <w:pPr>
                              <w:jc w:val="center"/>
                              <w:rPr>
                                <w:rFonts w:hAnsi="宋体"/>
                                <w:color w:val="FF0000"/>
                              </w:rPr>
                            </w:pPr>
                          </w:p>
                          <w:p w14:paraId="13DAC40C">
                            <w:pPr>
                              <w:jc w:val="center"/>
                              <w:rPr>
                                <w:rFonts w:hAnsi="宋体"/>
                                <w:color w:val="FF0000"/>
                              </w:rPr>
                            </w:pPr>
                          </w:p>
                          <w:p w14:paraId="404FE8F9">
                            <w:pPr>
                              <w:jc w:val="center"/>
                            </w:pPr>
                            <w:r>
                              <w:rPr>
                                <w:rFonts w:hint="eastAsia" w:hAnsi="宋体"/>
                              </w:rPr>
                              <w:t>被授权人身份证反面</w:t>
                            </w:r>
                          </w:p>
                          <w:p w14:paraId="1E5699C9"/>
                          <w:p w14:paraId="5DA2229F"/>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2336;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11861435"/>
                    <w:p w14:paraId="37C00E11">
                      <w:pPr>
                        <w:jc w:val="center"/>
                        <w:rPr>
                          <w:rFonts w:hAnsi="宋体"/>
                          <w:color w:val="FF0000"/>
                        </w:rPr>
                      </w:pPr>
                    </w:p>
                    <w:p w14:paraId="50EF0DD9">
                      <w:pPr>
                        <w:jc w:val="center"/>
                        <w:rPr>
                          <w:rFonts w:hAnsi="宋体"/>
                          <w:color w:val="FF0000"/>
                        </w:rPr>
                      </w:pPr>
                    </w:p>
                    <w:p w14:paraId="13DAC40C">
                      <w:pPr>
                        <w:jc w:val="center"/>
                        <w:rPr>
                          <w:rFonts w:hAnsi="宋体"/>
                          <w:color w:val="FF0000"/>
                        </w:rPr>
                      </w:pPr>
                    </w:p>
                    <w:p w14:paraId="404FE8F9">
                      <w:pPr>
                        <w:jc w:val="center"/>
                      </w:pPr>
                      <w:r>
                        <w:rPr>
                          <w:rFonts w:hint="eastAsia" w:hAnsi="宋体"/>
                        </w:rPr>
                        <w:t>被授权人身份证反面</w:t>
                      </w:r>
                    </w:p>
                    <w:p w14:paraId="1E5699C9"/>
                    <w:p w14:paraId="5DA2229F"/>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16B18DF"/>
                          <w:p w14:paraId="2788078C">
                            <w:pPr>
                              <w:jc w:val="center"/>
                              <w:rPr>
                                <w:rFonts w:hAnsi="宋体"/>
                                <w:color w:val="FF0000"/>
                              </w:rPr>
                            </w:pPr>
                          </w:p>
                          <w:p w14:paraId="1BEEF308">
                            <w:pPr>
                              <w:jc w:val="center"/>
                              <w:rPr>
                                <w:rFonts w:hAnsi="宋体"/>
                                <w:color w:val="FF0000"/>
                              </w:rPr>
                            </w:pPr>
                          </w:p>
                          <w:p w14:paraId="6368B85B">
                            <w:pPr>
                              <w:jc w:val="center"/>
                              <w:rPr>
                                <w:rFonts w:hAnsi="宋体"/>
                                <w:color w:val="FF0000"/>
                              </w:rPr>
                            </w:pPr>
                          </w:p>
                          <w:p w14:paraId="10F4FC19">
                            <w:pPr>
                              <w:jc w:val="center"/>
                            </w:pPr>
                            <w:r>
                              <w:rPr>
                                <w:rFonts w:hint="eastAsia" w:hAnsi="宋体"/>
                              </w:rPr>
                              <w:t>被授权人身份证正面</w:t>
                            </w:r>
                          </w:p>
                          <w:p w14:paraId="716C0007"/>
                          <w:p w14:paraId="7DE66902"/>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0288;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016B18DF"/>
                    <w:p w14:paraId="2788078C">
                      <w:pPr>
                        <w:jc w:val="center"/>
                        <w:rPr>
                          <w:rFonts w:hAnsi="宋体"/>
                          <w:color w:val="FF0000"/>
                        </w:rPr>
                      </w:pPr>
                    </w:p>
                    <w:p w14:paraId="1BEEF308">
                      <w:pPr>
                        <w:jc w:val="center"/>
                        <w:rPr>
                          <w:rFonts w:hAnsi="宋体"/>
                          <w:color w:val="FF0000"/>
                        </w:rPr>
                      </w:pPr>
                    </w:p>
                    <w:p w14:paraId="6368B85B">
                      <w:pPr>
                        <w:jc w:val="center"/>
                        <w:rPr>
                          <w:rFonts w:hAnsi="宋体"/>
                          <w:color w:val="FF0000"/>
                        </w:rPr>
                      </w:pPr>
                    </w:p>
                    <w:p w14:paraId="10F4FC19">
                      <w:pPr>
                        <w:jc w:val="center"/>
                      </w:pPr>
                      <w:r>
                        <w:rPr>
                          <w:rFonts w:hint="eastAsia" w:hAnsi="宋体"/>
                        </w:rPr>
                        <w:t>被授权人身份证正面</w:t>
                      </w:r>
                    </w:p>
                    <w:p w14:paraId="716C0007"/>
                    <w:p w14:paraId="7DE66902"/>
                  </w:txbxContent>
                </v:textbox>
              </v:shape>
            </w:pict>
          </mc:Fallback>
        </mc:AlternateContent>
      </w:r>
    </w:p>
    <w:p w14:paraId="4F0BA19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6466E3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B0A7D4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B7CC09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1F601B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F9DD768">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pPr>
      <w:r>
        <w:rPr>
          <w:rFonts w:hint="eastAsia" w:ascii="宋体" w:hAnsi="宋体" w:eastAsia="宋体" w:cs="宋体"/>
          <w:b/>
          <w:color w:val="auto"/>
          <w:szCs w:val="24"/>
          <w:highlight w:val="none"/>
        </w:rPr>
        <w:t>注：上述所附身份证应在有效期限内。</w:t>
      </w:r>
    </w:p>
    <w:p w14:paraId="5C8A572F">
      <w:pPr>
        <w:rPr>
          <w:color w:val="auto"/>
          <w:highlight w:val="none"/>
        </w:rPr>
      </w:pPr>
    </w:p>
    <w:p w14:paraId="38BB5585">
      <w:pPr>
        <w:pStyle w:val="2"/>
        <w:rPr>
          <w:color w:val="auto"/>
          <w:highlight w:val="none"/>
        </w:rPr>
        <w:sectPr>
          <w:footerReference r:id="rId14" w:type="first"/>
          <w:footerReference r:id="rId13" w:type="default"/>
          <w:pgSz w:w="12240" w:h="15840"/>
          <w:pgMar w:top="1191" w:right="1043" w:bottom="1191" w:left="1043" w:header="720" w:footer="720" w:gutter="0"/>
          <w:cols w:space="720" w:num="1"/>
          <w:titlePg/>
          <w:docGrid w:linePitch="326" w:charSpace="0"/>
        </w:sectPr>
      </w:pPr>
    </w:p>
    <w:p w14:paraId="5F742298">
      <w:pPr>
        <w:pStyle w:val="6"/>
        <w:pageBreakBefore/>
        <w:spacing w:line="360" w:lineRule="auto"/>
        <w:rPr>
          <w:rFonts w:hAnsi="宋体" w:cs="宋体"/>
          <w:b/>
          <w:bCs/>
          <w:color w:val="auto"/>
          <w:kern w:val="2"/>
          <w:sz w:val="32"/>
          <w:szCs w:val="32"/>
          <w:highlight w:val="none"/>
          <w:lang w:val="zh-CN"/>
        </w:rPr>
      </w:pPr>
      <w:bookmarkStart w:id="618" w:name="_Toc2147"/>
      <w:bookmarkStart w:id="619" w:name="_Toc211622210"/>
      <w:bookmarkStart w:id="620" w:name="_Toc5998"/>
      <w:bookmarkStart w:id="621" w:name="_Toc146642418"/>
      <w:bookmarkStart w:id="622" w:name="_Toc6531"/>
      <w:bookmarkStart w:id="623" w:name="_Toc78709782"/>
      <w:bookmarkStart w:id="624" w:name="_Toc29643"/>
      <w:bookmarkStart w:id="625" w:name="_Toc142854322"/>
      <w:bookmarkStart w:id="626" w:name="_Toc19284"/>
      <w:bookmarkStart w:id="627" w:name="_Toc15716"/>
      <w:bookmarkStart w:id="628" w:name="_Toc32328"/>
      <w:bookmarkStart w:id="629" w:name="_Toc12400"/>
      <w:bookmarkStart w:id="630" w:name="_Toc140596933"/>
      <w:bookmarkStart w:id="631" w:name="_Toc1977730"/>
      <w:bookmarkStart w:id="632" w:name="_Toc104991880"/>
      <w:bookmarkStart w:id="633" w:name="_Toc142508373"/>
      <w:bookmarkStart w:id="634" w:name="_Toc94107214"/>
      <w:r>
        <w:rPr>
          <w:rFonts w:hint="eastAsia" w:hAnsi="宋体" w:cs="宋体"/>
          <w:b/>
          <w:bCs/>
          <w:color w:val="auto"/>
          <w:kern w:val="2"/>
          <w:sz w:val="32"/>
          <w:szCs w:val="32"/>
          <w:highlight w:val="none"/>
          <w:lang w:val="en-US" w:eastAsia="zh-CN"/>
        </w:rPr>
        <w:t>5</w:t>
      </w:r>
      <w:r>
        <w:rPr>
          <w:rFonts w:hint="eastAsia" w:hAnsi="宋体" w:cs="宋体"/>
          <w:b/>
          <w:bCs/>
          <w:color w:val="auto"/>
          <w:kern w:val="2"/>
          <w:sz w:val="32"/>
          <w:szCs w:val="32"/>
          <w:highlight w:val="none"/>
        </w:rPr>
        <w:t>.4</w:t>
      </w:r>
      <w:r>
        <w:rPr>
          <w:rFonts w:hint="eastAsia" w:hAnsi="宋体" w:cs="宋体"/>
          <w:b/>
          <w:bCs/>
          <w:color w:val="auto"/>
          <w:kern w:val="2"/>
          <w:sz w:val="32"/>
          <w:szCs w:val="32"/>
          <w:highlight w:val="none"/>
          <w:lang w:val="zh-CN"/>
        </w:rPr>
        <w:t xml:space="preserve"> 制造商资格声明</w:t>
      </w:r>
      <w:bookmarkEnd w:id="618"/>
      <w:bookmarkEnd w:id="619"/>
      <w:bookmarkEnd w:id="620"/>
      <w:bookmarkEnd w:id="621"/>
      <w:bookmarkEnd w:id="622"/>
      <w:bookmarkEnd w:id="623"/>
      <w:bookmarkEnd w:id="624"/>
      <w:bookmarkEnd w:id="625"/>
      <w:bookmarkEnd w:id="626"/>
    </w:p>
    <w:p w14:paraId="7641ED48">
      <w:pPr>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制造商资格声明</w:t>
      </w:r>
    </w:p>
    <w:p w14:paraId="78297FC6">
      <w:pPr>
        <w:snapToGrid w:val="0"/>
        <w:spacing w:line="360" w:lineRule="auto"/>
        <w:rPr>
          <w:rFonts w:ascii="宋体" w:hAnsi="宋体" w:eastAsia="宋体" w:cs="宋体"/>
          <w:color w:val="auto"/>
          <w:szCs w:val="21"/>
          <w:highlight w:val="none"/>
        </w:rPr>
      </w:pPr>
      <w:bookmarkStart w:id="635" w:name="_Toc9517"/>
      <w:bookmarkStart w:id="636" w:name="_Toc22921"/>
      <w:r>
        <w:rPr>
          <w:rFonts w:hint="eastAsia" w:ascii="宋体" w:hAnsi="宋体" w:eastAsia="宋体" w:cs="宋体"/>
          <w:color w:val="auto"/>
          <w:szCs w:val="21"/>
          <w:highlight w:val="none"/>
        </w:rPr>
        <w:t>1、名称及概况：</w:t>
      </w:r>
      <w:bookmarkEnd w:id="635"/>
      <w:bookmarkEnd w:id="636"/>
    </w:p>
    <w:p w14:paraId="49F03204">
      <w:pPr>
        <w:snapToGrid w:val="0"/>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（1）制造商名称：</w:t>
      </w:r>
      <w:r>
        <w:rPr>
          <w:rFonts w:hint="eastAsia" w:ascii="宋体" w:hAnsi="宋体" w:eastAsia="宋体" w:cs="宋体"/>
          <w:color w:val="auto"/>
          <w:szCs w:val="21"/>
          <w:highlight w:val="none"/>
          <w:u w:val="single"/>
        </w:rPr>
        <w:t xml:space="preserve">                                            </w:t>
      </w:r>
    </w:p>
    <w:p w14:paraId="328A7627">
      <w:pPr>
        <w:snapToGrid w:val="0"/>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（2）总部地址：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 xml:space="preserve">                    </w:t>
      </w:r>
    </w:p>
    <w:p w14:paraId="6C1EF1A5">
      <w:pPr>
        <w:snapToGrid w:val="0"/>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（3）电话号码：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传真：</w:t>
      </w:r>
      <w:r>
        <w:rPr>
          <w:rFonts w:hint="eastAsia" w:ascii="宋体" w:hAnsi="宋体" w:eastAsia="宋体" w:cs="宋体"/>
          <w:color w:val="auto"/>
          <w:szCs w:val="21"/>
          <w:highlight w:val="none"/>
          <w:u w:val="single"/>
        </w:rPr>
        <w:t xml:space="preserve">                        </w:t>
      </w:r>
    </w:p>
    <w:p w14:paraId="21A15CC3">
      <w:pPr>
        <w:snapToGrid w:val="0"/>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（4）成立和/或注册日期：</w:t>
      </w:r>
      <w:r>
        <w:rPr>
          <w:rFonts w:hint="eastAsia" w:ascii="宋体" w:hAnsi="宋体" w:eastAsia="宋体" w:cs="宋体"/>
          <w:color w:val="auto"/>
          <w:szCs w:val="21"/>
          <w:highlight w:val="none"/>
          <w:u w:val="single"/>
        </w:rPr>
        <w:t xml:space="preserve">                                     </w:t>
      </w:r>
    </w:p>
    <w:p w14:paraId="0A37EDC7">
      <w:pPr>
        <w:snapToGrid w:val="0"/>
        <w:spacing w:line="360" w:lineRule="auto"/>
        <w:ind w:firstLine="210" w:firstLineChars="100"/>
        <w:rPr>
          <w:rFonts w:ascii="宋体" w:hAnsi="宋体" w:eastAsia="宋体" w:cs="宋体"/>
          <w:color w:val="auto"/>
          <w:szCs w:val="21"/>
          <w:highlight w:val="none"/>
          <w:u w:val="single"/>
        </w:rPr>
      </w:pPr>
      <w:r>
        <w:rPr>
          <w:rFonts w:hint="eastAsia" w:ascii="宋体" w:hAnsi="宋体" w:eastAsia="宋体" w:cs="宋体"/>
          <w:color w:val="auto"/>
          <w:szCs w:val="21"/>
          <w:highlight w:val="none"/>
        </w:rPr>
        <w:t>（5）实收资本：</w:t>
      </w:r>
      <w:r>
        <w:rPr>
          <w:rFonts w:hint="eastAsia" w:ascii="宋体" w:hAnsi="宋体" w:eastAsia="宋体" w:cs="宋体"/>
          <w:color w:val="auto"/>
          <w:szCs w:val="21"/>
          <w:highlight w:val="none"/>
          <w:u w:val="single"/>
        </w:rPr>
        <w:t xml:space="preserve">                                              </w:t>
      </w:r>
    </w:p>
    <w:p w14:paraId="2B00C1D2">
      <w:pPr>
        <w:snapToGrid w:val="0"/>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（6）法定代表人姓名：</w:t>
      </w:r>
      <w:r>
        <w:rPr>
          <w:rFonts w:hint="eastAsia" w:ascii="宋体" w:hAnsi="宋体" w:eastAsia="宋体" w:cs="宋体"/>
          <w:color w:val="auto"/>
          <w:szCs w:val="21"/>
          <w:highlight w:val="none"/>
          <w:u w:val="single"/>
        </w:rPr>
        <w:t xml:space="preserve">                                        </w:t>
      </w:r>
    </w:p>
    <w:p w14:paraId="2F294C3C">
      <w:pPr>
        <w:snapToGrid w:val="0"/>
        <w:spacing w:line="360" w:lineRule="auto"/>
        <w:ind w:firstLine="210" w:firstLineChars="100"/>
        <w:rPr>
          <w:rFonts w:ascii="宋体" w:hAnsi="宋体" w:eastAsia="宋体" w:cs="宋体"/>
          <w:color w:val="auto"/>
          <w:szCs w:val="21"/>
          <w:highlight w:val="none"/>
          <w:u w:val="single"/>
        </w:rPr>
      </w:pPr>
      <w:r>
        <w:rPr>
          <w:rFonts w:hint="eastAsia" w:ascii="宋体" w:hAnsi="宋体" w:eastAsia="宋体" w:cs="宋体"/>
          <w:color w:val="auto"/>
          <w:szCs w:val="21"/>
          <w:highlight w:val="none"/>
        </w:rPr>
        <w:t>（7）制造商代表姓名、联系电话和地址：</w:t>
      </w:r>
      <w:r>
        <w:rPr>
          <w:rFonts w:hint="eastAsia" w:ascii="宋体" w:hAnsi="宋体" w:eastAsia="宋体" w:cs="宋体"/>
          <w:color w:val="auto"/>
          <w:szCs w:val="21"/>
          <w:highlight w:val="none"/>
          <w:u w:val="single"/>
        </w:rPr>
        <w:t xml:space="preserve">                        </w:t>
      </w:r>
    </w:p>
    <w:p w14:paraId="2C1506F3">
      <w:pPr>
        <w:snapToGrid w:val="0"/>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（8）投标产品名称及品牌：</w:t>
      </w:r>
      <w:r>
        <w:rPr>
          <w:rFonts w:hint="eastAsia" w:ascii="宋体" w:hAnsi="宋体" w:eastAsia="宋体" w:cs="宋体"/>
          <w:color w:val="auto"/>
          <w:szCs w:val="21"/>
          <w:highlight w:val="none"/>
          <w:u w:val="single"/>
        </w:rPr>
        <w:t xml:space="preserve">                                    </w:t>
      </w:r>
    </w:p>
    <w:p w14:paraId="01915ACC">
      <w:pPr>
        <w:snapToGrid w:val="0"/>
        <w:spacing w:line="360" w:lineRule="auto"/>
        <w:rPr>
          <w:rFonts w:ascii="宋体" w:hAnsi="宋体" w:eastAsia="宋体" w:cs="宋体"/>
          <w:color w:val="auto"/>
          <w:szCs w:val="21"/>
          <w:highlight w:val="none"/>
        </w:rPr>
      </w:pPr>
      <w:bookmarkStart w:id="637" w:name="_Toc16365"/>
      <w:bookmarkStart w:id="638" w:name="_Toc766"/>
      <w:r>
        <w:rPr>
          <w:rFonts w:hint="eastAsia" w:ascii="宋体" w:hAnsi="宋体" w:eastAsia="宋体" w:cs="宋体"/>
          <w:color w:val="auto"/>
          <w:szCs w:val="21"/>
          <w:highlight w:val="none"/>
        </w:rPr>
        <w:t>2、制造投标货物的主要设备、设施及有关情况：</w:t>
      </w:r>
      <w:bookmarkEnd w:id="637"/>
      <w:bookmarkEnd w:id="638"/>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1674"/>
        <w:gridCol w:w="2326"/>
        <w:gridCol w:w="1258"/>
        <w:gridCol w:w="1223"/>
        <w:gridCol w:w="1163"/>
      </w:tblGrid>
      <w:tr w14:paraId="1D12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84" w:type="pct"/>
            <w:vAlign w:val="center"/>
          </w:tcPr>
          <w:p w14:paraId="4BE69F7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制造投标货物的工厂名称</w:t>
            </w:r>
          </w:p>
        </w:tc>
        <w:tc>
          <w:tcPr>
            <w:tcW w:w="901" w:type="pct"/>
            <w:vAlign w:val="center"/>
          </w:tcPr>
          <w:p w14:paraId="41E4698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制造投标货物的工厂地址</w:t>
            </w:r>
          </w:p>
        </w:tc>
        <w:tc>
          <w:tcPr>
            <w:tcW w:w="1252" w:type="pct"/>
            <w:vAlign w:val="center"/>
          </w:tcPr>
          <w:p w14:paraId="17214D4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主要生产（存储、运输）设备设施名称及数量</w:t>
            </w:r>
          </w:p>
        </w:tc>
        <w:tc>
          <w:tcPr>
            <w:tcW w:w="677" w:type="pct"/>
            <w:vAlign w:val="center"/>
          </w:tcPr>
          <w:p w14:paraId="205DA04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购买年份</w:t>
            </w:r>
          </w:p>
        </w:tc>
        <w:tc>
          <w:tcPr>
            <w:tcW w:w="658" w:type="pct"/>
            <w:vAlign w:val="center"/>
          </w:tcPr>
          <w:p w14:paraId="3734FA1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年生产能力</w:t>
            </w:r>
          </w:p>
        </w:tc>
        <w:tc>
          <w:tcPr>
            <w:tcW w:w="626" w:type="pct"/>
            <w:vAlign w:val="center"/>
          </w:tcPr>
          <w:p w14:paraId="219FC85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职工人数</w:t>
            </w:r>
          </w:p>
        </w:tc>
      </w:tr>
      <w:tr w14:paraId="49EE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4" w:type="pct"/>
            <w:vAlign w:val="center"/>
          </w:tcPr>
          <w:p w14:paraId="294AC366">
            <w:pPr>
              <w:snapToGrid w:val="0"/>
              <w:spacing w:line="360" w:lineRule="auto"/>
              <w:jc w:val="center"/>
              <w:rPr>
                <w:rFonts w:ascii="宋体" w:hAnsi="宋体" w:eastAsia="宋体" w:cs="宋体"/>
                <w:color w:val="auto"/>
                <w:szCs w:val="21"/>
                <w:highlight w:val="none"/>
              </w:rPr>
            </w:pPr>
          </w:p>
        </w:tc>
        <w:tc>
          <w:tcPr>
            <w:tcW w:w="901" w:type="pct"/>
            <w:vAlign w:val="center"/>
          </w:tcPr>
          <w:p w14:paraId="35D2BB0B">
            <w:pPr>
              <w:snapToGrid w:val="0"/>
              <w:spacing w:line="360" w:lineRule="auto"/>
              <w:jc w:val="center"/>
              <w:rPr>
                <w:rFonts w:ascii="宋体" w:hAnsi="宋体" w:eastAsia="宋体" w:cs="宋体"/>
                <w:color w:val="auto"/>
                <w:szCs w:val="21"/>
                <w:highlight w:val="none"/>
              </w:rPr>
            </w:pPr>
          </w:p>
        </w:tc>
        <w:tc>
          <w:tcPr>
            <w:tcW w:w="1252" w:type="pct"/>
            <w:vAlign w:val="center"/>
          </w:tcPr>
          <w:p w14:paraId="59A80C01">
            <w:pPr>
              <w:snapToGrid w:val="0"/>
              <w:spacing w:line="360" w:lineRule="auto"/>
              <w:jc w:val="center"/>
              <w:rPr>
                <w:rFonts w:ascii="宋体" w:hAnsi="宋体" w:eastAsia="宋体" w:cs="宋体"/>
                <w:color w:val="auto"/>
                <w:szCs w:val="21"/>
                <w:highlight w:val="none"/>
              </w:rPr>
            </w:pPr>
          </w:p>
        </w:tc>
        <w:tc>
          <w:tcPr>
            <w:tcW w:w="677" w:type="pct"/>
            <w:vAlign w:val="center"/>
          </w:tcPr>
          <w:p w14:paraId="6358188D">
            <w:pPr>
              <w:snapToGrid w:val="0"/>
              <w:spacing w:line="360" w:lineRule="auto"/>
              <w:jc w:val="center"/>
              <w:rPr>
                <w:rFonts w:ascii="宋体" w:hAnsi="宋体" w:eastAsia="宋体" w:cs="宋体"/>
                <w:color w:val="auto"/>
                <w:szCs w:val="21"/>
                <w:highlight w:val="none"/>
              </w:rPr>
            </w:pPr>
          </w:p>
        </w:tc>
        <w:tc>
          <w:tcPr>
            <w:tcW w:w="658" w:type="pct"/>
            <w:vAlign w:val="center"/>
          </w:tcPr>
          <w:p w14:paraId="70A984AC">
            <w:pPr>
              <w:snapToGrid w:val="0"/>
              <w:spacing w:line="360" w:lineRule="auto"/>
              <w:jc w:val="center"/>
              <w:rPr>
                <w:rFonts w:ascii="宋体" w:hAnsi="宋体" w:eastAsia="宋体" w:cs="宋体"/>
                <w:color w:val="auto"/>
                <w:szCs w:val="21"/>
                <w:highlight w:val="none"/>
              </w:rPr>
            </w:pPr>
          </w:p>
        </w:tc>
        <w:tc>
          <w:tcPr>
            <w:tcW w:w="626" w:type="pct"/>
            <w:vAlign w:val="center"/>
          </w:tcPr>
          <w:p w14:paraId="0912D955">
            <w:pPr>
              <w:snapToGrid w:val="0"/>
              <w:spacing w:line="360" w:lineRule="auto"/>
              <w:jc w:val="center"/>
              <w:rPr>
                <w:rFonts w:ascii="宋体" w:hAnsi="宋体" w:eastAsia="宋体" w:cs="宋体"/>
                <w:color w:val="auto"/>
                <w:szCs w:val="21"/>
                <w:highlight w:val="none"/>
              </w:rPr>
            </w:pPr>
          </w:p>
        </w:tc>
      </w:tr>
      <w:tr w14:paraId="64E9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84" w:type="pct"/>
            <w:vAlign w:val="center"/>
          </w:tcPr>
          <w:p w14:paraId="6931BF3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901" w:type="pct"/>
            <w:vAlign w:val="center"/>
          </w:tcPr>
          <w:p w14:paraId="45FDB90C">
            <w:pPr>
              <w:snapToGrid w:val="0"/>
              <w:spacing w:line="360" w:lineRule="auto"/>
              <w:jc w:val="center"/>
              <w:rPr>
                <w:rFonts w:ascii="宋体" w:hAnsi="宋体" w:eastAsia="宋体" w:cs="宋体"/>
                <w:color w:val="auto"/>
                <w:szCs w:val="21"/>
                <w:highlight w:val="none"/>
              </w:rPr>
            </w:pPr>
          </w:p>
        </w:tc>
        <w:tc>
          <w:tcPr>
            <w:tcW w:w="1252" w:type="pct"/>
            <w:vAlign w:val="center"/>
          </w:tcPr>
          <w:p w14:paraId="015F046B">
            <w:pPr>
              <w:snapToGrid w:val="0"/>
              <w:spacing w:line="360" w:lineRule="auto"/>
              <w:jc w:val="center"/>
              <w:rPr>
                <w:rFonts w:ascii="宋体" w:hAnsi="宋体" w:eastAsia="宋体" w:cs="宋体"/>
                <w:color w:val="auto"/>
                <w:szCs w:val="21"/>
                <w:highlight w:val="none"/>
              </w:rPr>
            </w:pPr>
          </w:p>
        </w:tc>
        <w:tc>
          <w:tcPr>
            <w:tcW w:w="677" w:type="pct"/>
            <w:vAlign w:val="center"/>
          </w:tcPr>
          <w:p w14:paraId="5441DB3B">
            <w:pPr>
              <w:snapToGrid w:val="0"/>
              <w:spacing w:line="360" w:lineRule="auto"/>
              <w:jc w:val="center"/>
              <w:rPr>
                <w:rFonts w:ascii="宋体" w:hAnsi="宋体" w:eastAsia="宋体" w:cs="宋体"/>
                <w:color w:val="auto"/>
                <w:szCs w:val="21"/>
                <w:highlight w:val="none"/>
              </w:rPr>
            </w:pPr>
          </w:p>
        </w:tc>
        <w:tc>
          <w:tcPr>
            <w:tcW w:w="658" w:type="pct"/>
            <w:vAlign w:val="center"/>
          </w:tcPr>
          <w:p w14:paraId="79078B2F">
            <w:pPr>
              <w:snapToGrid w:val="0"/>
              <w:spacing w:line="360" w:lineRule="auto"/>
              <w:jc w:val="center"/>
              <w:rPr>
                <w:rFonts w:ascii="宋体" w:hAnsi="宋体" w:eastAsia="宋体" w:cs="宋体"/>
                <w:color w:val="auto"/>
                <w:szCs w:val="21"/>
                <w:highlight w:val="none"/>
              </w:rPr>
            </w:pPr>
          </w:p>
        </w:tc>
        <w:tc>
          <w:tcPr>
            <w:tcW w:w="626" w:type="pct"/>
            <w:vAlign w:val="center"/>
          </w:tcPr>
          <w:p w14:paraId="03B30369">
            <w:pPr>
              <w:snapToGrid w:val="0"/>
              <w:spacing w:line="360" w:lineRule="auto"/>
              <w:jc w:val="center"/>
              <w:rPr>
                <w:rFonts w:ascii="宋体" w:hAnsi="宋体" w:eastAsia="宋体" w:cs="宋体"/>
                <w:color w:val="auto"/>
                <w:szCs w:val="21"/>
                <w:highlight w:val="none"/>
              </w:rPr>
            </w:pPr>
          </w:p>
        </w:tc>
      </w:tr>
    </w:tbl>
    <w:p w14:paraId="0DCC4F7A">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3、投标货物中本制造商不生产，而需从其它制造商购买的主要材料：</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1"/>
        <w:gridCol w:w="3229"/>
        <w:gridCol w:w="2837"/>
      </w:tblGrid>
      <w:tr w14:paraId="7726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734" w:type="pct"/>
            <w:vAlign w:val="center"/>
          </w:tcPr>
          <w:p w14:paraId="31EC27A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主要材料名称</w:t>
            </w:r>
          </w:p>
        </w:tc>
        <w:tc>
          <w:tcPr>
            <w:tcW w:w="1738" w:type="pct"/>
            <w:vAlign w:val="center"/>
          </w:tcPr>
          <w:p w14:paraId="1838711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制造厂名称</w:t>
            </w:r>
          </w:p>
        </w:tc>
        <w:tc>
          <w:tcPr>
            <w:tcW w:w="1527" w:type="pct"/>
            <w:vAlign w:val="center"/>
          </w:tcPr>
          <w:p w14:paraId="3D7420E2">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42F5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734" w:type="pct"/>
            <w:vAlign w:val="center"/>
          </w:tcPr>
          <w:p w14:paraId="78713FD0">
            <w:pPr>
              <w:snapToGrid w:val="0"/>
              <w:spacing w:line="360" w:lineRule="auto"/>
              <w:jc w:val="center"/>
              <w:rPr>
                <w:rFonts w:ascii="宋体" w:hAnsi="宋体" w:eastAsia="宋体" w:cs="宋体"/>
                <w:color w:val="auto"/>
                <w:szCs w:val="21"/>
                <w:highlight w:val="none"/>
              </w:rPr>
            </w:pPr>
          </w:p>
        </w:tc>
        <w:tc>
          <w:tcPr>
            <w:tcW w:w="1738" w:type="pct"/>
            <w:vAlign w:val="center"/>
          </w:tcPr>
          <w:p w14:paraId="5420CE85">
            <w:pPr>
              <w:snapToGrid w:val="0"/>
              <w:spacing w:line="360" w:lineRule="auto"/>
              <w:jc w:val="center"/>
              <w:rPr>
                <w:rFonts w:ascii="宋体" w:hAnsi="宋体" w:eastAsia="宋体" w:cs="宋体"/>
                <w:color w:val="auto"/>
                <w:szCs w:val="21"/>
                <w:highlight w:val="none"/>
              </w:rPr>
            </w:pPr>
          </w:p>
        </w:tc>
        <w:tc>
          <w:tcPr>
            <w:tcW w:w="1527" w:type="pct"/>
            <w:vAlign w:val="center"/>
          </w:tcPr>
          <w:p w14:paraId="0307A2F0">
            <w:pPr>
              <w:snapToGrid w:val="0"/>
              <w:spacing w:line="360" w:lineRule="auto"/>
              <w:jc w:val="center"/>
              <w:rPr>
                <w:rFonts w:ascii="宋体" w:hAnsi="宋体" w:eastAsia="宋体" w:cs="宋体"/>
                <w:color w:val="auto"/>
                <w:szCs w:val="21"/>
                <w:highlight w:val="none"/>
              </w:rPr>
            </w:pPr>
          </w:p>
        </w:tc>
      </w:tr>
      <w:tr w14:paraId="5786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734" w:type="pct"/>
            <w:vAlign w:val="center"/>
          </w:tcPr>
          <w:p w14:paraId="481CCD42">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38" w:type="pct"/>
            <w:vAlign w:val="center"/>
          </w:tcPr>
          <w:p w14:paraId="345D7CE9">
            <w:pPr>
              <w:snapToGrid w:val="0"/>
              <w:spacing w:line="360" w:lineRule="auto"/>
              <w:jc w:val="center"/>
              <w:rPr>
                <w:rFonts w:ascii="宋体" w:hAnsi="宋体" w:eastAsia="宋体" w:cs="宋体"/>
                <w:color w:val="auto"/>
                <w:szCs w:val="21"/>
                <w:highlight w:val="none"/>
              </w:rPr>
            </w:pPr>
          </w:p>
        </w:tc>
        <w:tc>
          <w:tcPr>
            <w:tcW w:w="1527" w:type="pct"/>
            <w:vAlign w:val="center"/>
          </w:tcPr>
          <w:p w14:paraId="109CC764">
            <w:pPr>
              <w:snapToGrid w:val="0"/>
              <w:spacing w:line="360" w:lineRule="auto"/>
              <w:jc w:val="center"/>
              <w:rPr>
                <w:rFonts w:ascii="宋体" w:hAnsi="宋体" w:eastAsia="宋体" w:cs="宋体"/>
                <w:color w:val="auto"/>
                <w:szCs w:val="21"/>
                <w:highlight w:val="none"/>
              </w:rPr>
            </w:pPr>
          </w:p>
        </w:tc>
      </w:tr>
    </w:tbl>
    <w:p w14:paraId="76566D71">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4、近三年该货物主要销售给国内、外主要客户的名称地址：</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7"/>
        <w:gridCol w:w="3224"/>
        <w:gridCol w:w="2846"/>
      </w:tblGrid>
      <w:tr w14:paraId="03DD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732" w:type="pct"/>
            <w:vAlign w:val="center"/>
          </w:tcPr>
          <w:p w14:paraId="3792A888">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客户名称</w:t>
            </w:r>
          </w:p>
        </w:tc>
        <w:tc>
          <w:tcPr>
            <w:tcW w:w="1736" w:type="pct"/>
            <w:vAlign w:val="center"/>
          </w:tcPr>
          <w:p w14:paraId="1A167843">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销售货物</w:t>
            </w:r>
          </w:p>
        </w:tc>
        <w:tc>
          <w:tcPr>
            <w:tcW w:w="1532" w:type="pct"/>
            <w:vAlign w:val="center"/>
          </w:tcPr>
          <w:p w14:paraId="7FC139DB">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r>
      <w:tr w14:paraId="23B8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32" w:type="pct"/>
            <w:vAlign w:val="center"/>
          </w:tcPr>
          <w:p w14:paraId="28A2F848">
            <w:pPr>
              <w:snapToGrid w:val="0"/>
              <w:spacing w:line="360" w:lineRule="auto"/>
              <w:jc w:val="center"/>
              <w:rPr>
                <w:rFonts w:ascii="宋体" w:hAnsi="宋体" w:eastAsia="宋体" w:cs="宋体"/>
                <w:color w:val="auto"/>
                <w:szCs w:val="21"/>
                <w:highlight w:val="none"/>
              </w:rPr>
            </w:pPr>
          </w:p>
        </w:tc>
        <w:tc>
          <w:tcPr>
            <w:tcW w:w="1736" w:type="pct"/>
            <w:vAlign w:val="center"/>
          </w:tcPr>
          <w:p w14:paraId="126E58D1">
            <w:pPr>
              <w:snapToGrid w:val="0"/>
              <w:spacing w:line="360" w:lineRule="auto"/>
              <w:ind w:left="342"/>
              <w:jc w:val="center"/>
              <w:rPr>
                <w:rFonts w:ascii="宋体" w:hAnsi="宋体" w:eastAsia="宋体" w:cs="宋体"/>
                <w:snapToGrid w:val="0"/>
                <w:color w:val="auto"/>
                <w:szCs w:val="21"/>
                <w:highlight w:val="none"/>
              </w:rPr>
            </w:pPr>
          </w:p>
        </w:tc>
        <w:tc>
          <w:tcPr>
            <w:tcW w:w="1532" w:type="pct"/>
            <w:vAlign w:val="center"/>
          </w:tcPr>
          <w:p w14:paraId="090F0F79">
            <w:pPr>
              <w:snapToGrid w:val="0"/>
              <w:spacing w:line="360" w:lineRule="auto"/>
              <w:ind w:left="342"/>
              <w:jc w:val="center"/>
              <w:rPr>
                <w:rFonts w:ascii="宋体" w:hAnsi="宋体" w:eastAsia="宋体" w:cs="宋体"/>
                <w:snapToGrid w:val="0"/>
                <w:color w:val="auto"/>
                <w:szCs w:val="21"/>
                <w:highlight w:val="none"/>
              </w:rPr>
            </w:pPr>
          </w:p>
        </w:tc>
      </w:tr>
      <w:tr w14:paraId="4FA2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32" w:type="pct"/>
            <w:vAlign w:val="center"/>
          </w:tcPr>
          <w:p w14:paraId="4B293D08">
            <w:pPr>
              <w:snapToGrid w:val="0"/>
              <w:spacing w:line="360" w:lineRule="auto"/>
              <w:jc w:val="center"/>
              <w:rPr>
                <w:rFonts w:ascii="宋体" w:hAnsi="宋体" w:eastAsia="宋体" w:cs="宋体"/>
                <w:snapToGrid w:val="0"/>
                <w:color w:val="auto"/>
                <w:szCs w:val="21"/>
                <w:highlight w:val="none"/>
              </w:rPr>
            </w:pPr>
            <w:r>
              <w:rPr>
                <w:rFonts w:hint="eastAsia" w:ascii="宋体" w:hAnsi="宋体" w:eastAsia="宋体" w:cs="宋体"/>
                <w:color w:val="auto"/>
                <w:szCs w:val="21"/>
                <w:highlight w:val="none"/>
              </w:rPr>
              <w:t>……</w:t>
            </w:r>
          </w:p>
        </w:tc>
        <w:tc>
          <w:tcPr>
            <w:tcW w:w="1736" w:type="pct"/>
            <w:vAlign w:val="center"/>
          </w:tcPr>
          <w:p w14:paraId="34B49C1D">
            <w:pPr>
              <w:snapToGrid w:val="0"/>
              <w:spacing w:line="360" w:lineRule="auto"/>
              <w:ind w:left="357"/>
              <w:jc w:val="center"/>
              <w:rPr>
                <w:rFonts w:ascii="宋体" w:hAnsi="宋体" w:eastAsia="宋体" w:cs="宋体"/>
                <w:snapToGrid w:val="0"/>
                <w:color w:val="auto"/>
                <w:szCs w:val="21"/>
                <w:highlight w:val="none"/>
              </w:rPr>
            </w:pPr>
          </w:p>
        </w:tc>
        <w:tc>
          <w:tcPr>
            <w:tcW w:w="1532" w:type="pct"/>
            <w:vAlign w:val="center"/>
          </w:tcPr>
          <w:p w14:paraId="3A9093AF">
            <w:pPr>
              <w:snapToGrid w:val="0"/>
              <w:spacing w:line="360" w:lineRule="auto"/>
              <w:ind w:left="357"/>
              <w:jc w:val="center"/>
              <w:rPr>
                <w:rFonts w:ascii="宋体" w:hAnsi="宋体" w:eastAsia="宋体" w:cs="宋体"/>
                <w:snapToGrid w:val="0"/>
                <w:color w:val="auto"/>
                <w:szCs w:val="21"/>
                <w:highlight w:val="none"/>
              </w:rPr>
            </w:pPr>
          </w:p>
        </w:tc>
      </w:tr>
    </w:tbl>
    <w:p w14:paraId="3720732B">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5、生产及管理人员</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134"/>
        <w:gridCol w:w="655"/>
        <w:gridCol w:w="655"/>
        <w:gridCol w:w="655"/>
        <w:gridCol w:w="1104"/>
        <w:gridCol w:w="1200"/>
        <w:gridCol w:w="758"/>
        <w:gridCol w:w="1636"/>
        <w:gridCol w:w="854"/>
      </w:tblGrid>
      <w:tr w14:paraId="6D09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40" w:type="pct"/>
            <w:vAlign w:val="center"/>
          </w:tcPr>
          <w:p w14:paraId="3D0B547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11" w:type="pct"/>
            <w:vAlign w:val="center"/>
          </w:tcPr>
          <w:p w14:paraId="5AFF56C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353" w:type="pct"/>
            <w:vAlign w:val="center"/>
          </w:tcPr>
          <w:p w14:paraId="3A4C896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353" w:type="pct"/>
            <w:vAlign w:val="center"/>
          </w:tcPr>
          <w:p w14:paraId="2C26EED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353" w:type="pct"/>
            <w:vAlign w:val="center"/>
          </w:tcPr>
          <w:p w14:paraId="41F34DA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595" w:type="pct"/>
            <w:vAlign w:val="center"/>
          </w:tcPr>
          <w:p w14:paraId="189EC38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所学专业</w:t>
            </w:r>
          </w:p>
        </w:tc>
        <w:tc>
          <w:tcPr>
            <w:tcW w:w="646" w:type="pct"/>
            <w:vAlign w:val="center"/>
          </w:tcPr>
          <w:p w14:paraId="1788AA6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资格/职称证书</w:t>
            </w:r>
          </w:p>
        </w:tc>
        <w:tc>
          <w:tcPr>
            <w:tcW w:w="408" w:type="pct"/>
            <w:vAlign w:val="center"/>
          </w:tcPr>
          <w:p w14:paraId="1A83DFF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881" w:type="pct"/>
            <w:vAlign w:val="center"/>
          </w:tcPr>
          <w:p w14:paraId="2B90B08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从事本行业年限</w:t>
            </w:r>
          </w:p>
        </w:tc>
        <w:tc>
          <w:tcPr>
            <w:tcW w:w="460" w:type="pct"/>
            <w:vAlign w:val="center"/>
          </w:tcPr>
          <w:p w14:paraId="244777D8">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231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40" w:type="pct"/>
            <w:vAlign w:val="center"/>
          </w:tcPr>
          <w:p w14:paraId="660C7DBF">
            <w:pPr>
              <w:snapToGrid w:val="0"/>
              <w:spacing w:line="360" w:lineRule="auto"/>
              <w:jc w:val="center"/>
              <w:rPr>
                <w:rFonts w:ascii="宋体" w:hAnsi="宋体" w:eastAsia="宋体" w:cs="宋体"/>
                <w:color w:val="auto"/>
                <w:szCs w:val="21"/>
                <w:highlight w:val="none"/>
              </w:rPr>
            </w:pPr>
          </w:p>
        </w:tc>
        <w:tc>
          <w:tcPr>
            <w:tcW w:w="611" w:type="pct"/>
            <w:vAlign w:val="center"/>
          </w:tcPr>
          <w:p w14:paraId="4B411AD6">
            <w:pPr>
              <w:snapToGrid w:val="0"/>
              <w:spacing w:line="360" w:lineRule="auto"/>
              <w:jc w:val="center"/>
              <w:rPr>
                <w:rFonts w:ascii="宋体" w:hAnsi="宋体" w:eastAsia="宋体" w:cs="宋体"/>
                <w:color w:val="auto"/>
                <w:szCs w:val="21"/>
                <w:highlight w:val="none"/>
              </w:rPr>
            </w:pPr>
          </w:p>
        </w:tc>
        <w:tc>
          <w:tcPr>
            <w:tcW w:w="353" w:type="pct"/>
            <w:vAlign w:val="center"/>
          </w:tcPr>
          <w:p w14:paraId="089C5B9D">
            <w:pPr>
              <w:snapToGrid w:val="0"/>
              <w:spacing w:line="360" w:lineRule="auto"/>
              <w:jc w:val="center"/>
              <w:rPr>
                <w:rFonts w:ascii="宋体" w:hAnsi="宋体" w:eastAsia="宋体" w:cs="宋体"/>
                <w:color w:val="auto"/>
                <w:szCs w:val="21"/>
                <w:highlight w:val="none"/>
              </w:rPr>
            </w:pPr>
          </w:p>
        </w:tc>
        <w:tc>
          <w:tcPr>
            <w:tcW w:w="353" w:type="pct"/>
            <w:vAlign w:val="center"/>
          </w:tcPr>
          <w:p w14:paraId="309F085E">
            <w:pPr>
              <w:snapToGrid w:val="0"/>
              <w:spacing w:line="360" w:lineRule="auto"/>
              <w:jc w:val="center"/>
              <w:rPr>
                <w:rFonts w:ascii="宋体" w:hAnsi="宋体" w:eastAsia="宋体" w:cs="宋体"/>
                <w:color w:val="auto"/>
                <w:szCs w:val="21"/>
                <w:highlight w:val="none"/>
              </w:rPr>
            </w:pPr>
          </w:p>
        </w:tc>
        <w:tc>
          <w:tcPr>
            <w:tcW w:w="353" w:type="pct"/>
            <w:vAlign w:val="center"/>
          </w:tcPr>
          <w:p w14:paraId="1E1054DD">
            <w:pPr>
              <w:snapToGrid w:val="0"/>
              <w:spacing w:line="360" w:lineRule="auto"/>
              <w:jc w:val="center"/>
              <w:rPr>
                <w:rFonts w:ascii="宋体" w:hAnsi="宋体" w:eastAsia="宋体" w:cs="宋体"/>
                <w:color w:val="auto"/>
                <w:szCs w:val="21"/>
                <w:highlight w:val="none"/>
              </w:rPr>
            </w:pPr>
          </w:p>
        </w:tc>
        <w:tc>
          <w:tcPr>
            <w:tcW w:w="595" w:type="pct"/>
            <w:vAlign w:val="center"/>
          </w:tcPr>
          <w:p w14:paraId="1AED6069">
            <w:pPr>
              <w:snapToGrid w:val="0"/>
              <w:spacing w:line="360" w:lineRule="auto"/>
              <w:jc w:val="center"/>
              <w:rPr>
                <w:rFonts w:ascii="宋体" w:hAnsi="宋体" w:eastAsia="宋体" w:cs="宋体"/>
                <w:color w:val="auto"/>
                <w:szCs w:val="21"/>
                <w:highlight w:val="none"/>
              </w:rPr>
            </w:pPr>
          </w:p>
        </w:tc>
        <w:tc>
          <w:tcPr>
            <w:tcW w:w="646" w:type="pct"/>
            <w:vAlign w:val="center"/>
          </w:tcPr>
          <w:p w14:paraId="19DAF68C">
            <w:pPr>
              <w:snapToGrid w:val="0"/>
              <w:spacing w:line="360" w:lineRule="auto"/>
              <w:jc w:val="center"/>
              <w:rPr>
                <w:rFonts w:ascii="宋体" w:hAnsi="宋体" w:eastAsia="宋体" w:cs="宋体"/>
                <w:color w:val="auto"/>
                <w:szCs w:val="21"/>
                <w:highlight w:val="none"/>
              </w:rPr>
            </w:pPr>
          </w:p>
        </w:tc>
        <w:tc>
          <w:tcPr>
            <w:tcW w:w="408" w:type="pct"/>
            <w:vAlign w:val="center"/>
          </w:tcPr>
          <w:p w14:paraId="4A430CB3">
            <w:pPr>
              <w:snapToGrid w:val="0"/>
              <w:spacing w:line="360" w:lineRule="auto"/>
              <w:jc w:val="center"/>
              <w:rPr>
                <w:rFonts w:ascii="宋体" w:hAnsi="宋体" w:eastAsia="宋体" w:cs="宋体"/>
                <w:color w:val="auto"/>
                <w:szCs w:val="21"/>
                <w:highlight w:val="none"/>
              </w:rPr>
            </w:pPr>
          </w:p>
        </w:tc>
        <w:tc>
          <w:tcPr>
            <w:tcW w:w="881" w:type="pct"/>
            <w:vAlign w:val="center"/>
          </w:tcPr>
          <w:p w14:paraId="0A57F099">
            <w:pPr>
              <w:snapToGrid w:val="0"/>
              <w:spacing w:line="360" w:lineRule="auto"/>
              <w:jc w:val="center"/>
              <w:rPr>
                <w:rFonts w:ascii="宋体" w:hAnsi="宋体" w:eastAsia="宋体" w:cs="宋体"/>
                <w:color w:val="auto"/>
                <w:szCs w:val="21"/>
                <w:highlight w:val="none"/>
              </w:rPr>
            </w:pPr>
          </w:p>
        </w:tc>
        <w:tc>
          <w:tcPr>
            <w:tcW w:w="460" w:type="pct"/>
            <w:vAlign w:val="center"/>
          </w:tcPr>
          <w:p w14:paraId="32700087">
            <w:pPr>
              <w:snapToGrid w:val="0"/>
              <w:spacing w:line="360" w:lineRule="auto"/>
              <w:jc w:val="center"/>
              <w:rPr>
                <w:rFonts w:ascii="宋体" w:hAnsi="宋体" w:eastAsia="宋体" w:cs="宋体"/>
                <w:color w:val="auto"/>
                <w:szCs w:val="21"/>
                <w:highlight w:val="none"/>
              </w:rPr>
            </w:pPr>
          </w:p>
        </w:tc>
      </w:tr>
      <w:tr w14:paraId="267E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40" w:type="pct"/>
            <w:vAlign w:val="center"/>
          </w:tcPr>
          <w:p w14:paraId="5E5D790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11" w:type="pct"/>
            <w:vAlign w:val="center"/>
          </w:tcPr>
          <w:p w14:paraId="16704183">
            <w:pPr>
              <w:snapToGrid w:val="0"/>
              <w:spacing w:line="360" w:lineRule="auto"/>
              <w:jc w:val="center"/>
              <w:rPr>
                <w:rFonts w:ascii="宋体" w:hAnsi="宋体" w:eastAsia="宋体" w:cs="宋体"/>
                <w:color w:val="auto"/>
                <w:szCs w:val="21"/>
                <w:highlight w:val="none"/>
              </w:rPr>
            </w:pPr>
          </w:p>
        </w:tc>
        <w:tc>
          <w:tcPr>
            <w:tcW w:w="353" w:type="pct"/>
            <w:vAlign w:val="center"/>
          </w:tcPr>
          <w:p w14:paraId="36B8D20F">
            <w:pPr>
              <w:snapToGrid w:val="0"/>
              <w:spacing w:line="360" w:lineRule="auto"/>
              <w:jc w:val="center"/>
              <w:rPr>
                <w:rFonts w:ascii="宋体" w:hAnsi="宋体" w:eastAsia="宋体" w:cs="宋体"/>
                <w:color w:val="auto"/>
                <w:szCs w:val="21"/>
                <w:highlight w:val="none"/>
              </w:rPr>
            </w:pPr>
          </w:p>
        </w:tc>
        <w:tc>
          <w:tcPr>
            <w:tcW w:w="353" w:type="pct"/>
            <w:vAlign w:val="center"/>
          </w:tcPr>
          <w:p w14:paraId="45FD90F2">
            <w:pPr>
              <w:snapToGrid w:val="0"/>
              <w:spacing w:line="360" w:lineRule="auto"/>
              <w:jc w:val="center"/>
              <w:rPr>
                <w:rFonts w:ascii="宋体" w:hAnsi="宋体" w:eastAsia="宋体" w:cs="宋体"/>
                <w:color w:val="auto"/>
                <w:szCs w:val="21"/>
                <w:highlight w:val="none"/>
              </w:rPr>
            </w:pPr>
          </w:p>
        </w:tc>
        <w:tc>
          <w:tcPr>
            <w:tcW w:w="353" w:type="pct"/>
            <w:vAlign w:val="center"/>
          </w:tcPr>
          <w:p w14:paraId="7C665066">
            <w:pPr>
              <w:snapToGrid w:val="0"/>
              <w:spacing w:line="360" w:lineRule="auto"/>
              <w:jc w:val="center"/>
              <w:rPr>
                <w:rFonts w:ascii="宋体" w:hAnsi="宋体" w:eastAsia="宋体" w:cs="宋体"/>
                <w:color w:val="auto"/>
                <w:szCs w:val="21"/>
                <w:highlight w:val="none"/>
              </w:rPr>
            </w:pPr>
          </w:p>
        </w:tc>
        <w:tc>
          <w:tcPr>
            <w:tcW w:w="595" w:type="pct"/>
            <w:vAlign w:val="center"/>
          </w:tcPr>
          <w:p w14:paraId="21E955CC">
            <w:pPr>
              <w:snapToGrid w:val="0"/>
              <w:spacing w:line="360" w:lineRule="auto"/>
              <w:jc w:val="center"/>
              <w:rPr>
                <w:rFonts w:ascii="宋体" w:hAnsi="宋体" w:eastAsia="宋体" w:cs="宋体"/>
                <w:color w:val="auto"/>
                <w:szCs w:val="21"/>
                <w:highlight w:val="none"/>
              </w:rPr>
            </w:pPr>
          </w:p>
        </w:tc>
        <w:tc>
          <w:tcPr>
            <w:tcW w:w="646" w:type="pct"/>
            <w:vAlign w:val="center"/>
          </w:tcPr>
          <w:p w14:paraId="35195271">
            <w:pPr>
              <w:snapToGrid w:val="0"/>
              <w:spacing w:line="360" w:lineRule="auto"/>
              <w:jc w:val="center"/>
              <w:rPr>
                <w:rFonts w:ascii="宋体" w:hAnsi="宋体" w:eastAsia="宋体" w:cs="宋体"/>
                <w:color w:val="auto"/>
                <w:szCs w:val="21"/>
                <w:highlight w:val="none"/>
              </w:rPr>
            </w:pPr>
          </w:p>
        </w:tc>
        <w:tc>
          <w:tcPr>
            <w:tcW w:w="408" w:type="pct"/>
            <w:vAlign w:val="center"/>
          </w:tcPr>
          <w:p w14:paraId="74A335BD">
            <w:pPr>
              <w:snapToGrid w:val="0"/>
              <w:spacing w:line="360" w:lineRule="auto"/>
              <w:jc w:val="center"/>
              <w:rPr>
                <w:rFonts w:ascii="宋体" w:hAnsi="宋体" w:eastAsia="宋体" w:cs="宋体"/>
                <w:color w:val="auto"/>
                <w:szCs w:val="21"/>
                <w:highlight w:val="none"/>
              </w:rPr>
            </w:pPr>
          </w:p>
        </w:tc>
        <w:tc>
          <w:tcPr>
            <w:tcW w:w="881" w:type="pct"/>
            <w:vAlign w:val="center"/>
          </w:tcPr>
          <w:p w14:paraId="324EDEA3">
            <w:pPr>
              <w:snapToGrid w:val="0"/>
              <w:spacing w:line="360" w:lineRule="auto"/>
              <w:jc w:val="center"/>
              <w:rPr>
                <w:rFonts w:ascii="宋体" w:hAnsi="宋体" w:eastAsia="宋体" w:cs="宋体"/>
                <w:color w:val="auto"/>
                <w:szCs w:val="21"/>
                <w:highlight w:val="none"/>
              </w:rPr>
            </w:pPr>
          </w:p>
        </w:tc>
        <w:tc>
          <w:tcPr>
            <w:tcW w:w="460" w:type="pct"/>
            <w:vAlign w:val="center"/>
          </w:tcPr>
          <w:p w14:paraId="369D2E0C">
            <w:pPr>
              <w:snapToGrid w:val="0"/>
              <w:spacing w:line="360" w:lineRule="auto"/>
              <w:jc w:val="center"/>
              <w:rPr>
                <w:rFonts w:ascii="宋体" w:hAnsi="宋体" w:eastAsia="宋体" w:cs="宋体"/>
                <w:color w:val="auto"/>
                <w:szCs w:val="21"/>
                <w:highlight w:val="none"/>
              </w:rPr>
            </w:pPr>
          </w:p>
        </w:tc>
      </w:tr>
    </w:tbl>
    <w:p w14:paraId="7619B1EE">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6、其他情况：(公司简介、技术力量、本制造商生产投标货物的经验等)</w:t>
      </w:r>
    </w:p>
    <w:p w14:paraId="34E5C011">
      <w:pPr>
        <w:pStyle w:val="20"/>
        <w:snapToGrid w:val="0"/>
        <w:spacing w:line="360" w:lineRule="auto"/>
        <w:ind w:left="0" w:leftChars="0"/>
        <w:rPr>
          <w:rFonts w:ascii="宋体" w:hAnsi="宋体" w:cs="宋体"/>
          <w:color w:val="auto"/>
          <w:szCs w:val="21"/>
          <w:highlight w:val="none"/>
        </w:rPr>
      </w:pPr>
    </w:p>
    <w:p w14:paraId="79855DAD">
      <w:pPr>
        <w:pStyle w:val="20"/>
        <w:snapToGrid w:val="0"/>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兹证明上述声明是真实的、正确的，并提供了全部能提供的资料和数据，我们同意遵照贵方要求出示有关证明文件。</w:t>
      </w:r>
    </w:p>
    <w:p w14:paraId="26BF7BFC">
      <w:pPr>
        <w:pStyle w:val="20"/>
        <w:snapToGrid w:val="0"/>
        <w:spacing w:line="360" w:lineRule="auto"/>
        <w:ind w:left="0" w:leftChars="0"/>
        <w:rPr>
          <w:rFonts w:ascii="宋体" w:hAnsi="宋体" w:cs="宋体"/>
          <w:color w:val="auto"/>
          <w:szCs w:val="21"/>
          <w:highlight w:val="none"/>
        </w:rPr>
      </w:pPr>
    </w:p>
    <w:p w14:paraId="2AE61DB7">
      <w:pPr>
        <w:pStyle w:val="20"/>
        <w:snapToGrid w:val="0"/>
        <w:spacing w:line="360" w:lineRule="auto"/>
        <w:ind w:left="0" w:leftChars="0" w:firstLine="525" w:firstLineChars="250"/>
        <w:rPr>
          <w:rFonts w:ascii="宋体" w:hAnsi="宋体" w:cs="宋体"/>
          <w:color w:val="auto"/>
          <w:szCs w:val="21"/>
          <w:highlight w:val="none"/>
          <w:u w:val="single"/>
        </w:rPr>
      </w:pPr>
      <w:r>
        <w:rPr>
          <w:rFonts w:hint="eastAsia" w:ascii="宋体" w:hAnsi="宋体" w:cs="宋体"/>
          <w:color w:val="auto"/>
          <w:szCs w:val="21"/>
          <w:highlight w:val="none"/>
        </w:rPr>
        <w:t>制造商名称：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（同时加盖制造商法人公章）</w:t>
      </w:r>
    </w:p>
    <w:p w14:paraId="67978790">
      <w:pPr>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lang w:val="zh-CN"/>
        </w:rPr>
        <w:t>制造商</w:t>
      </w:r>
      <w:r>
        <w:rPr>
          <w:rFonts w:hint="eastAsia" w:ascii="宋体" w:hAnsi="宋体" w:eastAsia="宋体" w:cs="宋体"/>
          <w:color w:val="auto"/>
          <w:szCs w:val="21"/>
          <w:highlight w:val="none"/>
        </w:rPr>
        <w:t>法定代表人或被授权人：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（打印名字，并签名或盖私章）</w:t>
      </w:r>
    </w:p>
    <w:p w14:paraId="34EDC4E5">
      <w:pPr>
        <w:pStyle w:val="20"/>
        <w:snapToGrid w:val="0"/>
        <w:spacing w:line="360" w:lineRule="auto"/>
        <w:ind w:left="0" w:leftChars="0" w:firstLine="525" w:firstLineChars="250"/>
        <w:rPr>
          <w:rFonts w:ascii="宋体" w:hAnsi="宋体" w:cs="宋体"/>
          <w:color w:val="auto"/>
          <w:szCs w:val="21"/>
          <w:highlight w:val="none"/>
          <w:u w:val="single"/>
        </w:rPr>
      </w:pPr>
      <w:r>
        <w:rPr>
          <w:rFonts w:hint="eastAsia" w:ascii="宋体" w:hAnsi="宋体" w:cs="宋体"/>
          <w:color w:val="auto"/>
          <w:szCs w:val="21"/>
          <w:highlight w:val="none"/>
        </w:rPr>
        <w:t>签署人职务：</w:t>
      </w:r>
      <w:r>
        <w:rPr>
          <w:rFonts w:hint="eastAsia" w:ascii="宋体" w:hAnsi="宋体" w:cs="宋体"/>
          <w:color w:val="auto"/>
          <w:szCs w:val="21"/>
          <w:highlight w:val="none"/>
          <w:u w:val="single"/>
        </w:rPr>
        <w:t xml:space="preserve">                                     </w:t>
      </w:r>
    </w:p>
    <w:p w14:paraId="79DD7C28">
      <w:pPr>
        <w:pStyle w:val="20"/>
        <w:snapToGrid w:val="0"/>
        <w:spacing w:line="360" w:lineRule="auto"/>
        <w:ind w:left="0" w:leftChars="0" w:firstLine="525" w:firstLineChars="250"/>
        <w:rPr>
          <w:rFonts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14:paraId="4B158E13">
      <w:pPr>
        <w:pStyle w:val="20"/>
        <w:snapToGrid w:val="0"/>
        <w:spacing w:line="360" w:lineRule="auto"/>
        <w:ind w:left="0" w:leftChars="0" w:firstLine="525" w:firstLineChars="250"/>
        <w:rPr>
          <w:rFonts w:ascii="宋体" w:hAnsi="宋体" w:cs="宋体"/>
          <w:color w:val="auto"/>
          <w:szCs w:val="21"/>
          <w:highlight w:val="none"/>
          <w:u w:val="singl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14:paraId="50687337">
      <w:pPr>
        <w:pStyle w:val="20"/>
        <w:snapToGrid w:val="0"/>
        <w:spacing w:line="360" w:lineRule="auto"/>
        <w:ind w:left="0" w:leftChars="0" w:firstLine="525" w:firstLineChars="250"/>
        <w:rPr>
          <w:rFonts w:ascii="宋体" w:hAnsi="宋体" w:cs="宋体"/>
          <w:color w:val="auto"/>
          <w:szCs w:val="21"/>
          <w:highlight w:val="none"/>
          <w:u w:val="single"/>
        </w:rPr>
      </w:pPr>
      <w:r>
        <w:rPr>
          <w:rFonts w:hint="eastAsia" w:ascii="宋体" w:hAnsi="宋体" w:cs="宋体"/>
          <w:color w:val="auto"/>
          <w:szCs w:val="21"/>
          <w:highlight w:val="none"/>
        </w:rPr>
        <w:t>网址：</w:t>
      </w:r>
      <w:r>
        <w:rPr>
          <w:rFonts w:hint="eastAsia" w:ascii="宋体" w:hAnsi="宋体" w:cs="宋体"/>
          <w:color w:val="auto"/>
          <w:szCs w:val="21"/>
          <w:highlight w:val="none"/>
          <w:u w:val="single"/>
        </w:rPr>
        <w:t xml:space="preserve">                                           </w:t>
      </w:r>
    </w:p>
    <w:p w14:paraId="6290D16C">
      <w:pPr>
        <w:pStyle w:val="20"/>
        <w:snapToGrid w:val="0"/>
        <w:spacing w:line="360" w:lineRule="auto"/>
        <w:ind w:left="0" w:leftChars="0" w:firstLine="525" w:firstLineChars="250"/>
        <w:rPr>
          <w:rFonts w:ascii="宋体" w:hAnsi="宋体" w:cs="宋体"/>
          <w:color w:val="auto"/>
          <w:szCs w:val="21"/>
          <w:highlight w:val="none"/>
          <w:u w:val="single"/>
        </w:rPr>
      </w:pP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p>
    <w:p w14:paraId="63319584">
      <w:pPr>
        <w:pStyle w:val="20"/>
        <w:snapToGrid w:val="0"/>
        <w:spacing w:line="360" w:lineRule="auto"/>
        <w:ind w:left="0" w:leftChars="0" w:firstLine="525" w:firstLineChars="250"/>
        <w:rPr>
          <w:rFonts w:ascii="宋体" w:hAnsi="宋体" w:cs="宋体"/>
          <w:color w:val="auto"/>
          <w:szCs w:val="21"/>
          <w:highlight w:val="none"/>
          <w:u w:val="single"/>
        </w:rPr>
      </w:pPr>
      <w:r>
        <w:rPr>
          <w:rFonts w:hint="eastAsia" w:ascii="宋体" w:hAnsi="宋体" w:cs="宋体"/>
          <w:color w:val="auto"/>
          <w:szCs w:val="21"/>
          <w:highlight w:val="none"/>
        </w:rPr>
        <w:t>联系地址：</w:t>
      </w:r>
      <w:r>
        <w:rPr>
          <w:rFonts w:hint="eastAsia" w:ascii="宋体" w:hAnsi="宋体" w:cs="宋体"/>
          <w:color w:val="auto"/>
          <w:szCs w:val="21"/>
          <w:highlight w:val="none"/>
          <w:u w:val="single"/>
        </w:rPr>
        <w:t xml:space="preserve">                                       </w:t>
      </w:r>
    </w:p>
    <w:p w14:paraId="7F1D3066">
      <w:pPr>
        <w:pStyle w:val="20"/>
        <w:snapToGrid w:val="0"/>
        <w:spacing w:line="360" w:lineRule="auto"/>
        <w:ind w:left="0" w:leftChars="0" w:firstLine="525" w:firstLineChars="250"/>
        <w:rPr>
          <w:rFonts w:ascii="宋体" w:hAnsi="宋体" w:cs="宋体"/>
          <w:color w:val="auto"/>
          <w:szCs w:val="21"/>
          <w:highlight w:val="none"/>
          <w:u w:val="singl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14:paraId="6F3841C3">
      <w:pPr>
        <w:pStyle w:val="34"/>
        <w:widowControl w:val="0"/>
        <w:snapToGrid w:val="0"/>
        <w:spacing w:before="0" w:beforeAutospacing="0" w:after="0" w:afterAutospacing="0" w:line="360" w:lineRule="auto"/>
        <w:ind w:firstLine="422" w:firstLineChars="200"/>
        <w:rPr>
          <w:rFonts w:eastAsia="宋体" w:cs="宋体"/>
          <w:b/>
          <w:color w:val="auto"/>
          <w:sz w:val="21"/>
          <w:szCs w:val="21"/>
          <w:highlight w:val="none"/>
          <w:lang w:bidi="ar"/>
        </w:rPr>
      </w:pPr>
    </w:p>
    <w:p w14:paraId="25CEB640">
      <w:pPr>
        <w:pStyle w:val="34"/>
        <w:widowControl w:val="0"/>
        <w:snapToGrid w:val="0"/>
        <w:spacing w:before="0" w:beforeAutospacing="0" w:after="0" w:afterAutospacing="0" w:line="360" w:lineRule="auto"/>
        <w:ind w:firstLine="422" w:firstLineChars="200"/>
        <w:rPr>
          <w:color w:val="auto"/>
          <w:highlight w:val="none"/>
        </w:rPr>
      </w:pPr>
      <w:r>
        <w:rPr>
          <w:rFonts w:hint="eastAsia" w:eastAsia="宋体" w:cs="宋体"/>
          <w:b/>
          <w:color w:val="auto"/>
          <w:sz w:val="21"/>
          <w:szCs w:val="21"/>
          <w:highlight w:val="none"/>
          <w:lang w:bidi="ar"/>
        </w:rPr>
        <w:t>备注: 制造商资格声明必须提供原件扫描件，扫描件上传后需由投标人使用投标人的企业数字证书电子签名。出具本声明的产品制造商为境内工商注册的产品制造商时，本资格声明每页需加盖其法人公章；出具本声明的产品制造商为境外注册的产品制造商时，本资格声明每页由其法定代表人签名(或盖私章)代替加盖公章。</w:t>
      </w:r>
    </w:p>
    <w:p w14:paraId="36F0CC98">
      <w:pPr>
        <w:spacing w:line="240" w:lineRule="auto"/>
        <w:ind w:firstLine="0" w:firstLineChars="0"/>
        <w:jc w:val="left"/>
        <w:rPr>
          <w:rFonts w:hint="eastAsia" w:ascii="宋体" w:hAnsi="宋体" w:eastAsia="宋体" w:cs="宋体"/>
          <w:b/>
          <w:color w:val="auto"/>
          <w:szCs w:val="21"/>
          <w:highlight w:val="none"/>
          <w:lang w:bidi="ar"/>
        </w:rPr>
      </w:pPr>
      <w:r>
        <w:rPr>
          <w:rFonts w:hint="eastAsia" w:ascii="宋体" w:hAnsi="宋体" w:eastAsia="宋体" w:cs="宋体"/>
          <w:b/>
          <w:bCs/>
          <w:color w:val="auto"/>
          <w:sz w:val="30"/>
          <w:szCs w:val="30"/>
          <w:highlight w:val="none"/>
          <w:lang w:val="zh-CN"/>
        </w:rPr>
        <w:br w:type="page"/>
      </w:r>
    </w:p>
    <w:p w14:paraId="7A7B894F">
      <w:pPr>
        <w:pStyle w:val="6"/>
        <w:pageBreakBefore/>
        <w:spacing w:line="360" w:lineRule="auto"/>
        <w:rPr>
          <w:rFonts w:hAnsi="宋体"/>
          <w:b/>
          <w:color w:val="auto"/>
          <w:sz w:val="30"/>
          <w:szCs w:val="30"/>
          <w:highlight w:val="none"/>
          <w:lang w:val="zh-CN"/>
        </w:rPr>
      </w:pPr>
      <w:bookmarkStart w:id="639" w:name="_Toc31462"/>
      <w:bookmarkStart w:id="640" w:name="_Toc23386"/>
      <w:bookmarkStart w:id="641" w:name="_Toc16718"/>
      <w:bookmarkStart w:id="642" w:name="_Toc21968"/>
      <w:bookmarkStart w:id="643" w:name="_Toc4056"/>
      <w:bookmarkStart w:id="644" w:name="_Toc211622212"/>
      <w:r>
        <w:rPr>
          <w:rFonts w:hint="eastAsia" w:hAnsi="宋体" w:cs="宋体"/>
          <w:b/>
          <w:color w:val="auto"/>
          <w:sz w:val="30"/>
          <w:szCs w:val="30"/>
          <w:highlight w:val="none"/>
          <w:lang w:val="en-US" w:eastAsia="zh-CN"/>
        </w:rPr>
        <w:t>5</w:t>
      </w:r>
      <w:r>
        <w:rPr>
          <w:rFonts w:hint="eastAsia" w:hAnsi="宋体" w:cs="宋体"/>
          <w:b/>
          <w:color w:val="auto"/>
          <w:sz w:val="30"/>
          <w:szCs w:val="30"/>
          <w:highlight w:val="none"/>
        </w:rPr>
        <w:t>.</w:t>
      </w:r>
      <w:r>
        <w:rPr>
          <w:rFonts w:hint="eastAsia" w:hAnsi="宋体" w:cs="宋体"/>
          <w:b/>
          <w:color w:val="auto"/>
          <w:sz w:val="30"/>
          <w:szCs w:val="30"/>
          <w:highlight w:val="none"/>
          <w:lang w:val="en-US" w:eastAsia="zh-CN"/>
        </w:rPr>
        <w:t>5</w:t>
      </w:r>
      <w:r>
        <w:rPr>
          <w:rFonts w:hAnsi="宋体" w:cs="宋体"/>
          <w:b/>
          <w:color w:val="auto"/>
          <w:sz w:val="30"/>
          <w:szCs w:val="30"/>
          <w:highlight w:val="none"/>
        </w:rPr>
        <w:t xml:space="preserve"> </w:t>
      </w:r>
      <w:r>
        <w:rPr>
          <w:rFonts w:hint="eastAsia" w:hAnsi="宋体"/>
          <w:b/>
          <w:bCs/>
          <w:color w:val="auto"/>
          <w:kern w:val="2"/>
          <w:sz w:val="32"/>
          <w:szCs w:val="32"/>
          <w:highlight w:val="none"/>
        </w:rPr>
        <w:t>资格业绩</w:t>
      </w:r>
      <w:r>
        <w:rPr>
          <w:rFonts w:hint="eastAsia" w:hAnsi="宋体"/>
          <w:b/>
          <w:bCs/>
          <w:color w:val="auto"/>
          <w:sz w:val="32"/>
          <w:szCs w:val="32"/>
          <w:highlight w:val="none"/>
        </w:rPr>
        <w:t>【</w:t>
      </w:r>
      <w:bookmarkEnd w:id="639"/>
      <w:bookmarkEnd w:id="640"/>
      <w:bookmarkEnd w:id="641"/>
      <w:bookmarkEnd w:id="642"/>
      <w:r>
        <w:rPr>
          <w:rFonts w:hint="eastAsia" w:hAnsi="宋体"/>
          <w:b/>
          <w:bCs/>
          <w:color w:val="auto"/>
          <w:sz w:val="32"/>
          <w:szCs w:val="32"/>
          <w:highlight w:val="none"/>
          <w:lang w:eastAsia="zh-CN"/>
        </w:rPr>
        <w:t>投标人自2023年1月1日以来具有一份投标品牌液体聚合氯化铝供货业绩，以及一份投标品牌液体聚合氯化铝铁供货业绩（合同签订日期均为2023年1月1日或以后）</w:t>
      </w:r>
      <w:r>
        <w:rPr>
          <w:rFonts w:hint="eastAsia" w:hAnsi="宋体"/>
          <w:b/>
          <w:bCs/>
          <w:color w:val="auto"/>
          <w:sz w:val="32"/>
          <w:szCs w:val="32"/>
          <w:highlight w:val="none"/>
        </w:rPr>
        <w:t>】</w:t>
      </w:r>
      <w:bookmarkEnd w:id="643"/>
      <w:bookmarkEnd w:id="644"/>
    </w:p>
    <w:p w14:paraId="3B60A82A">
      <w:pPr>
        <w:spacing w:line="360" w:lineRule="auto"/>
        <w:rPr>
          <w:rFonts w:hAnsi="宋体"/>
          <w:color w:val="auto"/>
          <w:szCs w:val="21"/>
          <w:highlight w:val="none"/>
          <w:lang w:val="zh-CN"/>
        </w:rPr>
      </w:pP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2"/>
        <w:gridCol w:w="732"/>
        <w:gridCol w:w="1221"/>
        <w:gridCol w:w="1402"/>
        <w:gridCol w:w="1084"/>
        <w:gridCol w:w="803"/>
        <w:gridCol w:w="1478"/>
        <w:gridCol w:w="1545"/>
      </w:tblGrid>
      <w:tr w14:paraId="39539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550" w:type="pct"/>
            <w:tcBorders>
              <w:top w:val="single" w:color="auto" w:sz="4" w:space="0"/>
              <w:left w:val="single" w:color="auto" w:sz="4" w:space="0"/>
              <w:bottom w:val="single" w:color="auto" w:sz="4" w:space="0"/>
              <w:right w:val="single" w:color="auto" w:sz="4" w:space="0"/>
            </w:tcBorders>
            <w:vAlign w:val="center"/>
          </w:tcPr>
          <w:p w14:paraId="6A7BE36D">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394" w:type="pct"/>
            <w:tcBorders>
              <w:top w:val="single" w:color="auto" w:sz="4" w:space="0"/>
              <w:left w:val="single" w:color="auto" w:sz="4" w:space="0"/>
              <w:bottom w:val="single" w:color="auto" w:sz="4" w:space="0"/>
              <w:right w:val="single" w:color="auto" w:sz="4" w:space="0"/>
            </w:tcBorders>
            <w:vAlign w:val="center"/>
          </w:tcPr>
          <w:p w14:paraId="2BDC026A">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2DBB2D05">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57" w:type="pct"/>
            <w:tcBorders>
              <w:top w:val="single" w:color="auto" w:sz="4" w:space="0"/>
              <w:left w:val="single" w:color="auto" w:sz="4" w:space="0"/>
              <w:bottom w:val="single" w:color="auto" w:sz="4" w:space="0"/>
              <w:right w:val="single" w:color="auto" w:sz="4" w:space="0"/>
            </w:tcBorders>
            <w:vAlign w:val="center"/>
          </w:tcPr>
          <w:p w14:paraId="798F40C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754" w:type="pct"/>
            <w:tcBorders>
              <w:top w:val="single" w:color="auto" w:sz="4" w:space="0"/>
              <w:left w:val="single" w:color="auto" w:sz="4" w:space="0"/>
              <w:bottom w:val="single" w:color="auto" w:sz="4" w:space="0"/>
              <w:right w:val="single" w:color="auto" w:sz="4" w:space="0"/>
            </w:tcBorders>
            <w:vAlign w:val="center"/>
          </w:tcPr>
          <w:p w14:paraId="3FC7D64A">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583" w:type="pct"/>
            <w:tcBorders>
              <w:top w:val="single" w:color="auto" w:sz="4" w:space="0"/>
              <w:left w:val="single" w:color="auto" w:sz="4" w:space="0"/>
              <w:bottom w:val="single" w:color="auto" w:sz="4" w:space="0"/>
              <w:right w:val="single" w:color="auto" w:sz="4" w:space="0"/>
            </w:tcBorders>
            <w:vAlign w:val="center"/>
          </w:tcPr>
          <w:p w14:paraId="5C8511FF">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签约</w:t>
            </w:r>
          </w:p>
          <w:p w14:paraId="2FB2F445">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val="zh-CN"/>
              </w:rPr>
              <w:t>日期</w:t>
            </w:r>
          </w:p>
        </w:tc>
        <w:tc>
          <w:tcPr>
            <w:tcW w:w="432" w:type="pct"/>
            <w:tcBorders>
              <w:top w:val="single" w:color="auto" w:sz="4" w:space="0"/>
              <w:left w:val="single" w:color="auto" w:sz="4" w:space="0"/>
              <w:bottom w:val="single" w:color="auto" w:sz="4" w:space="0"/>
              <w:right w:val="single" w:color="auto" w:sz="4" w:space="0"/>
            </w:tcBorders>
            <w:vAlign w:val="center"/>
          </w:tcPr>
          <w:p w14:paraId="41BBC476">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72E71A0A">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795" w:type="pct"/>
            <w:tcBorders>
              <w:top w:val="single" w:color="auto" w:sz="4" w:space="0"/>
              <w:left w:val="single" w:color="auto" w:sz="4" w:space="0"/>
              <w:bottom w:val="single" w:color="auto" w:sz="4" w:space="0"/>
              <w:right w:val="single" w:color="auto" w:sz="4" w:space="0"/>
            </w:tcBorders>
            <w:vAlign w:val="center"/>
          </w:tcPr>
          <w:p w14:paraId="534557DD">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831" w:type="pct"/>
            <w:tcBorders>
              <w:top w:val="single" w:color="auto" w:sz="4" w:space="0"/>
              <w:left w:val="single" w:color="auto" w:sz="4" w:space="0"/>
              <w:bottom w:val="single" w:color="auto" w:sz="4" w:space="0"/>
              <w:right w:val="single" w:color="auto" w:sz="4" w:space="0"/>
            </w:tcBorders>
            <w:vAlign w:val="center"/>
          </w:tcPr>
          <w:p w14:paraId="1E333EE7">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1802B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550" w:type="pct"/>
            <w:tcBorders>
              <w:top w:val="single" w:color="auto" w:sz="4" w:space="0"/>
              <w:left w:val="single" w:color="auto" w:sz="4" w:space="0"/>
              <w:bottom w:val="single" w:color="auto" w:sz="4" w:space="0"/>
              <w:right w:val="single" w:color="auto" w:sz="4" w:space="0"/>
            </w:tcBorders>
            <w:vAlign w:val="center"/>
          </w:tcPr>
          <w:p w14:paraId="49941A20">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394" w:type="pct"/>
            <w:tcBorders>
              <w:top w:val="single" w:color="auto" w:sz="4" w:space="0"/>
              <w:left w:val="single" w:color="auto" w:sz="4" w:space="0"/>
              <w:bottom w:val="single" w:color="auto" w:sz="4" w:space="0"/>
              <w:right w:val="single" w:color="auto" w:sz="4" w:space="0"/>
            </w:tcBorders>
            <w:vAlign w:val="center"/>
          </w:tcPr>
          <w:p w14:paraId="63FEE28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111FF89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4" w:type="pct"/>
            <w:tcBorders>
              <w:top w:val="single" w:color="auto" w:sz="4" w:space="0"/>
              <w:left w:val="single" w:color="auto" w:sz="4" w:space="0"/>
              <w:bottom w:val="single" w:color="auto" w:sz="4" w:space="0"/>
              <w:right w:val="single" w:color="auto" w:sz="4" w:space="0"/>
            </w:tcBorders>
            <w:vAlign w:val="center"/>
          </w:tcPr>
          <w:p w14:paraId="303D2ED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3" w:type="pct"/>
            <w:tcBorders>
              <w:top w:val="single" w:color="auto" w:sz="4" w:space="0"/>
              <w:left w:val="single" w:color="auto" w:sz="4" w:space="0"/>
              <w:bottom w:val="single" w:color="auto" w:sz="4" w:space="0"/>
              <w:right w:val="single" w:color="auto" w:sz="4" w:space="0"/>
            </w:tcBorders>
            <w:vAlign w:val="center"/>
          </w:tcPr>
          <w:p w14:paraId="50FDD6B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16E9D93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4078192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14:paraId="0F14DEAC">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6336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550" w:type="pct"/>
            <w:tcBorders>
              <w:top w:val="single" w:color="auto" w:sz="4" w:space="0"/>
              <w:left w:val="single" w:color="auto" w:sz="4" w:space="0"/>
              <w:bottom w:val="single" w:color="auto" w:sz="4" w:space="0"/>
              <w:right w:val="single" w:color="auto" w:sz="4" w:space="0"/>
            </w:tcBorders>
            <w:vAlign w:val="center"/>
          </w:tcPr>
          <w:p w14:paraId="4665E615">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394" w:type="pct"/>
            <w:tcBorders>
              <w:top w:val="single" w:color="auto" w:sz="4" w:space="0"/>
              <w:left w:val="single" w:color="auto" w:sz="4" w:space="0"/>
              <w:bottom w:val="single" w:color="auto" w:sz="4" w:space="0"/>
              <w:right w:val="single" w:color="auto" w:sz="4" w:space="0"/>
            </w:tcBorders>
            <w:vAlign w:val="center"/>
          </w:tcPr>
          <w:p w14:paraId="76E6891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0AF36D1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4" w:type="pct"/>
            <w:tcBorders>
              <w:top w:val="single" w:color="auto" w:sz="4" w:space="0"/>
              <w:left w:val="single" w:color="auto" w:sz="4" w:space="0"/>
              <w:bottom w:val="single" w:color="auto" w:sz="4" w:space="0"/>
              <w:right w:val="single" w:color="auto" w:sz="4" w:space="0"/>
            </w:tcBorders>
            <w:vAlign w:val="center"/>
          </w:tcPr>
          <w:p w14:paraId="388299E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3" w:type="pct"/>
            <w:tcBorders>
              <w:top w:val="single" w:color="auto" w:sz="4" w:space="0"/>
              <w:left w:val="single" w:color="auto" w:sz="4" w:space="0"/>
              <w:bottom w:val="single" w:color="auto" w:sz="4" w:space="0"/>
              <w:right w:val="single" w:color="auto" w:sz="4" w:space="0"/>
            </w:tcBorders>
            <w:vAlign w:val="center"/>
          </w:tcPr>
          <w:p w14:paraId="3AC4097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508F7EE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2A72C55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14:paraId="2BE15FE4">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271AE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550" w:type="pct"/>
            <w:tcBorders>
              <w:top w:val="single" w:color="auto" w:sz="4" w:space="0"/>
              <w:left w:val="single" w:color="auto" w:sz="4" w:space="0"/>
              <w:bottom w:val="single" w:color="auto" w:sz="4" w:space="0"/>
              <w:right w:val="single" w:color="auto" w:sz="4" w:space="0"/>
            </w:tcBorders>
            <w:vAlign w:val="center"/>
          </w:tcPr>
          <w:p w14:paraId="09644352">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394" w:type="pct"/>
            <w:tcBorders>
              <w:top w:val="single" w:color="auto" w:sz="4" w:space="0"/>
              <w:left w:val="single" w:color="auto" w:sz="4" w:space="0"/>
              <w:bottom w:val="single" w:color="auto" w:sz="4" w:space="0"/>
              <w:right w:val="single" w:color="auto" w:sz="4" w:space="0"/>
            </w:tcBorders>
            <w:vAlign w:val="center"/>
          </w:tcPr>
          <w:p w14:paraId="113388A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50F36C4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4" w:type="pct"/>
            <w:tcBorders>
              <w:top w:val="single" w:color="auto" w:sz="4" w:space="0"/>
              <w:left w:val="single" w:color="auto" w:sz="4" w:space="0"/>
              <w:bottom w:val="single" w:color="auto" w:sz="4" w:space="0"/>
              <w:right w:val="single" w:color="auto" w:sz="4" w:space="0"/>
            </w:tcBorders>
            <w:vAlign w:val="center"/>
          </w:tcPr>
          <w:p w14:paraId="3AA6A1D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3" w:type="pct"/>
            <w:tcBorders>
              <w:top w:val="single" w:color="auto" w:sz="4" w:space="0"/>
              <w:left w:val="single" w:color="auto" w:sz="4" w:space="0"/>
              <w:bottom w:val="single" w:color="auto" w:sz="4" w:space="0"/>
              <w:right w:val="single" w:color="auto" w:sz="4" w:space="0"/>
            </w:tcBorders>
            <w:vAlign w:val="center"/>
          </w:tcPr>
          <w:p w14:paraId="6CA986D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6CCC0AE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5EC818C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14:paraId="3BF22BBE">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56258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550" w:type="pct"/>
            <w:tcBorders>
              <w:top w:val="single" w:color="auto" w:sz="4" w:space="0"/>
              <w:left w:val="single" w:color="auto" w:sz="4" w:space="0"/>
              <w:bottom w:val="single" w:color="auto" w:sz="4" w:space="0"/>
              <w:right w:val="single" w:color="auto" w:sz="4" w:space="0"/>
            </w:tcBorders>
            <w:vAlign w:val="center"/>
          </w:tcPr>
          <w:p w14:paraId="2B910674">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394" w:type="pct"/>
            <w:tcBorders>
              <w:top w:val="single" w:color="auto" w:sz="4" w:space="0"/>
              <w:left w:val="single" w:color="auto" w:sz="4" w:space="0"/>
              <w:bottom w:val="single" w:color="auto" w:sz="4" w:space="0"/>
              <w:right w:val="single" w:color="auto" w:sz="4" w:space="0"/>
            </w:tcBorders>
            <w:vAlign w:val="center"/>
          </w:tcPr>
          <w:p w14:paraId="1F2EEED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213992B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4" w:type="pct"/>
            <w:tcBorders>
              <w:top w:val="single" w:color="auto" w:sz="4" w:space="0"/>
              <w:left w:val="single" w:color="auto" w:sz="4" w:space="0"/>
              <w:bottom w:val="single" w:color="auto" w:sz="4" w:space="0"/>
              <w:right w:val="single" w:color="auto" w:sz="4" w:space="0"/>
            </w:tcBorders>
            <w:vAlign w:val="center"/>
          </w:tcPr>
          <w:p w14:paraId="79F0DA5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3" w:type="pct"/>
            <w:tcBorders>
              <w:top w:val="single" w:color="auto" w:sz="4" w:space="0"/>
              <w:left w:val="single" w:color="auto" w:sz="4" w:space="0"/>
              <w:bottom w:val="single" w:color="auto" w:sz="4" w:space="0"/>
              <w:right w:val="single" w:color="auto" w:sz="4" w:space="0"/>
            </w:tcBorders>
            <w:vAlign w:val="center"/>
          </w:tcPr>
          <w:p w14:paraId="17B1CCE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13EA28E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0F3F29B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14:paraId="4A001986">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256F518E">
      <w:pPr>
        <w:spacing w:line="360" w:lineRule="auto"/>
        <w:ind w:left="424" w:hanging="424" w:hangingChars="201"/>
        <w:rPr>
          <w:rFonts w:ascii="宋体" w:hAnsi="宋体" w:eastAsia="宋体" w:cs="宋体"/>
          <w:b/>
          <w:color w:val="auto"/>
          <w:szCs w:val="21"/>
          <w:highlight w:val="none"/>
          <w:lang w:val="zh-CN"/>
        </w:rPr>
      </w:pPr>
    </w:p>
    <w:p w14:paraId="5F9F52A2">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bookmarkEnd w:id="627"/>
    <w:bookmarkEnd w:id="628"/>
    <w:bookmarkEnd w:id="629"/>
    <w:p w14:paraId="518C8945">
      <w:pPr>
        <w:spacing w:line="360" w:lineRule="auto"/>
        <w:ind w:left="422" w:hanging="422" w:hangingChars="201"/>
        <w:rPr>
          <w:rFonts w:ascii="宋体" w:hAnsi="宋体" w:eastAsia="宋体" w:cs="宋体"/>
          <w:color w:val="auto"/>
          <w:szCs w:val="21"/>
          <w:highlight w:val="none"/>
          <w:lang w:val="zh-CN"/>
        </w:rPr>
      </w:pPr>
      <w:bookmarkStart w:id="645" w:name="_Toc27268"/>
      <w:bookmarkStart w:id="646" w:name="_Toc12802"/>
      <w:r>
        <w:rPr>
          <w:rFonts w:hint="eastAsia" w:ascii="宋体" w:hAnsi="宋体" w:eastAsia="宋体" w:cs="宋体"/>
          <w:color w:val="auto"/>
          <w:szCs w:val="21"/>
          <w:highlight w:val="none"/>
          <w:lang w:val="zh-CN"/>
        </w:rPr>
        <w:t>（1）业绩须同时提供①合同扫描件，②已供货产品任意一张发票扫描件（发票开具日期须在本项目招标公告发布之日前）；</w:t>
      </w:r>
      <w:bookmarkEnd w:id="645"/>
      <w:bookmarkEnd w:id="646"/>
    </w:p>
    <w:p w14:paraId="093322C3">
      <w:pPr>
        <w:spacing w:line="360" w:lineRule="auto"/>
        <w:ind w:left="-2"/>
        <w:rPr>
          <w:color w:val="auto"/>
          <w:highlight w:val="none"/>
          <w:lang w:val="zh-CN"/>
        </w:rPr>
      </w:pPr>
      <w:r>
        <w:rPr>
          <w:rFonts w:hint="eastAsia" w:ascii="宋体" w:hAnsi="宋体" w:eastAsia="宋体" w:cs="宋体"/>
          <w:color w:val="auto"/>
          <w:szCs w:val="21"/>
          <w:highlight w:val="none"/>
          <w:lang w:val="zh-CN"/>
        </w:rPr>
        <w:t>（2）若合同无法反映</w:t>
      </w:r>
      <w:r>
        <w:rPr>
          <w:rFonts w:hint="eastAsia" w:ascii="宋体" w:hAnsi="宋体" w:eastAsia="宋体" w:cs="宋体"/>
          <w:color w:val="auto"/>
          <w:szCs w:val="21"/>
          <w:highlight w:val="none"/>
        </w:rPr>
        <w:t>资格</w:t>
      </w:r>
      <w:r>
        <w:rPr>
          <w:rFonts w:hint="eastAsia" w:ascii="宋体" w:hAnsi="宋体" w:eastAsia="宋体" w:cs="宋体"/>
          <w:color w:val="auto"/>
          <w:szCs w:val="21"/>
          <w:highlight w:val="none"/>
          <w:lang w:val="zh-CN"/>
        </w:rPr>
        <w:t>条件（卖方为投标人、合同签订日期为202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年1月1日或以后、合同标的必须包含投标品牌液体聚合氯化铝</w:t>
      </w:r>
      <w:r>
        <w:rPr>
          <w:rFonts w:hint="eastAsia" w:ascii="宋体" w:hAnsi="宋体" w:eastAsia="宋体" w:cs="宋体"/>
          <w:color w:val="auto"/>
          <w:szCs w:val="21"/>
          <w:highlight w:val="none"/>
          <w:lang w:val="en-US" w:eastAsia="zh-CN"/>
        </w:rPr>
        <w:t>或液体聚合氯化铝铁</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，还需提供产品购买方出具的书面补充说明文件扫描件作为辅助证明（补充说明文件扫描件能显示购买方公章）；</w:t>
      </w:r>
    </w:p>
    <w:p w14:paraId="4951608C">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bookmarkStart w:id="647" w:name="_Toc6253"/>
      <w:bookmarkStart w:id="648" w:name="_Toc14967"/>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3</w:t>
      </w:r>
      <w:r>
        <w:rPr>
          <w:rFonts w:hint="eastAsia" w:ascii="宋体" w:hAnsi="宋体" w:eastAsia="宋体" w:cs="宋体"/>
          <w:b/>
          <w:color w:val="auto"/>
          <w:szCs w:val="21"/>
          <w:highlight w:val="none"/>
          <w:lang w:val="zh-CN"/>
        </w:rPr>
        <w:t>）</w:t>
      </w:r>
      <w:bookmarkEnd w:id="647"/>
      <w:bookmarkEnd w:id="648"/>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545D46C0">
      <w:pPr>
        <w:spacing w:line="360" w:lineRule="auto"/>
        <w:rPr>
          <w:rFonts w:ascii="宋体" w:hAnsi="宋体" w:eastAsia="宋体" w:cs="宋体"/>
          <w:b/>
          <w:color w:val="auto"/>
          <w:szCs w:val="21"/>
          <w:highlight w:val="none"/>
          <w:lang w:val="zh-CN"/>
        </w:rPr>
      </w:pPr>
    </w:p>
    <w:p w14:paraId="7E3453FC">
      <w:pPr>
        <w:spacing w:line="360" w:lineRule="auto"/>
        <w:rPr>
          <w:rFonts w:ascii="宋体" w:hAnsi="宋体" w:eastAsia="宋体" w:cs="宋体"/>
          <w:b/>
          <w:color w:val="auto"/>
          <w:szCs w:val="21"/>
          <w:highlight w:val="none"/>
          <w:lang w:val="zh-CN"/>
        </w:rPr>
      </w:pPr>
    </w:p>
    <w:p w14:paraId="7C2253D5">
      <w:pPr>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E0E63D5">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66ADC584">
      <w:pPr>
        <w:autoSpaceDE w:val="0"/>
        <w:autoSpaceDN w:val="0"/>
        <w:adjustRightInd w:val="0"/>
        <w:spacing w:line="360" w:lineRule="auto"/>
        <w:jc w:val="center"/>
        <w:rPr>
          <w:rFonts w:ascii="宋体" w:hAnsi="宋体" w:eastAsia="宋体" w:cs="宋体"/>
          <w:b/>
          <w:bCs/>
          <w:color w:val="auto"/>
          <w:szCs w:val="24"/>
          <w:highlight w:val="none"/>
          <w:lang w:val="zh-CN"/>
        </w:rPr>
      </w:pPr>
    </w:p>
    <w:p w14:paraId="41734B2F">
      <w:pPr>
        <w:autoSpaceDE w:val="0"/>
        <w:autoSpaceDN w:val="0"/>
        <w:adjustRightInd w:val="0"/>
        <w:spacing w:line="360" w:lineRule="auto"/>
        <w:jc w:val="center"/>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15C4F1B3">
      <w:pPr>
        <w:rPr>
          <w:rFonts w:hint="eastAsia" w:ascii="宋体" w:hAnsi="宋体" w:eastAsia="宋体" w:cs="宋体"/>
          <w:b/>
          <w:color w:val="auto"/>
          <w:kern w:val="0"/>
          <w:sz w:val="30"/>
          <w:szCs w:val="30"/>
          <w:highlight w:val="none"/>
          <w:lang w:val="en-US" w:eastAsia="zh-CN"/>
        </w:rPr>
      </w:pPr>
      <w:bookmarkStart w:id="649" w:name="_Toc21843"/>
      <w:bookmarkStart w:id="650" w:name="_Toc8121"/>
      <w:bookmarkStart w:id="651" w:name="_Toc211622213"/>
      <w:bookmarkStart w:id="652" w:name="_Toc2345"/>
      <w:bookmarkStart w:id="653" w:name="_Toc7508"/>
      <w:r>
        <w:rPr>
          <w:rFonts w:hint="eastAsia" w:ascii="宋体" w:hAnsi="宋体" w:eastAsia="宋体" w:cs="宋体"/>
          <w:b/>
          <w:color w:val="auto"/>
          <w:kern w:val="0"/>
          <w:sz w:val="30"/>
          <w:szCs w:val="30"/>
          <w:highlight w:val="none"/>
          <w:lang w:val="en-US" w:eastAsia="zh-CN"/>
        </w:rPr>
        <w:br w:type="page"/>
      </w:r>
    </w:p>
    <w:p w14:paraId="4FD7706B">
      <w:pPr>
        <w:tabs>
          <w:tab w:val="left" w:pos="567"/>
        </w:tabs>
        <w:autoSpaceDE w:val="0"/>
        <w:autoSpaceDN w:val="0"/>
        <w:adjustRightInd w:val="0"/>
        <w:spacing w:line="360" w:lineRule="auto"/>
        <w:jc w:val="left"/>
        <w:outlineLvl w:val="2"/>
        <w:rPr>
          <w:rFonts w:ascii="宋体" w:hAnsi="宋体" w:eastAsia="宋体" w:cs="宋体"/>
          <w:b/>
          <w:bCs/>
          <w:color w:val="auto"/>
          <w:sz w:val="32"/>
          <w:szCs w:val="32"/>
          <w:highlight w:val="none"/>
          <w:lang w:val="zh-CN"/>
        </w:rPr>
      </w:pP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 最近3年投标人牵涉的其他（失信和违法）处罚说明格式</w:t>
      </w:r>
      <w:bookmarkEnd w:id="630"/>
      <w:bookmarkEnd w:id="631"/>
      <w:bookmarkEnd w:id="632"/>
      <w:bookmarkEnd w:id="633"/>
      <w:bookmarkEnd w:id="634"/>
      <w:bookmarkEnd w:id="649"/>
      <w:bookmarkEnd w:id="650"/>
      <w:bookmarkEnd w:id="651"/>
      <w:bookmarkEnd w:id="652"/>
      <w:bookmarkEnd w:id="653"/>
    </w:p>
    <w:p w14:paraId="6ADF000E">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05FD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62431FD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1DC0FB2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2C57D19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6558088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2AA9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087954CE">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28354AF3">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46039309">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20F45196">
            <w:pPr>
              <w:autoSpaceDE w:val="0"/>
              <w:autoSpaceDN w:val="0"/>
              <w:adjustRightInd w:val="0"/>
              <w:spacing w:line="360" w:lineRule="auto"/>
              <w:jc w:val="center"/>
              <w:rPr>
                <w:rFonts w:ascii="宋体" w:hAnsi="宋体" w:eastAsia="宋体" w:cs="宋体"/>
                <w:color w:val="auto"/>
                <w:kern w:val="0"/>
                <w:szCs w:val="21"/>
                <w:highlight w:val="none"/>
              </w:rPr>
            </w:pPr>
          </w:p>
        </w:tc>
      </w:tr>
      <w:tr w14:paraId="7E0F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7427752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6ED1E8C2">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6D0D5328">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F3BD4BA">
            <w:pPr>
              <w:autoSpaceDE w:val="0"/>
              <w:autoSpaceDN w:val="0"/>
              <w:adjustRightInd w:val="0"/>
              <w:spacing w:line="360" w:lineRule="auto"/>
              <w:jc w:val="center"/>
              <w:rPr>
                <w:rFonts w:ascii="宋体" w:hAnsi="宋体" w:eastAsia="宋体" w:cs="宋体"/>
                <w:color w:val="auto"/>
                <w:kern w:val="0"/>
                <w:szCs w:val="21"/>
                <w:highlight w:val="none"/>
              </w:rPr>
            </w:pPr>
          </w:p>
        </w:tc>
      </w:tr>
      <w:tr w14:paraId="7BEF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5BF97B5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1074D555">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78C51C30">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3DF4FE7B">
            <w:pPr>
              <w:autoSpaceDE w:val="0"/>
              <w:autoSpaceDN w:val="0"/>
              <w:adjustRightInd w:val="0"/>
              <w:spacing w:line="360" w:lineRule="auto"/>
              <w:jc w:val="center"/>
              <w:rPr>
                <w:rFonts w:ascii="宋体" w:hAnsi="宋体" w:eastAsia="宋体" w:cs="宋体"/>
                <w:color w:val="auto"/>
                <w:kern w:val="0"/>
                <w:szCs w:val="21"/>
                <w:highlight w:val="none"/>
              </w:rPr>
            </w:pPr>
          </w:p>
        </w:tc>
      </w:tr>
    </w:tbl>
    <w:p w14:paraId="34D37625">
      <w:pPr>
        <w:autoSpaceDE w:val="0"/>
        <w:autoSpaceDN w:val="0"/>
        <w:adjustRightInd w:val="0"/>
        <w:spacing w:line="360" w:lineRule="auto"/>
        <w:jc w:val="left"/>
        <w:rPr>
          <w:rFonts w:ascii="宋体" w:hAnsi="宋体" w:eastAsia="宋体" w:cs="宋体"/>
          <w:color w:val="auto"/>
          <w:kern w:val="0"/>
          <w:szCs w:val="21"/>
          <w:highlight w:val="none"/>
        </w:rPr>
      </w:pPr>
    </w:p>
    <w:p w14:paraId="2422365A">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“认定时间”列填“无”；若受到相关处罚的应附处罚相关材料扫描件；若出现相关处罚的处罚期满,但处罚公示没有及时更新的情况,投标人须提供相关材料(扫描件)佐证，需原件备查</w:t>
      </w:r>
      <w:r>
        <w:rPr>
          <w:rFonts w:hint="eastAsia" w:ascii="宋体" w:hAnsi="宋体" w:eastAsia="宋体" w:cs="宋体"/>
          <w:color w:val="auto"/>
          <w:szCs w:val="21"/>
          <w:highlight w:val="none"/>
          <w:lang w:val="zh-CN"/>
        </w:rPr>
        <w:t>。</w:t>
      </w:r>
    </w:p>
    <w:p w14:paraId="23457EE7">
      <w:pPr>
        <w:autoSpaceDE w:val="0"/>
        <w:autoSpaceDN w:val="0"/>
        <w:adjustRightInd w:val="0"/>
        <w:ind w:right="-23" w:rightChars="-11"/>
        <w:jc w:val="left"/>
        <w:rPr>
          <w:rFonts w:ascii="宋体" w:hAnsi="宋体" w:eastAsia="宋体" w:cs="宋体"/>
          <w:b/>
          <w:bCs/>
          <w:color w:val="auto"/>
          <w:kern w:val="0"/>
          <w:szCs w:val="21"/>
          <w:highlight w:val="none"/>
          <w:lang w:val="zh-CN"/>
        </w:rPr>
      </w:pPr>
    </w:p>
    <w:p w14:paraId="1D963B9A">
      <w:pPr>
        <w:autoSpaceDE w:val="0"/>
        <w:autoSpaceDN w:val="0"/>
        <w:adjustRightInd w:val="0"/>
        <w:spacing w:line="360" w:lineRule="auto"/>
        <w:jc w:val="center"/>
        <w:rPr>
          <w:rFonts w:ascii="宋体" w:hAnsi="宋体" w:eastAsia="宋体" w:cs="宋体"/>
          <w:color w:val="auto"/>
          <w:kern w:val="0"/>
          <w:sz w:val="24"/>
          <w:szCs w:val="24"/>
          <w:highlight w:val="none"/>
        </w:rPr>
      </w:pPr>
    </w:p>
    <w:p w14:paraId="7716464F">
      <w:pPr>
        <w:spacing w:line="360" w:lineRule="auto"/>
        <w:ind w:firstLine="494" w:firstLineChars="206"/>
        <w:rPr>
          <w:rFonts w:ascii="宋体" w:hAnsi="宋体" w:eastAsia="宋体" w:cs="宋体"/>
          <w:color w:val="auto"/>
          <w:kern w:val="0"/>
          <w:sz w:val="24"/>
          <w:szCs w:val="24"/>
          <w:highlight w:val="none"/>
        </w:rPr>
      </w:pPr>
    </w:p>
    <w:p w14:paraId="6D217952">
      <w:pPr>
        <w:spacing w:line="360" w:lineRule="auto"/>
        <w:ind w:firstLine="494" w:firstLineChars="206"/>
        <w:rPr>
          <w:rFonts w:ascii="宋体" w:hAnsi="宋体" w:eastAsia="宋体" w:cs="宋体"/>
          <w:color w:val="auto"/>
          <w:kern w:val="0"/>
          <w:sz w:val="24"/>
          <w:szCs w:val="24"/>
          <w:highlight w:val="none"/>
        </w:rPr>
      </w:pPr>
    </w:p>
    <w:p w14:paraId="72E7D6B2">
      <w:pPr>
        <w:spacing w:line="360" w:lineRule="auto"/>
        <w:ind w:firstLine="494" w:firstLineChars="206"/>
        <w:rPr>
          <w:rFonts w:ascii="宋体" w:hAnsi="宋体" w:eastAsia="宋体" w:cs="宋体"/>
          <w:color w:val="auto"/>
          <w:kern w:val="0"/>
          <w:sz w:val="24"/>
          <w:szCs w:val="24"/>
          <w:highlight w:val="none"/>
        </w:rPr>
      </w:pPr>
    </w:p>
    <w:p w14:paraId="247D2163">
      <w:pPr>
        <w:autoSpaceDE w:val="0"/>
        <w:autoSpaceDN w:val="0"/>
        <w:adjustRightInd w:val="0"/>
        <w:spacing w:line="360" w:lineRule="auto"/>
        <w:ind w:firstLine="3780" w:firstLineChars="1800"/>
        <w:rPr>
          <w:rFonts w:ascii="宋体" w:hAnsi="宋体" w:eastAsia="宋体" w:cs="宋体"/>
          <w:color w:val="auto"/>
          <w:szCs w:val="21"/>
          <w:highlight w:val="none"/>
          <w:lang w:val="zh-CN"/>
        </w:rPr>
      </w:pPr>
      <w:bookmarkStart w:id="654" w:name="_Toc486167714"/>
      <w:bookmarkStart w:id="655" w:name="_Toc142508374"/>
      <w:bookmarkStart w:id="656" w:name="_Toc30939"/>
      <w:bookmarkStart w:id="657" w:name="_Toc104991881"/>
      <w:bookmarkStart w:id="658" w:name="_Toc533708126"/>
      <w:bookmarkStart w:id="659" w:name="_Toc140596934"/>
      <w:bookmarkStart w:id="660" w:name="_Toc1977731"/>
      <w:bookmarkStart w:id="661" w:name="_Toc102860423"/>
      <w:bookmarkStart w:id="662" w:name="_Toc102860079"/>
      <w:bookmarkStart w:id="663" w:name="_Toc2031_WPSOffice_Level2"/>
      <w:bookmarkStart w:id="664" w:name="_Toc94107215"/>
      <w:bookmarkStart w:id="665" w:name="_Toc6412"/>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021F325">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302524F">
      <w:pPr>
        <w:autoSpaceDE w:val="0"/>
        <w:autoSpaceDN w:val="0"/>
        <w:adjustRightInd w:val="0"/>
        <w:spacing w:line="360" w:lineRule="auto"/>
        <w:jc w:val="center"/>
        <w:rPr>
          <w:rFonts w:ascii="宋体" w:hAnsi="宋体" w:eastAsia="宋体" w:cs="宋体"/>
          <w:b/>
          <w:bCs/>
          <w:color w:val="auto"/>
          <w:szCs w:val="24"/>
          <w:highlight w:val="none"/>
          <w:lang w:val="zh-CN"/>
        </w:rPr>
      </w:pPr>
    </w:p>
    <w:p w14:paraId="7B23A14F">
      <w:pPr>
        <w:autoSpaceDE w:val="0"/>
        <w:autoSpaceDN w:val="0"/>
        <w:adjustRightInd w:val="0"/>
        <w:spacing w:line="360" w:lineRule="auto"/>
        <w:jc w:val="center"/>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4A54B0E8">
      <w:pPr>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1540C375">
      <w:pPr>
        <w:tabs>
          <w:tab w:val="left" w:pos="567"/>
        </w:tabs>
        <w:autoSpaceDE w:val="0"/>
        <w:autoSpaceDN w:val="0"/>
        <w:adjustRightInd w:val="0"/>
        <w:spacing w:line="360" w:lineRule="auto"/>
        <w:jc w:val="left"/>
        <w:outlineLvl w:val="1"/>
        <w:rPr>
          <w:rFonts w:ascii="宋体" w:hAnsi="宋体" w:eastAsia="宋体" w:cs="宋体"/>
          <w:color w:val="auto"/>
          <w:kern w:val="0"/>
          <w:szCs w:val="21"/>
          <w:highlight w:val="none"/>
          <w:u w:val="single"/>
        </w:rPr>
      </w:pPr>
      <w:bookmarkStart w:id="666" w:name="_Toc17508"/>
      <w:bookmarkStart w:id="667" w:name="_Toc17816"/>
      <w:bookmarkStart w:id="668" w:name="_Toc211622214"/>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339E9D0D">
      <w:pPr>
        <w:autoSpaceDE w:val="0"/>
        <w:autoSpaceDN w:val="0"/>
        <w:adjustRightInd w:val="0"/>
        <w:spacing w:line="360" w:lineRule="auto"/>
        <w:jc w:val="center"/>
        <w:rPr>
          <w:rFonts w:ascii="宋体" w:hAnsi="宋体" w:eastAsia="宋体" w:cs="宋体"/>
          <w:b/>
          <w:bCs/>
          <w:color w:val="auto"/>
          <w:sz w:val="30"/>
          <w:szCs w:val="30"/>
          <w:highlight w:val="none"/>
        </w:rPr>
      </w:pPr>
      <w:bookmarkStart w:id="669" w:name="_Toc2773_WPSOffice_Level3"/>
      <w:r>
        <w:rPr>
          <w:rFonts w:hint="eastAsia" w:ascii="宋体" w:hAnsi="宋体" w:eastAsia="宋体" w:cs="宋体"/>
          <w:b/>
          <w:bCs/>
          <w:color w:val="auto"/>
          <w:sz w:val="30"/>
          <w:szCs w:val="30"/>
          <w:highlight w:val="none"/>
          <w:lang w:val="zh-CN"/>
        </w:rPr>
        <w:t>投标人基本情况一览表</w:t>
      </w:r>
      <w:bookmarkEnd w:id="669"/>
    </w:p>
    <w:p w14:paraId="30136B78">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0F5F7C8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25C159D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603C8B98">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4666C34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02560F2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16D1DD1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105FF82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603E3FB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76B350A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110CEEF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6D747E08">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1854CC5A">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7E2F005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0AFCC2B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176112DB">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4EB7860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6A3D78AC">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65D09ED7">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37F06CC">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1AE0F7E4">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3B9EE519">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（3）东莞市内设有分支机构情况介绍[应提供该分支机构的多证合一营业执照扫描件等证明材料]（若无前述分支机构的无需介绍）。</w:t>
      </w:r>
    </w:p>
    <w:p w14:paraId="4D7C0A6D">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03B965FA">
      <w:pPr>
        <w:autoSpaceDE w:val="0"/>
        <w:autoSpaceDN w:val="0"/>
        <w:adjustRightInd w:val="0"/>
        <w:spacing w:line="360" w:lineRule="auto"/>
        <w:ind w:firstLine="420" w:firstLineChars="200"/>
        <w:rPr>
          <w:rFonts w:ascii="宋体" w:hAnsi="宋体" w:eastAsia="宋体" w:cs="宋体"/>
          <w:color w:val="auto"/>
          <w:szCs w:val="24"/>
          <w:highlight w:val="none"/>
        </w:rPr>
      </w:pPr>
    </w:p>
    <w:p w14:paraId="1F3CA320">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C54B61D">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97A56E4">
      <w:pPr>
        <w:autoSpaceDE w:val="0"/>
        <w:autoSpaceDN w:val="0"/>
        <w:adjustRightInd w:val="0"/>
        <w:spacing w:line="360" w:lineRule="auto"/>
        <w:jc w:val="center"/>
        <w:rPr>
          <w:rFonts w:ascii="宋体" w:hAnsi="宋体" w:eastAsia="宋体" w:cs="宋体"/>
          <w:b/>
          <w:bCs/>
          <w:color w:val="auto"/>
          <w:szCs w:val="24"/>
          <w:highlight w:val="none"/>
          <w:lang w:val="zh-CN"/>
        </w:rPr>
      </w:pPr>
    </w:p>
    <w:p w14:paraId="6171F585">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233C84C6">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70" w:name="_Toc142508375"/>
      <w:bookmarkStart w:id="671" w:name="_Toc104991882"/>
      <w:bookmarkStart w:id="672" w:name="_Toc10443"/>
      <w:bookmarkStart w:id="673" w:name="_Toc102860080"/>
      <w:bookmarkStart w:id="674" w:name="_Toc20693"/>
      <w:bookmarkStart w:id="675" w:name="_Toc211622215"/>
      <w:bookmarkStart w:id="676" w:name="_Toc4023"/>
      <w:bookmarkStart w:id="677" w:name="_Toc102860424"/>
      <w:bookmarkStart w:id="678" w:name="_Toc94107216"/>
      <w:bookmarkStart w:id="679" w:name="_Toc140596935"/>
      <w:bookmarkStart w:id="680" w:name="_Toc29014"/>
      <w:bookmarkStart w:id="681" w:name="_Toc9051_WPSOffice_Level2"/>
      <w:bookmarkStart w:id="682" w:name="_Toc486167715"/>
      <w:bookmarkStart w:id="683" w:name="_Toc533708128"/>
      <w:bookmarkStart w:id="684" w:name="_Toc1977733"/>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670"/>
      <w:bookmarkEnd w:id="671"/>
      <w:bookmarkEnd w:id="672"/>
      <w:bookmarkEnd w:id="673"/>
      <w:bookmarkEnd w:id="674"/>
      <w:bookmarkEnd w:id="675"/>
      <w:bookmarkEnd w:id="676"/>
      <w:bookmarkEnd w:id="677"/>
      <w:bookmarkEnd w:id="678"/>
      <w:bookmarkEnd w:id="679"/>
      <w:bookmarkEnd w:id="680"/>
    </w:p>
    <w:p w14:paraId="74F006CF">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0766AB99">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1837"/>
        <w:gridCol w:w="1839"/>
        <w:gridCol w:w="2563"/>
        <w:gridCol w:w="1947"/>
      </w:tblGrid>
      <w:tr w14:paraId="3CA9F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593" w:type="pct"/>
            <w:vAlign w:val="center"/>
          </w:tcPr>
          <w:p w14:paraId="4D3893A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989" w:type="pct"/>
            <w:vAlign w:val="center"/>
          </w:tcPr>
          <w:p w14:paraId="4231950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990" w:type="pct"/>
            <w:vAlign w:val="center"/>
          </w:tcPr>
          <w:p w14:paraId="53356C9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1380" w:type="pct"/>
            <w:vAlign w:val="center"/>
          </w:tcPr>
          <w:p w14:paraId="400C834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1048" w:type="pct"/>
            <w:vAlign w:val="center"/>
          </w:tcPr>
          <w:p w14:paraId="40563E4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330A6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593" w:type="pct"/>
            <w:vAlign w:val="center"/>
          </w:tcPr>
          <w:p w14:paraId="1BE4B05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2022</w:t>
            </w:r>
          </w:p>
        </w:tc>
        <w:tc>
          <w:tcPr>
            <w:tcW w:w="989" w:type="pct"/>
            <w:vAlign w:val="center"/>
          </w:tcPr>
          <w:p w14:paraId="6FC03B72">
            <w:pPr>
              <w:autoSpaceDE w:val="0"/>
              <w:autoSpaceDN w:val="0"/>
              <w:adjustRightInd w:val="0"/>
              <w:spacing w:line="400" w:lineRule="exact"/>
              <w:jc w:val="center"/>
              <w:rPr>
                <w:rFonts w:ascii="宋体" w:hAnsi="宋体" w:eastAsia="宋体" w:cs="宋体"/>
                <w:color w:val="auto"/>
                <w:kern w:val="0"/>
                <w:szCs w:val="21"/>
                <w:highlight w:val="none"/>
              </w:rPr>
            </w:pPr>
          </w:p>
        </w:tc>
        <w:tc>
          <w:tcPr>
            <w:tcW w:w="990" w:type="pct"/>
            <w:vAlign w:val="center"/>
          </w:tcPr>
          <w:p w14:paraId="27CED230">
            <w:pPr>
              <w:autoSpaceDE w:val="0"/>
              <w:autoSpaceDN w:val="0"/>
              <w:adjustRightInd w:val="0"/>
              <w:spacing w:line="400" w:lineRule="exact"/>
              <w:jc w:val="center"/>
              <w:rPr>
                <w:rFonts w:ascii="宋体" w:hAnsi="宋体" w:eastAsia="宋体" w:cs="宋体"/>
                <w:color w:val="auto"/>
                <w:kern w:val="0"/>
                <w:szCs w:val="21"/>
                <w:highlight w:val="none"/>
              </w:rPr>
            </w:pPr>
          </w:p>
        </w:tc>
        <w:tc>
          <w:tcPr>
            <w:tcW w:w="1380" w:type="pct"/>
            <w:vAlign w:val="center"/>
          </w:tcPr>
          <w:p w14:paraId="10CAA29B">
            <w:pPr>
              <w:autoSpaceDE w:val="0"/>
              <w:autoSpaceDN w:val="0"/>
              <w:adjustRightInd w:val="0"/>
              <w:spacing w:line="400" w:lineRule="exact"/>
              <w:jc w:val="center"/>
              <w:rPr>
                <w:rFonts w:ascii="宋体" w:hAnsi="宋体" w:eastAsia="宋体" w:cs="宋体"/>
                <w:color w:val="auto"/>
                <w:kern w:val="0"/>
                <w:szCs w:val="21"/>
                <w:highlight w:val="none"/>
              </w:rPr>
            </w:pPr>
          </w:p>
        </w:tc>
        <w:tc>
          <w:tcPr>
            <w:tcW w:w="1048" w:type="pct"/>
            <w:vAlign w:val="center"/>
          </w:tcPr>
          <w:p w14:paraId="1C2FBD47">
            <w:pPr>
              <w:autoSpaceDE w:val="0"/>
              <w:autoSpaceDN w:val="0"/>
              <w:adjustRightInd w:val="0"/>
              <w:spacing w:line="400" w:lineRule="exact"/>
              <w:jc w:val="center"/>
              <w:rPr>
                <w:rFonts w:ascii="宋体" w:hAnsi="宋体" w:eastAsia="宋体" w:cs="宋体"/>
                <w:color w:val="auto"/>
                <w:kern w:val="0"/>
                <w:szCs w:val="21"/>
                <w:highlight w:val="none"/>
              </w:rPr>
            </w:pPr>
          </w:p>
        </w:tc>
      </w:tr>
      <w:tr w14:paraId="14920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93" w:type="pct"/>
            <w:vAlign w:val="center"/>
          </w:tcPr>
          <w:p w14:paraId="66A1F49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2023</w:t>
            </w:r>
          </w:p>
        </w:tc>
        <w:tc>
          <w:tcPr>
            <w:tcW w:w="989" w:type="pct"/>
            <w:vAlign w:val="center"/>
          </w:tcPr>
          <w:p w14:paraId="1DE80A38">
            <w:pPr>
              <w:autoSpaceDE w:val="0"/>
              <w:autoSpaceDN w:val="0"/>
              <w:adjustRightInd w:val="0"/>
              <w:spacing w:line="400" w:lineRule="exact"/>
              <w:jc w:val="center"/>
              <w:rPr>
                <w:rFonts w:ascii="宋体" w:hAnsi="宋体" w:eastAsia="宋体" w:cs="宋体"/>
                <w:color w:val="auto"/>
                <w:kern w:val="0"/>
                <w:szCs w:val="21"/>
                <w:highlight w:val="none"/>
              </w:rPr>
            </w:pPr>
          </w:p>
        </w:tc>
        <w:tc>
          <w:tcPr>
            <w:tcW w:w="990" w:type="pct"/>
            <w:vAlign w:val="center"/>
          </w:tcPr>
          <w:p w14:paraId="6C6E98A4">
            <w:pPr>
              <w:autoSpaceDE w:val="0"/>
              <w:autoSpaceDN w:val="0"/>
              <w:adjustRightInd w:val="0"/>
              <w:spacing w:line="400" w:lineRule="exact"/>
              <w:jc w:val="center"/>
              <w:rPr>
                <w:rFonts w:ascii="宋体" w:hAnsi="宋体" w:eastAsia="宋体" w:cs="宋体"/>
                <w:color w:val="auto"/>
                <w:kern w:val="0"/>
                <w:szCs w:val="21"/>
                <w:highlight w:val="none"/>
              </w:rPr>
            </w:pPr>
          </w:p>
        </w:tc>
        <w:tc>
          <w:tcPr>
            <w:tcW w:w="1380" w:type="pct"/>
          </w:tcPr>
          <w:p w14:paraId="3AAE0FF5">
            <w:pPr>
              <w:autoSpaceDE w:val="0"/>
              <w:autoSpaceDN w:val="0"/>
              <w:adjustRightInd w:val="0"/>
              <w:spacing w:line="400" w:lineRule="exact"/>
              <w:jc w:val="center"/>
              <w:rPr>
                <w:rFonts w:ascii="宋体" w:hAnsi="宋体" w:eastAsia="宋体" w:cs="宋体"/>
                <w:color w:val="auto"/>
                <w:kern w:val="0"/>
                <w:szCs w:val="21"/>
                <w:highlight w:val="none"/>
              </w:rPr>
            </w:pPr>
          </w:p>
        </w:tc>
        <w:tc>
          <w:tcPr>
            <w:tcW w:w="1048" w:type="pct"/>
            <w:vAlign w:val="center"/>
          </w:tcPr>
          <w:p w14:paraId="54DBD539">
            <w:pPr>
              <w:autoSpaceDE w:val="0"/>
              <w:autoSpaceDN w:val="0"/>
              <w:adjustRightInd w:val="0"/>
              <w:spacing w:line="400" w:lineRule="exact"/>
              <w:jc w:val="center"/>
              <w:rPr>
                <w:rFonts w:ascii="宋体" w:hAnsi="宋体" w:eastAsia="宋体" w:cs="宋体"/>
                <w:color w:val="auto"/>
                <w:kern w:val="0"/>
                <w:szCs w:val="21"/>
                <w:highlight w:val="none"/>
              </w:rPr>
            </w:pPr>
          </w:p>
        </w:tc>
      </w:tr>
      <w:tr w14:paraId="1758A2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93" w:type="pct"/>
            <w:vAlign w:val="center"/>
          </w:tcPr>
          <w:p w14:paraId="7654775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2024</w:t>
            </w:r>
          </w:p>
        </w:tc>
        <w:tc>
          <w:tcPr>
            <w:tcW w:w="989" w:type="pct"/>
            <w:vAlign w:val="center"/>
          </w:tcPr>
          <w:p w14:paraId="72B7AD43">
            <w:pPr>
              <w:autoSpaceDE w:val="0"/>
              <w:autoSpaceDN w:val="0"/>
              <w:adjustRightInd w:val="0"/>
              <w:spacing w:line="400" w:lineRule="exact"/>
              <w:jc w:val="center"/>
              <w:rPr>
                <w:rFonts w:ascii="宋体" w:hAnsi="宋体" w:eastAsia="宋体" w:cs="宋体"/>
                <w:color w:val="auto"/>
                <w:kern w:val="0"/>
                <w:szCs w:val="21"/>
                <w:highlight w:val="none"/>
              </w:rPr>
            </w:pPr>
          </w:p>
        </w:tc>
        <w:tc>
          <w:tcPr>
            <w:tcW w:w="990" w:type="pct"/>
            <w:vAlign w:val="center"/>
          </w:tcPr>
          <w:p w14:paraId="4DC9A3D2">
            <w:pPr>
              <w:autoSpaceDE w:val="0"/>
              <w:autoSpaceDN w:val="0"/>
              <w:adjustRightInd w:val="0"/>
              <w:spacing w:line="400" w:lineRule="exact"/>
              <w:jc w:val="center"/>
              <w:rPr>
                <w:rFonts w:ascii="宋体" w:hAnsi="宋体" w:eastAsia="宋体" w:cs="宋体"/>
                <w:color w:val="auto"/>
                <w:kern w:val="0"/>
                <w:szCs w:val="21"/>
                <w:highlight w:val="none"/>
              </w:rPr>
            </w:pPr>
          </w:p>
        </w:tc>
        <w:tc>
          <w:tcPr>
            <w:tcW w:w="1380" w:type="pct"/>
          </w:tcPr>
          <w:p w14:paraId="476954D9">
            <w:pPr>
              <w:autoSpaceDE w:val="0"/>
              <w:autoSpaceDN w:val="0"/>
              <w:adjustRightInd w:val="0"/>
              <w:spacing w:line="400" w:lineRule="exact"/>
              <w:jc w:val="center"/>
              <w:rPr>
                <w:rFonts w:ascii="宋体" w:hAnsi="宋体" w:eastAsia="宋体" w:cs="宋体"/>
                <w:color w:val="auto"/>
                <w:kern w:val="0"/>
                <w:szCs w:val="21"/>
                <w:highlight w:val="none"/>
              </w:rPr>
            </w:pPr>
          </w:p>
        </w:tc>
        <w:tc>
          <w:tcPr>
            <w:tcW w:w="1048" w:type="pct"/>
            <w:vAlign w:val="center"/>
          </w:tcPr>
          <w:p w14:paraId="34A4A0AE">
            <w:pPr>
              <w:autoSpaceDE w:val="0"/>
              <w:autoSpaceDN w:val="0"/>
              <w:adjustRightInd w:val="0"/>
              <w:spacing w:line="400" w:lineRule="exact"/>
              <w:jc w:val="center"/>
              <w:rPr>
                <w:rFonts w:ascii="宋体" w:hAnsi="宋体" w:eastAsia="宋体" w:cs="宋体"/>
                <w:color w:val="auto"/>
                <w:kern w:val="0"/>
                <w:szCs w:val="21"/>
                <w:highlight w:val="none"/>
              </w:rPr>
            </w:pPr>
          </w:p>
        </w:tc>
      </w:tr>
      <w:tr w14:paraId="19D31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572" w:type="pct"/>
            <w:gridSpan w:val="3"/>
            <w:vAlign w:val="center"/>
          </w:tcPr>
          <w:p w14:paraId="7A4ACDF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1380" w:type="pct"/>
          </w:tcPr>
          <w:p w14:paraId="5F846435">
            <w:pPr>
              <w:autoSpaceDE w:val="0"/>
              <w:autoSpaceDN w:val="0"/>
              <w:adjustRightInd w:val="0"/>
              <w:spacing w:line="400" w:lineRule="exact"/>
              <w:jc w:val="center"/>
              <w:rPr>
                <w:rFonts w:ascii="宋体" w:hAnsi="宋体" w:eastAsia="宋体" w:cs="宋体"/>
                <w:color w:val="auto"/>
                <w:kern w:val="0"/>
                <w:szCs w:val="21"/>
                <w:highlight w:val="none"/>
              </w:rPr>
            </w:pPr>
          </w:p>
        </w:tc>
        <w:tc>
          <w:tcPr>
            <w:tcW w:w="1048" w:type="pct"/>
            <w:vAlign w:val="center"/>
          </w:tcPr>
          <w:p w14:paraId="1B7E25E6">
            <w:pPr>
              <w:autoSpaceDE w:val="0"/>
              <w:autoSpaceDN w:val="0"/>
              <w:adjustRightInd w:val="0"/>
              <w:spacing w:line="400" w:lineRule="exact"/>
              <w:jc w:val="center"/>
              <w:rPr>
                <w:rFonts w:ascii="宋体" w:hAnsi="宋体" w:eastAsia="宋体" w:cs="宋体"/>
                <w:color w:val="auto"/>
                <w:kern w:val="0"/>
                <w:szCs w:val="21"/>
                <w:highlight w:val="none"/>
              </w:rPr>
            </w:pPr>
          </w:p>
        </w:tc>
      </w:tr>
    </w:tbl>
    <w:p w14:paraId="78A24C31">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523B5600">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46A5C6B0">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728E579B">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25B5FDB1">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8E17BE0">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08AB6A93">
      <w:pPr>
        <w:autoSpaceDE w:val="0"/>
        <w:autoSpaceDN w:val="0"/>
        <w:adjustRightInd w:val="0"/>
        <w:spacing w:line="360" w:lineRule="auto"/>
        <w:jc w:val="center"/>
        <w:rPr>
          <w:rFonts w:ascii="宋体" w:hAnsi="宋体" w:eastAsia="宋体" w:cs="宋体"/>
          <w:b/>
          <w:bCs/>
          <w:color w:val="auto"/>
          <w:szCs w:val="24"/>
          <w:highlight w:val="none"/>
          <w:lang w:val="zh-CN"/>
        </w:rPr>
      </w:pPr>
    </w:p>
    <w:p w14:paraId="0F52822F">
      <w:pPr>
        <w:autoSpaceDE w:val="0"/>
        <w:autoSpaceDN w:val="0"/>
        <w:adjustRightInd w:val="0"/>
        <w:spacing w:line="360" w:lineRule="auto"/>
        <w:jc w:val="center"/>
        <w:rPr>
          <w:rFonts w:ascii="宋体" w:hAnsi="宋体" w:eastAsia="宋体" w:cs="宋体"/>
          <w:b/>
          <w:bCs/>
          <w:color w:val="auto"/>
          <w:kern w:val="0"/>
          <w:szCs w:val="21"/>
          <w:highlight w:val="none"/>
        </w:rPr>
        <w:sectPr>
          <w:footerReference r:id="rId15" w:type="default"/>
          <w:pgSz w:w="11907" w:h="16840"/>
          <w:pgMar w:top="1701" w:right="1418" w:bottom="851" w:left="1418" w:header="720" w:footer="720" w:gutter="0"/>
          <w:cols w:space="720" w:num="1"/>
          <w:titlePg/>
          <w:docGrid w:linePitch="326" w:charSpace="0"/>
        </w:sectPr>
      </w:pPr>
      <w:r>
        <w:rPr>
          <w:rFonts w:hint="eastAsia" w:ascii="宋体" w:hAnsi="宋体" w:eastAsia="宋体" w:cs="宋体"/>
          <w:b/>
          <w:bCs/>
          <w:color w:val="auto"/>
          <w:szCs w:val="24"/>
          <w:highlight w:val="none"/>
          <w:lang w:val="zh-CN"/>
        </w:rPr>
        <w:t>说明：由投标人使用投标人的企业数字证书电子签名。</w:t>
      </w:r>
    </w:p>
    <w:bookmarkEnd w:id="681"/>
    <w:bookmarkEnd w:id="682"/>
    <w:bookmarkEnd w:id="683"/>
    <w:bookmarkEnd w:id="684"/>
    <w:p w14:paraId="0E139EF0">
      <w:pPr>
        <w:tabs>
          <w:tab w:val="left" w:pos="567"/>
        </w:tabs>
        <w:autoSpaceDE w:val="0"/>
        <w:autoSpaceDN w:val="0"/>
        <w:adjustRightInd w:val="0"/>
        <w:spacing w:line="360" w:lineRule="auto"/>
        <w:jc w:val="left"/>
        <w:outlineLvl w:val="1"/>
        <w:rPr>
          <w:rFonts w:ascii="宋体" w:hAnsi="宋体" w:eastAsia="宋体" w:cs="宋体"/>
          <w:b/>
          <w:color w:val="auto"/>
          <w:kern w:val="0"/>
          <w:sz w:val="32"/>
          <w:szCs w:val="32"/>
          <w:highlight w:val="none"/>
          <w:lang w:val="zh-CN"/>
        </w:rPr>
      </w:pPr>
      <w:bookmarkStart w:id="685" w:name="_Toc26821"/>
      <w:bookmarkStart w:id="686" w:name="_Toc17995"/>
      <w:bookmarkStart w:id="687" w:name="_Toc533708130"/>
      <w:bookmarkStart w:id="688" w:name="_Toc104991883"/>
      <w:bookmarkStart w:id="689" w:name="_Toc102860425"/>
      <w:bookmarkStart w:id="690" w:name="_Toc94107217"/>
      <w:bookmarkStart w:id="691" w:name="_Toc333"/>
      <w:bookmarkStart w:id="692" w:name="_Toc140596936"/>
      <w:bookmarkStart w:id="693" w:name="_Toc142508376"/>
      <w:bookmarkStart w:id="694" w:name="_Toc739_WPSOffice_Level2"/>
      <w:bookmarkStart w:id="695" w:name="_Toc486167716"/>
      <w:bookmarkStart w:id="696" w:name="_Toc117"/>
      <w:bookmarkStart w:id="697" w:name="_Toc211622216"/>
      <w:bookmarkStart w:id="698" w:name="_Toc1977736"/>
      <w:bookmarkStart w:id="699" w:name="_Toc102860081"/>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5D26216D">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700" w:name="_Toc26412_WPSOffice_Level3"/>
      <w:r>
        <w:rPr>
          <w:rFonts w:hint="eastAsia" w:ascii="宋体" w:hAnsi="宋体" w:eastAsia="宋体" w:cs="宋体"/>
          <w:b/>
          <w:bCs/>
          <w:color w:val="auto"/>
          <w:kern w:val="0"/>
          <w:sz w:val="28"/>
          <w:szCs w:val="30"/>
          <w:highlight w:val="none"/>
          <w:lang w:val="zh-CN"/>
        </w:rPr>
        <w:t>东莞市水务环境投资控股集团净水有限公司2026年-2027年生产药剂液体聚合氯化铝、液体聚合氯化铝铁采购项目合同条款偏离表</w:t>
      </w:r>
      <w:bookmarkEnd w:id="700"/>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328"/>
        <w:gridCol w:w="2857"/>
        <w:gridCol w:w="1250"/>
        <w:gridCol w:w="3296"/>
      </w:tblGrid>
      <w:tr w14:paraId="7008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88" w:type="pct"/>
            <w:vMerge w:val="restart"/>
            <w:vAlign w:val="center"/>
          </w:tcPr>
          <w:p w14:paraId="36FE969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62" w:type="pct"/>
            <w:gridSpan w:val="2"/>
            <w:vAlign w:val="center"/>
          </w:tcPr>
          <w:p w14:paraId="5B35805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2349" w:type="pct"/>
            <w:gridSpan w:val="2"/>
            <w:vAlign w:val="center"/>
          </w:tcPr>
          <w:p w14:paraId="1C33AF1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1404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88" w:type="pct"/>
            <w:vMerge w:val="continue"/>
            <w:vAlign w:val="center"/>
          </w:tcPr>
          <w:p w14:paraId="487A8EAF">
            <w:pPr>
              <w:autoSpaceDE w:val="0"/>
              <w:autoSpaceDN w:val="0"/>
              <w:adjustRightInd w:val="0"/>
              <w:spacing w:line="400" w:lineRule="exact"/>
              <w:jc w:val="center"/>
              <w:rPr>
                <w:rFonts w:ascii="宋体" w:hAnsi="宋体" w:eastAsia="宋体" w:cs="宋体"/>
                <w:color w:val="auto"/>
                <w:kern w:val="0"/>
                <w:szCs w:val="21"/>
                <w:highlight w:val="none"/>
              </w:rPr>
            </w:pPr>
          </w:p>
        </w:tc>
        <w:tc>
          <w:tcPr>
            <w:tcW w:w="686" w:type="pct"/>
            <w:vAlign w:val="center"/>
          </w:tcPr>
          <w:p w14:paraId="59C6143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1476" w:type="pct"/>
            <w:vAlign w:val="center"/>
          </w:tcPr>
          <w:p w14:paraId="2BCB9EB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646" w:type="pct"/>
            <w:vAlign w:val="center"/>
          </w:tcPr>
          <w:p w14:paraId="6DCF868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1703" w:type="pct"/>
            <w:vAlign w:val="center"/>
          </w:tcPr>
          <w:p w14:paraId="4D0F388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515C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34C14AD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86" w:type="pct"/>
            <w:shd w:val="clear" w:color="auto" w:fill="auto"/>
            <w:vAlign w:val="center"/>
          </w:tcPr>
          <w:p w14:paraId="6156767D">
            <w:pPr>
              <w:pStyle w:val="64"/>
              <w:spacing w:line="400" w:lineRule="exact"/>
              <w:ind w:firstLine="0" w:firstLineChars="0"/>
              <w:jc w:val="center"/>
              <w:rPr>
                <w:rFonts w:ascii="宋体" w:eastAsia="宋体" w:cs="宋体"/>
                <w:color w:val="auto"/>
                <w:kern w:val="0"/>
                <w:szCs w:val="21"/>
                <w:highlight w:val="none"/>
              </w:rPr>
            </w:pPr>
            <w:r>
              <w:rPr>
                <w:rFonts w:hint="eastAsia" w:ascii="宋体" w:eastAsia="宋体" w:cs="宋体"/>
                <w:color w:val="auto"/>
                <w:sz w:val="21"/>
                <w:szCs w:val="21"/>
                <w:highlight w:val="none"/>
              </w:rPr>
              <w:t>一</w:t>
            </w:r>
          </w:p>
        </w:tc>
        <w:tc>
          <w:tcPr>
            <w:tcW w:w="1476" w:type="pct"/>
            <w:shd w:val="clear" w:color="auto" w:fill="auto"/>
            <w:vAlign w:val="center"/>
          </w:tcPr>
          <w:p w14:paraId="29162B23">
            <w:pPr>
              <w:pStyle w:val="64"/>
              <w:spacing w:line="400" w:lineRule="exact"/>
              <w:ind w:firstLine="0" w:firstLineChars="0"/>
              <w:jc w:val="center"/>
              <w:rPr>
                <w:rFonts w:ascii="宋体" w:eastAsia="宋体" w:cs="宋体"/>
                <w:bCs/>
                <w:color w:val="auto"/>
                <w:kern w:val="0"/>
                <w:szCs w:val="21"/>
                <w:highlight w:val="none"/>
              </w:rPr>
            </w:pPr>
            <w:r>
              <w:rPr>
                <w:rFonts w:hint="eastAsia" w:ascii="宋体" w:eastAsia="宋体" w:cs="宋体"/>
                <w:bCs/>
                <w:color w:val="auto"/>
                <w:sz w:val="21"/>
                <w:szCs w:val="21"/>
                <w:highlight w:val="none"/>
              </w:rPr>
              <w:t>合同项目</w:t>
            </w:r>
          </w:p>
        </w:tc>
        <w:tc>
          <w:tcPr>
            <w:tcW w:w="646" w:type="pct"/>
            <w:vAlign w:val="center"/>
          </w:tcPr>
          <w:p w14:paraId="7AD6AA06">
            <w:pPr>
              <w:autoSpaceDE w:val="0"/>
              <w:autoSpaceDN w:val="0"/>
              <w:adjustRightInd w:val="0"/>
              <w:spacing w:line="400" w:lineRule="exact"/>
              <w:jc w:val="center"/>
              <w:rPr>
                <w:rFonts w:ascii="宋体" w:hAnsi="宋体" w:eastAsia="宋体" w:cs="宋体"/>
                <w:color w:val="auto"/>
                <w:kern w:val="0"/>
                <w:szCs w:val="21"/>
                <w:highlight w:val="none"/>
              </w:rPr>
            </w:pPr>
          </w:p>
        </w:tc>
        <w:tc>
          <w:tcPr>
            <w:tcW w:w="1703" w:type="pct"/>
            <w:vAlign w:val="center"/>
          </w:tcPr>
          <w:p w14:paraId="245B008E">
            <w:pPr>
              <w:autoSpaceDE w:val="0"/>
              <w:autoSpaceDN w:val="0"/>
              <w:adjustRightInd w:val="0"/>
              <w:spacing w:line="400" w:lineRule="exact"/>
              <w:jc w:val="center"/>
              <w:rPr>
                <w:rFonts w:ascii="宋体" w:hAnsi="宋体" w:eastAsia="宋体" w:cs="宋体"/>
                <w:color w:val="auto"/>
                <w:kern w:val="0"/>
                <w:szCs w:val="21"/>
                <w:highlight w:val="none"/>
              </w:rPr>
            </w:pPr>
          </w:p>
        </w:tc>
      </w:tr>
      <w:tr w14:paraId="6CEB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72BF690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686" w:type="pct"/>
            <w:shd w:val="clear" w:color="auto" w:fill="auto"/>
            <w:vAlign w:val="center"/>
          </w:tcPr>
          <w:p w14:paraId="3720220C">
            <w:pPr>
              <w:pStyle w:val="64"/>
              <w:spacing w:line="400" w:lineRule="exact"/>
              <w:ind w:firstLine="0" w:firstLineChars="0"/>
              <w:jc w:val="center"/>
              <w:rPr>
                <w:rFonts w:ascii="宋体" w:eastAsia="宋体" w:cs="宋体"/>
                <w:color w:val="auto"/>
                <w:kern w:val="0"/>
                <w:szCs w:val="21"/>
                <w:highlight w:val="none"/>
              </w:rPr>
            </w:pPr>
            <w:r>
              <w:rPr>
                <w:rFonts w:hint="eastAsia" w:ascii="宋体" w:eastAsia="宋体" w:cs="宋体"/>
                <w:color w:val="auto"/>
                <w:sz w:val="21"/>
                <w:szCs w:val="21"/>
                <w:highlight w:val="none"/>
              </w:rPr>
              <w:t>二</w:t>
            </w:r>
          </w:p>
        </w:tc>
        <w:tc>
          <w:tcPr>
            <w:tcW w:w="1476" w:type="pct"/>
            <w:shd w:val="clear" w:color="auto" w:fill="auto"/>
            <w:vAlign w:val="center"/>
          </w:tcPr>
          <w:p w14:paraId="5CDEFD62">
            <w:pPr>
              <w:pStyle w:val="64"/>
              <w:spacing w:line="400" w:lineRule="exact"/>
              <w:ind w:firstLine="0" w:firstLineChars="0"/>
              <w:jc w:val="center"/>
              <w:rPr>
                <w:rFonts w:ascii="宋体" w:eastAsia="宋体" w:cs="宋体"/>
                <w:bCs/>
                <w:color w:val="auto"/>
                <w:kern w:val="0"/>
                <w:szCs w:val="21"/>
                <w:highlight w:val="none"/>
              </w:rPr>
            </w:pPr>
            <w:r>
              <w:rPr>
                <w:rFonts w:hint="eastAsia" w:ascii="宋体" w:eastAsia="宋体" w:cs="宋体"/>
                <w:bCs/>
                <w:color w:val="auto"/>
                <w:sz w:val="21"/>
                <w:szCs w:val="21"/>
                <w:highlight w:val="none"/>
              </w:rPr>
              <w:t>合同价款及销项税价</w:t>
            </w:r>
          </w:p>
        </w:tc>
        <w:tc>
          <w:tcPr>
            <w:tcW w:w="646" w:type="pct"/>
            <w:vAlign w:val="center"/>
          </w:tcPr>
          <w:p w14:paraId="4B2B8529">
            <w:pPr>
              <w:autoSpaceDE w:val="0"/>
              <w:autoSpaceDN w:val="0"/>
              <w:adjustRightInd w:val="0"/>
              <w:spacing w:line="400" w:lineRule="exact"/>
              <w:jc w:val="center"/>
              <w:rPr>
                <w:rFonts w:ascii="宋体" w:hAnsi="宋体" w:eastAsia="宋体" w:cs="宋体"/>
                <w:color w:val="auto"/>
                <w:kern w:val="0"/>
                <w:szCs w:val="21"/>
                <w:highlight w:val="none"/>
              </w:rPr>
            </w:pPr>
          </w:p>
        </w:tc>
        <w:tc>
          <w:tcPr>
            <w:tcW w:w="1703" w:type="pct"/>
            <w:vAlign w:val="center"/>
          </w:tcPr>
          <w:p w14:paraId="0874F725">
            <w:pPr>
              <w:autoSpaceDE w:val="0"/>
              <w:autoSpaceDN w:val="0"/>
              <w:adjustRightInd w:val="0"/>
              <w:spacing w:line="400" w:lineRule="exact"/>
              <w:jc w:val="center"/>
              <w:rPr>
                <w:rFonts w:ascii="宋体" w:hAnsi="宋体" w:eastAsia="宋体" w:cs="宋体"/>
                <w:color w:val="auto"/>
                <w:kern w:val="0"/>
                <w:szCs w:val="21"/>
                <w:highlight w:val="none"/>
              </w:rPr>
            </w:pPr>
          </w:p>
        </w:tc>
      </w:tr>
      <w:tr w14:paraId="77BD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483E0FE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686" w:type="pct"/>
            <w:shd w:val="clear" w:color="auto" w:fill="auto"/>
            <w:vAlign w:val="center"/>
          </w:tcPr>
          <w:p w14:paraId="3D286432">
            <w:pPr>
              <w:pStyle w:val="64"/>
              <w:spacing w:line="400" w:lineRule="exact"/>
              <w:ind w:firstLine="0" w:firstLineChars="0"/>
              <w:jc w:val="center"/>
              <w:rPr>
                <w:rFonts w:ascii="宋体" w:eastAsia="宋体" w:cs="宋体"/>
                <w:color w:val="auto"/>
                <w:kern w:val="0"/>
                <w:szCs w:val="21"/>
                <w:highlight w:val="none"/>
              </w:rPr>
            </w:pPr>
            <w:r>
              <w:rPr>
                <w:rFonts w:hint="eastAsia" w:ascii="宋体" w:eastAsia="宋体" w:cs="宋体"/>
                <w:color w:val="auto"/>
                <w:sz w:val="21"/>
                <w:szCs w:val="21"/>
                <w:highlight w:val="none"/>
              </w:rPr>
              <w:t>三</w:t>
            </w:r>
          </w:p>
        </w:tc>
        <w:tc>
          <w:tcPr>
            <w:tcW w:w="1476" w:type="pct"/>
            <w:shd w:val="clear" w:color="auto" w:fill="auto"/>
            <w:vAlign w:val="center"/>
          </w:tcPr>
          <w:p w14:paraId="3D3F7F2B">
            <w:pPr>
              <w:pStyle w:val="64"/>
              <w:spacing w:line="400" w:lineRule="exact"/>
              <w:ind w:firstLine="0" w:firstLineChars="0"/>
              <w:jc w:val="center"/>
              <w:rPr>
                <w:rFonts w:ascii="宋体" w:eastAsia="宋体" w:cs="宋体"/>
                <w:bCs/>
                <w:color w:val="auto"/>
                <w:kern w:val="0"/>
                <w:szCs w:val="21"/>
                <w:highlight w:val="none"/>
              </w:rPr>
            </w:pPr>
            <w:r>
              <w:rPr>
                <w:rFonts w:hint="eastAsia" w:ascii="宋体" w:eastAsia="宋体" w:cs="宋体"/>
                <w:bCs/>
                <w:color w:val="auto"/>
                <w:sz w:val="21"/>
                <w:szCs w:val="21"/>
                <w:highlight w:val="none"/>
              </w:rPr>
              <w:t>合同组成</w:t>
            </w:r>
          </w:p>
        </w:tc>
        <w:tc>
          <w:tcPr>
            <w:tcW w:w="646" w:type="pct"/>
            <w:vAlign w:val="center"/>
          </w:tcPr>
          <w:p w14:paraId="48271830">
            <w:pPr>
              <w:autoSpaceDE w:val="0"/>
              <w:autoSpaceDN w:val="0"/>
              <w:adjustRightInd w:val="0"/>
              <w:spacing w:line="400" w:lineRule="exact"/>
              <w:jc w:val="center"/>
              <w:rPr>
                <w:rFonts w:ascii="宋体" w:hAnsi="宋体" w:eastAsia="宋体" w:cs="宋体"/>
                <w:color w:val="auto"/>
                <w:kern w:val="0"/>
                <w:szCs w:val="21"/>
                <w:highlight w:val="none"/>
              </w:rPr>
            </w:pPr>
          </w:p>
        </w:tc>
        <w:tc>
          <w:tcPr>
            <w:tcW w:w="1703" w:type="pct"/>
            <w:vAlign w:val="center"/>
          </w:tcPr>
          <w:p w14:paraId="0B035675">
            <w:pPr>
              <w:autoSpaceDE w:val="0"/>
              <w:autoSpaceDN w:val="0"/>
              <w:adjustRightInd w:val="0"/>
              <w:spacing w:line="400" w:lineRule="exact"/>
              <w:jc w:val="center"/>
              <w:rPr>
                <w:rFonts w:ascii="宋体" w:hAnsi="宋体" w:eastAsia="宋体" w:cs="宋体"/>
                <w:color w:val="auto"/>
                <w:kern w:val="0"/>
                <w:szCs w:val="21"/>
                <w:highlight w:val="none"/>
              </w:rPr>
            </w:pPr>
          </w:p>
        </w:tc>
      </w:tr>
      <w:tr w14:paraId="662D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3D9FFAE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686" w:type="pct"/>
            <w:shd w:val="clear" w:color="auto" w:fill="auto"/>
            <w:vAlign w:val="center"/>
          </w:tcPr>
          <w:p w14:paraId="49F1BBF1">
            <w:pPr>
              <w:pStyle w:val="64"/>
              <w:spacing w:line="400" w:lineRule="exact"/>
              <w:ind w:firstLine="0" w:firstLineChars="0"/>
              <w:jc w:val="center"/>
              <w:rPr>
                <w:rFonts w:ascii="宋体" w:eastAsia="宋体" w:cs="宋体"/>
                <w:color w:val="auto"/>
                <w:kern w:val="0"/>
                <w:szCs w:val="21"/>
                <w:highlight w:val="none"/>
              </w:rPr>
            </w:pPr>
            <w:r>
              <w:rPr>
                <w:rFonts w:hint="eastAsia" w:ascii="宋体" w:eastAsia="宋体" w:cs="宋体"/>
                <w:color w:val="auto"/>
                <w:sz w:val="21"/>
                <w:szCs w:val="21"/>
                <w:highlight w:val="none"/>
              </w:rPr>
              <w:t>六</w:t>
            </w:r>
          </w:p>
        </w:tc>
        <w:tc>
          <w:tcPr>
            <w:tcW w:w="1476" w:type="pct"/>
            <w:shd w:val="clear" w:color="auto" w:fill="auto"/>
            <w:vAlign w:val="center"/>
          </w:tcPr>
          <w:p w14:paraId="7E5D8256">
            <w:pPr>
              <w:pStyle w:val="64"/>
              <w:spacing w:line="400" w:lineRule="exact"/>
              <w:ind w:firstLine="0" w:firstLineChars="0"/>
              <w:jc w:val="center"/>
              <w:rPr>
                <w:rFonts w:ascii="宋体" w:eastAsia="宋体" w:cs="宋体"/>
                <w:bCs/>
                <w:color w:val="auto"/>
                <w:kern w:val="0"/>
                <w:szCs w:val="21"/>
                <w:highlight w:val="none"/>
              </w:rPr>
            </w:pPr>
            <w:r>
              <w:rPr>
                <w:rFonts w:hint="eastAsia" w:ascii="宋体" w:eastAsia="宋体" w:cs="宋体"/>
                <w:bCs/>
                <w:color w:val="auto"/>
                <w:sz w:val="21"/>
                <w:szCs w:val="21"/>
                <w:highlight w:val="none"/>
              </w:rPr>
              <w:t>储存</w:t>
            </w:r>
          </w:p>
        </w:tc>
        <w:tc>
          <w:tcPr>
            <w:tcW w:w="646" w:type="pct"/>
            <w:vAlign w:val="center"/>
          </w:tcPr>
          <w:p w14:paraId="2F726507">
            <w:pPr>
              <w:autoSpaceDE w:val="0"/>
              <w:autoSpaceDN w:val="0"/>
              <w:adjustRightInd w:val="0"/>
              <w:spacing w:line="400" w:lineRule="exact"/>
              <w:jc w:val="center"/>
              <w:rPr>
                <w:rFonts w:ascii="宋体" w:hAnsi="宋体" w:eastAsia="宋体" w:cs="宋体"/>
                <w:color w:val="auto"/>
                <w:kern w:val="0"/>
                <w:szCs w:val="21"/>
                <w:highlight w:val="none"/>
              </w:rPr>
            </w:pPr>
          </w:p>
        </w:tc>
        <w:tc>
          <w:tcPr>
            <w:tcW w:w="1703" w:type="pct"/>
            <w:vAlign w:val="center"/>
          </w:tcPr>
          <w:p w14:paraId="46F5DB05">
            <w:pPr>
              <w:autoSpaceDE w:val="0"/>
              <w:autoSpaceDN w:val="0"/>
              <w:adjustRightInd w:val="0"/>
              <w:spacing w:line="400" w:lineRule="exact"/>
              <w:jc w:val="center"/>
              <w:rPr>
                <w:rFonts w:ascii="宋体" w:hAnsi="宋体" w:eastAsia="宋体" w:cs="宋体"/>
                <w:color w:val="auto"/>
                <w:kern w:val="0"/>
                <w:szCs w:val="21"/>
                <w:highlight w:val="none"/>
              </w:rPr>
            </w:pPr>
          </w:p>
        </w:tc>
      </w:tr>
      <w:tr w14:paraId="4C85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0BC6445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686" w:type="pct"/>
            <w:shd w:val="clear" w:color="auto" w:fill="auto"/>
            <w:vAlign w:val="center"/>
          </w:tcPr>
          <w:p w14:paraId="749E5D89">
            <w:pPr>
              <w:pStyle w:val="64"/>
              <w:spacing w:line="400" w:lineRule="exact"/>
              <w:ind w:firstLine="0" w:firstLineChars="0"/>
              <w:jc w:val="center"/>
              <w:rPr>
                <w:rFonts w:ascii="宋体" w:eastAsia="宋体" w:cs="宋体"/>
                <w:color w:val="auto"/>
                <w:kern w:val="0"/>
                <w:szCs w:val="21"/>
                <w:highlight w:val="none"/>
              </w:rPr>
            </w:pPr>
            <w:r>
              <w:rPr>
                <w:rFonts w:hint="eastAsia" w:ascii="宋体" w:eastAsia="宋体" w:cs="宋体"/>
                <w:color w:val="auto"/>
                <w:sz w:val="21"/>
                <w:szCs w:val="21"/>
                <w:highlight w:val="none"/>
              </w:rPr>
              <w:t>八</w:t>
            </w:r>
          </w:p>
        </w:tc>
        <w:tc>
          <w:tcPr>
            <w:tcW w:w="1476" w:type="pct"/>
            <w:shd w:val="clear" w:color="auto" w:fill="auto"/>
            <w:vAlign w:val="center"/>
          </w:tcPr>
          <w:p w14:paraId="652E7D84">
            <w:pPr>
              <w:pStyle w:val="64"/>
              <w:spacing w:line="400" w:lineRule="exact"/>
              <w:ind w:firstLine="0" w:firstLineChars="0"/>
              <w:jc w:val="center"/>
              <w:rPr>
                <w:rFonts w:ascii="宋体" w:eastAsia="宋体" w:cs="宋体"/>
                <w:bCs/>
                <w:color w:val="auto"/>
                <w:kern w:val="0"/>
                <w:szCs w:val="21"/>
                <w:highlight w:val="none"/>
              </w:rPr>
            </w:pPr>
            <w:r>
              <w:rPr>
                <w:rFonts w:hint="eastAsia" w:ascii="宋体" w:eastAsia="宋体" w:cs="宋体"/>
                <w:bCs/>
                <w:color w:val="auto"/>
                <w:sz w:val="21"/>
                <w:szCs w:val="21"/>
                <w:highlight w:val="none"/>
              </w:rPr>
              <w:t>验收要求</w:t>
            </w:r>
          </w:p>
        </w:tc>
        <w:tc>
          <w:tcPr>
            <w:tcW w:w="646" w:type="pct"/>
            <w:vAlign w:val="center"/>
          </w:tcPr>
          <w:p w14:paraId="1B483919">
            <w:pPr>
              <w:autoSpaceDE w:val="0"/>
              <w:autoSpaceDN w:val="0"/>
              <w:adjustRightInd w:val="0"/>
              <w:spacing w:line="400" w:lineRule="exact"/>
              <w:jc w:val="center"/>
              <w:rPr>
                <w:rFonts w:ascii="宋体" w:hAnsi="宋体" w:eastAsia="宋体" w:cs="宋体"/>
                <w:color w:val="auto"/>
                <w:kern w:val="0"/>
                <w:szCs w:val="21"/>
                <w:highlight w:val="none"/>
              </w:rPr>
            </w:pPr>
          </w:p>
        </w:tc>
        <w:tc>
          <w:tcPr>
            <w:tcW w:w="1703" w:type="pct"/>
            <w:vAlign w:val="center"/>
          </w:tcPr>
          <w:p w14:paraId="733CEFA7">
            <w:pPr>
              <w:autoSpaceDE w:val="0"/>
              <w:autoSpaceDN w:val="0"/>
              <w:adjustRightInd w:val="0"/>
              <w:spacing w:line="400" w:lineRule="exact"/>
              <w:jc w:val="center"/>
              <w:rPr>
                <w:rFonts w:ascii="宋体" w:hAnsi="宋体" w:eastAsia="宋体" w:cs="宋体"/>
                <w:color w:val="auto"/>
                <w:kern w:val="0"/>
                <w:szCs w:val="21"/>
                <w:highlight w:val="none"/>
              </w:rPr>
            </w:pPr>
          </w:p>
        </w:tc>
      </w:tr>
      <w:tr w14:paraId="4D6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3C4025B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686" w:type="pct"/>
            <w:shd w:val="clear" w:color="auto" w:fill="auto"/>
            <w:vAlign w:val="center"/>
          </w:tcPr>
          <w:p w14:paraId="00C023FC">
            <w:pPr>
              <w:pStyle w:val="64"/>
              <w:spacing w:line="400" w:lineRule="exact"/>
              <w:ind w:firstLine="0" w:firstLineChars="0"/>
              <w:jc w:val="center"/>
              <w:rPr>
                <w:rFonts w:ascii="宋体" w:eastAsia="宋体" w:cs="宋体"/>
                <w:color w:val="auto"/>
                <w:kern w:val="0"/>
                <w:szCs w:val="21"/>
                <w:highlight w:val="none"/>
              </w:rPr>
            </w:pPr>
            <w:r>
              <w:rPr>
                <w:rFonts w:hint="eastAsia" w:ascii="宋体" w:eastAsia="宋体" w:cs="宋体"/>
                <w:color w:val="auto"/>
                <w:sz w:val="21"/>
                <w:szCs w:val="21"/>
                <w:highlight w:val="none"/>
              </w:rPr>
              <w:t>九</w:t>
            </w:r>
          </w:p>
        </w:tc>
        <w:tc>
          <w:tcPr>
            <w:tcW w:w="1476" w:type="pct"/>
            <w:shd w:val="clear" w:color="auto" w:fill="auto"/>
            <w:vAlign w:val="center"/>
          </w:tcPr>
          <w:p w14:paraId="5EEFA366">
            <w:pPr>
              <w:pStyle w:val="64"/>
              <w:spacing w:line="400" w:lineRule="exact"/>
              <w:ind w:firstLine="0" w:firstLineChars="0"/>
              <w:jc w:val="center"/>
              <w:rPr>
                <w:rFonts w:ascii="宋体" w:eastAsia="宋体" w:cs="宋体"/>
                <w:bCs/>
                <w:color w:val="auto"/>
                <w:sz w:val="21"/>
                <w:szCs w:val="21"/>
                <w:highlight w:val="none"/>
              </w:rPr>
            </w:pPr>
            <w:r>
              <w:rPr>
                <w:rFonts w:hint="eastAsia" w:ascii="宋体" w:eastAsia="宋体" w:cs="宋体"/>
                <w:bCs/>
                <w:color w:val="auto"/>
                <w:sz w:val="21"/>
                <w:szCs w:val="21"/>
                <w:highlight w:val="none"/>
              </w:rPr>
              <w:t>权利保证</w:t>
            </w:r>
          </w:p>
        </w:tc>
        <w:tc>
          <w:tcPr>
            <w:tcW w:w="646" w:type="pct"/>
            <w:vAlign w:val="center"/>
          </w:tcPr>
          <w:p w14:paraId="3D3D1D18">
            <w:pPr>
              <w:autoSpaceDE w:val="0"/>
              <w:autoSpaceDN w:val="0"/>
              <w:adjustRightInd w:val="0"/>
              <w:spacing w:line="400" w:lineRule="exact"/>
              <w:jc w:val="center"/>
              <w:rPr>
                <w:rFonts w:ascii="宋体" w:hAnsi="宋体" w:eastAsia="宋体" w:cs="宋体"/>
                <w:color w:val="auto"/>
                <w:kern w:val="0"/>
                <w:szCs w:val="21"/>
                <w:highlight w:val="none"/>
              </w:rPr>
            </w:pPr>
          </w:p>
        </w:tc>
        <w:tc>
          <w:tcPr>
            <w:tcW w:w="1703" w:type="pct"/>
            <w:vAlign w:val="center"/>
          </w:tcPr>
          <w:p w14:paraId="16F2FA3B">
            <w:pPr>
              <w:autoSpaceDE w:val="0"/>
              <w:autoSpaceDN w:val="0"/>
              <w:adjustRightInd w:val="0"/>
              <w:spacing w:line="400" w:lineRule="exact"/>
              <w:jc w:val="center"/>
              <w:rPr>
                <w:rFonts w:ascii="宋体" w:hAnsi="宋体" w:eastAsia="宋体" w:cs="宋体"/>
                <w:color w:val="auto"/>
                <w:kern w:val="0"/>
                <w:szCs w:val="21"/>
                <w:highlight w:val="none"/>
              </w:rPr>
            </w:pPr>
          </w:p>
        </w:tc>
      </w:tr>
      <w:tr w14:paraId="52BA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2F3C4E5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686" w:type="pct"/>
            <w:shd w:val="clear" w:color="auto" w:fill="auto"/>
            <w:vAlign w:val="center"/>
          </w:tcPr>
          <w:p w14:paraId="06B7FC37">
            <w:pPr>
              <w:pStyle w:val="64"/>
              <w:spacing w:line="400" w:lineRule="exact"/>
              <w:ind w:firstLine="0" w:firstLineChars="0"/>
              <w:jc w:val="center"/>
              <w:rPr>
                <w:rFonts w:ascii="宋体" w:eastAsia="宋体" w:cs="宋体"/>
                <w:color w:val="auto"/>
                <w:kern w:val="0"/>
                <w:szCs w:val="21"/>
                <w:highlight w:val="none"/>
              </w:rPr>
            </w:pPr>
            <w:r>
              <w:rPr>
                <w:rFonts w:hint="eastAsia" w:ascii="宋体" w:eastAsia="宋体" w:cs="宋体"/>
                <w:color w:val="auto"/>
                <w:sz w:val="21"/>
                <w:szCs w:val="21"/>
                <w:highlight w:val="none"/>
              </w:rPr>
              <w:t>十</w:t>
            </w:r>
          </w:p>
        </w:tc>
        <w:tc>
          <w:tcPr>
            <w:tcW w:w="1476" w:type="pct"/>
            <w:shd w:val="clear" w:color="auto" w:fill="auto"/>
            <w:vAlign w:val="center"/>
          </w:tcPr>
          <w:p w14:paraId="42DDD0AC">
            <w:pPr>
              <w:pStyle w:val="64"/>
              <w:spacing w:line="400" w:lineRule="exact"/>
              <w:ind w:firstLine="0" w:firstLineChars="0"/>
              <w:jc w:val="center"/>
              <w:rPr>
                <w:rFonts w:ascii="宋体" w:eastAsia="宋体" w:cs="宋体"/>
                <w:bCs/>
                <w:color w:val="auto"/>
                <w:kern w:val="0"/>
                <w:szCs w:val="21"/>
                <w:highlight w:val="none"/>
              </w:rPr>
            </w:pPr>
            <w:r>
              <w:rPr>
                <w:rFonts w:hint="eastAsia" w:ascii="宋体" w:eastAsia="宋体" w:cs="宋体"/>
                <w:bCs/>
                <w:color w:val="auto"/>
                <w:sz w:val="21"/>
                <w:szCs w:val="21"/>
                <w:highlight w:val="none"/>
              </w:rPr>
              <w:t>质量保证及售后服务</w:t>
            </w:r>
          </w:p>
        </w:tc>
        <w:tc>
          <w:tcPr>
            <w:tcW w:w="646" w:type="pct"/>
            <w:vAlign w:val="center"/>
          </w:tcPr>
          <w:p w14:paraId="642AAC86">
            <w:pPr>
              <w:autoSpaceDE w:val="0"/>
              <w:autoSpaceDN w:val="0"/>
              <w:adjustRightInd w:val="0"/>
              <w:spacing w:line="400" w:lineRule="exact"/>
              <w:jc w:val="center"/>
              <w:rPr>
                <w:rFonts w:ascii="宋体" w:hAnsi="宋体" w:eastAsia="宋体" w:cs="宋体"/>
                <w:color w:val="auto"/>
                <w:kern w:val="0"/>
                <w:szCs w:val="21"/>
                <w:highlight w:val="none"/>
              </w:rPr>
            </w:pPr>
          </w:p>
        </w:tc>
        <w:tc>
          <w:tcPr>
            <w:tcW w:w="1703" w:type="pct"/>
            <w:vAlign w:val="center"/>
          </w:tcPr>
          <w:p w14:paraId="3C2E369F">
            <w:pPr>
              <w:autoSpaceDE w:val="0"/>
              <w:autoSpaceDN w:val="0"/>
              <w:adjustRightInd w:val="0"/>
              <w:spacing w:line="400" w:lineRule="exact"/>
              <w:jc w:val="center"/>
              <w:rPr>
                <w:rFonts w:ascii="宋体" w:hAnsi="宋体" w:eastAsia="宋体" w:cs="宋体"/>
                <w:color w:val="auto"/>
                <w:kern w:val="0"/>
                <w:szCs w:val="21"/>
                <w:highlight w:val="none"/>
              </w:rPr>
            </w:pPr>
          </w:p>
        </w:tc>
      </w:tr>
      <w:tr w14:paraId="7ECF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73EB6FF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686" w:type="pct"/>
            <w:shd w:val="clear" w:color="auto" w:fill="auto"/>
            <w:vAlign w:val="center"/>
          </w:tcPr>
          <w:p w14:paraId="31AE397B">
            <w:pPr>
              <w:pStyle w:val="64"/>
              <w:spacing w:line="400" w:lineRule="exact"/>
              <w:ind w:firstLine="0" w:firstLineChars="0"/>
              <w:jc w:val="center"/>
              <w:rPr>
                <w:rFonts w:ascii="宋体" w:eastAsia="宋体" w:cs="宋体"/>
                <w:color w:val="auto"/>
                <w:kern w:val="0"/>
                <w:szCs w:val="21"/>
                <w:highlight w:val="none"/>
              </w:rPr>
            </w:pPr>
            <w:r>
              <w:rPr>
                <w:rFonts w:hint="eastAsia" w:ascii="宋体" w:eastAsia="宋体" w:cs="宋体"/>
                <w:color w:val="auto"/>
                <w:sz w:val="21"/>
                <w:szCs w:val="21"/>
                <w:highlight w:val="none"/>
              </w:rPr>
              <w:t>十一</w:t>
            </w:r>
          </w:p>
        </w:tc>
        <w:tc>
          <w:tcPr>
            <w:tcW w:w="1476" w:type="pct"/>
            <w:shd w:val="clear" w:color="auto" w:fill="auto"/>
            <w:vAlign w:val="center"/>
          </w:tcPr>
          <w:p w14:paraId="4E695A0F">
            <w:pPr>
              <w:pStyle w:val="64"/>
              <w:spacing w:line="400" w:lineRule="exact"/>
              <w:ind w:firstLine="0" w:firstLineChars="0"/>
              <w:jc w:val="center"/>
              <w:rPr>
                <w:rFonts w:ascii="宋体" w:eastAsia="宋体" w:cs="宋体"/>
                <w:bCs/>
                <w:color w:val="auto"/>
                <w:kern w:val="0"/>
                <w:szCs w:val="21"/>
                <w:highlight w:val="none"/>
              </w:rPr>
            </w:pPr>
            <w:r>
              <w:rPr>
                <w:rFonts w:hint="eastAsia" w:ascii="宋体" w:eastAsia="宋体" w:cs="宋体"/>
                <w:bCs/>
                <w:color w:val="auto"/>
                <w:sz w:val="21"/>
                <w:szCs w:val="21"/>
                <w:highlight w:val="none"/>
              </w:rPr>
              <w:t>履约担保</w:t>
            </w:r>
          </w:p>
        </w:tc>
        <w:tc>
          <w:tcPr>
            <w:tcW w:w="646" w:type="pct"/>
            <w:vAlign w:val="center"/>
          </w:tcPr>
          <w:p w14:paraId="51DC21D7">
            <w:pPr>
              <w:autoSpaceDE w:val="0"/>
              <w:autoSpaceDN w:val="0"/>
              <w:adjustRightInd w:val="0"/>
              <w:spacing w:line="400" w:lineRule="exact"/>
              <w:jc w:val="center"/>
              <w:rPr>
                <w:rFonts w:ascii="宋体" w:hAnsi="宋体" w:eastAsia="宋体" w:cs="宋体"/>
                <w:color w:val="auto"/>
                <w:kern w:val="0"/>
                <w:szCs w:val="21"/>
                <w:highlight w:val="none"/>
              </w:rPr>
            </w:pPr>
          </w:p>
        </w:tc>
        <w:tc>
          <w:tcPr>
            <w:tcW w:w="1703" w:type="pct"/>
            <w:vAlign w:val="center"/>
          </w:tcPr>
          <w:p w14:paraId="079C3F97">
            <w:pPr>
              <w:autoSpaceDE w:val="0"/>
              <w:autoSpaceDN w:val="0"/>
              <w:adjustRightInd w:val="0"/>
              <w:spacing w:line="400" w:lineRule="exact"/>
              <w:jc w:val="center"/>
              <w:rPr>
                <w:rFonts w:ascii="宋体" w:hAnsi="宋体" w:eastAsia="宋体" w:cs="宋体"/>
                <w:color w:val="auto"/>
                <w:kern w:val="0"/>
                <w:szCs w:val="21"/>
                <w:highlight w:val="none"/>
              </w:rPr>
            </w:pPr>
          </w:p>
        </w:tc>
      </w:tr>
      <w:tr w14:paraId="59D9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2246F93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686" w:type="pct"/>
            <w:shd w:val="clear" w:color="auto" w:fill="auto"/>
            <w:vAlign w:val="center"/>
          </w:tcPr>
          <w:p w14:paraId="532708DD">
            <w:pPr>
              <w:pStyle w:val="64"/>
              <w:spacing w:line="400" w:lineRule="exact"/>
              <w:ind w:firstLine="0" w:firstLineChars="0"/>
              <w:jc w:val="center"/>
              <w:rPr>
                <w:rFonts w:ascii="宋体" w:eastAsia="宋体" w:cs="宋体"/>
                <w:color w:val="auto"/>
                <w:kern w:val="0"/>
                <w:szCs w:val="21"/>
                <w:highlight w:val="none"/>
              </w:rPr>
            </w:pPr>
            <w:r>
              <w:rPr>
                <w:rFonts w:hint="eastAsia" w:ascii="宋体" w:eastAsia="宋体" w:cs="宋体"/>
                <w:color w:val="auto"/>
                <w:sz w:val="21"/>
                <w:szCs w:val="21"/>
                <w:highlight w:val="none"/>
              </w:rPr>
              <w:t>十二</w:t>
            </w:r>
          </w:p>
        </w:tc>
        <w:tc>
          <w:tcPr>
            <w:tcW w:w="1476" w:type="pct"/>
            <w:shd w:val="clear" w:color="auto" w:fill="auto"/>
            <w:vAlign w:val="center"/>
          </w:tcPr>
          <w:p w14:paraId="579BC767">
            <w:pPr>
              <w:pStyle w:val="64"/>
              <w:spacing w:line="400" w:lineRule="exact"/>
              <w:ind w:firstLine="0" w:firstLineChars="0"/>
              <w:jc w:val="center"/>
              <w:rPr>
                <w:rFonts w:ascii="宋体" w:eastAsia="宋体" w:cs="宋体"/>
                <w:bCs/>
                <w:color w:val="auto"/>
                <w:kern w:val="0"/>
                <w:szCs w:val="21"/>
                <w:highlight w:val="none"/>
              </w:rPr>
            </w:pPr>
            <w:r>
              <w:rPr>
                <w:rFonts w:hint="eastAsia" w:ascii="宋体" w:eastAsia="宋体" w:cs="宋体"/>
                <w:bCs/>
                <w:color w:val="auto"/>
                <w:sz w:val="21"/>
                <w:szCs w:val="21"/>
                <w:highlight w:val="none"/>
              </w:rPr>
              <w:t>付款方式</w:t>
            </w:r>
          </w:p>
        </w:tc>
        <w:tc>
          <w:tcPr>
            <w:tcW w:w="646" w:type="pct"/>
            <w:vAlign w:val="center"/>
          </w:tcPr>
          <w:p w14:paraId="25AC5B80">
            <w:pPr>
              <w:autoSpaceDE w:val="0"/>
              <w:autoSpaceDN w:val="0"/>
              <w:adjustRightInd w:val="0"/>
              <w:spacing w:line="400" w:lineRule="exact"/>
              <w:jc w:val="center"/>
              <w:rPr>
                <w:rFonts w:ascii="宋体" w:hAnsi="宋体" w:eastAsia="宋体" w:cs="宋体"/>
                <w:color w:val="auto"/>
                <w:kern w:val="0"/>
                <w:szCs w:val="21"/>
                <w:highlight w:val="none"/>
              </w:rPr>
            </w:pPr>
          </w:p>
        </w:tc>
        <w:tc>
          <w:tcPr>
            <w:tcW w:w="1703" w:type="pct"/>
            <w:vAlign w:val="center"/>
          </w:tcPr>
          <w:p w14:paraId="6E75A3F6">
            <w:pPr>
              <w:autoSpaceDE w:val="0"/>
              <w:autoSpaceDN w:val="0"/>
              <w:adjustRightInd w:val="0"/>
              <w:spacing w:line="400" w:lineRule="exact"/>
              <w:jc w:val="center"/>
              <w:rPr>
                <w:rFonts w:ascii="宋体" w:hAnsi="宋体" w:eastAsia="宋体" w:cs="宋体"/>
                <w:color w:val="auto"/>
                <w:kern w:val="0"/>
                <w:szCs w:val="21"/>
                <w:highlight w:val="none"/>
              </w:rPr>
            </w:pPr>
          </w:p>
        </w:tc>
      </w:tr>
      <w:tr w14:paraId="0E81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6B49C10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686" w:type="pct"/>
            <w:shd w:val="clear" w:color="auto" w:fill="auto"/>
            <w:vAlign w:val="center"/>
          </w:tcPr>
          <w:p w14:paraId="6C326A88">
            <w:pPr>
              <w:pStyle w:val="64"/>
              <w:spacing w:line="400" w:lineRule="exact"/>
              <w:ind w:firstLine="0" w:firstLineChars="0"/>
              <w:jc w:val="center"/>
              <w:rPr>
                <w:rFonts w:ascii="宋体" w:eastAsia="宋体" w:cs="宋体"/>
                <w:color w:val="auto"/>
                <w:kern w:val="0"/>
                <w:szCs w:val="21"/>
                <w:highlight w:val="none"/>
              </w:rPr>
            </w:pPr>
            <w:r>
              <w:rPr>
                <w:rFonts w:hint="eastAsia" w:ascii="宋体" w:eastAsia="宋体" w:cs="宋体"/>
                <w:color w:val="auto"/>
                <w:sz w:val="21"/>
                <w:szCs w:val="21"/>
                <w:highlight w:val="none"/>
              </w:rPr>
              <w:t>十三</w:t>
            </w:r>
          </w:p>
        </w:tc>
        <w:tc>
          <w:tcPr>
            <w:tcW w:w="1476" w:type="pct"/>
            <w:shd w:val="clear" w:color="auto" w:fill="auto"/>
            <w:vAlign w:val="center"/>
          </w:tcPr>
          <w:p w14:paraId="1C6D2BA2">
            <w:pPr>
              <w:pStyle w:val="64"/>
              <w:spacing w:line="400" w:lineRule="exact"/>
              <w:ind w:firstLine="0" w:firstLineChars="0"/>
              <w:jc w:val="center"/>
              <w:rPr>
                <w:rFonts w:ascii="宋体" w:eastAsia="宋体" w:cs="宋体"/>
                <w:bCs/>
                <w:color w:val="auto"/>
                <w:kern w:val="0"/>
                <w:szCs w:val="21"/>
                <w:highlight w:val="none"/>
              </w:rPr>
            </w:pPr>
            <w:r>
              <w:rPr>
                <w:rFonts w:hint="eastAsia" w:ascii="宋体" w:eastAsia="宋体" w:cs="宋体"/>
                <w:bCs/>
                <w:color w:val="auto"/>
                <w:sz w:val="21"/>
                <w:szCs w:val="21"/>
                <w:highlight w:val="none"/>
              </w:rPr>
              <w:t>不可抗力</w:t>
            </w:r>
          </w:p>
        </w:tc>
        <w:tc>
          <w:tcPr>
            <w:tcW w:w="646" w:type="pct"/>
            <w:vAlign w:val="center"/>
          </w:tcPr>
          <w:p w14:paraId="42930518">
            <w:pPr>
              <w:autoSpaceDE w:val="0"/>
              <w:autoSpaceDN w:val="0"/>
              <w:adjustRightInd w:val="0"/>
              <w:spacing w:line="400" w:lineRule="exact"/>
              <w:jc w:val="center"/>
              <w:rPr>
                <w:rFonts w:ascii="宋体" w:hAnsi="宋体" w:eastAsia="宋体" w:cs="宋体"/>
                <w:color w:val="auto"/>
                <w:kern w:val="0"/>
                <w:szCs w:val="21"/>
                <w:highlight w:val="none"/>
              </w:rPr>
            </w:pPr>
          </w:p>
        </w:tc>
        <w:tc>
          <w:tcPr>
            <w:tcW w:w="1703" w:type="pct"/>
            <w:vAlign w:val="center"/>
          </w:tcPr>
          <w:p w14:paraId="038FA0A1">
            <w:pPr>
              <w:autoSpaceDE w:val="0"/>
              <w:autoSpaceDN w:val="0"/>
              <w:adjustRightInd w:val="0"/>
              <w:spacing w:line="400" w:lineRule="exact"/>
              <w:jc w:val="center"/>
              <w:rPr>
                <w:rFonts w:ascii="宋体" w:hAnsi="宋体" w:eastAsia="宋体" w:cs="宋体"/>
                <w:color w:val="auto"/>
                <w:kern w:val="0"/>
                <w:szCs w:val="21"/>
                <w:highlight w:val="none"/>
              </w:rPr>
            </w:pPr>
          </w:p>
        </w:tc>
      </w:tr>
      <w:tr w14:paraId="1EC1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570C32E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686" w:type="pct"/>
            <w:vAlign w:val="center"/>
          </w:tcPr>
          <w:p w14:paraId="1CE2175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eastAsia="宋体" w:cs="宋体"/>
                <w:color w:val="auto"/>
                <w:szCs w:val="21"/>
                <w:highlight w:val="none"/>
              </w:rPr>
              <w:t>十四</w:t>
            </w:r>
          </w:p>
        </w:tc>
        <w:tc>
          <w:tcPr>
            <w:tcW w:w="1476" w:type="pct"/>
            <w:vAlign w:val="center"/>
          </w:tcPr>
          <w:p w14:paraId="6EE9DA26">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szCs w:val="21"/>
                <w:highlight w:val="none"/>
              </w:rPr>
              <w:t>索赔</w:t>
            </w:r>
          </w:p>
        </w:tc>
        <w:tc>
          <w:tcPr>
            <w:tcW w:w="646" w:type="pct"/>
            <w:vAlign w:val="center"/>
          </w:tcPr>
          <w:p w14:paraId="1C6F03DB">
            <w:pPr>
              <w:autoSpaceDE w:val="0"/>
              <w:autoSpaceDN w:val="0"/>
              <w:adjustRightInd w:val="0"/>
              <w:spacing w:line="400" w:lineRule="exact"/>
              <w:jc w:val="center"/>
              <w:rPr>
                <w:rFonts w:ascii="宋体" w:hAnsi="宋体" w:eastAsia="宋体" w:cs="宋体"/>
                <w:color w:val="auto"/>
                <w:kern w:val="0"/>
                <w:szCs w:val="21"/>
                <w:highlight w:val="none"/>
              </w:rPr>
            </w:pPr>
          </w:p>
        </w:tc>
        <w:tc>
          <w:tcPr>
            <w:tcW w:w="1703" w:type="pct"/>
            <w:vAlign w:val="center"/>
          </w:tcPr>
          <w:p w14:paraId="1BEFA203">
            <w:pPr>
              <w:autoSpaceDE w:val="0"/>
              <w:autoSpaceDN w:val="0"/>
              <w:adjustRightInd w:val="0"/>
              <w:spacing w:line="400" w:lineRule="exact"/>
              <w:jc w:val="center"/>
              <w:rPr>
                <w:rFonts w:ascii="宋体" w:hAnsi="宋体" w:eastAsia="宋体" w:cs="宋体"/>
                <w:color w:val="auto"/>
                <w:kern w:val="0"/>
                <w:szCs w:val="21"/>
                <w:highlight w:val="none"/>
              </w:rPr>
            </w:pPr>
          </w:p>
        </w:tc>
      </w:tr>
      <w:tr w14:paraId="6DFE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085335C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686" w:type="pct"/>
            <w:vAlign w:val="center"/>
          </w:tcPr>
          <w:p w14:paraId="34EEAF1C">
            <w:pPr>
              <w:autoSpaceDE w:val="0"/>
              <w:autoSpaceDN w:val="0"/>
              <w:adjustRightInd w:val="0"/>
              <w:spacing w:line="400" w:lineRule="exact"/>
              <w:jc w:val="center"/>
              <w:rPr>
                <w:rFonts w:ascii="宋体" w:eastAsia="宋体" w:cs="宋体"/>
                <w:color w:val="auto"/>
                <w:szCs w:val="21"/>
                <w:highlight w:val="none"/>
              </w:rPr>
            </w:pPr>
            <w:r>
              <w:rPr>
                <w:rFonts w:hint="eastAsia" w:ascii="宋体" w:eastAsia="宋体" w:cs="宋体"/>
                <w:color w:val="auto"/>
                <w:szCs w:val="21"/>
                <w:highlight w:val="none"/>
              </w:rPr>
              <w:t>十五</w:t>
            </w:r>
          </w:p>
        </w:tc>
        <w:tc>
          <w:tcPr>
            <w:tcW w:w="1476" w:type="pct"/>
            <w:vAlign w:val="center"/>
          </w:tcPr>
          <w:p w14:paraId="6CCE2694">
            <w:pPr>
              <w:autoSpaceDE w:val="0"/>
              <w:autoSpaceDN w:val="0"/>
              <w:adjustRightInd w:val="0"/>
              <w:spacing w:line="40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违约责任</w:t>
            </w:r>
          </w:p>
        </w:tc>
        <w:tc>
          <w:tcPr>
            <w:tcW w:w="646" w:type="pct"/>
            <w:vAlign w:val="center"/>
          </w:tcPr>
          <w:p w14:paraId="57BD1583">
            <w:pPr>
              <w:autoSpaceDE w:val="0"/>
              <w:autoSpaceDN w:val="0"/>
              <w:adjustRightInd w:val="0"/>
              <w:spacing w:line="400" w:lineRule="exact"/>
              <w:jc w:val="center"/>
              <w:rPr>
                <w:rFonts w:ascii="宋体" w:hAnsi="宋体" w:eastAsia="宋体" w:cs="宋体"/>
                <w:color w:val="auto"/>
                <w:kern w:val="0"/>
                <w:szCs w:val="21"/>
                <w:highlight w:val="none"/>
              </w:rPr>
            </w:pPr>
          </w:p>
        </w:tc>
        <w:tc>
          <w:tcPr>
            <w:tcW w:w="1703" w:type="pct"/>
            <w:vAlign w:val="center"/>
          </w:tcPr>
          <w:p w14:paraId="31BB152F">
            <w:pPr>
              <w:autoSpaceDE w:val="0"/>
              <w:autoSpaceDN w:val="0"/>
              <w:adjustRightInd w:val="0"/>
              <w:spacing w:line="400" w:lineRule="exact"/>
              <w:jc w:val="center"/>
              <w:rPr>
                <w:rFonts w:ascii="宋体" w:hAnsi="宋体" w:eastAsia="宋体" w:cs="宋体"/>
                <w:color w:val="auto"/>
                <w:kern w:val="0"/>
                <w:szCs w:val="21"/>
                <w:highlight w:val="none"/>
              </w:rPr>
            </w:pPr>
          </w:p>
        </w:tc>
      </w:tr>
      <w:tr w14:paraId="7087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4B075C8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686" w:type="pct"/>
            <w:vAlign w:val="center"/>
          </w:tcPr>
          <w:p w14:paraId="0F308E30">
            <w:pPr>
              <w:autoSpaceDE w:val="0"/>
              <w:autoSpaceDN w:val="0"/>
              <w:adjustRightInd w:val="0"/>
              <w:spacing w:line="400" w:lineRule="exact"/>
              <w:jc w:val="center"/>
              <w:rPr>
                <w:rFonts w:ascii="宋体" w:eastAsia="宋体" w:cs="宋体"/>
                <w:color w:val="auto"/>
                <w:szCs w:val="21"/>
                <w:highlight w:val="none"/>
              </w:rPr>
            </w:pPr>
            <w:r>
              <w:rPr>
                <w:rFonts w:hint="eastAsia" w:ascii="宋体" w:eastAsia="宋体" w:cs="宋体"/>
                <w:color w:val="auto"/>
                <w:szCs w:val="21"/>
                <w:highlight w:val="none"/>
              </w:rPr>
              <w:t>十六</w:t>
            </w:r>
          </w:p>
        </w:tc>
        <w:tc>
          <w:tcPr>
            <w:tcW w:w="1476" w:type="pct"/>
            <w:vAlign w:val="center"/>
          </w:tcPr>
          <w:p w14:paraId="08BF7DF0">
            <w:pPr>
              <w:autoSpaceDE w:val="0"/>
              <w:autoSpaceDN w:val="0"/>
              <w:adjustRightInd w:val="0"/>
              <w:spacing w:line="40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争议解决</w:t>
            </w:r>
          </w:p>
        </w:tc>
        <w:tc>
          <w:tcPr>
            <w:tcW w:w="646" w:type="pct"/>
            <w:vAlign w:val="center"/>
          </w:tcPr>
          <w:p w14:paraId="030F1E9B">
            <w:pPr>
              <w:autoSpaceDE w:val="0"/>
              <w:autoSpaceDN w:val="0"/>
              <w:adjustRightInd w:val="0"/>
              <w:spacing w:line="400" w:lineRule="exact"/>
              <w:jc w:val="center"/>
              <w:rPr>
                <w:rFonts w:ascii="宋体" w:hAnsi="宋体" w:eastAsia="宋体" w:cs="宋体"/>
                <w:color w:val="auto"/>
                <w:kern w:val="0"/>
                <w:szCs w:val="21"/>
                <w:highlight w:val="none"/>
              </w:rPr>
            </w:pPr>
          </w:p>
        </w:tc>
        <w:tc>
          <w:tcPr>
            <w:tcW w:w="1703" w:type="pct"/>
            <w:vAlign w:val="center"/>
          </w:tcPr>
          <w:p w14:paraId="085BDC5D">
            <w:pPr>
              <w:autoSpaceDE w:val="0"/>
              <w:autoSpaceDN w:val="0"/>
              <w:adjustRightInd w:val="0"/>
              <w:spacing w:line="400" w:lineRule="exact"/>
              <w:jc w:val="center"/>
              <w:rPr>
                <w:rFonts w:ascii="宋体" w:hAnsi="宋体" w:eastAsia="宋体" w:cs="宋体"/>
                <w:color w:val="auto"/>
                <w:kern w:val="0"/>
                <w:szCs w:val="21"/>
                <w:highlight w:val="none"/>
              </w:rPr>
            </w:pPr>
          </w:p>
        </w:tc>
      </w:tr>
      <w:tr w14:paraId="3F3B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68367FD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686" w:type="pct"/>
            <w:vAlign w:val="center"/>
          </w:tcPr>
          <w:p w14:paraId="0AF0FBE3">
            <w:pPr>
              <w:autoSpaceDE w:val="0"/>
              <w:autoSpaceDN w:val="0"/>
              <w:adjustRightInd w:val="0"/>
              <w:spacing w:line="400" w:lineRule="exact"/>
              <w:jc w:val="center"/>
              <w:rPr>
                <w:rFonts w:ascii="宋体" w:eastAsia="宋体" w:cs="宋体"/>
                <w:color w:val="auto"/>
                <w:szCs w:val="21"/>
                <w:highlight w:val="none"/>
              </w:rPr>
            </w:pPr>
            <w:r>
              <w:rPr>
                <w:rFonts w:hint="eastAsia" w:ascii="宋体" w:eastAsia="宋体" w:cs="宋体"/>
                <w:color w:val="auto"/>
                <w:szCs w:val="21"/>
                <w:highlight w:val="none"/>
              </w:rPr>
              <w:t>十七</w:t>
            </w:r>
          </w:p>
        </w:tc>
        <w:tc>
          <w:tcPr>
            <w:tcW w:w="1476" w:type="pct"/>
            <w:vAlign w:val="center"/>
          </w:tcPr>
          <w:p w14:paraId="717856E4">
            <w:pPr>
              <w:autoSpaceDE w:val="0"/>
              <w:autoSpaceDN w:val="0"/>
              <w:adjustRightInd w:val="0"/>
              <w:spacing w:line="40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其他</w:t>
            </w:r>
          </w:p>
        </w:tc>
        <w:tc>
          <w:tcPr>
            <w:tcW w:w="646" w:type="pct"/>
            <w:vAlign w:val="center"/>
          </w:tcPr>
          <w:p w14:paraId="0016FA45">
            <w:pPr>
              <w:autoSpaceDE w:val="0"/>
              <w:autoSpaceDN w:val="0"/>
              <w:adjustRightInd w:val="0"/>
              <w:spacing w:line="400" w:lineRule="exact"/>
              <w:jc w:val="center"/>
              <w:rPr>
                <w:rFonts w:ascii="宋体" w:hAnsi="宋体" w:eastAsia="宋体" w:cs="宋体"/>
                <w:color w:val="auto"/>
                <w:kern w:val="0"/>
                <w:szCs w:val="21"/>
                <w:highlight w:val="none"/>
              </w:rPr>
            </w:pPr>
          </w:p>
        </w:tc>
        <w:tc>
          <w:tcPr>
            <w:tcW w:w="1703" w:type="pct"/>
            <w:vAlign w:val="center"/>
          </w:tcPr>
          <w:p w14:paraId="0139270F">
            <w:pPr>
              <w:autoSpaceDE w:val="0"/>
              <w:autoSpaceDN w:val="0"/>
              <w:adjustRightInd w:val="0"/>
              <w:spacing w:line="400" w:lineRule="exact"/>
              <w:jc w:val="center"/>
              <w:rPr>
                <w:rFonts w:ascii="宋体" w:hAnsi="宋体" w:eastAsia="宋体" w:cs="宋体"/>
                <w:color w:val="auto"/>
                <w:kern w:val="0"/>
                <w:szCs w:val="21"/>
                <w:highlight w:val="none"/>
              </w:rPr>
            </w:pPr>
          </w:p>
        </w:tc>
      </w:tr>
      <w:tr w14:paraId="327A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2D44EAA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686" w:type="pct"/>
            <w:vAlign w:val="center"/>
          </w:tcPr>
          <w:p w14:paraId="69332FE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附件2</w:t>
            </w:r>
          </w:p>
        </w:tc>
        <w:tc>
          <w:tcPr>
            <w:tcW w:w="1476" w:type="pct"/>
            <w:vAlign w:val="center"/>
          </w:tcPr>
          <w:p w14:paraId="1FD94A1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646" w:type="pct"/>
            <w:vAlign w:val="center"/>
          </w:tcPr>
          <w:p w14:paraId="4FF25895">
            <w:pPr>
              <w:autoSpaceDE w:val="0"/>
              <w:autoSpaceDN w:val="0"/>
              <w:adjustRightInd w:val="0"/>
              <w:spacing w:line="400" w:lineRule="exact"/>
              <w:jc w:val="center"/>
              <w:rPr>
                <w:rFonts w:ascii="宋体" w:hAnsi="宋体" w:eastAsia="宋体" w:cs="宋体"/>
                <w:color w:val="auto"/>
                <w:kern w:val="0"/>
                <w:szCs w:val="21"/>
                <w:highlight w:val="none"/>
              </w:rPr>
            </w:pPr>
          </w:p>
        </w:tc>
        <w:tc>
          <w:tcPr>
            <w:tcW w:w="1703" w:type="pct"/>
            <w:vAlign w:val="center"/>
          </w:tcPr>
          <w:p w14:paraId="1D81C299">
            <w:pPr>
              <w:autoSpaceDE w:val="0"/>
              <w:autoSpaceDN w:val="0"/>
              <w:adjustRightInd w:val="0"/>
              <w:spacing w:line="400" w:lineRule="exact"/>
              <w:jc w:val="center"/>
              <w:rPr>
                <w:rFonts w:ascii="宋体" w:hAnsi="宋体" w:eastAsia="宋体" w:cs="宋体"/>
                <w:color w:val="auto"/>
                <w:kern w:val="0"/>
                <w:szCs w:val="21"/>
                <w:highlight w:val="none"/>
              </w:rPr>
            </w:pPr>
          </w:p>
        </w:tc>
      </w:tr>
      <w:tr w14:paraId="184F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7E3D823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686" w:type="pct"/>
            <w:shd w:val="clear" w:color="auto" w:fill="auto"/>
            <w:vAlign w:val="center"/>
          </w:tcPr>
          <w:p w14:paraId="212CAF9E">
            <w:pPr>
              <w:autoSpaceDE w:val="0"/>
              <w:autoSpaceDN w:val="0"/>
              <w:adjustRightInd w:val="0"/>
              <w:jc w:val="center"/>
              <w:rPr>
                <w:rFonts w:ascii="宋体" w:hAnsi="宋体" w:eastAsia="宋体" w:cs="宋体"/>
                <w:color w:val="auto"/>
                <w:kern w:val="0"/>
                <w:sz w:val="31"/>
                <w:szCs w:val="21"/>
                <w:highlight w:val="none"/>
              </w:rPr>
            </w:pPr>
            <w:r>
              <w:rPr>
                <w:rFonts w:hint="eastAsia" w:ascii="宋体" w:hAnsi="宋体" w:eastAsia="宋体" w:cs="宋体"/>
                <w:color w:val="auto"/>
                <w:kern w:val="0"/>
                <w:szCs w:val="21"/>
                <w:highlight w:val="none"/>
              </w:rPr>
              <w:t>附件3</w:t>
            </w:r>
          </w:p>
        </w:tc>
        <w:tc>
          <w:tcPr>
            <w:tcW w:w="1476" w:type="pct"/>
            <w:shd w:val="clear" w:color="auto" w:fill="auto"/>
            <w:vAlign w:val="center"/>
          </w:tcPr>
          <w:p w14:paraId="2A1F56F6">
            <w:pPr>
              <w:pStyle w:val="64"/>
              <w:snapToGrid w:val="0"/>
              <w:spacing w:line="400" w:lineRule="exact"/>
              <w:ind w:firstLine="0" w:firstLineChars="0"/>
              <w:jc w:val="center"/>
              <w:rPr>
                <w:rFonts w:ascii="宋体" w:eastAsia="宋体" w:cs="宋体"/>
                <w:color w:val="auto"/>
                <w:kern w:val="0"/>
                <w:szCs w:val="21"/>
                <w:highlight w:val="none"/>
              </w:rPr>
            </w:pPr>
            <w:r>
              <w:rPr>
                <w:rFonts w:hint="eastAsia" w:ascii="宋体" w:eastAsia="宋体" w:cs="宋体"/>
                <w:color w:val="auto"/>
                <w:sz w:val="21"/>
                <w:szCs w:val="21"/>
                <w:highlight w:val="none"/>
              </w:rPr>
              <w:t>安全生产管理协议</w:t>
            </w:r>
          </w:p>
        </w:tc>
        <w:tc>
          <w:tcPr>
            <w:tcW w:w="646" w:type="pct"/>
            <w:vAlign w:val="center"/>
          </w:tcPr>
          <w:p w14:paraId="19FF86BA">
            <w:pPr>
              <w:autoSpaceDE w:val="0"/>
              <w:autoSpaceDN w:val="0"/>
              <w:adjustRightInd w:val="0"/>
              <w:spacing w:line="400" w:lineRule="exact"/>
              <w:jc w:val="center"/>
              <w:rPr>
                <w:rFonts w:ascii="宋体" w:hAnsi="宋体" w:eastAsia="宋体" w:cs="宋体"/>
                <w:color w:val="auto"/>
                <w:kern w:val="0"/>
                <w:szCs w:val="21"/>
                <w:highlight w:val="none"/>
              </w:rPr>
            </w:pPr>
          </w:p>
        </w:tc>
        <w:tc>
          <w:tcPr>
            <w:tcW w:w="1703" w:type="pct"/>
            <w:vAlign w:val="center"/>
          </w:tcPr>
          <w:p w14:paraId="7D2DF714">
            <w:pPr>
              <w:autoSpaceDE w:val="0"/>
              <w:autoSpaceDN w:val="0"/>
              <w:adjustRightInd w:val="0"/>
              <w:spacing w:line="400" w:lineRule="exact"/>
              <w:jc w:val="center"/>
              <w:rPr>
                <w:rFonts w:ascii="宋体" w:hAnsi="宋体" w:eastAsia="宋体" w:cs="宋体"/>
                <w:color w:val="auto"/>
                <w:kern w:val="0"/>
                <w:szCs w:val="21"/>
                <w:highlight w:val="none"/>
              </w:rPr>
            </w:pPr>
          </w:p>
        </w:tc>
      </w:tr>
      <w:tr w14:paraId="4555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0BAA539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686" w:type="pct"/>
            <w:shd w:val="clear" w:color="auto" w:fill="auto"/>
            <w:vAlign w:val="center"/>
          </w:tcPr>
          <w:p w14:paraId="504C4861">
            <w:pPr>
              <w:pStyle w:val="64"/>
              <w:snapToGrid w:val="0"/>
              <w:spacing w:line="240" w:lineRule="auto"/>
              <w:ind w:firstLine="0" w:firstLineChars="0"/>
              <w:jc w:val="center"/>
              <w:rPr>
                <w:rFonts w:ascii="宋体" w:eastAsia="宋体" w:cs="宋体"/>
                <w:color w:val="auto"/>
                <w:kern w:val="0"/>
                <w:szCs w:val="21"/>
                <w:highlight w:val="none"/>
              </w:rPr>
            </w:pPr>
            <w:r>
              <w:rPr>
                <w:rFonts w:hint="eastAsia" w:ascii="宋体" w:eastAsia="宋体"/>
                <w:color w:val="auto"/>
                <w:sz w:val="21"/>
                <w:szCs w:val="21"/>
                <w:highlight w:val="none"/>
              </w:rPr>
              <w:t>/</w:t>
            </w:r>
          </w:p>
        </w:tc>
        <w:tc>
          <w:tcPr>
            <w:tcW w:w="1476" w:type="pct"/>
            <w:shd w:val="clear" w:color="auto" w:fill="auto"/>
            <w:vAlign w:val="center"/>
          </w:tcPr>
          <w:p w14:paraId="755EB0A0">
            <w:pPr>
              <w:pStyle w:val="64"/>
              <w:snapToGrid w:val="0"/>
              <w:spacing w:line="240" w:lineRule="auto"/>
              <w:ind w:firstLine="0" w:firstLineChars="0"/>
              <w:jc w:val="center"/>
              <w:rPr>
                <w:rFonts w:ascii="宋体" w:eastAsia="宋体" w:cs="宋体"/>
                <w:color w:val="auto"/>
                <w:sz w:val="21"/>
                <w:szCs w:val="21"/>
                <w:highlight w:val="none"/>
              </w:rPr>
            </w:pPr>
            <w:r>
              <w:rPr>
                <w:rFonts w:hint="eastAsia" w:ascii="宋体" w:eastAsia="宋体"/>
                <w:color w:val="auto"/>
                <w:sz w:val="21"/>
                <w:szCs w:val="21"/>
                <w:highlight w:val="none"/>
              </w:rPr>
              <w:t>补充协议</w:t>
            </w:r>
          </w:p>
        </w:tc>
        <w:tc>
          <w:tcPr>
            <w:tcW w:w="646" w:type="pct"/>
            <w:vAlign w:val="center"/>
          </w:tcPr>
          <w:p w14:paraId="2CF98B44">
            <w:pPr>
              <w:autoSpaceDE w:val="0"/>
              <w:autoSpaceDN w:val="0"/>
              <w:adjustRightInd w:val="0"/>
              <w:spacing w:line="400" w:lineRule="exact"/>
              <w:jc w:val="center"/>
              <w:rPr>
                <w:rFonts w:ascii="宋体" w:hAnsi="宋体" w:eastAsia="宋体" w:cs="宋体"/>
                <w:color w:val="auto"/>
                <w:kern w:val="0"/>
                <w:szCs w:val="21"/>
                <w:highlight w:val="none"/>
              </w:rPr>
            </w:pPr>
          </w:p>
        </w:tc>
        <w:tc>
          <w:tcPr>
            <w:tcW w:w="1703" w:type="pct"/>
            <w:vAlign w:val="center"/>
          </w:tcPr>
          <w:p w14:paraId="06274AD9">
            <w:pPr>
              <w:autoSpaceDE w:val="0"/>
              <w:autoSpaceDN w:val="0"/>
              <w:adjustRightInd w:val="0"/>
              <w:spacing w:line="400" w:lineRule="exact"/>
              <w:jc w:val="center"/>
              <w:rPr>
                <w:rFonts w:ascii="宋体" w:hAnsi="宋体" w:eastAsia="宋体" w:cs="宋体"/>
                <w:color w:val="auto"/>
                <w:kern w:val="0"/>
                <w:szCs w:val="21"/>
                <w:highlight w:val="none"/>
              </w:rPr>
            </w:pPr>
          </w:p>
        </w:tc>
      </w:tr>
      <w:tr w14:paraId="5618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5FE7E55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686" w:type="pct"/>
            <w:shd w:val="clear" w:color="auto" w:fill="auto"/>
            <w:vAlign w:val="center"/>
          </w:tcPr>
          <w:p w14:paraId="521110CF">
            <w:pPr>
              <w:pStyle w:val="64"/>
              <w:snapToGrid w:val="0"/>
              <w:spacing w:line="400" w:lineRule="exact"/>
              <w:ind w:firstLine="0" w:firstLineChars="0"/>
              <w:jc w:val="center"/>
              <w:rPr>
                <w:rFonts w:ascii="宋体" w:eastAsia="宋体" w:cs="宋体"/>
                <w:color w:val="auto"/>
                <w:kern w:val="0"/>
                <w:szCs w:val="21"/>
                <w:highlight w:val="none"/>
              </w:rPr>
            </w:pPr>
            <w:r>
              <w:rPr>
                <w:rFonts w:hint="eastAsia" w:ascii="宋体" w:eastAsia="宋体" w:cs="宋体"/>
                <w:color w:val="auto"/>
                <w:sz w:val="21"/>
                <w:szCs w:val="21"/>
                <w:highlight w:val="none"/>
              </w:rPr>
              <w:t>一</w:t>
            </w:r>
          </w:p>
        </w:tc>
        <w:tc>
          <w:tcPr>
            <w:tcW w:w="1476" w:type="pct"/>
            <w:shd w:val="clear" w:color="auto" w:fill="auto"/>
            <w:vAlign w:val="center"/>
          </w:tcPr>
          <w:p w14:paraId="1E822553">
            <w:pPr>
              <w:pStyle w:val="64"/>
              <w:snapToGrid w:val="0"/>
              <w:spacing w:line="400" w:lineRule="exact"/>
              <w:ind w:firstLine="0" w:firstLineChars="0"/>
              <w:jc w:val="center"/>
              <w:rPr>
                <w:rFonts w:ascii="宋体" w:eastAsia="宋体" w:cs="宋体"/>
                <w:color w:val="auto"/>
                <w:kern w:val="0"/>
                <w:szCs w:val="21"/>
                <w:highlight w:val="none"/>
              </w:rPr>
            </w:pPr>
            <w:r>
              <w:rPr>
                <w:rFonts w:hint="eastAsia" w:ascii="宋体" w:eastAsia="宋体" w:cs="宋体"/>
                <w:color w:val="auto"/>
                <w:sz w:val="21"/>
                <w:szCs w:val="21"/>
                <w:highlight w:val="none"/>
              </w:rPr>
              <w:t>不可撤销银行履约保函</w:t>
            </w:r>
          </w:p>
        </w:tc>
        <w:tc>
          <w:tcPr>
            <w:tcW w:w="646" w:type="pct"/>
            <w:vAlign w:val="center"/>
          </w:tcPr>
          <w:p w14:paraId="4D8C25C8">
            <w:pPr>
              <w:autoSpaceDE w:val="0"/>
              <w:autoSpaceDN w:val="0"/>
              <w:adjustRightInd w:val="0"/>
              <w:spacing w:line="400" w:lineRule="exact"/>
              <w:jc w:val="center"/>
              <w:rPr>
                <w:rFonts w:ascii="宋体" w:hAnsi="宋体" w:eastAsia="宋体" w:cs="宋体"/>
                <w:color w:val="auto"/>
                <w:kern w:val="0"/>
                <w:szCs w:val="21"/>
                <w:highlight w:val="none"/>
              </w:rPr>
            </w:pPr>
          </w:p>
        </w:tc>
        <w:tc>
          <w:tcPr>
            <w:tcW w:w="1703" w:type="pct"/>
            <w:vAlign w:val="center"/>
          </w:tcPr>
          <w:p w14:paraId="04ECE2F4">
            <w:pPr>
              <w:autoSpaceDE w:val="0"/>
              <w:autoSpaceDN w:val="0"/>
              <w:adjustRightInd w:val="0"/>
              <w:spacing w:line="400" w:lineRule="exact"/>
              <w:jc w:val="center"/>
              <w:rPr>
                <w:rFonts w:ascii="宋体" w:hAnsi="宋体" w:eastAsia="宋体" w:cs="宋体"/>
                <w:color w:val="auto"/>
                <w:kern w:val="0"/>
                <w:szCs w:val="21"/>
                <w:highlight w:val="none"/>
              </w:rPr>
            </w:pPr>
          </w:p>
        </w:tc>
      </w:tr>
      <w:tr w14:paraId="5EED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76231B2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686" w:type="pct"/>
            <w:shd w:val="clear" w:color="auto" w:fill="auto"/>
            <w:vAlign w:val="center"/>
          </w:tcPr>
          <w:p w14:paraId="3D1D3710">
            <w:pPr>
              <w:pStyle w:val="64"/>
              <w:snapToGrid w:val="0"/>
              <w:spacing w:line="40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二</w:t>
            </w:r>
          </w:p>
        </w:tc>
        <w:tc>
          <w:tcPr>
            <w:tcW w:w="1476" w:type="pct"/>
            <w:shd w:val="clear" w:color="auto" w:fill="auto"/>
            <w:vAlign w:val="center"/>
          </w:tcPr>
          <w:p w14:paraId="0250361A">
            <w:pPr>
              <w:pStyle w:val="64"/>
              <w:snapToGrid w:val="0"/>
              <w:spacing w:line="40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履约保证保险凭证</w:t>
            </w:r>
          </w:p>
        </w:tc>
        <w:tc>
          <w:tcPr>
            <w:tcW w:w="646" w:type="pct"/>
            <w:vAlign w:val="center"/>
          </w:tcPr>
          <w:p w14:paraId="3B6755AE">
            <w:pPr>
              <w:autoSpaceDE w:val="0"/>
              <w:autoSpaceDN w:val="0"/>
              <w:adjustRightInd w:val="0"/>
              <w:spacing w:line="400" w:lineRule="exact"/>
              <w:jc w:val="center"/>
              <w:rPr>
                <w:rFonts w:ascii="宋体" w:hAnsi="宋体" w:eastAsia="宋体" w:cs="宋体"/>
                <w:color w:val="auto"/>
                <w:kern w:val="0"/>
                <w:szCs w:val="21"/>
                <w:highlight w:val="none"/>
              </w:rPr>
            </w:pPr>
          </w:p>
        </w:tc>
        <w:tc>
          <w:tcPr>
            <w:tcW w:w="1703" w:type="pct"/>
            <w:vAlign w:val="center"/>
          </w:tcPr>
          <w:p w14:paraId="653F91CF">
            <w:pPr>
              <w:autoSpaceDE w:val="0"/>
              <w:autoSpaceDN w:val="0"/>
              <w:adjustRightInd w:val="0"/>
              <w:spacing w:line="400" w:lineRule="exact"/>
              <w:jc w:val="center"/>
              <w:rPr>
                <w:rFonts w:ascii="宋体" w:hAnsi="宋体" w:eastAsia="宋体" w:cs="宋体"/>
                <w:color w:val="auto"/>
                <w:kern w:val="0"/>
                <w:szCs w:val="21"/>
                <w:highlight w:val="none"/>
              </w:rPr>
            </w:pPr>
          </w:p>
        </w:tc>
      </w:tr>
      <w:tr w14:paraId="314A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8" w:type="pct"/>
            <w:vAlign w:val="center"/>
          </w:tcPr>
          <w:p w14:paraId="2997ED6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686" w:type="pct"/>
            <w:shd w:val="clear" w:color="auto" w:fill="auto"/>
            <w:vAlign w:val="center"/>
          </w:tcPr>
          <w:p w14:paraId="750837FE">
            <w:pPr>
              <w:pStyle w:val="64"/>
              <w:snapToGrid w:val="0"/>
              <w:spacing w:line="400" w:lineRule="exact"/>
              <w:ind w:firstLine="0" w:firstLineChars="0"/>
              <w:jc w:val="center"/>
              <w:rPr>
                <w:rFonts w:ascii="宋体" w:eastAsia="宋体" w:cs="宋体"/>
                <w:color w:val="auto"/>
                <w:kern w:val="0"/>
                <w:szCs w:val="21"/>
                <w:highlight w:val="none"/>
              </w:rPr>
            </w:pPr>
            <w:r>
              <w:rPr>
                <w:rFonts w:hint="eastAsia" w:ascii="宋体" w:eastAsia="宋体" w:cs="宋体"/>
                <w:color w:val="auto"/>
                <w:sz w:val="21"/>
                <w:szCs w:val="21"/>
                <w:highlight w:val="none"/>
              </w:rPr>
              <w:t>三</w:t>
            </w:r>
          </w:p>
        </w:tc>
        <w:tc>
          <w:tcPr>
            <w:tcW w:w="1476" w:type="pct"/>
            <w:shd w:val="clear" w:color="auto" w:fill="auto"/>
            <w:vAlign w:val="center"/>
          </w:tcPr>
          <w:p w14:paraId="7B8FA9AA">
            <w:pPr>
              <w:pStyle w:val="64"/>
              <w:snapToGrid w:val="0"/>
              <w:spacing w:line="400" w:lineRule="exact"/>
              <w:ind w:firstLine="0" w:firstLineChars="0"/>
              <w:jc w:val="center"/>
              <w:rPr>
                <w:rFonts w:ascii="宋体" w:eastAsia="宋体" w:cs="宋体"/>
                <w:color w:val="auto"/>
                <w:kern w:val="0"/>
                <w:szCs w:val="21"/>
                <w:highlight w:val="none"/>
              </w:rPr>
            </w:pPr>
            <w:r>
              <w:rPr>
                <w:rFonts w:hint="eastAsia" w:ascii="宋体" w:eastAsia="宋体" w:cs="宋体"/>
                <w:color w:val="auto"/>
                <w:sz w:val="21"/>
                <w:szCs w:val="21"/>
                <w:highlight w:val="none"/>
              </w:rPr>
              <w:t>担保公司履约担保书</w:t>
            </w:r>
          </w:p>
        </w:tc>
        <w:tc>
          <w:tcPr>
            <w:tcW w:w="646" w:type="pct"/>
            <w:vAlign w:val="center"/>
          </w:tcPr>
          <w:p w14:paraId="3374F8EA">
            <w:pPr>
              <w:autoSpaceDE w:val="0"/>
              <w:autoSpaceDN w:val="0"/>
              <w:adjustRightInd w:val="0"/>
              <w:spacing w:line="400" w:lineRule="exact"/>
              <w:jc w:val="center"/>
              <w:rPr>
                <w:rFonts w:ascii="宋体" w:hAnsi="宋体" w:eastAsia="宋体" w:cs="宋体"/>
                <w:color w:val="auto"/>
                <w:kern w:val="0"/>
                <w:szCs w:val="21"/>
                <w:highlight w:val="none"/>
              </w:rPr>
            </w:pPr>
          </w:p>
        </w:tc>
        <w:tc>
          <w:tcPr>
            <w:tcW w:w="1703" w:type="pct"/>
            <w:vAlign w:val="center"/>
          </w:tcPr>
          <w:p w14:paraId="2FE06E76">
            <w:pPr>
              <w:autoSpaceDE w:val="0"/>
              <w:autoSpaceDN w:val="0"/>
              <w:adjustRightInd w:val="0"/>
              <w:spacing w:line="400" w:lineRule="exact"/>
              <w:jc w:val="center"/>
              <w:rPr>
                <w:rFonts w:ascii="宋体" w:hAnsi="宋体" w:eastAsia="宋体" w:cs="宋体"/>
                <w:color w:val="auto"/>
                <w:kern w:val="0"/>
                <w:szCs w:val="21"/>
                <w:highlight w:val="none"/>
              </w:rPr>
            </w:pPr>
          </w:p>
        </w:tc>
      </w:tr>
    </w:tbl>
    <w:p w14:paraId="41314C74">
      <w:pPr>
        <w:autoSpaceDE w:val="0"/>
        <w:autoSpaceDN w:val="0"/>
        <w:adjustRightInd w:val="0"/>
        <w:snapToGrid w:val="0"/>
        <w:spacing w:line="360" w:lineRule="auto"/>
        <w:ind w:left="186" w:leftChars="-158" w:hanging="518" w:hangingChars="247"/>
        <w:jc w:val="left"/>
        <w:rPr>
          <w:rFonts w:ascii="宋体" w:hAnsi="宋体" w:eastAsia="宋体" w:cs="宋体"/>
          <w:color w:val="auto"/>
          <w:szCs w:val="24"/>
          <w:highlight w:val="none"/>
          <w:lang w:val="zh-CN"/>
        </w:rPr>
      </w:pPr>
    </w:p>
    <w:p w14:paraId="6BD96176">
      <w:pPr>
        <w:autoSpaceDE w:val="0"/>
        <w:autoSpaceDN w:val="0"/>
        <w:adjustRightInd w:val="0"/>
        <w:snapToGrid w:val="0"/>
        <w:spacing w:line="360" w:lineRule="auto"/>
        <w:ind w:left="166" w:leftChars="-101" w:hanging="378" w:hangingChars="180"/>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711DA4B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7E46EFB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024ADB84">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370DB38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48AA4311">
      <w:pPr>
        <w:spacing w:line="360" w:lineRule="auto"/>
        <w:ind w:left="357" w:leftChars="-100" w:hanging="567" w:hangingChars="270"/>
        <w:rPr>
          <w:rFonts w:ascii="宋体" w:hAnsi="宋体" w:eastAsia="宋体" w:cs="宋体"/>
          <w:color w:val="auto"/>
          <w:szCs w:val="21"/>
          <w:highlight w:val="none"/>
        </w:rPr>
      </w:pPr>
    </w:p>
    <w:p w14:paraId="57ACDB67">
      <w:pPr>
        <w:spacing w:line="360" w:lineRule="auto"/>
        <w:ind w:left="357" w:leftChars="-100" w:hanging="567" w:hangingChars="270"/>
        <w:rPr>
          <w:rFonts w:ascii="宋体" w:hAnsi="宋体" w:eastAsia="宋体" w:cs="宋体"/>
          <w:color w:val="auto"/>
          <w:szCs w:val="21"/>
          <w:highlight w:val="none"/>
        </w:rPr>
      </w:pPr>
    </w:p>
    <w:p w14:paraId="541954D4">
      <w:pPr>
        <w:spacing w:line="360" w:lineRule="auto"/>
        <w:ind w:left="357" w:leftChars="-100" w:hanging="567" w:hangingChars="270"/>
        <w:rPr>
          <w:rFonts w:ascii="宋体" w:hAnsi="宋体" w:eastAsia="宋体" w:cs="宋体"/>
          <w:color w:val="auto"/>
          <w:szCs w:val="21"/>
          <w:highlight w:val="none"/>
        </w:rPr>
      </w:pPr>
    </w:p>
    <w:p w14:paraId="541DACCE">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FC9BA7E">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A07E605">
      <w:pPr>
        <w:autoSpaceDE w:val="0"/>
        <w:autoSpaceDN w:val="0"/>
        <w:adjustRightInd w:val="0"/>
        <w:spacing w:line="360" w:lineRule="auto"/>
        <w:jc w:val="center"/>
        <w:rPr>
          <w:rFonts w:ascii="宋体" w:hAnsi="宋体" w:eastAsia="宋体" w:cs="宋体"/>
          <w:b/>
          <w:bCs/>
          <w:color w:val="auto"/>
          <w:szCs w:val="24"/>
          <w:highlight w:val="none"/>
          <w:lang w:val="zh-CN"/>
        </w:rPr>
      </w:pPr>
    </w:p>
    <w:p w14:paraId="1C6B64DD">
      <w:pPr>
        <w:autoSpaceDE w:val="0"/>
        <w:autoSpaceDN w:val="0"/>
        <w:adjustRightInd w:val="0"/>
        <w:spacing w:line="360" w:lineRule="auto"/>
        <w:jc w:val="center"/>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20FD6886">
      <w:pPr>
        <w:tabs>
          <w:tab w:val="left" w:pos="567"/>
        </w:tabs>
        <w:autoSpaceDE w:val="0"/>
        <w:autoSpaceDN w:val="0"/>
        <w:adjustRightInd w:val="0"/>
        <w:spacing w:line="360" w:lineRule="auto"/>
        <w:jc w:val="left"/>
        <w:outlineLvl w:val="1"/>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701" w:name="_Toc104991884"/>
      <w:bookmarkStart w:id="702" w:name="_Toc142508377"/>
      <w:bookmarkStart w:id="703" w:name="_Toc13179"/>
      <w:bookmarkStart w:id="704" w:name="_Toc140596937"/>
      <w:bookmarkStart w:id="705" w:name="_Toc94107218"/>
      <w:bookmarkStart w:id="706" w:name="_Toc1214"/>
      <w:bookmarkStart w:id="707" w:name="_Toc102860082"/>
      <w:bookmarkStart w:id="708" w:name="_Toc211622217"/>
      <w:bookmarkStart w:id="709" w:name="_Toc102860426"/>
      <w:bookmarkStart w:id="710" w:name="_Toc29505"/>
      <w:bookmarkStart w:id="711" w:name="_Toc5473"/>
      <w:bookmarkStart w:id="712" w:name="_Toc486167717"/>
      <w:bookmarkStart w:id="713"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701"/>
      <w:bookmarkEnd w:id="702"/>
      <w:bookmarkEnd w:id="703"/>
      <w:bookmarkEnd w:id="704"/>
      <w:bookmarkEnd w:id="705"/>
      <w:bookmarkEnd w:id="706"/>
      <w:bookmarkEnd w:id="707"/>
      <w:bookmarkEnd w:id="708"/>
      <w:bookmarkEnd w:id="709"/>
      <w:bookmarkEnd w:id="710"/>
      <w:bookmarkEnd w:id="711"/>
    </w:p>
    <w:p w14:paraId="4D9DFE1E">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bookmarkStart w:id="714" w:name="_Toc30603"/>
      <w:bookmarkStart w:id="715" w:name="_Toc13226"/>
      <w:r>
        <w:rPr>
          <w:rFonts w:hint="eastAsia" w:ascii="宋体" w:hAnsi="宋体" w:eastAsia="宋体" w:cs="Times New Roman"/>
          <w:b/>
          <w:bCs/>
          <w:color w:val="auto"/>
          <w:sz w:val="30"/>
          <w:szCs w:val="30"/>
          <w:highlight w:val="none"/>
          <w:lang w:val="en-US" w:eastAsia="zh-CN"/>
        </w:rPr>
        <w:t xml:space="preserve">9.1 </w:t>
      </w:r>
      <w:r>
        <w:rPr>
          <w:rFonts w:hint="eastAsia" w:ascii="宋体" w:hAnsi="宋体" w:eastAsia="宋体" w:cs="Times New Roman"/>
          <w:b/>
          <w:bCs/>
          <w:color w:val="auto"/>
          <w:sz w:val="30"/>
          <w:szCs w:val="30"/>
          <w:highlight w:val="none"/>
        </w:rPr>
        <w:t>投标人</w:t>
      </w:r>
      <w:r>
        <w:rPr>
          <w:rFonts w:hint="eastAsia" w:ascii="宋体" w:hAnsi="宋体" w:eastAsia="宋体" w:cs="Times New Roman"/>
          <w:b/>
          <w:bCs/>
          <w:color w:val="auto"/>
          <w:sz w:val="30"/>
          <w:szCs w:val="30"/>
          <w:highlight w:val="none"/>
          <w:lang w:val="zh-CN"/>
        </w:rPr>
        <w:t>202</w:t>
      </w:r>
      <w:r>
        <w:rPr>
          <w:rFonts w:hint="eastAsia" w:ascii="宋体" w:hAnsi="宋体" w:eastAsia="宋体" w:cs="Times New Roman"/>
          <w:b/>
          <w:bCs/>
          <w:color w:val="auto"/>
          <w:sz w:val="30"/>
          <w:szCs w:val="30"/>
          <w:highlight w:val="none"/>
          <w:lang w:val="en-US" w:eastAsia="zh-CN"/>
        </w:rPr>
        <w:t>3</w:t>
      </w:r>
      <w:r>
        <w:rPr>
          <w:rFonts w:hint="eastAsia" w:ascii="宋体" w:hAnsi="宋体" w:eastAsia="宋体" w:cs="Times New Roman"/>
          <w:b/>
          <w:bCs/>
          <w:color w:val="auto"/>
          <w:sz w:val="30"/>
          <w:szCs w:val="30"/>
          <w:highlight w:val="none"/>
        </w:rPr>
        <w:t>年</w:t>
      </w:r>
      <w:r>
        <w:rPr>
          <w:rFonts w:hint="eastAsia" w:ascii="宋体" w:hAnsi="宋体" w:eastAsia="宋体" w:cs="Times New Roman"/>
          <w:b/>
          <w:bCs/>
          <w:color w:val="auto"/>
          <w:sz w:val="30"/>
          <w:szCs w:val="30"/>
          <w:highlight w:val="none"/>
          <w:lang w:val="zh-CN"/>
        </w:rPr>
        <w:t>1月1日以来</w:t>
      </w:r>
      <w:r>
        <w:rPr>
          <w:rFonts w:hint="eastAsia" w:ascii="宋体" w:hAnsi="宋体" w:eastAsia="宋体" w:cs="Times New Roman"/>
          <w:b/>
          <w:bCs/>
          <w:color w:val="auto"/>
          <w:sz w:val="30"/>
          <w:szCs w:val="30"/>
          <w:highlight w:val="none"/>
        </w:rPr>
        <w:t>具有的</w:t>
      </w:r>
      <w:r>
        <w:rPr>
          <w:rFonts w:hint="eastAsia" w:ascii="宋体" w:hAnsi="宋体" w:eastAsia="宋体" w:cs="Times New Roman"/>
          <w:b/>
          <w:bCs/>
          <w:color w:val="auto"/>
          <w:sz w:val="30"/>
          <w:szCs w:val="30"/>
          <w:highlight w:val="none"/>
          <w:lang w:val="zh-CN"/>
        </w:rPr>
        <w:t>投标品牌液体聚合氯化铝供货业绩表</w:t>
      </w:r>
      <w:bookmarkEnd w:id="714"/>
      <w:bookmarkEnd w:id="715"/>
    </w:p>
    <w:p w14:paraId="2C079AA2">
      <w:pPr>
        <w:autoSpaceDE w:val="0"/>
        <w:autoSpaceDN w:val="0"/>
        <w:adjustRightInd w:val="0"/>
        <w:spacing w:line="360" w:lineRule="auto"/>
        <w:ind w:firstLine="420" w:firstLineChars="20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本项业绩必须为：投标人202</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年以来具有的投标品牌</w:t>
      </w:r>
      <w:r>
        <w:rPr>
          <w:rFonts w:hint="eastAsia" w:ascii="宋体" w:hAnsi="宋体" w:eastAsia="宋体" w:cs="宋体"/>
          <w:color w:val="auto"/>
          <w:szCs w:val="21"/>
          <w:highlight w:val="none"/>
        </w:rPr>
        <w:t>液</w:t>
      </w:r>
      <w:r>
        <w:rPr>
          <w:rFonts w:hint="eastAsia" w:ascii="宋体" w:hAnsi="宋体" w:eastAsia="宋体" w:cs="宋体"/>
          <w:color w:val="auto"/>
          <w:szCs w:val="21"/>
          <w:highlight w:val="none"/>
          <w:lang w:val="en-US" w:eastAsia="zh-CN"/>
        </w:rPr>
        <w:t>体</w:t>
      </w:r>
      <w:r>
        <w:rPr>
          <w:rFonts w:hint="eastAsia" w:ascii="宋体" w:hAnsi="宋体" w:eastAsia="宋体" w:cs="宋体"/>
          <w:color w:val="auto"/>
          <w:szCs w:val="21"/>
          <w:highlight w:val="none"/>
        </w:rPr>
        <w:t>聚</w:t>
      </w:r>
      <w:r>
        <w:rPr>
          <w:rFonts w:hint="eastAsia" w:ascii="宋体" w:hAnsi="宋体" w:eastAsia="宋体" w:cs="宋体"/>
          <w:color w:val="auto"/>
          <w:szCs w:val="21"/>
          <w:highlight w:val="none"/>
          <w:lang w:val="en-US" w:eastAsia="zh-CN"/>
        </w:rPr>
        <w:t>合</w:t>
      </w:r>
      <w:r>
        <w:rPr>
          <w:rFonts w:hint="eastAsia" w:ascii="宋体" w:hAnsi="宋体" w:eastAsia="宋体" w:cs="宋体"/>
          <w:color w:val="auto"/>
          <w:szCs w:val="21"/>
          <w:highlight w:val="none"/>
        </w:rPr>
        <w:t>氯化铝</w:t>
      </w:r>
      <w:r>
        <w:rPr>
          <w:rFonts w:hint="eastAsia" w:ascii="宋体" w:hAnsi="宋体" w:eastAsia="宋体" w:cs="Times New Roman"/>
          <w:color w:val="auto"/>
          <w:szCs w:val="21"/>
          <w:highlight w:val="none"/>
        </w:rPr>
        <w:t>供货业绩（合同签订日期为202</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年1月1日或以后）。</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9"/>
        <w:gridCol w:w="1291"/>
        <w:gridCol w:w="2133"/>
        <w:gridCol w:w="1353"/>
        <w:gridCol w:w="782"/>
        <w:gridCol w:w="875"/>
        <w:gridCol w:w="1451"/>
        <w:gridCol w:w="762"/>
      </w:tblGrid>
      <w:tr w14:paraId="7844D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4" w:hRule="atLeast"/>
          <w:jc w:val="center"/>
        </w:trPr>
        <w:tc>
          <w:tcPr>
            <w:tcW w:w="532" w:type="pct"/>
            <w:tcBorders>
              <w:top w:val="single" w:color="auto" w:sz="4" w:space="0"/>
              <w:left w:val="single" w:color="auto" w:sz="4" w:space="0"/>
              <w:bottom w:val="single" w:color="auto" w:sz="4" w:space="0"/>
              <w:right w:val="single" w:color="auto" w:sz="4" w:space="0"/>
            </w:tcBorders>
            <w:vAlign w:val="center"/>
          </w:tcPr>
          <w:p w14:paraId="44B2E35F">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zh-CN"/>
              </w:rPr>
              <w:t>序号</w:t>
            </w:r>
          </w:p>
        </w:tc>
        <w:tc>
          <w:tcPr>
            <w:tcW w:w="667" w:type="pct"/>
            <w:tcBorders>
              <w:top w:val="single" w:color="auto" w:sz="4" w:space="0"/>
              <w:left w:val="single" w:color="auto" w:sz="4" w:space="0"/>
              <w:bottom w:val="single" w:color="auto" w:sz="4" w:space="0"/>
              <w:right w:val="single" w:color="auto" w:sz="4" w:space="0"/>
            </w:tcBorders>
            <w:vAlign w:val="center"/>
          </w:tcPr>
          <w:p w14:paraId="70D3D2B7">
            <w:pPr>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项目</w:t>
            </w:r>
          </w:p>
          <w:p w14:paraId="4419A8AD">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名称 </w:t>
            </w:r>
          </w:p>
        </w:tc>
        <w:tc>
          <w:tcPr>
            <w:tcW w:w="1102" w:type="pct"/>
            <w:tcBorders>
              <w:top w:val="single" w:color="auto" w:sz="4" w:space="0"/>
              <w:left w:val="single" w:color="auto" w:sz="4" w:space="0"/>
              <w:bottom w:val="single" w:color="auto" w:sz="4" w:space="0"/>
              <w:right w:val="single" w:color="auto" w:sz="4" w:space="0"/>
            </w:tcBorders>
            <w:vAlign w:val="center"/>
          </w:tcPr>
          <w:p w14:paraId="6C3CE63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合同标的货物名称、品牌、数量</w:t>
            </w:r>
          </w:p>
        </w:tc>
        <w:tc>
          <w:tcPr>
            <w:tcW w:w="699" w:type="pct"/>
            <w:tcBorders>
              <w:top w:val="single" w:color="auto" w:sz="4" w:space="0"/>
              <w:left w:val="single" w:color="auto" w:sz="4" w:space="0"/>
              <w:bottom w:val="single" w:color="auto" w:sz="4" w:space="0"/>
              <w:right w:val="single" w:color="auto" w:sz="4" w:space="0"/>
            </w:tcBorders>
            <w:vAlign w:val="center"/>
          </w:tcPr>
          <w:p w14:paraId="402FBA0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单项合同金额（单位：万元）</w:t>
            </w:r>
          </w:p>
        </w:tc>
        <w:tc>
          <w:tcPr>
            <w:tcW w:w="404" w:type="pct"/>
            <w:tcBorders>
              <w:top w:val="single" w:color="auto" w:sz="4" w:space="0"/>
              <w:left w:val="single" w:color="auto" w:sz="4" w:space="0"/>
              <w:bottom w:val="single" w:color="auto" w:sz="4" w:space="0"/>
              <w:right w:val="single" w:color="auto" w:sz="4" w:space="0"/>
            </w:tcBorders>
            <w:vAlign w:val="center"/>
          </w:tcPr>
          <w:p w14:paraId="5C601BB7">
            <w:pPr>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签约</w:t>
            </w:r>
          </w:p>
          <w:p w14:paraId="296E91FB">
            <w:pPr>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日期</w:t>
            </w:r>
          </w:p>
        </w:tc>
        <w:tc>
          <w:tcPr>
            <w:tcW w:w="452" w:type="pct"/>
            <w:tcBorders>
              <w:top w:val="single" w:color="auto" w:sz="4" w:space="0"/>
              <w:left w:val="single" w:color="auto" w:sz="4" w:space="0"/>
              <w:bottom w:val="single" w:color="auto" w:sz="4" w:space="0"/>
              <w:right w:val="single" w:color="auto" w:sz="4" w:space="0"/>
            </w:tcBorders>
            <w:vAlign w:val="center"/>
          </w:tcPr>
          <w:p w14:paraId="7AD3F7C9">
            <w:pPr>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完成</w:t>
            </w:r>
          </w:p>
          <w:p w14:paraId="2C555DF7">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zh-CN"/>
              </w:rPr>
              <w:t>情况</w:t>
            </w:r>
          </w:p>
        </w:tc>
        <w:tc>
          <w:tcPr>
            <w:tcW w:w="750" w:type="pct"/>
            <w:tcBorders>
              <w:top w:val="single" w:color="auto" w:sz="4" w:space="0"/>
              <w:left w:val="single" w:color="auto" w:sz="4" w:space="0"/>
              <w:bottom w:val="single" w:color="auto" w:sz="4" w:space="0"/>
              <w:right w:val="single" w:color="auto" w:sz="4" w:space="0"/>
            </w:tcBorders>
            <w:vAlign w:val="center"/>
          </w:tcPr>
          <w:p w14:paraId="76F15F8D">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zh-CN"/>
              </w:rPr>
              <w:t>买方单位联系人及电话</w:t>
            </w:r>
          </w:p>
        </w:tc>
        <w:tc>
          <w:tcPr>
            <w:tcW w:w="395" w:type="pct"/>
            <w:tcBorders>
              <w:top w:val="single" w:color="auto" w:sz="4" w:space="0"/>
              <w:left w:val="single" w:color="auto" w:sz="4" w:space="0"/>
              <w:bottom w:val="single" w:color="auto" w:sz="4" w:space="0"/>
              <w:right w:val="single" w:color="auto" w:sz="4" w:space="0"/>
            </w:tcBorders>
            <w:vAlign w:val="center"/>
          </w:tcPr>
          <w:p w14:paraId="01F90160">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zh-CN"/>
              </w:rPr>
              <w:t>备注</w:t>
            </w:r>
          </w:p>
        </w:tc>
      </w:tr>
      <w:tr w14:paraId="63730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532" w:type="pct"/>
            <w:tcBorders>
              <w:top w:val="single" w:color="auto" w:sz="4" w:space="0"/>
              <w:left w:val="single" w:color="auto" w:sz="4" w:space="0"/>
              <w:bottom w:val="single" w:color="auto" w:sz="4" w:space="0"/>
              <w:right w:val="single" w:color="auto" w:sz="4" w:space="0"/>
            </w:tcBorders>
            <w:vAlign w:val="center"/>
          </w:tcPr>
          <w:p w14:paraId="05C11C73">
            <w:pPr>
              <w:spacing w:line="360" w:lineRule="auto"/>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667" w:type="pct"/>
            <w:tcBorders>
              <w:top w:val="single" w:color="auto" w:sz="4" w:space="0"/>
              <w:left w:val="single" w:color="auto" w:sz="4" w:space="0"/>
              <w:bottom w:val="single" w:color="auto" w:sz="4" w:space="0"/>
              <w:right w:val="single" w:color="auto" w:sz="4" w:space="0"/>
            </w:tcBorders>
            <w:vAlign w:val="center"/>
          </w:tcPr>
          <w:p w14:paraId="0CD605DC">
            <w:pPr>
              <w:spacing w:line="360" w:lineRule="auto"/>
              <w:jc w:val="center"/>
              <w:rPr>
                <w:rFonts w:ascii="宋体" w:hAnsi="宋体" w:eastAsia="宋体" w:cs="宋体"/>
                <w:color w:val="auto"/>
                <w:szCs w:val="21"/>
                <w:highlight w:val="none"/>
              </w:rPr>
            </w:pPr>
          </w:p>
        </w:tc>
        <w:tc>
          <w:tcPr>
            <w:tcW w:w="1102" w:type="pct"/>
            <w:tcBorders>
              <w:top w:val="single" w:color="auto" w:sz="4" w:space="0"/>
              <w:left w:val="single" w:color="auto" w:sz="4" w:space="0"/>
              <w:bottom w:val="single" w:color="auto" w:sz="4" w:space="0"/>
              <w:right w:val="single" w:color="auto" w:sz="4" w:space="0"/>
            </w:tcBorders>
            <w:vAlign w:val="center"/>
          </w:tcPr>
          <w:p w14:paraId="2D1E5737">
            <w:pPr>
              <w:spacing w:line="360" w:lineRule="auto"/>
              <w:jc w:val="center"/>
              <w:rPr>
                <w:rFonts w:ascii="宋体" w:hAnsi="宋体" w:eastAsia="宋体" w:cs="宋体"/>
                <w:color w:val="auto"/>
                <w:szCs w:val="21"/>
                <w:highlight w:val="none"/>
              </w:rPr>
            </w:pPr>
          </w:p>
        </w:tc>
        <w:tc>
          <w:tcPr>
            <w:tcW w:w="699" w:type="pct"/>
            <w:tcBorders>
              <w:top w:val="single" w:color="auto" w:sz="4" w:space="0"/>
              <w:left w:val="single" w:color="auto" w:sz="4" w:space="0"/>
              <w:bottom w:val="single" w:color="auto" w:sz="4" w:space="0"/>
              <w:right w:val="single" w:color="auto" w:sz="4" w:space="0"/>
            </w:tcBorders>
            <w:vAlign w:val="center"/>
          </w:tcPr>
          <w:p w14:paraId="41BACD53">
            <w:pPr>
              <w:spacing w:line="360" w:lineRule="auto"/>
              <w:jc w:val="center"/>
              <w:rPr>
                <w:rFonts w:ascii="宋体" w:hAnsi="宋体" w:eastAsia="宋体" w:cs="宋体"/>
                <w:color w:val="auto"/>
                <w:szCs w:val="21"/>
                <w:highlight w:val="none"/>
              </w:rPr>
            </w:pPr>
          </w:p>
        </w:tc>
        <w:tc>
          <w:tcPr>
            <w:tcW w:w="404" w:type="pct"/>
            <w:tcBorders>
              <w:top w:val="single" w:color="auto" w:sz="4" w:space="0"/>
              <w:left w:val="single" w:color="auto" w:sz="4" w:space="0"/>
              <w:bottom w:val="single" w:color="auto" w:sz="4" w:space="0"/>
              <w:right w:val="single" w:color="auto" w:sz="4" w:space="0"/>
            </w:tcBorders>
          </w:tcPr>
          <w:p w14:paraId="69C95710">
            <w:pPr>
              <w:spacing w:line="360" w:lineRule="auto"/>
              <w:jc w:val="center"/>
              <w:rPr>
                <w:rFonts w:ascii="宋体" w:hAnsi="宋体" w:eastAsia="宋体" w:cs="宋体"/>
                <w:color w:val="auto"/>
                <w:szCs w:val="21"/>
                <w:highlight w:val="none"/>
                <w:u w:val="single"/>
              </w:rPr>
            </w:pPr>
          </w:p>
        </w:tc>
        <w:tc>
          <w:tcPr>
            <w:tcW w:w="452" w:type="pct"/>
            <w:tcBorders>
              <w:top w:val="single" w:color="auto" w:sz="4" w:space="0"/>
              <w:left w:val="single" w:color="auto" w:sz="4" w:space="0"/>
              <w:bottom w:val="single" w:color="auto" w:sz="4" w:space="0"/>
              <w:right w:val="single" w:color="auto" w:sz="4" w:space="0"/>
            </w:tcBorders>
            <w:vAlign w:val="center"/>
          </w:tcPr>
          <w:p w14:paraId="563F631B">
            <w:pPr>
              <w:spacing w:line="360" w:lineRule="auto"/>
              <w:jc w:val="center"/>
              <w:rPr>
                <w:rFonts w:ascii="宋体" w:hAnsi="宋体" w:eastAsia="宋体" w:cs="宋体"/>
                <w:color w:val="auto"/>
                <w:szCs w:val="21"/>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1532F623">
            <w:pPr>
              <w:spacing w:line="360" w:lineRule="auto"/>
              <w:jc w:val="center"/>
              <w:rPr>
                <w:rFonts w:ascii="宋体" w:hAnsi="宋体" w:eastAsia="宋体" w:cs="宋体"/>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23AB324D">
            <w:pPr>
              <w:spacing w:line="360" w:lineRule="auto"/>
              <w:jc w:val="center"/>
              <w:rPr>
                <w:rFonts w:ascii="宋体" w:hAnsi="宋体" w:eastAsia="宋体" w:cs="宋体"/>
                <w:color w:val="auto"/>
                <w:szCs w:val="21"/>
                <w:highlight w:val="none"/>
              </w:rPr>
            </w:pPr>
          </w:p>
        </w:tc>
      </w:tr>
      <w:tr w14:paraId="5E8C9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32" w:type="pct"/>
            <w:tcBorders>
              <w:top w:val="single" w:color="auto" w:sz="4" w:space="0"/>
              <w:left w:val="single" w:color="auto" w:sz="4" w:space="0"/>
              <w:bottom w:val="single" w:color="auto" w:sz="4" w:space="0"/>
              <w:right w:val="single" w:color="auto" w:sz="4" w:space="0"/>
            </w:tcBorders>
            <w:vAlign w:val="center"/>
          </w:tcPr>
          <w:p w14:paraId="78BE47BC">
            <w:pPr>
              <w:spacing w:line="360" w:lineRule="auto"/>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p>
        </w:tc>
        <w:tc>
          <w:tcPr>
            <w:tcW w:w="667" w:type="pct"/>
            <w:tcBorders>
              <w:top w:val="single" w:color="auto" w:sz="4" w:space="0"/>
              <w:left w:val="single" w:color="auto" w:sz="4" w:space="0"/>
              <w:bottom w:val="single" w:color="auto" w:sz="4" w:space="0"/>
              <w:right w:val="single" w:color="auto" w:sz="4" w:space="0"/>
            </w:tcBorders>
            <w:vAlign w:val="center"/>
          </w:tcPr>
          <w:p w14:paraId="049985C1">
            <w:pPr>
              <w:spacing w:line="360" w:lineRule="auto"/>
              <w:jc w:val="center"/>
              <w:rPr>
                <w:rFonts w:ascii="宋体" w:hAnsi="宋体" w:eastAsia="宋体" w:cs="宋体"/>
                <w:color w:val="auto"/>
                <w:szCs w:val="21"/>
                <w:highlight w:val="none"/>
              </w:rPr>
            </w:pPr>
          </w:p>
        </w:tc>
        <w:tc>
          <w:tcPr>
            <w:tcW w:w="1102" w:type="pct"/>
            <w:tcBorders>
              <w:top w:val="single" w:color="auto" w:sz="4" w:space="0"/>
              <w:left w:val="single" w:color="auto" w:sz="4" w:space="0"/>
              <w:bottom w:val="single" w:color="auto" w:sz="4" w:space="0"/>
              <w:right w:val="single" w:color="auto" w:sz="4" w:space="0"/>
            </w:tcBorders>
            <w:vAlign w:val="center"/>
          </w:tcPr>
          <w:p w14:paraId="54365AEB">
            <w:pPr>
              <w:spacing w:line="360" w:lineRule="auto"/>
              <w:jc w:val="center"/>
              <w:rPr>
                <w:rFonts w:ascii="宋体" w:hAnsi="宋体" w:eastAsia="宋体" w:cs="宋体"/>
                <w:color w:val="auto"/>
                <w:szCs w:val="21"/>
                <w:highlight w:val="none"/>
              </w:rPr>
            </w:pPr>
          </w:p>
        </w:tc>
        <w:tc>
          <w:tcPr>
            <w:tcW w:w="699" w:type="pct"/>
            <w:tcBorders>
              <w:top w:val="single" w:color="auto" w:sz="4" w:space="0"/>
              <w:left w:val="single" w:color="auto" w:sz="4" w:space="0"/>
              <w:bottom w:val="single" w:color="auto" w:sz="4" w:space="0"/>
              <w:right w:val="single" w:color="auto" w:sz="4" w:space="0"/>
            </w:tcBorders>
            <w:vAlign w:val="center"/>
          </w:tcPr>
          <w:p w14:paraId="00FC1ED4">
            <w:pPr>
              <w:spacing w:line="360" w:lineRule="auto"/>
              <w:jc w:val="center"/>
              <w:rPr>
                <w:rFonts w:ascii="宋体" w:hAnsi="宋体" w:eastAsia="宋体" w:cs="宋体"/>
                <w:color w:val="auto"/>
                <w:szCs w:val="21"/>
                <w:highlight w:val="none"/>
              </w:rPr>
            </w:pPr>
          </w:p>
        </w:tc>
        <w:tc>
          <w:tcPr>
            <w:tcW w:w="404" w:type="pct"/>
            <w:tcBorders>
              <w:top w:val="single" w:color="auto" w:sz="4" w:space="0"/>
              <w:left w:val="single" w:color="auto" w:sz="4" w:space="0"/>
              <w:bottom w:val="single" w:color="auto" w:sz="4" w:space="0"/>
              <w:right w:val="single" w:color="auto" w:sz="4" w:space="0"/>
            </w:tcBorders>
          </w:tcPr>
          <w:p w14:paraId="1FE8773C">
            <w:pPr>
              <w:spacing w:line="360" w:lineRule="auto"/>
              <w:jc w:val="center"/>
              <w:rPr>
                <w:rFonts w:ascii="宋体" w:hAnsi="宋体" w:eastAsia="宋体" w:cs="宋体"/>
                <w:color w:val="auto"/>
                <w:szCs w:val="21"/>
                <w:highlight w:val="none"/>
                <w:u w:val="single"/>
              </w:rPr>
            </w:pPr>
          </w:p>
        </w:tc>
        <w:tc>
          <w:tcPr>
            <w:tcW w:w="452" w:type="pct"/>
            <w:tcBorders>
              <w:top w:val="single" w:color="auto" w:sz="4" w:space="0"/>
              <w:left w:val="single" w:color="auto" w:sz="4" w:space="0"/>
              <w:bottom w:val="single" w:color="auto" w:sz="4" w:space="0"/>
              <w:right w:val="single" w:color="auto" w:sz="4" w:space="0"/>
            </w:tcBorders>
            <w:vAlign w:val="center"/>
          </w:tcPr>
          <w:p w14:paraId="068B27A4">
            <w:pPr>
              <w:spacing w:line="360" w:lineRule="auto"/>
              <w:jc w:val="center"/>
              <w:rPr>
                <w:rFonts w:ascii="宋体" w:hAnsi="宋体" w:eastAsia="宋体" w:cs="宋体"/>
                <w:color w:val="auto"/>
                <w:szCs w:val="21"/>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06AA73EB">
            <w:pPr>
              <w:spacing w:line="360" w:lineRule="auto"/>
              <w:jc w:val="center"/>
              <w:rPr>
                <w:rFonts w:ascii="宋体" w:hAnsi="宋体" w:eastAsia="宋体" w:cs="宋体"/>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66D0CB6E">
            <w:pPr>
              <w:spacing w:line="360" w:lineRule="auto"/>
              <w:jc w:val="center"/>
              <w:rPr>
                <w:rFonts w:ascii="宋体" w:hAnsi="宋体" w:eastAsia="宋体" w:cs="宋体"/>
                <w:color w:val="auto"/>
                <w:szCs w:val="21"/>
                <w:highlight w:val="none"/>
              </w:rPr>
            </w:pPr>
          </w:p>
        </w:tc>
      </w:tr>
      <w:tr w14:paraId="51045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532" w:type="pct"/>
            <w:tcBorders>
              <w:top w:val="single" w:color="auto" w:sz="4" w:space="0"/>
              <w:left w:val="single" w:color="auto" w:sz="4" w:space="0"/>
              <w:bottom w:val="single" w:color="auto" w:sz="4" w:space="0"/>
              <w:right w:val="single" w:color="auto" w:sz="4" w:space="0"/>
            </w:tcBorders>
            <w:vAlign w:val="center"/>
          </w:tcPr>
          <w:p w14:paraId="5080EE0C">
            <w:pPr>
              <w:spacing w:line="360" w:lineRule="auto"/>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p>
        </w:tc>
        <w:tc>
          <w:tcPr>
            <w:tcW w:w="667" w:type="pct"/>
            <w:tcBorders>
              <w:top w:val="single" w:color="auto" w:sz="4" w:space="0"/>
              <w:left w:val="single" w:color="auto" w:sz="4" w:space="0"/>
              <w:bottom w:val="single" w:color="auto" w:sz="4" w:space="0"/>
              <w:right w:val="single" w:color="auto" w:sz="4" w:space="0"/>
            </w:tcBorders>
            <w:vAlign w:val="center"/>
          </w:tcPr>
          <w:p w14:paraId="5D8D04B1">
            <w:pPr>
              <w:spacing w:line="360" w:lineRule="auto"/>
              <w:jc w:val="center"/>
              <w:rPr>
                <w:rFonts w:ascii="宋体" w:hAnsi="宋体" w:eastAsia="宋体" w:cs="宋体"/>
                <w:color w:val="auto"/>
                <w:szCs w:val="21"/>
                <w:highlight w:val="none"/>
              </w:rPr>
            </w:pPr>
          </w:p>
        </w:tc>
        <w:tc>
          <w:tcPr>
            <w:tcW w:w="1102" w:type="pct"/>
            <w:tcBorders>
              <w:top w:val="single" w:color="auto" w:sz="4" w:space="0"/>
              <w:left w:val="single" w:color="auto" w:sz="4" w:space="0"/>
              <w:bottom w:val="single" w:color="auto" w:sz="4" w:space="0"/>
              <w:right w:val="single" w:color="auto" w:sz="4" w:space="0"/>
            </w:tcBorders>
            <w:vAlign w:val="center"/>
          </w:tcPr>
          <w:p w14:paraId="5908E334">
            <w:pPr>
              <w:spacing w:line="360" w:lineRule="auto"/>
              <w:jc w:val="center"/>
              <w:rPr>
                <w:rFonts w:ascii="宋体" w:hAnsi="宋体" w:eastAsia="宋体" w:cs="宋体"/>
                <w:color w:val="auto"/>
                <w:szCs w:val="21"/>
                <w:highlight w:val="none"/>
              </w:rPr>
            </w:pPr>
          </w:p>
        </w:tc>
        <w:tc>
          <w:tcPr>
            <w:tcW w:w="699" w:type="pct"/>
            <w:tcBorders>
              <w:top w:val="single" w:color="auto" w:sz="4" w:space="0"/>
              <w:left w:val="single" w:color="auto" w:sz="4" w:space="0"/>
              <w:bottom w:val="single" w:color="auto" w:sz="4" w:space="0"/>
              <w:right w:val="single" w:color="auto" w:sz="4" w:space="0"/>
            </w:tcBorders>
            <w:vAlign w:val="center"/>
          </w:tcPr>
          <w:p w14:paraId="7BEC4F6A">
            <w:pPr>
              <w:spacing w:line="360" w:lineRule="auto"/>
              <w:jc w:val="center"/>
              <w:rPr>
                <w:rFonts w:ascii="宋体" w:hAnsi="宋体" w:eastAsia="宋体" w:cs="宋体"/>
                <w:color w:val="auto"/>
                <w:szCs w:val="21"/>
                <w:highlight w:val="none"/>
              </w:rPr>
            </w:pPr>
          </w:p>
        </w:tc>
        <w:tc>
          <w:tcPr>
            <w:tcW w:w="404" w:type="pct"/>
            <w:tcBorders>
              <w:top w:val="single" w:color="auto" w:sz="4" w:space="0"/>
              <w:left w:val="single" w:color="auto" w:sz="4" w:space="0"/>
              <w:bottom w:val="single" w:color="auto" w:sz="4" w:space="0"/>
              <w:right w:val="single" w:color="auto" w:sz="4" w:space="0"/>
            </w:tcBorders>
          </w:tcPr>
          <w:p w14:paraId="054D4DC7">
            <w:pPr>
              <w:spacing w:line="360" w:lineRule="auto"/>
              <w:jc w:val="center"/>
              <w:rPr>
                <w:rFonts w:ascii="宋体" w:hAnsi="宋体" w:eastAsia="宋体" w:cs="宋体"/>
                <w:color w:val="auto"/>
                <w:szCs w:val="21"/>
                <w:highlight w:val="none"/>
                <w:u w:val="single"/>
              </w:rPr>
            </w:pPr>
          </w:p>
        </w:tc>
        <w:tc>
          <w:tcPr>
            <w:tcW w:w="452" w:type="pct"/>
            <w:tcBorders>
              <w:top w:val="single" w:color="auto" w:sz="4" w:space="0"/>
              <w:left w:val="single" w:color="auto" w:sz="4" w:space="0"/>
              <w:bottom w:val="single" w:color="auto" w:sz="4" w:space="0"/>
              <w:right w:val="single" w:color="auto" w:sz="4" w:space="0"/>
            </w:tcBorders>
            <w:vAlign w:val="center"/>
          </w:tcPr>
          <w:p w14:paraId="3C6720AB">
            <w:pPr>
              <w:spacing w:line="360" w:lineRule="auto"/>
              <w:jc w:val="center"/>
              <w:rPr>
                <w:rFonts w:ascii="宋体" w:hAnsi="宋体" w:eastAsia="宋体" w:cs="宋体"/>
                <w:color w:val="auto"/>
                <w:szCs w:val="21"/>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342796A8">
            <w:pPr>
              <w:spacing w:line="360" w:lineRule="auto"/>
              <w:jc w:val="center"/>
              <w:rPr>
                <w:rFonts w:ascii="宋体" w:hAnsi="宋体" w:eastAsia="宋体" w:cs="宋体"/>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21FB5330">
            <w:pPr>
              <w:spacing w:line="360" w:lineRule="auto"/>
              <w:jc w:val="center"/>
              <w:rPr>
                <w:rFonts w:ascii="宋体" w:hAnsi="宋体" w:eastAsia="宋体" w:cs="宋体"/>
                <w:color w:val="auto"/>
                <w:szCs w:val="21"/>
                <w:highlight w:val="none"/>
              </w:rPr>
            </w:pPr>
          </w:p>
        </w:tc>
      </w:tr>
      <w:tr w14:paraId="06F7F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32" w:type="pct"/>
            <w:tcBorders>
              <w:top w:val="single" w:color="auto" w:sz="4" w:space="0"/>
              <w:left w:val="single" w:color="auto" w:sz="4" w:space="0"/>
              <w:bottom w:val="single" w:color="auto" w:sz="4" w:space="0"/>
              <w:right w:val="single" w:color="auto" w:sz="4" w:space="0"/>
            </w:tcBorders>
            <w:vAlign w:val="center"/>
          </w:tcPr>
          <w:p w14:paraId="688CD0E2">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67" w:type="pct"/>
            <w:tcBorders>
              <w:top w:val="single" w:color="auto" w:sz="4" w:space="0"/>
              <w:left w:val="single" w:color="auto" w:sz="4" w:space="0"/>
              <w:bottom w:val="single" w:color="auto" w:sz="4" w:space="0"/>
              <w:right w:val="single" w:color="auto" w:sz="4" w:space="0"/>
            </w:tcBorders>
            <w:vAlign w:val="center"/>
          </w:tcPr>
          <w:p w14:paraId="5F4A0DB2">
            <w:pPr>
              <w:spacing w:line="360" w:lineRule="auto"/>
              <w:jc w:val="center"/>
              <w:rPr>
                <w:rFonts w:ascii="宋体" w:hAnsi="宋体" w:eastAsia="宋体" w:cs="宋体"/>
                <w:color w:val="auto"/>
                <w:szCs w:val="21"/>
                <w:highlight w:val="none"/>
              </w:rPr>
            </w:pPr>
          </w:p>
        </w:tc>
        <w:tc>
          <w:tcPr>
            <w:tcW w:w="1102" w:type="pct"/>
            <w:tcBorders>
              <w:top w:val="single" w:color="auto" w:sz="4" w:space="0"/>
              <w:left w:val="single" w:color="auto" w:sz="4" w:space="0"/>
              <w:bottom w:val="single" w:color="auto" w:sz="4" w:space="0"/>
              <w:right w:val="single" w:color="auto" w:sz="4" w:space="0"/>
            </w:tcBorders>
            <w:vAlign w:val="center"/>
          </w:tcPr>
          <w:p w14:paraId="2BD0BA4A">
            <w:pPr>
              <w:spacing w:line="360" w:lineRule="auto"/>
              <w:jc w:val="center"/>
              <w:rPr>
                <w:rFonts w:ascii="宋体" w:hAnsi="宋体" w:eastAsia="宋体" w:cs="宋体"/>
                <w:color w:val="auto"/>
                <w:szCs w:val="21"/>
                <w:highlight w:val="none"/>
              </w:rPr>
            </w:pPr>
          </w:p>
        </w:tc>
        <w:tc>
          <w:tcPr>
            <w:tcW w:w="699" w:type="pct"/>
            <w:tcBorders>
              <w:top w:val="single" w:color="auto" w:sz="4" w:space="0"/>
              <w:left w:val="single" w:color="auto" w:sz="4" w:space="0"/>
              <w:bottom w:val="single" w:color="auto" w:sz="4" w:space="0"/>
              <w:right w:val="single" w:color="auto" w:sz="4" w:space="0"/>
            </w:tcBorders>
            <w:vAlign w:val="center"/>
          </w:tcPr>
          <w:p w14:paraId="472FD1D8">
            <w:pPr>
              <w:spacing w:line="360" w:lineRule="auto"/>
              <w:jc w:val="center"/>
              <w:rPr>
                <w:rFonts w:ascii="宋体" w:hAnsi="宋体" w:eastAsia="宋体" w:cs="宋体"/>
                <w:color w:val="auto"/>
                <w:szCs w:val="21"/>
                <w:highlight w:val="none"/>
              </w:rPr>
            </w:pPr>
          </w:p>
        </w:tc>
        <w:tc>
          <w:tcPr>
            <w:tcW w:w="404" w:type="pct"/>
            <w:tcBorders>
              <w:top w:val="single" w:color="auto" w:sz="4" w:space="0"/>
              <w:left w:val="single" w:color="auto" w:sz="4" w:space="0"/>
              <w:bottom w:val="single" w:color="auto" w:sz="4" w:space="0"/>
              <w:right w:val="single" w:color="auto" w:sz="4" w:space="0"/>
            </w:tcBorders>
          </w:tcPr>
          <w:p w14:paraId="2306E466">
            <w:pPr>
              <w:spacing w:line="360" w:lineRule="auto"/>
              <w:jc w:val="center"/>
              <w:rPr>
                <w:rFonts w:ascii="宋体" w:hAnsi="宋体" w:eastAsia="宋体" w:cs="宋体"/>
                <w:color w:val="auto"/>
                <w:szCs w:val="21"/>
                <w:highlight w:val="none"/>
              </w:rPr>
            </w:pPr>
          </w:p>
        </w:tc>
        <w:tc>
          <w:tcPr>
            <w:tcW w:w="452" w:type="pct"/>
            <w:tcBorders>
              <w:top w:val="single" w:color="auto" w:sz="4" w:space="0"/>
              <w:left w:val="single" w:color="auto" w:sz="4" w:space="0"/>
              <w:bottom w:val="single" w:color="auto" w:sz="4" w:space="0"/>
              <w:right w:val="single" w:color="auto" w:sz="4" w:space="0"/>
            </w:tcBorders>
            <w:vAlign w:val="center"/>
          </w:tcPr>
          <w:p w14:paraId="3695DD36">
            <w:pPr>
              <w:spacing w:line="360" w:lineRule="auto"/>
              <w:jc w:val="center"/>
              <w:rPr>
                <w:rFonts w:ascii="宋体" w:hAnsi="宋体" w:eastAsia="宋体" w:cs="宋体"/>
                <w:color w:val="auto"/>
                <w:szCs w:val="21"/>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2D9C6DD9">
            <w:pPr>
              <w:spacing w:line="360" w:lineRule="auto"/>
              <w:jc w:val="center"/>
              <w:rPr>
                <w:rFonts w:ascii="宋体" w:hAnsi="宋体" w:eastAsia="宋体" w:cs="宋体"/>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2347802E">
            <w:pPr>
              <w:spacing w:line="360" w:lineRule="auto"/>
              <w:jc w:val="center"/>
              <w:rPr>
                <w:rFonts w:ascii="宋体" w:hAnsi="宋体" w:eastAsia="宋体" w:cs="宋体"/>
                <w:color w:val="auto"/>
                <w:szCs w:val="21"/>
                <w:highlight w:val="none"/>
              </w:rPr>
            </w:pPr>
          </w:p>
        </w:tc>
      </w:tr>
    </w:tbl>
    <w:p w14:paraId="09FE8FD5">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p>
    <w:p w14:paraId="0E315299">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AFF40A4">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（1）项目业绩按单项合同金额从高到低的方式排列；</w:t>
      </w:r>
      <w:r>
        <w:rPr>
          <w:rFonts w:hint="eastAsia" w:ascii="宋体" w:hAnsi="宋体" w:eastAsia="宋体" w:cs="Times New Roman"/>
          <w:b/>
          <w:bCs/>
          <w:color w:val="auto"/>
          <w:szCs w:val="24"/>
          <w:highlight w:val="none"/>
          <w:lang w:val="zh-CN"/>
        </w:rPr>
        <w:t>同一个单项合同的业绩可以同时在资格业绩和评分业绩重复放置；</w:t>
      </w:r>
    </w:p>
    <w:p w14:paraId="229819DA">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bookmarkStart w:id="716" w:name="_Toc3876"/>
      <w:bookmarkStart w:id="717" w:name="_Toc23981"/>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）业绩按以下条款作为考评依据：</w:t>
      </w:r>
      <w:bookmarkEnd w:id="716"/>
      <w:bookmarkEnd w:id="717"/>
    </w:p>
    <w:p w14:paraId="06EACB27">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1）业绩须同时提供①合同扫描件，②已供货产品任意一张发票扫描件（发票开具日期须在本项目招标公告发布之日前），否则不得分；</w:t>
      </w:r>
    </w:p>
    <w:p w14:paraId="5AEE067C">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2）若业绩为框架式协议或资格入围无明确金额的合同，必须同时提供合同期限内已供货产品发票金额统计表和供货发票扫描件，否则，视为无效业绩；</w:t>
      </w:r>
    </w:p>
    <w:p w14:paraId="2B51AC8D">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3）若合同无法反映评分条件（卖方为投标人、合同签订日期为202</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年1月1日或以后、金额、合同标的必须包含投标品牌液体聚合氯化铝）的，还需提供产品购买方出具的书面补充说明文件扫描件作为辅助证明（补充说明文件扫描件能显示购买方公章），否则不得分；</w:t>
      </w:r>
    </w:p>
    <w:p w14:paraId="51B36819">
      <w:pPr>
        <w:autoSpaceDE w:val="0"/>
        <w:autoSpaceDN w:val="0"/>
        <w:adjustRightInd w:val="0"/>
        <w:snapToGrid w:val="0"/>
        <w:spacing w:line="360" w:lineRule="auto"/>
        <w:ind w:left="483" w:leftChars="-41" w:hanging="569" w:hangingChars="270"/>
        <w:jc w:val="left"/>
        <w:rPr>
          <w:rFonts w:ascii="宋体" w:hAnsi="宋体" w:eastAsia="宋体" w:cs="宋体"/>
          <w:color w:val="auto"/>
          <w:kern w:val="0"/>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）未按上述要求提供证明材料的业绩，或所附材料无法证明填报项目符合本项评分要求的业绩，在评标时将不予考虑。</w:t>
      </w:r>
    </w:p>
    <w:p w14:paraId="3EBC5CBC">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87517FD">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ECE6EB0">
      <w:pPr>
        <w:autoSpaceDE w:val="0"/>
        <w:autoSpaceDN w:val="0"/>
        <w:adjustRightInd w:val="0"/>
        <w:spacing w:line="360" w:lineRule="auto"/>
        <w:jc w:val="center"/>
        <w:rPr>
          <w:rFonts w:ascii="宋体" w:hAnsi="宋体" w:eastAsia="宋体" w:cs="宋体"/>
          <w:b/>
          <w:bCs/>
          <w:color w:val="auto"/>
          <w:szCs w:val="24"/>
          <w:highlight w:val="none"/>
          <w:lang w:val="zh-CN"/>
        </w:rPr>
      </w:pPr>
    </w:p>
    <w:p w14:paraId="687A381F">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45B32231">
      <w:pPr>
        <w:widowControl/>
        <w:jc w:val="left"/>
        <w:rPr>
          <w:rFonts w:ascii="宋体" w:hAnsi="宋体" w:eastAsia="宋体" w:cs="宋体"/>
          <w:b/>
          <w:color w:val="auto"/>
          <w:kern w:val="0"/>
          <w:sz w:val="32"/>
          <w:szCs w:val="32"/>
          <w:highlight w:val="none"/>
          <w:lang w:val="zh-CN"/>
        </w:rPr>
      </w:pPr>
      <w:bookmarkStart w:id="718" w:name="_Toc10033"/>
      <w:r>
        <w:rPr>
          <w:rFonts w:ascii="宋体" w:hAnsi="宋体" w:eastAsia="宋体" w:cs="宋体"/>
          <w:b/>
          <w:color w:val="auto"/>
          <w:kern w:val="0"/>
          <w:sz w:val="32"/>
          <w:szCs w:val="32"/>
          <w:highlight w:val="none"/>
          <w:lang w:val="zh-CN"/>
        </w:rPr>
        <w:br w:type="page"/>
      </w:r>
    </w:p>
    <w:p w14:paraId="2E893040">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en-US" w:eastAsia="zh-CN"/>
        </w:rPr>
        <w:t xml:space="preserve">9.2 </w:t>
      </w:r>
      <w:r>
        <w:rPr>
          <w:rFonts w:hint="eastAsia" w:ascii="宋体" w:hAnsi="宋体" w:eastAsia="宋体" w:cs="Times New Roman"/>
          <w:b/>
          <w:bCs/>
          <w:color w:val="auto"/>
          <w:sz w:val="30"/>
          <w:szCs w:val="30"/>
          <w:highlight w:val="none"/>
        </w:rPr>
        <w:t>投标人</w:t>
      </w:r>
      <w:r>
        <w:rPr>
          <w:rFonts w:hint="eastAsia" w:ascii="宋体" w:hAnsi="宋体" w:eastAsia="宋体" w:cs="Times New Roman"/>
          <w:b/>
          <w:bCs/>
          <w:color w:val="auto"/>
          <w:sz w:val="30"/>
          <w:szCs w:val="30"/>
          <w:highlight w:val="none"/>
          <w:lang w:val="zh-CN"/>
        </w:rPr>
        <w:t>202</w:t>
      </w:r>
      <w:r>
        <w:rPr>
          <w:rFonts w:hint="eastAsia" w:ascii="宋体" w:hAnsi="宋体" w:eastAsia="宋体" w:cs="Times New Roman"/>
          <w:b/>
          <w:bCs/>
          <w:color w:val="auto"/>
          <w:sz w:val="30"/>
          <w:szCs w:val="30"/>
          <w:highlight w:val="none"/>
          <w:lang w:val="en-US" w:eastAsia="zh-CN"/>
        </w:rPr>
        <w:t>3</w:t>
      </w:r>
      <w:r>
        <w:rPr>
          <w:rFonts w:hint="eastAsia" w:ascii="宋体" w:hAnsi="宋体" w:eastAsia="宋体" w:cs="Times New Roman"/>
          <w:b/>
          <w:bCs/>
          <w:color w:val="auto"/>
          <w:sz w:val="30"/>
          <w:szCs w:val="30"/>
          <w:highlight w:val="none"/>
        </w:rPr>
        <w:t>年</w:t>
      </w:r>
      <w:r>
        <w:rPr>
          <w:rFonts w:hint="eastAsia" w:ascii="宋体" w:hAnsi="宋体" w:eastAsia="宋体" w:cs="Times New Roman"/>
          <w:b/>
          <w:bCs/>
          <w:color w:val="auto"/>
          <w:sz w:val="30"/>
          <w:szCs w:val="30"/>
          <w:highlight w:val="none"/>
          <w:lang w:val="zh-CN"/>
        </w:rPr>
        <w:t>1月1日以来</w:t>
      </w:r>
      <w:r>
        <w:rPr>
          <w:rFonts w:hint="eastAsia" w:ascii="宋体" w:hAnsi="宋体" w:eastAsia="宋体" w:cs="Times New Roman"/>
          <w:b/>
          <w:bCs/>
          <w:color w:val="auto"/>
          <w:sz w:val="30"/>
          <w:szCs w:val="30"/>
          <w:highlight w:val="none"/>
        </w:rPr>
        <w:t>具有的</w:t>
      </w:r>
      <w:r>
        <w:rPr>
          <w:rFonts w:hint="eastAsia" w:ascii="宋体" w:hAnsi="宋体" w:eastAsia="宋体" w:cs="Times New Roman"/>
          <w:b/>
          <w:bCs/>
          <w:color w:val="auto"/>
          <w:sz w:val="30"/>
          <w:szCs w:val="30"/>
          <w:highlight w:val="none"/>
          <w:lang w:val="zh-CN"/>
        </w:rPr>
        <w:t>投标品牌液体聚合氯化铝铁供货业绩表</w:t>
      </w:r>
    </w:p>
    <w:p w14:paraId="34B5A81C">
      <w:pPr>
        <w:autoSpaceDE w:val="0"/>
        <w:autoSpaceDN w:val="0"/>
        <w:adjustRightInd w:val="0"/>
        <w:spacing w:line="360" w:lineRule="auto"/>
        <w:ind w:firstLine="420" w:firstLineChars="20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本项业绩必须为：投标人202</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年以来具有的投标品牌</w:t>
      </w:r>
      <w:r>
        <w:rPr>
          <w:rFonts w:hint="eastAsia" w:ascii="宋体" w:hAnsi="宋体" w:eastAsia="宋体" w:cs="宋体"/>
          <w:color w:val="auto"/>
          <w:szCs w:val="21"/>
          <w:highlight w:val="none"/>
        </w:rPr>
        <w:t>液</w:t>
      </w:r>
      <w:r>
        <w:rPr>
          <w:rFonts w:hint="eastAsia" w:ascii="宋体" w:hAnsi="宋体" w:eastAsia="宋体" w:cs="宋体"/>
          <w:color w:val="auto"/>
          <w:szCs w:val="21"/>
          <w:highlight w:val="none"/>
          <w:lang w:val="en-US" w:eastAsia="zh-CN"/>
        </w:rPr>
        <w:t>体</w:t>
      </w:r>
      <w:r>
        <w:rPr>
          <w:rFonts w:hint="eastAsia" w:ascii="宋体" w:hAnsi="宋体" w:eastAsia="宋体" w:cs="宋体"/>
          <w:color w:val="auto"/>
          <w:szCs w:val="21"/>
          <w:highlight w:val="none"/>
        </w:rPr>
        <w:t>聚</w:t>
      </w:r>
      <w:r>
        <w:rPr>
          <w:rFonts w:hint="eastAsia" w:ascii="宋体" w:hAnsi="宋体" w:eastAsia="宋体" w:cs="宋体"/>
          <w:color w:val="auto"/>
          <w:szCs w:val="21"/>
          <w:highlight w:val="none"/>
          <w:lang w:val="en-US" w:eastAsia="zh-CN"/>
        </w:rPr>
        <w:t>合</w:t>
      </w:r>
      <w:r>
        <w:rPr>
          <w:rFonts w:hint="eastAsia" w:ascii="宋体" w:hAnsi="宋体" w:eastAsia="宋体" w:cs="宋体"/>
          <w:color w:val="auto"/>
          <w:szCs w:val="21"/>
          <w:highlight w:val="none"/>
        </w:rPr>
        <w:t>氯化铝铁</w:t>
      </w:r>
      <w:r>
        <w:rPr>
          <w:rFonts w:hint="eastAsia" w:ascii="宋体" w:hAnsi="宋体" w:eastAsia="宋体" w:cs="Times New Roman"/>
          <w:color w:val="auto"/>
          <w:szCs w:val="21"/>
          <w:highlight w:val="none"/>
        </w:rPr>
        <w:t>供货业绩（合同签订日期为202</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年1月1日或以后）。</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9"/>
        <w:gridCol w:w="1291"/>
        <w:gridCol w:w="2133"/>
        <w:gridCol w:w="1353"/>
        <w:gridCol w:w="782"/>
        <w:gridCol w:w="875"/>
        <w:gridCol w:w="1451"/>
        <w:gridCol w:w="762"/>
      </w:tblGrid>
      <w:tr w14:paraId="7FE5D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4" w:hRule="atLeast"/>
          <w:jc w:val="center"/>
        </w:trPr>
        <w:tc>
          <w:tcPr>
            <w:tcW w:w="532" w:type="pct"/>
            <w:tcBorders>
              <w:top w:val="single" w:color="auto" w:sz="4" w:space="0"/>
              <w:left w:val="single" w:color="auto" w:sz="4" w:space="0"/>
              <w:bottom w:val="single" w:color="auto" w:sz="4" w:space="0"/>
              <w:right w:val="single" w:color="auto" w:sz="4" w:space="0"/>
            </w:tcBorders>
            <w:vAlign w:val="center"/>
          </w:tcPr>
          <w:p w14:paraId="0A5B710B">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zh-CN"/>
              </w:rPr>
              <w:t>序号</w:t>
            </w:r>
          </w:p>
        </w:tc>
        <w:tc>
          <w:tcPr>
            <w:tcW w:w="667" w:type="pct"/>
            <w:tcBorders>
              <w:top w:val="single" w:color="auto" w:sz="4" w:space="0"/>
              <w:left w:val="single" w:color="auto" w:sz="4" w:space="0"/>
              <w:bottom w:val="single" w:color="auto" w:sz="4" w:space="0"/>
              <w:right w:val="single" w:color="auto" w:sz="4" w:space="0"/>
            </w:tcBorders>
            <w:vAlign w:val="center"/>
          </w:tcPr>
          <w:p w14:paraId="4E06BB81">
            <w:pPr>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项目</w:t>
            </w:r>
          </w:p>
          <w:p w14:paraId="59B803B2">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名称 </w:t>
            </w:r>
          </w:p>
        </w:tc>
        <w:tc>
          <w:tcPr>
            <w:tcW w:w="1102" w:type="pct"/>
            <w:tcBorders>
              <w:top w:val="single" w:color="auto" w:sz="4" w:space="0"/>
              <w:left w:val="single" w:color="auto" w:sz="4" w:space="0"/>
              <w:bottom w:val="single" w:color="auto" w:sz="4" w:space="0"/>
              <w:right w:val="single" w:color="auto" w:sz="4" w:space="0"/>
            </w:tcBorders>
            <w:vAlign w:val="center"/>
          </w:tcPr>
          <w:p w14:paraId="4363C1D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合同标的货物名称、品牌、数量</w:t>
            </w:r>
          </w:p>
        </w:tc>
        <w:tc>
          <w:tcPr>
            <w:tcW w:w="699" w:type="pct"/>
            <w:tcBorders>
              <w:top w:val="single" w:color="auto" w:sz="4" w:space="0"/>
              <w:left w:val="single" w:color="auto" w:sz="4" w:space="0"/>
              <w:bottom w:val="single" w:color="auto" w:sz="4" w:space="0"/>
              <w:right w:val="single" w:color="auto" w:sz="4" w:space="0"/>
            </w:tcBorders>
            <w:vAlign w:val="center"/>
          </w:tcPr>
          <w:p w14:paraId="33F060B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单项合同金额（单位：万元）</w:t>
            </w:r>
          </w:p>
        </w:tc>
        <w:tc>
          <w:tcPr>
            <w:tcW w:w="404" w:type="pct"/>
            <w:tcBorders>
              <w:top w:val="single" w:color="auto" w:sz="4" w:space="0"/>
              <w:left w:val="single" w:color="auto" w:sz="4" w:space="0"/>
              <w:bottom w:val="single" w:color="auto" w:sz="4" w:space="0"/>
              <w:right w:val="single" w:color="auto" w:sz="4" w:space="0"/>
            </w:tcBorders>
            <w:vAlign w:val="center"/>
          </w:tcPr>
          <w:p w14:paraId="570C3231">
            <w:pPr>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签约</w:t>
            </w:r>
          </w:p>
          <w:p w14:paraId="0E58E010">
            <w:pPr>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日期</w:t>
            </w:r>
          </w:p>
        </w:tc>
        <w:tc>
          <w:tcPr>
            <w:tcW w:w="452" w:type="pct"/>
            <w:tcBorders>
              <w:top w:val="single" w:color="auto" w:sz="4" w:space="0"/>
              <w:left w:val="single" w:color="auto" w:sz="4" w:space="0"/>
              <w:bottom w:val="single" w:color="auto" w:sz="4" w:space="0"/>
              <w:right w:val="single" w:color="auto" w:sz="4" w:space="0"/>
            </w:tcBorders>
            <w:vAlign w:val="center"/>
          </w:tcPr>
          <w:p w14:paraId="45F3A603">
            <w:pPr>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完成</w:t>
            </w:r>
          </w:p>
          <w:p w14:paraId="353FE28B">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zh-CN"/>
              </w:rPr>
              <w:t>情况</w:t>
            </w:r>
          </w:p>
        </w:tc>
        <w:tc>
          <w:tcPr>
            <w:tcW w:w="750" w:type="pct"/>
            <w:tcBorders>
              <w:top w:val="single" w:color="auto" w:sz="4" w:space="0"/>
              <w:left w:val="single" w:color="auto" w:sz="4" w:space="0"/>
              <w:bottom w:val="single" w:color="auto" w:sz="4" w:space="0"/>
              <w:right w:val="single" w:color="auto" w:sz="4" w:space="0"/>
            </w:tcBorders>
            <w:vAlign w:val="center"/>
          </w:tcPr>
          <w:p w14:paraId="1EBE0AE3">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zh-CN"/>
              </w:rPr>
              <w:t>买方单位联系人及电话</w:t>
            </w:r>
          </w:p>
        </w:tc>
        <w:tc>
          <w:tcPr>
            <w:tcW w:w="395" w:type="pct"/>
            <w:tcBorders>
              <w:top w:val="single" w:color="auto" w:sz="4" w:space="0"/>
              <w:left w:val="single" w:color="auto" w:sz="4" w:space="0"/>
              <w:bottom w:val="single" w:color="auto" w:sz="4" w:space="0"/>
              <w:right w:val="single" w:color="auto" w:sz="4" w:space="0"/>
            </w:tcBorders>
            <w:vAlign w:val="center"/>
          </w:tcPr>
          <w:p w14:paraId="2B999F05">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zh-CN"/>
              </w:rPr>
              <w:t>备注</w:t>
            </w:r>
          </w:p>
        </w:tc>
      </w:tr>
      <w:tr w14:paraId="36208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532" w:type="pct"/>
            <w:tcBorders>
              <w:top w:val="single" w:color="auto" w:sz="4" w:space="0"/>
              <w:left w:val="single" w:color="auto" w:sz="4" w:space="0"/>
              <w:bottom w:val="single" w:color="auto" w:sz="4" w:space="0"/>
              <w:right w:val="single" w:color="auto" w:sz="4" w:space="0"/>
            </w:tcBorders>
            <w:vAlign w:val="center"/>
          </w:tcPr>
          <w:p w14:paraId="32728734">
            <w:pPr>
              <w:spacing w:line="360" w:lineRule="auto"/>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667" w:type="pct"/>
            <w:tcBorders>
              <w:top w:val="single" w:color="auto" w:sz="4" w:space="0"/>
              <w:left w:val="single" w:color="auto" w:sz="4" w:space="0"/>
              <w:bottom w:val="single" w:color="auto" w:sz="4" w:space="0"/>
              <w:right w:val="single" w:color="auto" w:sz="4" w:space="0"/>
            </w:tcBorders>
            <w:vAlign w:val="center"/>
          </w:tcPr>
          <w:p w14:paraId="1A2E358E">
            <w:pPr>
              <w:spacing w:line="360" w:lineRule="auto"/>
              <w:jc w:val="center"/>
              <w:rPr>
                <w:rFonts w:ascii="宋体" w:hAnsi="宋体" w:eastAsia="宋体" w:cs="宋体"/>
                <w:color w:val="auto"/>
                <w:szCs w:val="21"/>
                <w:highlight w:val="none"/>
              </w:rPr>
            </w:pPr>
          </w:p>
        </w:tc>
        <w:tc>
          <w:tcPr>
            <w:tcW w:w="1102" w:type="pct"/>
            <w:tcBorders>
              <w:top w:val="single" w:color="auto" w:sz="4" w:space="0"/>
              <w:left w:val="single" w:color="auto" w:sz="4" w:space="0"/>
              <w:bottom w:val="single" w:color="auto" w:sz="4" w:space="0"/>
              <w:right w:val="single" w:color="auto" w:sz="4" w:space="0"/>
            </w:tcBorders>
            <w:vAlign w:val="center"/>
          </w:tcPr>
          <w:p w14:paraId="2694711C">
            <w:pPr>
              <w:spacing w:line="360" w:lineRule="auto"/>
              <w:jc w:val="center"/>
              <w:rPr>
                <w:rFonts w:ascii="宋体" w:hAnsi="宋体" w:eastAsia="宋体" w:cs="宋体"/>
                <w:color w:val="auto"/>
                <w:szCs w:val="21"/>
                <w:highlight w:val="none"/>
              </w:rPr>
            </w:pPr>
          </w:p>
        </w:tc>
        <w:tc>
          <w:tcPr>
            <w:tcW w:w="699" w:type="pct"/>
            <w:tcBorders>
              <w:top w:val="single" w:color="auto" w:sz="4" w:space="0"/>
              <w:left w:val="single" w:color="auto" w:sz="4" w:space="0"/>
              <w:bottom w:val="single" w:color="auto" w:sz="4" w:space="0"/>
              <w:right w:val="single" w:color="auto" w:sz="4" w:space="0"/>
            </w:tcBorders>
            <w:vAlign w:val="center"/>
          </w:tcPr>
          <w:p w14:paraId="64BF6BBB">
            <w:pPr>
              <w:spacing w:line="360" w:lineRule="auto"/>
              <w:jc w:val="center"/>
              <w:rPr>
                <w:rFonts w:ascii="宋体" w:hAnsi="宋体" w:eastAsia="宋体" w:cs="宋体"/>
                <w:color w:val="auto"/>
                <w:szCs w:val="21"/>
                <w:highlight w:val="none"/>
              </w:rPr>
            </w:pPr>
          </w:p>
        </w:tc>
        <w:tc>
          <w:tcPr>
            <w:tcW w:w="404" w:type="pct"/>
            <w:tcBorders>
              <w:top w:val="single" w:color="auto" w:sz="4" w:space="0"/>
              <w:left w:val="single" w:color="auto" w:sz="4" w:space="0"/>
              <w:bottom w:val="single" w:color="auto" w:sz="4" w:space="0"/>
              <w:right w:val="single" w:color="auto" w:sz="4" w:space="0"/>
            </w:tcBorders>
          </w:tcPr>
          <w:p w14:paraId="1D5F4774">
            <w:pPr>
              <w:spacing w:line="360" w:lineRule="auto"/>
              <w:jc w:val="center"/>
              <w:rPr>
                <w:rFonts w:ascii="宋体" w:hAnsi="宋体" w:eastAsia="宋体" w:cs="宋体"/>
                <w:color w:val="auto"/>
                <w:szCs w:val="21"/>
                <w:highlight w:val="none"/>
                <w:u w:val="single"/>
              </w:rPr>
            </w:pPr>
          </w:p>
        </w:tc>
        <w:tc>
          <w:tcPr>
            <w:tcW w:w="452" w:type="pct"/>
            <w:tcBorders>
              <w:top w:val="single" w:color="auto" w:sz="4" w:space="0"/>
              <w:left w:val="single" w:color="auto" w:sz="4" w:space="0"/>
              <w:bottom w:val="single" w:color="auto" w:sz="4" w:space="0"/>
              <w:right w:val="single" w:color="auto" w:sz="4" w:space="0"/>
            </w:tcBorders>
            <w:vAlign w:val="center"/>
          </w:tcPr>
          <w:p w14:paraId="7B36FF81">
            <w:pPr>
              <w:spacing w:line="360" w:lineRule="auto"/>
              <w:jc w:val="center"/>
              <w:rPr>
                <w:rFonts w:ascii="宋体" w:hAnsi="宋体" w:eastAsia="宋体" w:cs="宋体"/>
                <w:color w:val="auto"/>
                <w:szCs w:val="21"/>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0F27B167">
            <w:pPr>
              <w:spacing w:line="360" w:lineRule="auto"/>
              <w:jc w:val="center"/>
              <w:rPr>
                <w:rFonts w:ascii="宋体" w:hAnsi="宋体" w:eastAsia="宋体" w:cs="宋体"/>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1BC6125F">
            <w:pPr>
              <w:spacing w:line="360" w:lineRule="auto"/>
              <w:jc w:val="center"/>
              <w:rPr>
                <w:rFonts w:ascii="宋体" w:hAnsi="宋体" w:eastAsia="宋体" w:cs="宋体"/>
                <w:color w:val="auto"/>
                <w:szCs w:val="21"/>
                <w:highlight w:val="none"/>
              </w:rPr>
            </w:pPr>
          </w:p>
        </w:tc>
      </w:tr>
      <w:tr w14:paraId="5388F9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32" w:type="pct"/>
            <w:tcBorders>
              <w:top w:val="single" w:color="auto" w:sz="4" w:space="0"/>
              <w:left w:val="single" w:color="auto" w:sz="4" w:space="0"/>
              <w:bottom w:val="single" w:color="auto" w:sz="4" w:space="0"/>
              <w:right w:val="single" w:color="auto" w:sz="4" w:space="0"/>
            </w:tcBorders>
            <w:vAlign w:val="center"/>
          </w:tcPr>
          <w:p w14:paraId="2B2859EA">
            <w:pPr>
              <w:spacing w:line="360" w:lineRule="auto"/>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p>
        </w:tc>
        <w:tc>
          <w:tcPr>
            <w:tcW w:w="667" w:type="pct"/>
            <w:tcBorders>
              <w:top w:val="single" w:color="auto" w:sz="4" w:space="0"/>
              <w:left w:val="single" w:color="auto" w:sz="4" w:space="0"/>
              <w:bottom w:val="single" w:color="auto" w:sz="4" w:space="0"/>
              <w:right w:val="single" w:color="auto" w:sz="4" w:space="0"/>
            </w:tcBorders>
            <w:vAlign w:val="center"/>
          </w:tcPr>
          <w:p w14:paraId="3679E069">
            <w:pPr>
              <w:spacing w:line="360" w:lineRule="auto"/>
              <w:jc w:val="center"/>
              <w:rPr>
                <w:rFonts w:ascii="宋体" w:hAnsi="宋体" w:eastAsia="宋体" w:cs="宋体"/>
                <w:color w:val="auto"/>
                <w:szCs w:val="21"/>
                <w:highlight w:val="none"/>
              </w:rPr>
            </w:pPr>
          </w:p>
        </w:tc>
        <w:tc>
          <w:tcPr>
            <w:tcW w:w="1102" w:type="pct"/>
            <w:tcBorders>
              <w:top w:val="single" w:color="auto" w:sz="4" w:space="0"/>
              <w:left w:val="single" w:color="auto" w:sz="4" w:space="0"/>
              <w:bottom w:val="single" w:color="auto" w:sz="4" w:space="0"/>
              <w:right w:val="single" w:color="auto" w:sz="4" w:space="0"/>
            </w:tcBorders>
            <w:vAlign w:val="center"/>
          </w:tcPr>
          <w:p w14:paraId="3A63775A">
            <w:pPr>
              <w:spacing w:line="360" w:lineRule="auto"/>
              <w:jc w:val="center"/>
              <w:rPr>
                <w:rFonts w:ascii="宋体" w:hAnsi="宋体" w:eastAsia="宋体" w:cs="宋体"/>
                <w:color w:val="auto"/>
                <w:szCs w:val="21"/>
                <w:highlight w:val="none"/>
              </w:rPr>
            </w:pPr>
          </w:p>
        </w:tc>
        <w:tc>
          <w:tcPr>
            <w:tcW w:w="699" w:type="pct"/>
            <w:tcBorders>
              <w:top w:val="single" w:color="auto" w:sz="4" w:space="0"/>
              <w:left w:val="single" w:color="auto" w:sz="4" w:space="0"/>
              <w:bottom w:val="single" w:color="auto" w:sz="4" w:space="0"/>
              <w:right w:val="single" w:color="auto" w:sz="4" w:space="0"/>
            </w:tcBorders>
            <w:vAlign w:val="center"/>
          </w:tcPr>
          <w:p w14:paraId="3FC9F87C">
            <w:pPr>
              <w:spacing w:line="360" w:lineRule="auto"/>
              <w:jc w:val="center"/>
              <w:rPr>
                <w:rFonts w:ascii="宋体" w:hAnsi="宋体" w:eastAsia="宋体" w:cs="宋体"/>
                <w:color w:val="auto"/>
                <w:szCs w:val="21"/>
                <w:highlight w:val="none"/>
              </w:rPr>
            </w:pPr>
          </w:p>
        </w:tc>
        <w:tc>
          <w:tcPr>
            <w:tcW w:w="404" w:type="pct"/>
            <w:tcBorders>
              <w:top w:val="single" w:color="auto" w:sz="4" w:space="0"/>
              <w:left w:val="single" w:color="auto" w:sz="4" w:space="0"/>
              <w:bottom w:val="single" w:color="auto" w:sz="4" w:space="0"/>
              <w:right w:val="single" w:color="auto" w:sz="4" w:space="0"/>
            </w:tcBorders>
          </w:tcPr>
          <w:p w14:paraId="4D4907EE">
            <w:pPr>
              <w:spacing w:line="360" w:lineRule="auto"/>
              <w:jc w:val="center"/>
              <w:rPr>
                <w:rFonts w:ascii="宋体" w:hAnsi="宋体" w:eastAsia="宋体" w:cs="宋体"/>
                <w:color w:val="auto"/>
                <w:szCs w:val="21"/>
                <w:highlight w:val="none"/>
                <w:u w:val="single"/>
              </w:rPr>
            </w:pPr>
          </w:p>
        </w:tc>
        <w:tc>
          <w:tcPr>
            <w:tcW w:w="452" w:type="pct"/>
            <w:tcBorders>
              <w:top w:val="single" w:color="auto" w:sz="4" w:space="0"/>
              <w:left w:val="single" w:color="auto" w:sz="4" w:space="0"/>
              <w:bottom w:val="single" w:color="auto" w:sz="4" w:space="0"/>
              <w:right w:val="single" w:color="auto" w:sz="4" w:space="0"/>
            </w:tcBorders>
            <w:vAlign w:val="center"/>
          </w:tcPr>
          <w:p w14:paraId="137015D3">
            <w:pPr>
              <w:spacing w:line="360" w:lineRule="auto"/>
              <w:jc w:val="center"/>
              <w:rPr>
                <w:rFonts w:ascii="宋体" w:hAnsi="宋体" w:eastAsia="宋体" w:cs="宋体"/>
                <w:color w:val="auto"/>
                <w:szCs w:val="21"/>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365726DD">
            <w:pPr>
              <w:spacing w:line="360" w:lineRule="auto"/>
              <w:jc w:val="center"/>
              <w:rPr>
                <w:rFonts w:ascii="宋体" w:hAnsi="宋体" w:eastAsia="宋体" w:cs="宋体"/>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2632C60B">
            <w:pPr>
              <w:spacing w:line="360" w:lineRule="auto"/>
              <w:jc w:val="center"/>
              <w:rPr>
                <w:rFonts w:ascii="宋体" w:hAnsi="宋体" w:eastAsia="宋体" w:cs="宋体"/>
                <w:color w:val="auto"/>
                <w:szCs w:val="21"/>
                <w:highlight w:val="none"/>
              </w:rPr>
            </w:pPr>
          </w:p>
        </w:tc>
      </w:tr>
      <w:tr w14:paraId="57F98A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532" w:type="pct"/>
            <w:tcBorders>
              <w:top w:val="single" w:color="auto" w:sz="4" w:space="0"/>
              <w:left w:val="single" w:color="auto" w:sz="4" w:space="0"/>
              <w:bottom w:val="single" w:color="auto" w:sz="4" w:space="0"/>
              <w:right w:val="single" w:color="auto" w:sz="4" w:space="0"/>
            </w:tcBorders>
            <w:vAlign w:val="center"/>
          </w:tcPr>
          <w:p w14:paraId="7B7783CB">
            <w:pPr>
              <w:spacing w:line="360" w:lineRule="auto"/>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p>
        </w:tc>
        <w:tc>
          <w:tcPr>
            <w:tcW w:w="667" w:type="pct"/>
            <w:tcBorders>
              <w:top w:val="single" w:color="auto" w:sz="4" w:space="0"/>
              <w:left w:val="single" w:color="auto" w:sz="4" w:space="0"/>
              <w:bottom w:val="single" w:color="auto" w:sz="4" w:space="0"/>
              <w:right w:val="single" w:color="auto" w:sz="4" w:space="0"/>
            </w:tcBorders>
            <w:vAlign w:val="center"/>
          </w:tcPr>
          <w:p w14:paraId="45D534E3">
            <w:pPr>
              <w:spacing w:line="360" w:lineRule="auto"/>
              <w:jc w:val="center"/>
              <w:rPr>
                <w:rFonts w:ascii="宋体" w:hAnsi="宋体" w:eastAsia="宋体" w:cs="宋体"/>
                <w:color w:val="auto"/>
                <w:szCs w:val="21"/>
                <w:highlight w:val="none"/>
              </w:rPr>
            </w:pPr>
          </w:p>
        </w:tc>
        <w:tc>
          <w:tcPr>
            <w:tcW w:w="1102" w:type="pct"/>
            <w:tcBorders>
              <w:top w:val="single" w:color="auto" w:sz="4" w:space="0"/>
              <w:left w:val="single" w:color="auto" w:sz="4" w:space="0"/>
              <w:bottom w:val="single" w:color="auto" w:sz="4" w:space="0"/>
              <w:right w:val="single" w:color="auto" w:sz="4" w:space="0"/>
            </w:tcBorders>
            <w:vAlign w:val="center"/>
          </w:tcPr>
          <w:p w14:paraId="466A01F5">
            <w:pPr>
              <w:spacing w:line="360" w:lineRule="auto"/>
              <w:jc w:val="center"/>
              <w:rPr>
                <w:rFonts w:ascii="宋体" w:hAnsi="宋体" w:eastAsia="宋体" w:cs="宋体"/>
                <w:color w:val="auto"/>
                <w:szCs w:val="21"/>
                <w:highlight w:val="none"/>
              </w:rPr>
            </w:pPr>
          </w:p>
        </w:tc>
        <w:tc>
          <w:tcPr>
            <w:tcW w:w="699" w:type="pct"/>
            <w:tcBorders>
              <w:top w:val="single" w:color="auto" w:sz="4" w:space="0"/>
              <w:left w:val="single" w:color="auto" w:sz="4" w:space="0"/>
              <w:bottom w:val="single" w:color="auto" w:sz="4" w:space="0"/>
              <w:right w:val="single" w:color="auto" w:sz="4" w:space="0"/>
            </w:tcBorders>
            <w:vAlign w:val="center"/>
          </w:tcPr>
          <w:p w14:paraId="4AB981F6">
            <w:pPr>
              <w:spacing w:line="360" w:lineRule="auto"/>
              <w:jc w:val="center"/>
              <w:rPr>
                <w:rFonts w:ascii="宋体" w:hAnsi="宋体" w:eastAsia="宋体" w:cs="宋体"/>
                <w:color w:val="auto"/>
                <w:szCs w:val="21"/>
                <w:highlight w:val="none"/>
              </w:rPr>
            </w:pPr>
          </w:p>
        </w:tc>
        <w:tc>
          <w:tcPr>
            <w:tcW w:w="404" w:type="pct"/>
            <w:tcBorders>
              <w:top w:val="single" w:color="auto" w:sz="4" w:space="0"/>
              <w:left w:val="single" w:color="auto" w:sz="4" w:space="0"/>
              <w:bottom w:val="single" w:color="auto" w:sz="4" w:space="0"/>
              <w:right w:val="single" w:color="auto" w:sz="4" w:space="0"/>
            </w:tcBorders>
          </w:tcPr>
          <w:p w14:paraId="0F3638A6">
            <w:pPr>
              <w:spacing w:line="360" w:lineRule="auto"/>
              <w:jc w:val="center"/>
              <w:rPr>
                <w:rFonts w:ascii="宋体" w:hAnsi="宋体" w:eastAsia="宋体" w:cs="宋体"/>
                <w:color w:val="auto"/>
                <w:szCs w:val="21"/>
                <w:highlight w:val="none"/>
                <w:u w:val="single"/>
              </w:rPr>
            </w:pPr>
          </w:p>
        </w:tc>
        <w:tc>
          <w:tcPr>
            <w:tcW w:w="452" w:type="pct"/>
            <w:tcBorders>
              <w:top w:val="single" w:color="auto" w:sz="4" w:space="0"/>
              <w:left w:val="single" w:color="auto" w:sz="4" w:space="0"/>
              <w:bottom w:val="single" w:color="auto" w:sz="4" w:space="0"/>
              <w:right w:val="single" w:color="auto" w:sz="4" w:space="0"/>
            </w:tcBorders>
            <w:vAlign w:val="center"/>
          </w:tcPr>
          <w:p w14:paraId="25C3D535">
            <w:pPr>
              <w:spacing w:line="360" w:lineRule="auto"/>
              <w:jc w:val="center"/>
              <w:rPr>
                <w:rFonts w:ascii="宋体" w:hAnsi="宋体" w:eastAsia="宋体" w:cs="宋体"/>
                <w:color w:val="auto"/>
                <w:szCs w:val="21"/>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7DA07E45">
            <w:pPr>
              <w:spacing w:line="360" w:lineRule="auto"/>
              <w:jc w:val="center"/>
              <w:rPr>
                <w:rFonts w:ascii="宋体" w:hAnsi="宋体" w:eastAsia="宋体" w:cs="宋体"/>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66C3AB05">
            <w:pPr>
              <w:spacing w:line="360" w:lineRule="auto"/>
              <w:jc w:val="center"/>
              <w:rPr>
                <w:rFonts w:ascii="宋体" w:hAnsi="宋体" w:eastAsia="宋体" w:cs="宋体"/>
                <w:color w:val="auto"/>
                <w:szCs w:val="21"/>
                <w:highlight w:val="none"/>
              </w:rPr>
            </w:pPr>
          </w:p>
        </w:tc>
      </w:tr>
      <w:tr w14:paraId="30C78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32" w:type="pct"/>
            <w:tcBorders>
              <w:top w:val="single" w:color="auto" w:sz="4" w:space="0"/>
              <w:left w:val="single" w:color="auto" w:sz="4" w:space="0"/>
              <w:bottom w:val="single" w:color="auto" w:sz="4" w:space="0"/>
              <w:right w:val="single" w:color="auto" w:sz="4" w:space="0"/>
            </w:tcBorders>
            <w:vAlign w:val="center"/>
          </w:tcPr>
          <w:p w14:paraId="125FDDE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67" w:type="pct"/>
            <w:tcBorders>
              <w:top w:val="single" w:color="auto" w:sz="4" w:space="0"/>
              <w:left w:val="single" w:color="auto" w:sz="4" w:space="0"/>
              <w:bottom w:val="single" w:color="auto" w:sz="4" w:space="0"/>
              <w:right w:val="single" w:color="auto" w:sz="4" w:space="0"/>
            </w:tcBorders>
            <w:vAlign w:val="center"/>
          </w:tcPr>
          <w:p w14:paraId="64C4B262">
            <w:pPr>
              <w:spacing w:line="360" w:lineRule="auto"/>
              <w:jc w:val="center"/>
              <w:rPr>
                <w:rFonts w:ascii="宋体" w:hAnsi="宋体" w:eastAsia="宋体" w:cs="宋体"/>
                <w:color w:val="auto"/>
                <w:szCs w:val="21"/>
                <w:highlight w:val="none"/>
              </w:rPr>
            </w:pPr>
          </w:p>
        </w:tc>
        <w:tc>
          <w:tcPr>
            <w:tcW w:w="1102" w:type="pct"/>
            <w:tcBorders>
              <w:top w:val="single" w:color="auto" w:sz="4" w:space="0"/>
              <w:left w:val="single" w:color="auto" w:sz="4" w:space="0"/>
              <w:bottom w:val="single" w:color="auto" w:sz="4" w:space="0"/>
              <w:right w:val="single" w:color="auto" w:sz="4" w:space="0"/>
            </w:tcBorders>
            <w:vAlign w:val="center"/>
          </w:tcPr>
          <w:p w14:paraId="1D9048CA">
            <w:pPr>
              <w:spacing w:line="360" w:lineRule="auto"/>
              <w:jc w:val="center"/>
              <w:rPr>
                <w:rFonts w:ascii="宋体" w:hAnsi="宋体" w:eastAsia="宋体" w:cs="宋体"/>
                <w:color w:val="auto"/>
                <w:szCs w:val="21"/>
                <w:highlight w:val="none"/>
              </w:rPr>
            </w:pPr>
          </w:p>
        </w:tc>
        <w:tc>
          <w:tcPr>
            <w:tcW w:w="699" w:type="pct"/>
            <w:tcBorders>
              <w:top w:val="single" w:color="auto" w:sz="4" w:space="0"/>
              <w:left w:val="single" w:color="auto" w:sz="4" w:space="0"/>
              <w:bottom w:val="single" w:color="auto" w:sz="4" w:space="0"/>
              <w:right w:val="single" w:color="auto" w:sz="4" w:space="0"/>
            </w:tcBorders>
            <w:vAlign w:val="center"/>
          </w:tcPr>
          <w:p w14:paraId="62EA2191">
            <w:pPr>
              <w:spacing w:line="360" w:lineRule="auto"/>
              <w:jc w:val="center"/>
              <w:rPr>
                <w:rFonts w:ascii="宋体" w:hAnsi="宋体" w:eastAsia="宋体" w:cs="宋体"/>
                <w:color w:val="auto"/>
                <w:szCs w:val="21"/>
                <w:highlight w:val="none"/>
              </w:rPr>
            </w:pPr>
          </w:p>
        </w:tc>
        <w:tc>
          <w:tcPr>
            <w:tcW w:w="404" w:type="pct"/>
            <w:tcBorders>
              <w:top w:val="single" w:color="auto" w:sz="4" w:space="0"/>
              <w:left w:val="single" w:color="auto" w:sz="4" w:space="0"/>
              <w:bottom w:val="single" w:color="auto" w:sz="4" w:space="0"/>
              <w:right w:val="single" w:color="auto" w:sz="4" w:space="0"/>
            </w:tcBorders>
          </w:tcPr>
          <w:p w14:paraId="121249F8">
            <w:pPr>
              <w:spacing w:line="360" w:lineRule="auto"/>
              <w:jc w:val="center"/>
              <w:rPr>
                <w:rFonts w:ascii="宋体" w:hAnsi="宋体" w:eastAsia="宋体" w:cs="宋体"/>
                <w:color w:val="auto"/>
                <w:szCs w:val="21"/>
                <w:highlight w:val="none"/>
              </w:rPr>
            </w:pPr>
          </w:p>
        </w:tc>
        <w:tc>
          <w:tcPr>
            <w:tcW w:w="452" w:type="pct"/>
            <w:tcBorders>
              <w:top w:val="single" w:color="auto" w:sz="4" w:space="0"/>
              <w:left w:val="single" w:color="auto" w:sz="4" w:space="0"/>
              <w:bottom w:val="single" w:color="auto" w:sz="4" w:space="0"/>
              <w:right w:val="single" w:color="auto" w:sz="4" w:space="0"/>
            </w:tcBorders>
            <w:vAlign w:val="center"/>
          </w:tcPr>
          <w:p w14:paraId="5EDF9F89">
            <w:pPr>
              <w:spacing w:line="360" w:lineRule="auto"/>
              <w:jc w:val="center"/>
              <w:rPr>
                <w:rFonts w:ascii="宋体" w:hAnsi="宋体" w:eastAsia="宋体" w:cs="宋体"/>
                <w:color w:val="auto"/>
                <w:szCs w:val="21"/>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68E076CC">
            <w:pPr>
              <w:spacing w:line="360" w:lineRule="auto"/>
              <w:jc w:val="center"/>
              <w:rPr>
                <w:rFonts w:ascii="宋体" w:hAnsi="宋体" w:eastAsia="宋体" w:cs="宋体"/>
                <w:color w:val="auto"/>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6F37ADE1">
            <w:pPr>
              <w:spacing w:line="360" w:lineRule="auto"/>
              <w:jc w:val="center"/>
              <w:rPr>
                <w:rFonts w:ascii="宋体" w:hAnsi="宋体" w:eastAsia="宋体" w:cs="宋体"/>
                <w:color w:val="auto"/>
                <w:szCs w:val="21"/>
                <w:highlight w:val="none"/>
              </w:rPr>
            </w:pPr>
          </w:p>
        </w:tc>
      </w:tr>
    </w:tbl>
    <w:p w14:paraId="58A65E86">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p>
    <w:p w14:paraId="04121BA7">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24466F79">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（1）项目业绩按单项合同金额从高到低的方式排列；</w:t>
      </w:r>
      <w:r>
        <w:rPr>
          <w:rFonts w:hint="eastAsia" w:ascii="宋体" w:hAnsi="宋体" w:eastAsia="宋体" w:cs="Times New Roman"/>
          <w:b/>
          <w:bCs/>
          <w:color w:val="auto"/>
          <w:szCs w:val="24"/>
          <w:highlight w:val="none"/>
          <w:lang w:val="zh-CN"/>
        </w:rPr>
        <w:t>同一个单项合同的业绩可以同时在资格业绩和评分业绩重复放置；</w:t>
      </w:r>
    </w:p>
    <w:p w14:paraId="7D2E36EB">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）业绩按以下条款作为考评依据：</w:t>
      </w:r>
    </w:p>
    <w:p w14:paraId="663EB6BA">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1）业绩须同时提供①合同扫描件，②已供货产品任意一张发票扫描件（发票开具日期须在本项目招标公告发布之日前），否则不得分；</w:t>
      </w:r>
    </w:p>
    <w:p w14:paraId="173028B3">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2）若业绩为框架式协议或资格入围无明确金额的合同，必须同时提供合同期限内已供货产品发票金额统计表和供货发票扫描件，否则，视为无效业绩；</w:t>
      </w:r>
    </w:p>
    <w:p w14:paraId="272C682F">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3）若合同无法反映评分条件（卖方为投标人、合同签订日期为202</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年1月1日或以后、金额、合同标的必须包含投标品牌液体聚合氯化铝铁）的，还需提供产品购买方出具的书面补充说明文件扫描件作为辅助证明（补充说明文件扫描件能显示购买方公章），否则不得分；</w:t>
      </w:r>
    </w:p>
    <w:p w14:paraId="020B221A">
      <w:pPr>
        <w:autoSpaceDE w:val="0"/>
        <w:autoSpaceDN w:val="0"/>
        <w:adjustRightInd w:val="0"/>
        <w:snapToGrid w:val="0"/>
        <w:spacing w:line="360" w:lineRule="auto"/>
        <w:ind w:left="483" w:leftChars="-41" w:hanging="569" w:hangingChars="270"/>
        <w:jc w:val="left"/>
        <w:rPr>
          <w:rFonts w:ascii="宋体" w:hAnsi="宋体" w:eastAsia="宋体" w:cs="宋体"/>
          <w:color w:val="auto"/>
          <w:kern w:val="0"/>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）未按上述要求提供证明材料的业绩，或所附材料无法证明填报项目符合本项评分要求的业绩，在评标时将不予考虑。</w:t>
      </w:r>
    </w:p>
    <w:p w14:paraId="36C0A923">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31E14DF">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187A3A7">
      <w:pPr>
        <w:autoSpaceDE w:val="0"/>
        <w:autoSpaceDN w:val="0"/>
        <w:adjustRightInd w:val="0"/>
        <w:spacing w:line="360" w:lineRule="auto"/>
        <w:jc w:val="center"/>
        <w:rPr>
          <w:rFonts w:ascii="宋体" w:hAnsi="宋体" w:eastAsia="宋体" w:cs="宋体"/>
          <w:b/>
          <w:bCs/>
          <w:color w:val="auto"/>
          <w:szCs w:val="24"/>
          <w:highlight w:val="none"/>
          <w:lang w:val="zh-CN"/>
        </w:rPr>
      </w:pPr>
    </w:p>
    <w:p w14:paraId="6D7564E5">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0A877447">
      <w:pPr>
        <w:autoSpaceDE/>
        <w:autoSpaceDN/>
        <w:adjustRightInd/>
        <w:spacing w:line="240" w:lineRule="auto"/>
        <w:ind w:left="0" w:firstLine="0"/>
        <w:jc w:val="left"/>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537E2DCB">
      <w:pPr>
        <w:tabs>
          <w:tab w:val="left" w:pos="567"/>
        </w:tabs>
        <w:autoSpaceDE w:val="0"/>
        <w:autoSpaceDN w:val="0"/>
        <w:adjustRightInd w:val="0"/>
        <w:spacing w:line="360" w:lineRule="auto"/>
        <w:ind w:left="657" w:hanging="867"/>
        <w:jc w:val="left"/>
        <w:rPr>
          <w:rFonts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附表：已供货产品发票金额统计表</w:t>
      </w:r>
      <w:bookmarkEnd w:id="718"/>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2720"/>
        <w:gridCol w:w="2526"/>
        <w:gridCol w:w="1056"/>
        <w:gridCol w:w="1476"/>
        <w:gridCol w:w="636"/>
      </w:tblGrid>
      <w:tr w14:paraId="4FCC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14:paraId="6CB510D1">
            <w:pPr>
              <w:pStyle w:val="20"/>
              <w:ind w:left="0" w:leftChars="0"/>
              <w:jc w:val="center"/>
              <w:rPr>
                <w:rFonts w:ascii="宋体" w:hAnsi="宋体" w:cs="宋体"/>
                <w:color w:val="auto"/>
                <w:highlight w:val="none"/>
              </w:rPr>
            </w:pPr>
            <w:r>
              <w:rPr>
                <w:rFonts w:hint="eastAsia" w:ascii="宋体" w:hAnsi="宋体" w:cs="宋体"/>
                <w:color w:val="auto"/>
                <w:highlight w:val="none"/>
              </w:rPr>
              <w:t>项目名称</w:t>
            </w:r>
          </w:p>
        </w:tc>
        <w:tc>
          <w:tcPr>
            <w:tcW w:w="0" w:type="auto"/>
            <w:gridSpan w:val="4"/>
            <w:vAlign w:val="center"/>
          </w:tcPr>
          <w:p w14:paraId="3A921AC1">
            <w:pPr>
              <w:pStyle w:val="20"/>
              <w:spacing w:line="360" w:lineRule="auto"/>
              <w:ind w:left="0" w:leftChars="0"/>
              <w:rPr>
                <w:rFonts w:ascii="宋体" w:hAnsi="宋体" w:cs="宋体"/>
                <w:color w:val="auto"/>
                <w:highlight w:val="none"/>
              </w:rPr>
            </w:pPr>
          </w:p>
        </w:tc>
      </w:tr>
      <w:tr w14:paraId="1E06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14:paraId="2FAD7233">
            <w:pPr>
              <w:pStyle w:val="20"/>
              <w:ind w:left="0" w:leftChars="0"/>
              <w:jc w:val="center"/>
              <w:rPr>
                <w:rFonts w:ascii="宋体" w:hAnsi="宋体" w:cs="宋体"/>
                <w:color w:val="auto"/>
                <w:highlight w:val="none"/>
              </w:rPr>
            </w:pPr>
            <w:r>
              <w:rPr>
                <w:rFonts w:hint="eastAsia" w:ascii="宋体" w:hAnsi="宋体" w:cs="宋体"/>
                <w:color w:val="auto"/>
                <w:highlight w:val="none"/>
              </w:rPr>
              <w:t>合同约定的供货期</w:t>
            </w:r>
          </w:p>
        </w:tc>
        <w:tc>
          <w:tcPr>
            <w:tcW w:w="0" w:type="auto"/>
            <w:gridSpan w:val="4"/>
            <w:vAlign w:val="center"/>
          </w:tcPr>
          <w:p w14:paraId="06677215">
            <w:pPr>
              <w:pStyle w:val="20"/>
              <w:spacing w:line="360" w:lineRule="auto"/>
              <w:ind w:left="0" w:leftChars="0"/>
              <w:rPr>
                <w:rFonts w:ascii="宋体" w:hAnsi="宋体" w:cs="宋体"/>
                <w:color w:val="auto"/>
                <w:highlight w:val="none"/>
              </w:rPr>
            </w:pPr>
          </w:p>
        </w:tc>
      </w:tr>
      <w:tr w14:paraId="7275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14:paraId="4B002FAC">
            <w:pPr>
              <w:pStyle w:val="20"/>
              <w:ind w:left="0" w:leftChars="0"/>
              <w:jc w:val="center"/>
              <w:rPr>
                <w:rFonts w:ascii="宋体" w:hAnsi="宋体" w:cs="宋体"/>
                <w:color w:val="auto"/>
                <w:highlight w:val="none"/>
              </w:rPr>
            </w:pPr>
            <w:r>
              <w:rPr>
                <w:rFonts w:hint="eastAsia" w:ascii="宋体" w:hAnsi="宋体" w:cs="宋体"/>
                <w:color w:val="auto"/>
                <w:highlight w:val="none"/>
              </w:rPr>
              <w:t>发票抬头（合同购买方）</w:t>
            </w:r>
          </w:p>
        </w:tc>
        <w:tc>
          <w:tcPr>
            <w:tcW w:w="0" w:type="auto"/>
            <w:gridSpan w:val="4"/>
            <w:vAlign w:val="center"/>
          </w:tcPr>
          <w:p w14:paraId="236582B4">
            <w:pPr>
              <w:pStyle w:val="20"/>
              <w:spacing w:line="360" w:lineRule="auto"/>
              <w:ind w:left="0" w:leftChars="0"/>
              <w:rPr>
                <w:rFonts w:ascii="宋体" w:hAnsi="宋体" w:cs="宋体"/>
                <w:color w:val="auto"/>
                <w:highlight w:val="none"/>
              </w:rPr>
            </w:pPr>
          </w:p>
        </w:tc>
      </w:tr>
      <w:tr w14:paraId="57FA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2671A2BC">
            <w:pPr>
              <w:pStyle w:val="20"/>
              <w:ind w:left="0" w:leftChars="0"/>
              <w:jc w:val="center"/>
              <w:rPr>
                <w:rFonts w:ascii="宋体" w:hAnsi="宋体" w:cs="宋体"/>
                <w:color w:val="auto"/>
                <w:highlight w:val="none"/>
              </w:rPr>
            </w:pPr>
            <w:r>
              <w:rPr>
                <w:rFonts w:hint="eastAsia" w:ascii="宋体" w:hAnsi="宋体" w:cs="宋体"/>
                <w:color w:val="auto"/>
                <w:highlight w:val="none"/>
              </w:rPr>
              <w:t>序号</w:t>
            </w:r>
          </w:p>
        </w:tc>
        <w:tc>
          <w:tcPr>
            <w:tcW w:w="2720" w:type="dxa"/>
            <w:vAlign w:val="center"/>
          </w:tcPr>
          <w:p w14:paraId="4995179E">
            <w:pPr>
              <w:pStyle w:val="20"/>
              <w:ind w:left="0" w:leftChars="0"/>
              <w:jc w:val="center"/>
              <w:rPr>
                <w:rFonts w:ascii="宋体" w:hAnsi="宋体" w:cs="宋体"/>
                <w:color w:val="auto"/>
                <w:highlight w:val="none"/>
              </w:rPr>
            </w:pPr>
            <w:r>
              <w:rPr>
                <w:rFonts w:hint="eastAsia" w:ascii="宋体" w:hAnsi="宋体" w:cs="宋体"/>
                <w:color w:val="auto"/>
                <w:highlight w:val="none"/>
              </w:rPr>
              <w:t>发票名目</w:t>
            </w:r>
          </w:p>
        </w:tc>
        <w:tc>
          <w:tcPr>
            <w:tcW w:w="0" w:type="auto"/>
            <w:vAlign w:val="center"/>
          </w:tcPr>
          <w:p w14:paraId="3E3CA079">
            <w:pPr>
              <w:pStyle w:val="20"/>
              <w:ind w:left="0" w:leftChars="0"/>
              <w:jc w:val="center"/>
              <w:rPr>
                <w:rFonts w:ascii="宋体" w:hAnsi="宋体" w:cs="宋体"/>
                <w:color w:val="auto"/>
                <w:highlight w:val="none"/>
              </w:rPr>
            </w:pPr>
            <w:r>
              <w:rPr>
                <w:rFonts w:hint="eastAsia" w:ascii="宋体" w:hAnsi="宋体" w:cs="宋体"/>
                <w:color w:val="auto"/>
                <w:highlight w:val="none"/>
              </w:rPr>
              <w:t>发票金额（单位：万元）</w:t>
            </w:r>
          </w:p>
        </w:tc>
        <w:tc>
          <w:tcPr>
            <w:tcW w:w="0" w:type="auto"/>
            <w:vAlign w:val="center"/>
          </w:tcPr>
          <w:p w14:paraId="53419B6A">
            <w:pPr>
              <w:pStyle w:val="20"/>
              <w:ind w:left="0" w:leftChars="0"/>
              <w:jc w:val="center"/>
              <w:rPr>
                <w:rFonts w:ascii="宋体" w:hAnsi="宋体" w:cs="宋体"/>
                <w:color w:val="auto"/>
                <w:highlight w:val="none"/>
              </w:rPr>
            </w:pPr>
            <w:r>
              <w:rPr>
                <w:rFonts w:hint="eastAsia" w:ascii="宋体" w:hAnsi="宋体" w:cs="宋体"/>
                <w:color w:val="auto"/>
                <w:highlight w:val="none"/>
              </w:rPr>
              <w:t>发票号码</w:t>
            </w:r>
          </w:p>
        </w:tc>
        <w:tc>
          <w:tcPr>
            <w:tcW w:w="0" w:type="auto"/>
            <w:vAlign w:val="center"/>
          </w:tcPr>
          <w:p w14:paraId="7DF66E3F">
            <w:pPr>
              <w:pStyle w:val="20"/>
              <w:ind w:left="0" w:leftChars="0"/>
              <w:jc w:val="center"/>
              <w:rPr>
                <w:rFonts w:ascii="宋体" w:hAnsi="宋体" w:cs="宋体"/>
                <w:color w:val="auto"/>
                <w:highlight w:val="none"/>
              </w:rPr>
            </w:pPr>
            <w:r>
              <w:rPr>
                <w:rFonts w:hint="eastAsia" w:ascii="宋体" w:hAnsi="宋体" w:cs="宋体"/>
                <w:color w:val="auto"/>
                <w:highlight w:val="none"/>
              </w:rPr>
              <w:t>发票所属时期</w:t>
            </w:r>
          </w:p>
        </w:tc>
        <w:tc>
          <w:tcPr>
            <w:tcW w:w="0" w:type="auto"/>
            <w:vAlign w:val="center"/>
          </w:tcPr>
          <w:p w14:paraId="3339F9B2">
            <w:pPr>
              <w:pStyle w:val="20"/>
              <w:ind w:left="0" w:leftChars="0"/>
              <w:jc w:val="center"/>
              <w:rPr>
                <w:rFonts w:ascii="宋体" w:hAnsi="宋体" w:cs="宋体"/>
                <w:color w:val="auto"/>
                <w:highlight w:val="none"/>
              </w:rPr>
            </w:pPr>
            <w:r>
              <w:rPr>
                <w:rFonts w:hint="eastAsia" w:ascii="宋体" w:hAnsi="宋体" w:cs="宋体"/>
                <w:color w:val="auto"/>
                <w:highlight w:val="none"/>
              </w:rPr>
              <w:t>备注</w:t>
            </w:r>
          </w:p>
        </w:tc>
      </w:tr>
      <w:tr w14:paraId="281C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2F0BA1C5">
            <w:pPr>
              <w:pStyle w:val="20"/>
              <w:ind w:left="0" w:leftChars="0"/>
              <w:jc w:val="center"/>
              <w:rPr>
                <w:rFonts w:ascii="宋体" w:hAnsi="宋体" w:cs="宋体"/>
                <w:color w:val="auto"/>
                <w:highlight w:val="none"/>
              </w:rPr>
            </w:pPr>
            <w:r>
              <w:rPr>
                <w:rFonts w:hint="eastAsia" w:ascii="宋体" w:hAnsi="宋体" w:cs="宋体"/>
                <w:color w:val="auto"/>
                <w:highlight w:val="none"/>
              </w:rPr>
              <w:t>1</w:t>
            </w:r>
          </w:p>
        </w:tc>
        <w:tc>
          <w:tcPr>
            <w:tcW w:w="2720" w:type="dxa"/>
            <w:vAlign w:val="center"/>
          </w:tcPr>
          <w:p w14:paraId="121C30B5">
            <w:pPr>
              <w:pStyle w:val="20"/>
              <w:ind w:left="0" w:leftChars="0"/>
              <w:jc w:val="center"/>
              <w:rPr>
                <w:rFonts w:ascii="宋体" w:hAnsi="宋体" w:cs="宋体"/>
                <w:color w:val="auto"/>
                <w:highlight w:val="none"/>
              </w:rPr>
            </w:pPr>
          </w:p>
        </w:tc>
        <w:tc>
          <w:tcPr>
            <w:tcW w:w="0" w:type="auto"/>
            <w:vAlign w:val="center"/>
          </w:tcPr>
          <w:p w14:paraId="5FEDCCB5">
            <w:pPr>
              <w:pStyle w:val="20"/>
              <w:ind w:left="0" w:leftChars="0"/>
              <w:jc w:val="center"/>
              <w:rPr>
                <w:rFonts w:ascii="宋体" w:hAnsi="宋体" w:cs="宋体"/>
                <w:color w:val="auto"/>
                <w:highlight w:val="none"/>
              </w:rPr>
            </w:pPr>
          </w:p>
        </w:tc>
        <w:tc>
          <w:tcPr>
            <w:tcW w:w="0" w:type="auto"/>
            <w:vAlign w:val="center"/>
          </w:tcPr>
          <w:p w14:paraId="53B467AD">
            <w:pPr>
              <w:pStyle w:val="20"/>
              <w:ind w:left="0" w:leftChars="0"/>
              <w:jc w:val="center"/>
              <w:rPr>
                <w:rFonts w:ascii="宋体" w:hAnsi="宋体" w:cs="宋体"/>
                <w:color w:val="auto"/>
                <w:highlight w:val="none"/>
              </w:rPr>
            </w:pPr>
          </w:p>
        </w:tc>
        <w:tc>
          <w:tcPr>
            <w:tcW w:w="0" w:type="auto"/>
            <w:vAlign w:val="center"/>
          </w:tcPr>
          <w:p w14:paraId="2522A4C5">
            <w:pPr>
              <w:pStyle w:val="20"/>
              <w:ind w:left="0" w:leftChars="0"/>
              <w:jc w:val="center"/>
              <w:rPr>
                <w:rFonts w:ascii="宋体" w:hAnsi="宋体" w:cs="宋体"/>
                <w:color w:val="auto"/>
                <w:highlight w:val="none"/>
              </w:rPr>
            </w:pPr>
          </w:p>
        </w:tc>
        <w:tc>
          <w:tcPr>
            <w:tcW w:w="0" w:type="auto"/>
            <w:vAlign w:val="center"/>
          </w:tcPr>
          <w:p w14:paraId="4BC9043E">
            <w:pPr>
              <w:pStyle w:val="20"/>
              <w:ind w:left="0" w:leftChars="0"/>
              <w:jc w:val="center"/>
              <w:rPr>
                <w:rFonts w:ascii="宋体" w:hAnsi="宋体" w:cs="宋体"/>
                <w:color w:val="auto"/>
                <w:highlight w:val="none"/>
              </w:rPr>
            </w:pPr>
          </w:p>
        </w:tc>
      </w:tr>
      <w:tr w14:paraId="08BC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261D251A">
            <w:pPr>
              <w:pStyle w:val="20"/>
              <w:ind w:left="0" w:leftChars="0"/>
              <w:jc w:val="center"/>
              <w:rPr>
                <w:rFonts w:ascii="宋体" w:hAnsi="宋体" w:cs="宋体"/>
                <w:color w:val="auto"/>
                <w:highlight w:val="none"/>
              </w:rPr>
            </w:pPr>
            <w:r>
              <w:rPr>
                <w:rFonts w:hint="eastAsia" w:ascii="宋体" w:hAnsi="宋体" w:cs="宋体"/>
                <w:color w:val="auto"/>
                <w:highlight w:val="none"/>
              </w:rPr>
              <w:t>2</w:t>
            </w:r>
          </w:p>
        </w:tc>
        <w:tc>
          <w:tcPr>
            <w:tcW w:w="2720" w:type="dxa"/>
            <w:vAlign w:val="center"/>
          </w:tcPr>
          <w:p w14:paraId="51A79883">
            <w:pPr>
              <w:pStyle w:val="20"/>
              <w:ind w:left="0" w:leftChars="0"/>
              <w:jc w:val="center"/>
              <w:rPr>
                <w:rFonts w:ascii="宋体" w:hAnsi="宋体" w:cs="宋体"/>
                <w:color w:val="auto"/>
                <w:highlight w:val="none"/>
              </w:rPr>
            </w:pPr>
          </w:p>
        </w:tc>
        <w:tc>
          <w:tcPr>
            <w:tcW w:w="0" w:type="auto"/>
            <w:vAlign w:val="center"/>
          </w:tcPr>
          <w:p w14:paraId="5040DCAD">
            <w:pPr>
              <w:pStyle w:val="20"/>
              <w:ind w:left="0" w:leftChars="0"/>
              <w:jc w:val="center"/>
              <w:rPr>
                <w:rFonts w:ascii="宋体" w:hAnsi="宋体" w:cs="宋体"/>
                <w:color w:val="auto"/>
                <w:highlight w:val="none"/>
              </w:rPr>
            </w:pPr>
          </w:p>
        </w:tc>
        <w:tc>
          <w:tcPr>
            <w:tcW w:w="0" w:type="auto"/>
            <w:vAlign w:val="center"/>
          </w:tcPr>
          <w:p w14:paraId="3C6DE5A0">
            <w:pPr>
              <w:pStyle w:val="20"/>
              <w:ind w:left="0" w:leftChars="0"/>
              <w:jc w:val="center"/>
              <w:rPr>
                <w:rFonts w:ascii="宋体" w:hAnsi="宋体" w:cs="宋体"/>
                <w:color w:val="auto"/>
                <w:highlight w:val="none"/>
              </w:rPr>
            </w:pPr>
          </w:p>
        </w:tc>
        <w:tc>
          <w:tcPr>
            <w:tcW w:w="0" w:type="auto"/>
            <w:vAlign w:val="center"/>
          </w:tcPr>
          <w:p w14:paraId="35720A7C">
            <w:pPr>
              <w:pStyle w:val="20"/>
              <w:ind w:left="0" w:leftChars="0"/>
              <w:jc w:val="center"/>
              <w:rPr>
                <w:rFonts w:ascii="宋体" w:hAnsi="宋体" w:cs="宋体"/>
                <w:color w:val="auto"/>
                <w:highlight w:val="none"/>
              </w:rPr>
            </w:pPr>
          </w:p>
        </w:tc>
        <w:tc>
          <w:tcPr>
            <w:tcW w:w="0" w:type="auto"/>
            <w:vAlign w:val="center"/>
          </w:tcPr>
          <w:p w14:paraId="2A7B7647">
            <w:pPr>
              <w:pStyle w:val="20"/>
              <w:ind w:left="0" w:leftChars="0"/>
              <w:jc w:val="center"/>
              <w:rPr>
                <w:rFonts w:ascii="宋体" w:hAnsi="宋体" w:cs="宋体"/>
                <w:color w:val="auto"/>
                <w:highlight w:val="none"/>
              </w:rPr>
            </w:pPr>
          </w:p>
        </w:tc>
      </w:tr>
      <w:tr w14:paraId="7B5D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6BA9131B">
            <w:pPr>
              <w:pStyle w:val="20"/>
              <w:ind w:left="0" w:leftChars="0"/>
              <w:jc w:val="center"/>
              <w:rPr>
                <w:rFonts w:ascii="宋体" w:hAnsi="宋体" w:cs="宋体"/>
                <w:color w:val="auto"/>
                <w:highlight w:val="none"/>
              </w:rPr>
            </w:pPr>
            <w:r>
              <w:rPr>
                <w:rFonts w:hint="eastAsia" w:ascii="宋体" w:hAnsi="宋体" w:cs="宋体"/>
                <w:color w:val="auto"/>
                <w:highlight w:val="none"/>
              </w:rPr>
              <w:t>3</w:t>
            </w:r>
          </w:p>
        </w:tc>
        <w:tc>
          <w:tcPr>
            <w:tcW w:w="2720" w:type="dxa"/>
            <w:vAlign w:val="center"/>
          </w:tcPr>
          <w:p w14:paraId="669D8934">
            <w:pPr>
              <w:pStyle w:val="20"/>
              <w:ind w:left="0" w:leftChars="0"/>
              <w:jc w:val="center"/>
              <w:rPr>
                <w:rFonts w:ascii="宋体" w:hAnsi="宋体" w:cs="宋体"/>
                <w:color w:val="auto"/>
                <w:highlight w:val="none"/>
              </w:rPr>
            </w:pPr>
          </w:p>
        </w:tc>
        <w:tc>
          <w:tcPr>
            <w:tcW w:w="0" w:type="auto"/>
            <w:vAlign w:val="center"/>
          </w:tcPr>
          <w:p w14:paraId="3501CC20">
            <w:pPr>
              <w:pStyle w:val="20"/>
              <w:ind w:left="0" w:leftChars="0"/>
              <w:jc w:val="center"/>
              <w:rPr>
                <w:rFonts w:ascii="宋体" w:hAnsi="宋体" w:cs="宋体"/>
                <w:color w:val="auto"/>
                <w:highlight w:val="none"/>
              </w:rPr>
            </w:pPr>
          </w:p>
        </w:tc>
        <w:tc>
          <w:tcPr>
            <w:tcW w:w="0" w:type="auto"/>
            <w:vAlign w:val="center"/>
          </w:tcPr>
          <w:p w14:paraId="79AD6062">
            <w:pPr>
              <w:pStyle w:val="20"/>
              <w:ind w:left="0" w:leftChars="0"/>
              <w:jc w:val="center"/>
              <w:rPr>
                <w:rFonts w:ascii="宋体" w:hAnsi="宋体" w:cs="宋体"/>
                <w:color w:val="auto"/>
                <w:highlight w:val="none"/>
              </w:rPr>
            </w:pPr>
          </w:p>
        </w:tc>
        <w:tc>
          <w:tcPr>
            <w:tcW w:w="0" w:type="auto"/>
            <w:vAlign w:val="center"/>
          </w:tcPr>
          <w:p w14:paraId="1D783A78">
            <w:pPr>
              <w:pStyle w:val="20"/>
              <w:ind w:left="0" w:leftChars="0"/>
              <w:jc w:val="center"/>
              <w:rPr>
                <w:rFonts w:ascii="宋体" w:hAnsi="宋体" w:cs="宋体"/>
                <w:color w:val="auto"/>
                <w:highlight w:val="none"/>
              </w:rPr>
            </w:pPr>
          </w:p>
        </w:tc>
        <w:tc>
          <w:tcPr>
            <w:tcW w:w="0" w:type="auto"/>
            <w:vAlign w:val="center"/>
          </w:tcPr>
          <w:p w14:paraId="6D1EDC41">
            <w:pPr>
              <w:pStyle w:val="20"/>
              <w:ind w:left="0" w:leftChars="0"/>
              <w:jc w:val="center"/>
              <w:rPr>
                <w:rFonts w:ascii="宋体" w:hAnsi="宋体" w:cs="宋体"/>
                <w:color w:val="auto"/>
                <w:highlight w:val="none"/>
              </w:rPr>
            </w:pPr>
          </w:p>
        </w:tc>
      </w:tr>
      <w:tr w14:paraId="722F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2BF2281D">
            <w:pPr>
              <w:pStyle w:val="20"/>
              <w:ind w:left="0" w:leftChars="0"/>
              <w:jc w:val="center"/>
              <w:rPr>
                <w:rFonts w:ascii="宋体" w:hAnsi="宋体" w:cs="宋体"/>
                <w:color w:val="auto"/>
                <w:highlight w:val="none"/>
              </w:rPr>
            </w:pPr>
            <w:r>
              <w:rPr>
                <w:rFonts w:hint="eastAsia" w:ascii="宋体" w:hAnsi="宋体" w:cs="宋体"/>
                <w:color w:val="auto"/>
                <w:highlight w:val="none"/>
              </w:rPr>
              <w:t>...</w:t>
            </w:r>
          </w:p>
        </w:tc>
        <w:tc>
          <w:tcPr>
            <w:tcW w:w="2720" w:type="dxa"/>
            <w:vAlign w:val="center"/>
          </w:tcPr>
          <w:p w14:paraId="392A9265">
            <w:pPr>
              <w:pStyle w:val="20"/>
              <w:ind w:left="0" w:leftChars="0"/>
              <w:jc w:val="center"/>
              <w:rPr>
                <w:rFonts w:ascii="宋体" w:hAnsi="宋体" w:cs="宋体"/>
                <w:color w:val="auto"/>
                <w:highlight w:val="none"/>
              </w:rPr>
            </w:pPr>
          </w:p>
        </w:tc>
        <w:tc>
          <w:tcPr>
            <w:tcW w:w="0" w:type="auto"/>
            <w:vAlign w:val="center"/>
          </w:tcPr>
          <w:p w14:paraId="62427776">
            <w:pPr>
              <w:pStyle w:val="20"/>
              <w:ind w:left="0" w:leftChars="0"/>
              <w:jc w:val="center"/>
              <w:rPr>
                <w:rFonts w:ascii="宋体" w:hAnsi="宋体" w:cs="宋体"/>
                <w:color w:val="auto"/>
                <w:highlight w:val="none"/>
              </w:rPr>
            </w:pPr>
          </w:p>
        </w:tc>
        <w:tc>
          <w:tcPr>
            <w:tcW w:w="0" w:type="auto"/>
            <w:vAlign w:val="center"/>
          </w:tcPr>
          <w:p w14:paraId="4102EB7D">
            <w:pPr>
              <w:pStyle w:val="20"/>
              <w:ind w:left="0" w:leftChars="0"/>
              <w:jc w:val="center"/>
              <w:rPr>
                <w:rFonts w:ascii="宋体" w:hAnsi="宋体" w:cs="宋体"/>
                <w:color w:val="auto"/>
                <w:highlight w:val="none"/>
              </w:rPr>
            </w:pPr>
          </w:p>
        </w:tc>
        <w:tc>
          <w:tcPr>
            <w:tcW w:w="0" w:type="auto"/>
            <w:vAlign w:val="center"/>
          </w:tcPr>
          <w:p w14:paraId="71DD1BD8">
            <w:pPr>
              <w:pStyle w:val="20"/>
              <w:ind w:left="0" w:leftChars="0"/>
              <w:jc w:val="center"/>
              <w:rPr>
                <w:rFonts w:ascii="宋体" w:hAnsi="宋体" w:cs="宋体"/>
                <w:color w:val="auto"/>
                <w:highlight w:val="none"/>
              </w:rPr>
            </w:pPr>
          </w:p>
        </w:tc>
        <w:tc>
          <w:tcPr>
            <w:tcW w:w="0" w:type="auto"/>
            <w:vAlign w:val="center"/>
          </w:tcPr>
          <w:p w14:paraId="48B68CB7">
            <w:pPr>
              <w:pStyle w:val="20"/>
              <w:ind w:left="0" w:leftChars="0"/>
              <w:jc w:val="center"/>
              <w:rPr>
                <w:rFonts w:ascii="宋体" w:hAnsi="宋体" w:cs="宋体"/>
                <w:color w:val="auto"/>
                <w:highlight w:val="none"/>
              </w:rPr>
            </w:pPr>
          </w:p>
        </w:tc>
      </w:tr>
      <w:tr w14:paraId="4E87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0" w:type="dxa"/>
            <w:gridSpan w:val="2"/>
            <w:vAlign w:val="center"/>
          </w:tcPr>
          <w:p w14:paraId="1B041499">
            <w:pPr>
              <w:pStyle w:val="20"/>
              <w:ind w:left="0" w:leftChars="0"/>
              <w:jc w:val="center"/>
              <w:rPr>
                <w:rFonts w:ascii="宋体" w:hAnsi="宋体" w:cs="宋体"/>
                <w:color w:val="auto"/>
                <w:highlight w:val="none"/>
              </w:rPr>
            </w:pPr>
            <w:r>
              <w:rPr>
                <w:rFonts w:hint="eastAsia" w:ascii="宋体" w:hAnsi="宋体" w:cs="宋体"/>
                <w:color w:val="auto"/>
                <w:highlight w:val="none"/>
              </w:rPr>
              <w:t>发票金额合计（单位：万元）</w:t>
            </w:r>
          </w:p>
        </w:tc>
        <w:tc>
          <w:tcPr>
            <w:tcW w:w="0" w:type="auto"/>
            <w:vAlign w:val="center"/>
          </w:tcPr>
          <w:p w14:paraId="69B18502">
            <w:pPr>
              <w:pStyle w:val="20"/>
              <w:ind w:left="0" w:leftChars="0"/>
              <w:jc w:val="center"/>
              <w:rPr>
                <w:rFonts w:ascii="宋体" w:hAnsi="宋体" w:cs="宋体"/>
                <w:color w:val="auto"/>
                <w:highlight w:val="none"/>
              </w:rPr>
            </w:pPr>
          </w:p>
        </w:tc>
        <w:tc>
          <w:tcPr>
            <w:tcW w:w="0" w:type="auto"/>
            <w:vAlign w:val="center"/>
          </w:tcPr>
          <w:p w14:paraId="64025998">
            <w:pPr>
              <w:pStyle w:val="20"/>
              <w:ind w:left="0" w:leftChars="0"/>
              <w:jc w:val="center"/>
              <w:rPr>
                <w:rFonts w:ascii="宋体" w:hAnsi="宋体" w:cs="宋体"/>
                <w:color w:val="auto"/>
                <w:highlight w:val="none"/>
              </w:rPr>
            </w:pPr>
          </w:p>
        </w:tc>
        <w:tc>
          <w:tcPr>
            <w:tcW w:w="0" w:type="auto"/>
            <w:vAlign w:val="center"/>
          </w:tcPr>
          <w:p w14:paraId="3992B715">
            <w:pPr>
              <w:pStyle w:val="20"/>
              <w:ind w:left="0" w:leftChars="0"/>
              <w:jc w:val="center"/>
              <w:rPr>
                <w:rFonts w:ascii="宋体" w:hAnsi="宋体" w:cs="宋体"/>
                <w:color w:val="auto"/>
                <w:highlight w:val="none"/>
              </w:rPr>
            </w:pPr>
          </w:p>
        </w:tc>
        <w:tc>
          <w:tcPr>
            <w:tcW w:w="0" w:type="auto"/>
            <w:vAlign w:val="center"/>
          </w:tcPr>
          <w:p w14:paraId="2C8CE451">
            <w:pPr>
              <w:pStyle w:val="20"/>
              <w:ind w:left="0" w:leftChars="0"/>
              <w:jc w:val="center"/>
              <w:rPr>
                <w:rFonts w:ascii="宋体" w:hAnsi="宋体" w:cs="宋体"/>
                <w:color w:val="auto"/>
                <w:highlight w:val="none"/>
              </w:rPr>
            </w:pPr>
          </w:p>
        </w:tc>
      </w:tr>
    </w:tbl>
    <w:p w14:paraId="28CC8F4A">
      <w:pPr>
        <w:snapToGrid w:val="0"/>
        <w:spacing w:line="360" w:lineRule="auto"/>
        <w:ind w:left="491" w:leftChars="-57" w:hanging="611" w:hangingChars="291"/>
        <w:rPr>
          <w:rFonts w:ascii="宋体" w:hAnsi="宋体" w:eastAsia="宋体" w:cs="宋体"/>
          <w:color w:val="auto"/>
          <w:szCs w:val="21"/>
          <w:highlight w:val="none"/>
        </w:rPr>
      </w:pPr>
    </w:p>
    <w:p w14:paraId="169362BA">
      <w:pPr>
        <w:snapToGrid w:val="0"/>
        <w:spacing w:line="360" w:lineRule="auto"/>
        <w:ind w:left="491" w:leftChars="-57" w:hanging="611" w:hangingChars="291"/>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46DA9F59">
      <w:pPr>
        <w:snapToGrid w:val="0"/>
        <w:spacing w:line="360" w:lineRule="auto"/>
        <w:ind w:left="396" w:leftChars="-58" w:hanging="518" w:hangingChars="247"/>
        <w:rPr>
          <w:rFonts w:ascii="宋体" w:hAnsi="宋体" w:eastAsia="宋体" w:cs="宋体"/>
          <w:color w:val="auto"/>
          <w:highlight w:val="none"/>
        </w:rPr>
      </w:pPr>
      <w:bookmarkStart w:id="719" w:name="_Toc10235"/>
      <w:bookmarkStart w:id="720" w:name="_Toc18014"/>
      <w:r>
        <w:rPr>
          <w:rFonts w:hint="eastAsia" w:ascii="宋体" w:hAnsi="宋体" w:eastAsia="宋体" w:cs="宋体"/>
          <w:color w:val="auto"/>
          <w:highlight w:val="none"/>
        </w:rPr>
        <w:t>（1）本统计表及供货发票扫描件应后附于合同</w:t>
      </w:r>
      <w:r>
        <w:rPr>
          <w:rFonts w:hint="eastAsia" w:ascii="宋体" w:hAnsi="宋体" w:eastAsia="宋体" w:cs="宋体"/>
          <w:color w:val="auto"/>
          <w:szCs w:val="21"/>
          <w:highlight w:val="none"/>
          <w:lang w:val="zh-CN"/>
        </w:rPr>
        <w:t>扫描件</w:t>
      </w:r>
      <w:r>
        <w:rPr>
          <w:rFonts w:hint="eastAsia" w:ascii="宋体" w:hAnsi="宋体" w:eastAsia="宋体" w:cs="宋体"/>
          <w:color w:val="auto"/>
          <w:highlight w:val="none"/>
        </w:rPr>
        <w:t>；</w:t>
      </w:r>
      <w:bookmarkEnd w:id="719"/>
      <w:bookmarkEnd w:id="720"/>
    </w:p>
    <w:p w14:paraId="44E9F169">
      <w:pPr>
        <w:snapToGrid w:val="0"/>
        <w:spacing w:line="360" w:lineRule="auto"/>
        <w:ind w:left="396" w:leftChars="-58" w:hanging="518" w:hangingChars="247"/>
        <w:rPr>
          <w:rFonts w:ascii="宋体" w:hAnsi="宋体" w:eastAsia="宋体" w:cs="宋体"/>
          <w:color w:val="auto"/>
          <w:highlight w:val="none"/>
        </w:rPr>
      </w:pPr>
      <w:r>
        <w:rPr>
          <w:rFonts w:hint="eastAsia" w:ascii="宋体" w:hAnsi="宋体" w:eastAsia="宋体" w:cs="宋体"/>
          <w:color w:val="auto"/>
          <w:highlight w:val="none"/>
        </w:rPr>
        <w:t>（2）发票抬头应为合同购买方，销售方应为投标人，且发票名目、所属时期应与合同约定内容一致，否则不计分。</w:t>
      </w:r>
    </w:p>
    <w:p w14:paraId="7FC207A9">
      <w:pPr>
        <w:pStyle w:val="46"/>
        <w:rPr>
          <w:rFonts w:hAnsi="宋体" w:eastAsia="宋体" w:cs="宋体"/>
          <w:color w:val="auto"/>
          <w:highlight w:val="none"/>
          <w:lang w:val="zh-CN"/>
        </w:rPr>
      </w:pPr>
    </w:p>
    <w:p w14:paraId="0344945F">
      <w:pPr>
        <w:pStyle w:val="46"/>
        <w:rPr>
          <w:rFonts w:hAnsi="宋体" w:eastAsia="宋体" w:cs="宋体"/>
          <w:color w:val="auto"/>
          <w:highlight w:val="none"/>
          <w:lang w:val="zh-CN"/>
        </w:rPr>
      </w:pPr>
    </w:p>
    <w:p w14:paraId="353398C7">
      <w:pPr>
        <w:autoSpaceDE w:val="0"/>
        <w:autoSpaceDN w:val="0"/>
        <w:adjustRightInd w:val="0"/>
        <w:spacing w:line="360" w:lineRule="auto"/>
        <w:ind w:firstLine="602"/>
        <w:rPr>
          <w:rFonts w:ascii="宋体" w:hAnsi="宋体" w:eastAsia="宋体" w:cs="宋体"/>
          <w:b/>
          <w:bCs/>
          <w:color w:val="auto"/>
          <w:sz w:val="30"/>
          <w:szCs w:val="30"/>
          <w:highlight w:val="none"/>
          <w:lang w:val="zh-CN"/>
        </w:rPr>
      </w:pPr>
    </w:p>
    <w:bookmarkEnd w:id="712"/>
    <w:bookmarkEnd w:id="713"/>
    <w:p w14:paraId="33D7F302">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64AE63E9">
      <w:pPr>
        <w:spacing w:line="360" w:lineRule="auto"/>
        <w:rPr>
          <w:rFonts w:ascii="宋体" w:hAnsi="宋体" w:eastAsia="宋体" w:cs="宋体"/>
          <w:b/>
          <w:color w:val="auto"/>
          <w:kern w:val="0"/>
          <w:szCs w:val="21"/>
          <w:highlight w:val="none"/>
        </w:rPr>
      </w:pPr>
      <w:bookmarkStart w:id="721" w:name="_Toc533708134"/>
      <w:bookmarkStart w:id="722" w:name="_Toc486167721"/>
    </w:p>
    <w:p w14:paraId="2A4BAFE8">
      <w:pPr>
        <w:tabs>
          <w:tab w:val="left" w:pos="567"/>
        </w:tabs>
        <w:autoSpaceDE w:val="0"/>
        <w:autoSpaceDN w:val="0"/>
        <w:adjustRightInd w:val="0"/>
        <w:spacing w:line="360" w:lineRule="auto"/>
        <w:ind w:left="357" w:leftChars="-100" w:hanging="567"/>
        <w:jc w:val="left"/>
        <w:rPr>
          <w:rFonts w:ascii="宋体" w:hAnsi="宋体" w:eastAsia="宋体" w:cs="宋体"/>
          <w:b/>
          <w:bCs/>
          <w:color w:val="auto"/>
          <w:kern w:val="0"/>
          <w:sz w:val="32"/>
          <w:szCs w:val="32"/>
          <w:highlight w:val="none"/>
          <w:lang w:val="zh-CN"/>
        </w:rPr>
      </w:pPr>
      <w:bookmarkStart w:id="723" w:name="_Toc102860428"/>
      <w:bookmarkStart w:id="724" w:name="_Toc104991886"/>
      <w:bookmarkStart w:id="725" w:name="_Toc102860084"/>
      <w:bookmarkStart w:id="726" w:name="_Toc1977738"/>
      <w:bookmarkStart w:id="727" w:name="_Toc142508379"/>
      <w:bookmarkStart w:id="728" w:name="_Toc94107221"/>
      <w:bookmarkStart w:id="729" w:name="_Toc24616"/>
      <w:bookmarkStart w:id="730" w:name="_Toc140596939"/>
    </w:p>
    <w:p w14:paraId="633C192A">
      <w:pPr>
        <w:tabs>
          <w:tab w:val="left" w:pos="567"/>
        </w:tabs>
        <w:autoSpaceDE w:val="0"/>
        <w:autoSpaceDN w:val="0"/>
        <w:adjustRightInd w:val="0"/>
        <w:spacing w:line="360" w:lineRule="auto"/>
        <w:ind w:left="357" w:leftChars="-100" w:hanging="567"/>
        <w:jc w:val="left"/>
        <w:rPr>
          <w:rFonts w:ascii="宋体" w:hAnsi="宋体" w:eastAsia="宋体" w:cs="宋体"/>
          <w:b/>
          <w:bCs/>
          <w:color w:val="auto"/>
          <w:kern w:val="0"/>
          <w:sz w:val="32"/>
          <w:szCs w:val="32"/>
          <w:highlight w:val="none"/>
          <w:lang w:val="zh-CN"/>
        </w:rPr>
      </w:pPr>
    </w:p>
    <w:p w14:paraId="4CD59C39">
      <w:pPr>
        <w:jc w:val="left"/>
        <w:rPr>
          <w:rFonts w:ascii="宋体" w:hAnsi="宋体" w:eastAsia="宋体" w:cs="宋体"/>
          <w:b/>
          <w:bCs/>
          <w:color w:val="auto"/>
          <w:kern w:val="0"/>
          <w:sz w:val="32"/>
          <w:szCs w:val="32"/>
          <w:highlight w:val="none"/>
          <w:lang w:val="zh-CN"/>
        </w:rPr>
      </w:pPr>
      <w:bookmarkStart w:id="731" w:name="_Toc2007"/>
      <w:bookmarkStart w:id="732" w:name="_Toc29652"/>
      <w:r>
        <w:rPr>
          <w:rFonts w:hint="eastAsia" w:ascii="宋体" w:hAnsi="宋体" w:eastAsia="宋体" w:cs="宋体"/>
          <w:b/>
          <w:bCs/>
          <w:color w:val="auto"/>
          <w:kern w:val="0"/>
          <w:sz w:val="32"/>
          <w:szCs w:val="32"/>
          <w:highlight w:val="none"/>
          <w:lang w:val="zh-CN"/>
        </w:rPr>
        <w:br w:type="page"/>
      </w:r>
    </w:p>
    <w:p w14:paraId="7AB10950">
      <w:pPr>
        <w:tabs>
          <w:tab w:val="left" w:pos="567"/>
        </w:tabs>
        <w:spacing w:line="360" w:lineRule="auto"/>
        <w:jc w:val="left"/>
        <w:rPr>
          <w:rFonts w:ascii="宋体" w:hAnsi="宋体" w:eastAsia="宋体" w:cs="宋体"/>
          <w:b/>
          <w:color w:val="auto"/>
          <w:kern w:val="0"/>
          <w:sz w:val="32"/>
          <w:szCs w:val="32"/>
          <w:highlight w:val="none"/>
        </w:rPr>
        <w:sectPr>
          <w:pgSz w:w="12240" w:h="15840"/>
          <w:pgMar w:top="1191" w:right="1737" w:bottom="1191" w:left="1043" w:header="720" w:footer="720" w:gutter="0"/>
          <w:cols w:space="720" w:num="1"/>
          <w:titlePg/>
          <w:docGrid w:linePitch="326" w:charSpace="0"/>
        </w:sectPr>
      </w:pPr>
      <w:r>
        <w:rPr>
          <w:rFonts w:hint="eastAsia" w:ascii="宋体" w:hAnsi="宋体" w:eastAsia="宋体" w:cs="宋体"/>
          <w:b/>
          <w:bCs/>
          <w:color w:val="auto"/>
          <w:kern w:val="0"/>
          <w:sz w:val="32"/>
          <w:szCs w:val="32"/>
          <w:highlight w:val="none"/>
          <w:lang w:val="en-US" w:eastAsia="zh-CN"/>
        </w:rPr>
        <w:t>十</w:t>
      </w:r>
      <w:r>
        <w:rPr>
          <w:rFonts w:hint="eastAsia" w:ascii="宋体" w:hAnsi="宋体" w:eastAsia="宋体" w:cs="宋体"/>
          <w:b/>
          <w:bCs/>
          <w:color w:val="auto"/>
          <w:kern w:val="0"/>
          <w:sz w:val="32"/>
          <w:szCs w:val="32"/>
          <w:highlight w:val="none"/>
        </w:rPr>
        <w:t>、</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投标人资格证明文件以外的其他资质证书、知识产权证书及获得的相关获奖、认证证书、社会评价资料证明文件扫描件等投标人认为有需要证明其具备为本次招标项目</w:t>
      </w:r>
      <w:r>
        <w:rPr>
          <w:rFonts w:hint="eastAsia" w:ascii="宋体" w:hAnsi="宋体" w:eastAsia="宋体" w:cs="宋体"/>
          <w:b/>
          <w:color w:val="auto"/>
          <w:sz w:val="32"/>
          <w:szCs w:val="32"/>
          <w:highlight w:val="none"/>
          <w:lang w:val="zh-CN"/>
        </w:rPr>
        <w:t>提供货物</w:t>
      </w:r>
      <w:r>
        <w:rPr>
          <w:rFonts w:hint="eastAsia" w:ascii="宋体" w:hAnsi="宋体" w:eastAsia="宋体" w:cs="宋体"/>
          <w:b/>
          <w:color w:val="auto"/>
          <w:sz w:val="32"/>
          <w:szCs w:val="32"/>
          <w:highlight w:val="none"/>
        </w:rPr>
        <w:t>及有关</w:t>
      </w:r>
      <w:r>
        <w:rPr>
          <w:rFonts w:hint="eastAsia" w:ascii="宋体" w:hAnsi="宋体" w:eastAsia="宋体" w:cs="宋体"/>
          <w:b/>
          <w:color w:val="auto"/>
          <w:sz w:val="32"/>
          <w:szCs w:val="32"/>
          <w:highlight w:val="none"/>
          <w:lang w:val="zh-CN"/>
        </w:rPr>
        <w:t>服务能力</w:t>
      </w:r>
      <w:r>
        <w:rPr>
          <w:rFonts w:hint="eastAsia" w:ascii="宋体" w:hAnsi="宋体" w:eastAsia="宋体" w:cs="宋体"/>
          <w:b/>
          <w:bCs/>
          <w:color w:val="auto"/>
          <w:kern w:val="0"/>
          <w:sz w:val="32"/>
          <w:szCs w:val="32"/>
          <w:highlight w:val="none"/>
          <w:lang w:val="zh-CN"/>
        </w:rPr>
        <w:t>的有关其它商务文件（不做强制要求）</w:t>
      </w:r>
      <w:bookmarkEnd w:id="723"/>
      <w:bookmarkEnd w:id="724"/>
      <w:bookmarkEnd w:id="725"/>
      <w:bookmarkEnd w:id="726"/>
      <w:bookmarkEnd w:id="727"/>
      <w:bookmarkEnd w:id="728"/>
      <w:bookmarkEnd w:id="729"/>
      <w:bookmarkEnd w:id="730"/>
      <w:bookmarkEnd w:id="731"/>
      <w:bookmarkEnd w:id="732"/>
    </w:p>
    <w:p w14:paraId="690163A2">
      <w:pPr>
        <w:jc w:val="center"/>
        <w:outlineLvl w:val="1"/>
        <w:rPr>
          <w:rFonts w:ascii="宋体" w:hAnsi="宋体" w:eastAsia="宋体" w:cs="宋体"/>
          <w:b/>
          <w:color w:val="auto"/>
          <w:kern w:val="0"/>
          <w:sz w:val="32"/>
          <w:szCs w:val="32"/>
          <w:highlight w:val="none"/>
        </w:rPr>
      </w:pPr>
      <w:bookmarkStart w:id="733" w:name="_Toc10827"/>
      <w:bookmarkStart w:id="734" w:name="_Toc13776"/>
      <w:bookmarkStart w:id="735" w:name="_Toc32650"/>
      <w:bookmarkStart w:id="736" w:name="_Toc4972"/>
      <w:bookmarkStart w:id="737" w:name="_Toc195714399"/>
      <w:bookmarkStart w:id="738" w:name="_Toc211622219"/>
      <w:bookmarkStart w:id="739" w:name="_Toc27993"/>
      <w:bookmarkStart w:id="740" w:name="_Toc14997"/>
      <w:bookmarkStart w:id="741" w:name="_Toc140596940"/>
      <w:bookmarkStart w:id="742" w:name="_Toc102860429"/>
      <w:bookmarkStart w:id="743" w:name="_Toc31916"/>
      <w:bookmarkStart w:id="744" w:name="_Toc102860085"/>
      <w:bookmarkStart w:id="745" w:name="_Toc104991887"/>
      <w:bookmarkStart w:id="746" w:name="_Toc142508380"/>
      <w:bookmarkStart w:id="747" w:name="_Toc1977739"/>
      <w:bookmarkStart w:id="748" w:name="_Toc27482"/>
      <w:bookmarkStart w:id="749" w:name="_Toc94107222"/>
      <w:bookmarkStart w:id="750" w:name="_Toc18038"/>
      <w:r>
        <w:rPr>
          <w:rFonts w:hint="eastAsia" w:ascii="宋体" w:hAnsi="宋体" w:eastAsia="宋体" w:cs="宋体"/>
          <w:b/>
          <w:color w:val="auto"/>
          <w:kern w:val="0"/>
          <w:sz w:val="32"/>
          <w:szCs w:val="32"/>
          <w:highlight w:val="none"/>
        </w:rPr>
        <w:t>二  技术标格式</w:t>
      </w:r>
      <w:bookmarkEnd w:id="733"/>
      <w:bookmarkEnd w:id="734"/>
      <w:bookmarkEnd w:id="735"/>
      <w:bookmarkEnd w:id="736"/>
      <w:bookmarkEnd w:id="737"/>
      <w:bookmarkEnd w:id="738"/>
      <w:bookmarkEnd w:id="739"/>
      <w:bookmarkEnd w:id="740"/>
    </w:p>
    <w:bookmarkEnd w:id="721"/>
    <w:bookmarkEnd w:id="741"/>
    <w:bookmarkEnd w:id="742"/>
    <w:bookmarkEnd w:id="743"/>
    <w:bookmarkEnd w:id="744"/>
    <w:bookmarkEnd w:id="745"/>
    <w:bookmarkEnd w:id="746"/>
    <w:bookmarkEnd w:id="747"/>
    <w:bookmarkEnd w:id="748"/>
    <w:bookmarkEnd w:id="749"/>
    <w:bookmarkEnd w:id="750"/>
    <w:p w14:paraId="0EB78FDA">
      <w:pPr>
        <w:pStyle w:val="2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br w:type="page"/>
      </w:r>
      <w:bookmarkEnd w:id="722"/>
      <w:bookmarkStart w:id="751" w:name="_Toc533708135"/>
      <w:bookmarkStart w:id="752" w:name="_Toc102860430"/>
      <w:bookmarkStart w:id="753" w:name="_Toc140596941"/>
      <w:bookmarkStart w:id="754" w:name="_Toc142508381"/>
      <w:bookmarkStart w:id="755" w:name="_Toc1977740"/>
      <w:bookmarkStart w:id="756" w:name="_Toc102860086"/>
      <w:bookmarkStart w:id="757" w:name="_Toc94107223"/>
      <w:bookmarkStart w:id="758" w:name="_Toc104991888"/>
    </w:p>
    <w:p w14:paraId="3AC2E83A">
      <w:pPr>
        <w:pStyle w:val="20"/>
        <w:spacing w:line="360" w:lineRule="auto"/>
        <w:jc w:val="center"/>
        <w:rPr>
          <w:rFonts w:ascii="宋体" w:hAnsi="宋体" w:cs="宋体"/>
          <w:b/>
          <w:color w:val="auto"/>
          <w:kern w:val="0"/>
          <w:szCs w:val="21"/>
          <w:highlight w:val="none"/>
        </w:rPr>
      </w:pPr>
    </w:p>
    <w:p w14:paraId="367E40FB">
      <w:pPr>
        <w:pStyle w:val="20"/>
        <w:spacing w:line="360" w:lineRule="auto"/>
        <w:jc w:val="center"/>
        <w:rPr>
          <w:rFonts w:ascii="宋体" w:hAnsi="宋体" w:cs="宋体"/>
          <w:b/>
          <w:color w:val="auto"/>
          <w:kern w:val="0"/>
          <w:szCs w:val="21"/>
          <w:highlight w:val="none"/>
        </w:rPr>
      </w:pPr>
    </w:p>
    <w:p w14:paraId="320B0833">
      <w:pPr>
        <w:pStyle w:val="20"/>
        <w:spacing w:line="360" w:lineRule="auto"/>
        <w:jc w:val="center"/>
        <w:rPr>
          <w:rFonts w:ascii="宋体" w:hAnsi="宋体" w:cs="宋体"/>
          <w:b/>
          <w:color w:val="auto"/>
          <w:kern w:val="0"/>
          <w:szCs w:val="21"/>
          <w:highlight w:val="none"/>
        </w:rPr>
      </w:pPr>
    </w:p>
    <w:p w14:paraId="62EB4AFF">
      <w:pPr>
        <w:pStyle w:val="20"/>
        <w:spacing w:line="360" w:lineRule="auto"/>
        <w:jc w:val="center"/>
        <w:rPr>
          <w:rFonts w:ascii="宋体" w:hAnsi="宋体" w:cs="宋体"/>
          <w:b/>
          <w:color w:val="auto"/>
          <w:kern w:val="0"/>
          <w:szCs w:val="21"/>
          <w:highlight w:val="none"/>
        </w:rPr>
      </w:pPr>
    </w:p>
    <w:p w14:paraId="7D128175">
      <w:pPr>
        <w:pStyle w:val="20"/>
        <w:spacing w:line="360" w:lineRule="auto"/>
        <w:jc w:val="center"/>
        <w:rPr>
          <w:rFonts w:ascii="宋体" w:hAnsi="宋体" w:cs="宋体"/>
          <w:b/>
          <w:color w:val="auto"/>
          <w:kern w:val="0"/>
          <w:szCs w:val="21"/>
          <w:highlight w:val="none"/>
        </w:rPr>
      </w:pPr>
    </w:p>
    <w:p w14:paraId="2FB5C07C">
      <w:pPr>
        <w:pStyle w:val="20"/>
        <w:spacing w:line="360" w:lineRule="auto"/>
        <w:jc w:val="center"/>
        <w:rPr>
          <w:rFonts w:ascii="宋体" w:hAnsi="宋体" w:cs="宋体"/>
          <w:b/>
          <w:color w:val="auto"/>
          <w:kern w:val="0"/>
          <w:szCs w:val="21"/>
          <w:highlight w:val="none"/>
        </w:rPr>
      </w:pPr>
    </w:p>
    <w:p w14:paraId="7FB023CA">
      <w:pPr>
        <w:pStyle w:val="20"/>
        <w:spacing w:line="360" w:lineRule="auto"/>
        <w:jc w:val="center"/>
        <w:rPr>
          <w:rFonts w:ascii="宋体" w:hAnsi="宋体" w:cs="宋体"/>
          <w:b/>
          <w:color w:val="auto"/>
          <w:kern w:val="0"/>
          <w:szCs w:val="21"/>
          <w:highlight w:val="none"/>
        </w:rPr>
      </w:pPr>
    </w:p>
    <w:p w14:paraId="2F7BB9F0">
      <w:pPr>
        <w:pStyle w:val="20"/>
        <w:spacing w:line="360" w:lineRule="auto"/>
        <w:jc w:val="center"/>
        <w:rPr>
          <w:rFonts w:ascii="宋体" w:hAnsi="宋体" w:cs="宋体"/>
          <w:b/>
          <w:color w:val="auto"/>
          <w:kern w:val="0"/>
          <w:szCs w:val="21"/>
          <w:highlight w:val="none"/>
        </w:rPr>
      </w:pPr>
    </w:p>
    <w:p w14:paraId="7241D354">
      <w:pPr>
        <w:pStyle w:val="20"/>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5D15ED10">
      <w:pPr>
        <w:pStyle w:val="20"/>
        <w:spacing w:line="360" w:lineRule="auto"/>
        <w:rPr>
          <w:rFonts w:ascii="宋体" w:hAnsi="宋体" w:cs="宋体"/>
          <w:color w:val="auto"/>
          <w:highlight w:val="none"/>
        </w:rPr>
      </w:pPr>
    </w:p>
    <w:p w14:paraId="6E65228D">
      <w:pPr>
        <w:pStyle w:val="20"/>
        <w:spacing w:line="360" w:lineRule="auto"/>
        <w:rPr>
          <w:rFonts w:ascii="宋体" w:hAnsi="宋体" w:cs="宋体"/>
          <w:color w:val="auto"/>
          <w:highlight w:val="none"/>
        </w:rPr>
      </w:pPr>
    </w:p>
    <w:p w14:paraId="2A1F925D">
      <w:pPr>
        <w:pStyle w:val="20"/>
        <w:spacing w:line="360" w:lineRule="auto"/>
        <w:rPr>
          <w:rFonts w:ascii="宋体" w:hAnsi="宋体" w:cs="宋体"/>
          <w:color w:val="auto"/>
          <w:highlight w:val="none"/>
        </w:rPr>
      </w:pPr>
    </w:p>
    <w:p w14:paraId="7034D66B">
      <w:pPr>
        <w:pStyle w:val="20"/>
        <w:spacing w:line="360" w:lineRule="auto"/>
        <w:rPr>
          <w:rFonts w:ascii="宋体" w:hAnsi="宋体" w:cs="宋体"/>
          <w:color w:val="auto"/>
          <w:highlight w:val="none"/>
        </w:rPr>
      </w:pPr>
    </w:p>
    <w:p w14:paraId="5F4D9CF5">
      <w:pPr>
        <w:pStyle w:val="20"/>
        <w:spacing w:line="360" w:lineRule="auto"/>
        <w:rPr>
          <w:rFonts w:ascii="宋体" w:hAnsi="宋体" w:cs="宋体"/>
          <w:color w:val="auto"/>
          <w:highlight w:val="none"/>
        </w:rPr>
      </w:pPr>
    </w:p>
    <w:p w14:paraId="12756AAA">
      <w:pPr>
        <w:pStyle w:val="20"/>
        <w:spacing w:line="360" w:lineRule="auto"/>
        <w:rPr>
          <w:rFonts w:ascii="宋体" w:hAnsi="宋体" w:cs="宋体"/>
          <w:color w:val="auto"/>
          <w:highlight w:val="none"/>
        </w:rPr>
      </w:pPr>
    </w:p>
    <w:p w14:paraId="141E1C39">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4D7E86B3">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14EBA0DA">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投标文件技术标 </w:t>
      </w:r>
    </w:p>
    <w:p w14:paraId="54B95670">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747DD852">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14:paraId="6DB5A9A4">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3F2DE7AD">
      <w:pPr>
        <w:pStyle w:val="20"/>
        <w:spacing w:line="360" w:lineRule="auto"/>
        <w:rPr>
          <w:rFonts w:ascii="宋体" w:hAnsi="宋体" w:cs="宋体"/>
          <w:color w:val="auto"/>
          <w:highlight w:val="none"/>
        </w:rPr>
      </w:pPr>
    </w:p>
    <w:p w14:paraId="50A9588D">
      <w:pPr>
        <w:pStyle w:val="20"/>
        <w:spacing w:line="360" w:lineRule="auto"/>
        <w:rPr>
          <w:rFonts w:ascii="宋体" w:hAnsi="宋体" w:cs="宋体"/>
          <w:color w:val="auto"/>
          <w:highlight w:val="none"/>
        </w:rPr>
      </w:pPr>
      <w:r>
        <w:rPr>
          <w:rFonts w:hint="eastAsia" w:ascii="宋体" w:hAnsi="宋体" w:cs="宋体"/>
          <w:color w:val="auto"/>
          <w:highlight w:val="none"/>
        </w:rPr>
        <w:br w:type="page"/>
      </w:r>
    </w:p>
    <w:p w14:paraId="2466B563">
      <w:pPr>
        <w:tabs>
          <w:tab w:val="left" w:pos="567"/>
        </w:tabs>
        <w:autoSpaceDE w:val="0"/>
        <w:autoSpaceDN w:val="0"/>
        <w:adjustRightInd w:val="0"/>
        <w:spacing w:line="360" w:lineRule="auto"/>
        <w:ind w:left="357" w:leftChars="-100" w:hanging="567"/>
        <w:jc w:val="center"/>
        <w:outlineLvl w:val="1"/>
        <w:rPr>
          <w:rFonts w:ascii="宋体" w:hAnsi="宋体" w:eastAsia="宋体" w:cs="宋体"/>
          <w:b/>
          <w:color w:val="auto"/>
          <w:kern w:val="0"/>
          <w:sz w:val="24"/>
          <w:szCs w:val="24"/>
          <w:highlight w:val="none"/>
        </w:rPr>
      </w:pPr>
      <w:bookmarkStart w:id="759" w:name="_Toc6807"/>
      <w:bookmarkStart w:id="760" w:name="_Toc14054"/>
      <w:bookmarkStart w:id="761" w:name="_Toc8004"/>
      <w:bookmarkStart w:id="762" w:name="_Toc211622220"/>
      <w:bookmarkStart w:id="763" w:name="_Toc11390"/>
      <w:bookmarkStart w:id="764" w:name="_Toc23902"/>
      <w:bookmarkStart w:id="765" w:name="_Toc31565"/>
      <w:bookmarkStart w:id="766" w:name="_Toc195714400"/>
      <w:r>
        <w:rPr>
          <w:rFonts w:hint="eastAsia" w:ascii="宋体" w:hAnsi="宋体" w:eastAsia="宋体" w:cs="宋体"/>
          <w:b/>
          <w:color w:val="auto"/>
          <w:kern w:val="0"/>
          <w:sz w:val="24"/>
          <w:szCs w:val="24"/>
          <w:highlight w:val="none"/>
        </w:rPr>
        <w:t>目录</w:t>
      </w:r>
      <w:bookmarkEnd w:id="759"/>
      <w:bookmarkEnd w:id="760"/>
      <w:bookmarkEnd w:id="761"/>
      <w:bookmarkEnd w:id="762"/>
      <w:bookmarkEnd w:id="763"/>
      <w:bookmarkEnd w:id="764"/>
      <w:bookmarkEnd w:id="765"/>
      <w:bookmarkEnd w:id="766"/>
    </w:p>
    <w:p w14:paraId="46271972">
      <w:pPr>
        <w:spacing w:line="360" w:lineRule="auto"/>
        <w:ind w:left="444" w:leftChars="77" w:hanging="282" w:hangingChars="134"/>
        <w:rPr>
          <w:rFonts w:ascii="宋体" w:hAnsi="宋体" w:eastAsia="宋体" w:cs="宋体"/>
          <w:b/>
          <w:bCs/>
          <w:color w:val="auto"/>
          <w:kern w:val="0"/>
          <w:szCs w:val="21"/>
          <w:highlight w:val="none"/>
        </w:rPr>
      </w:pPr>
    </w:p>
    <w:p w14:paraId="3E7E0BBE">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w:t>
      </w:r>
    </w:p>
    <w:p w14:paraId="40491DDC">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2、投标产品技术指标承诺书；</w:t>
      </w:r>
    </w:p>
    <w:p w14:paraId="79A2BB59">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3、生产工艺（投标人自行编写，其中应包含生产工艺流程图）；</w:t>
      </w:r>
    </w:p>
    <w:p w14:paraId="631B1ED3">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4、生产供货保障能力（投标人自行编写）；</w:t>
      </w:r>
    </w:p>
    <w:p w14:paraId="41D84C81">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5、质量保证体系和措施（投标人自行编写）；</w:t>
      </w:r>
    </w:p>
    <w:p w14:paraId="5D713879">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、企业运输能力；</w:t>
      </w:r>
    </w:p>
    <w:p w14:paraId="64188372">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33FE32D7">
      <w:pP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2D34D327">
      <w:pPr>
        <w:tabs>
          <w:tab w:val="left" w:pos="567"/>
        </w:tabs>
        <w:autoSpaceDE w:val="0"/>
        <w:autoSpaceDN w:val="0"/>
        <w:adjustRightInd w:val="0"/>
        <w:spacing w:line="360" w:lineRule="auto"/>
        <w:jc w:val="left"/>
        <w:outlineLvl w:val="1"/>
        <w:rPr>
          <w:rFonts w:ascii="宋体" w:hAnsi="宋体" w:eastAsia="宋体" w:cs="宋体"/>
          <w:b/>
          <w:color w:val="auto"/>
          <w:kern w:val="0"/>
          <w:sz w:val="30"/>
          <w:szCs w:val="30"/>
          <w:highlight w:val="none"/>
        </w:rPr>
      </w:pPr>
      <w:bookmarkStart w:id="767" w:name="_Toc27934"/>
      <w:bookmarkStart w:id="768" w:name="_Toc18999"/>
      <w:bookmarkStart w:id="769" w:name="_Toc29200"/>
      <w:bookmarkStart w:id="770" w:name="_Toc30448"/>
      <w:bookmarkStart w:id="771" w:name="_Toc211622221"/>
      <w:r>
        <w:rPr>
          <w:rFonts w:hint="eastAsia" w:ascii="宋体" w:hAnsi="宋体" w:eastAsia="宋体" w:cs="宋体"/>
          <w:b/>
          <w:color w:val="auto"/>
          <w:kern w:val="0"/>
          <w:sz w:val="30"/>
          <w:szCs w:val="30"/>
          <w:highlight w:val="none"/>
        </w:rPr>
        <w:t>一、用户需求偏离表格式</w:t>
      </w:r>
      <w:bookmarkEnd w:id="751"/>
      <w:bookmarkEnd w:id="752"/>
      <w:bookmarkEnd w:id="753"/>
      <w:bookmarkEnd w:id="754"/>
      <w:bookmarkEnd w:id="755"/>
      <w:bookmarkEnd w:id="756"/>
      <w:bookmarkEnd w:id="757"/>
      <w:bookmarkEnd w:id="758"/>
      <w:bookmarkEnd w:id="767"/>
      <w:bookmarkEnd w:id="768"/>
      <w:bookmarkEnd w:id="769"/>
      <w:bookmarkEnd w:id="770"/>
      <w:bookmarkEnd w:id="771"/>
    </w:p>
    <w:p w14:paraId="6F0EDEF1">
      <w:pPr>
        <w:spacing w:before="120" w:after="120" w:line="360" w:lineRule="auto"/>
        <w:jc w:val="center"/>
        <w:rPr>
          <w:rFonts w:ascii="宋体" w:hAnsi="宋体" w:eastAsia="宋体" w:cs="宋体"/>
          <w:color w:val="auto"/>
          <w:kern w:val="0"/>
          <w:szCs w:val="21"/>
          <w:highlight w:val="none"/>
        </w:rPr>
      </w:pPr>
      <w:bookmarkStart w:id="772" w:name="_Toc17449_WPSOffice_Level3"/>
      <w:r>
        <w:rPr>
          <w:rFonts w:hint="eastAsia" w:ascii="宋体" w:hAnsi="宋体" w:eastAsia="宋体" w:cs="宋体"/>
          <w:b/>
          <w:color w:val="auto"/>
          <w:kern w:val="0"/>
          <w:sz w:val="30"/>
          <w:szCs w:val="30"/>
          <w:highlight w:val="none"/>
          <w:lang w:val="zh-CN"/>
        </w:rPr>
        <w:t>用户需求偏离表</w:t>
      </w:r>
      <w:bookmarkEnd w:id="772"/>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881"/>
        <w:gridCol w:w="5989"/>
        <w:gridCol w:w="672"/>
        <w:gridCol w:w="811"/>
        <w:gridCol w:w="778"/>
      </w:tblGrid>
      <w:tr w14:paraId="1C82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2" w:type="pct"/>
            <w:vMerge w:val="restart"/>
            <w:vAlign w:val="center"/>
          </w:tcPr>
          <w:p w14:paraId="029895DF">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3550" w:type="pct"/>
            <w:gridSpan w:val="2"/>
            <w:vAlign w:val="center"/>
          </w:tcPr>
          <w:p w14:paraId="4B6CF613">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1167" w:type="pct"/>
            <w:gridSpan w:val="3"/>
            <w:vAlign w:val="center"/>
          </w:tcPr>
          <w:p w14:paraId="66920C48">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2795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2" w:type="pct"/>
            <w:vMerge w:val="continue"/>
            <w:vAlign w:val="center"/>
          </w:tcPr>
          <w:p w14:paraId="71B4928F">
            <w:pPr>
              <w:keepNext/>
              <w:keepLines/>
              <w:spacing w:line="400" w:lineRule="exact"/>
              <w:jc w:val="center"/>
              <w:rPr>
                <w:rFonts w:ascii="宋体" w:hAnsi="宋体" w:eastAsia="宋体" w:cs="宋体"/>
                <w:color w:val="auto"/>
                <w:kern w:val="0"/>
                <w:szCs w:val="21"/>
                <w:highlight w:val="none"/>
              </w:rPr>
            </w:pPr>
          </w:p>
        </w:tc>
        <w:tc>
          <w:tcPr>
            <w:tcW w:w="455" w:type="pct"/>
            <w:vAlign w:val="center"/>
          </w:tcPr>
          <w:p w14:paraId="4A0263D1">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94" w:type="pct"/>
            <w:vAlign w:val="center"/>
          </w:tcPr>
          <w:p w14:paraId="0D98AA0A">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347" w:type="pct"/>
            <w:vAlign w:val="center"/>
          </w:tcPr>
          <w:p w14:paraId="278CE461">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419" w:type="pct"/>
            <w:vAlign w:val="center"/>
          </w:tcPr>
          <w:p w14:paraId="3C350F9B">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实质性响应的具体内容</w:t>
            </w:r>
          </w:p>
        </w:tc>
        <w:tc>
          <w:tcPr>
            <w:tcW w:w="400" w:type="pct"/>
            <w:vAlign w:val="center"/>
          </w:tcPr>
          <w:p w14:paraId="7E0001F1">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对应证明材料页码</w:t>
            </w:r>
          </w:p>
        </w:tc>
      </w:tr>
      <w:tr w14:paraId="6D17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2" w:type="pct"/>
            <w:vAlign w:val="center"/>
          </w:tcPr>
          <w:p w14:paraId="0C15A010">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455" w:type="pct"/>
            <w:vAlign w:val="center"/>
          </w:tcPr>
          <w:p w14:paraId="5A80FF25">
            <w:pPr>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一</w:t>
            </w:r>
          </w:p>
        </w:tc>
        <w:tc>
          <w:tcPr>
            <w:tcW w:w="3094" w:type="pct"/>
            <w:vAlign w:val="center"/>
          </w:tcPr>
          <w:p w14:paraId="075C9D57">
            <w:pPr>
              <w:spacing w:line="400" w:lineRule="exact"/>
              <w:rPr>
                <w:rFonts w:ascii="宋体" w:hAnsi="宋体" w:eastAsia="宋体" w:cs="宋体"/>
                <w:bCs/>
                <w:color w:val="auto"/>
                <w:kern w:val="0"/>
                <w:szCs w:val="21"/>
                <w:highlight w:val="none"/>
              </w:rPr>
            </w:pPr>
            <w:r>
              <w:rPr>
                <w:rFonts w:hint="eastAsia" w:ascii="宋体" w:hAnsi="宋体" w:eastAsia="宋体" w:cs="宋体"/>
                <w:bCs/>
                <w:color w:val="auto"/>
                <w:szCs w:val="21"/>
                <w:highlight w:val="none"/>
              </w:rPr>
              <w:t>基本招标要求</w:t>
            </w:r>
          </w:p>
        </w:tc>
        <w:tc>
          <w:tcPr>
            <w:tcW w:w="347" w:type="pct"/>
            <w:vAlign w:val="center"/>
          </w:tcPr>
          <w:p w14:paraId="20CE97E1">
            <w:pPr>
              <w:keepNext/>
              <w:keepLines/>
              <w:spacing w:line="400" w:lineRule="exact"/>
              <w:jc w:val="center"/>
              <w:rPr>
                <w:rFonts w:ascii="宋体" w:hAnsi="宋体" w:eastAsia="宋体" w:cs="宋体"/>
                <w:color w:val="auto"/>
                <w:kern w:val="0"/>
                <w:szCs w:val="21"/>
                <w:highlight w:val="none"/>
              </w:rPr>
            </w:pPr>
          </w:p>
        </w:tc>
        <w:tc>
          <w:tcPr>
            <w:tcW w:w="419" w:type="pct"/>
            <w:vAlign w:val="center"/>
          </w:tcPr>
          <w:p w14:paraId="60BF713C">
            <w:pPr>
              <w:keepNext/>
              <w:keepLines/>
              <w:spacing w:line="400" w:lineRule="exact"/>
              <w:jc w:val="center"/>
              <w:rPr>
                <w:rFonts w:ascii="宋体" w:hAnsi="宋体" w:eastAsia="宋体" w:cs="宋体"/>
                <w:color w:val="auto"/>
                <w:kern w:val="0"/>
                <w:szCs w:val="21"/>
                <w:highlight w:val="none"/>
              </w:rPr>
            </w:pPr>
          </w:p>
        </w:tc>
        <w:tc>
          <w:tcPr>
            <w:tcW w:w="400" w:type="pct"/>
            <w:vAlign w:val="center"/>
          </w:tcPr>
          <w:p w14:paraId="00A2F6D2">
            <w:pPr>
              <w:keepNext/>
              <w:keepLines/>
              <w:spacing w:line="400" w:lineRule="exact"/>
              <w:jc w:val="center"/>
              <w:rPr>
                <w:rFonts w:ascii="宋体" w:hAnsi="宋体" w:eastAsia="宋体" w:cs="宋体"/>
                <w:color w:val="auto"/>
                <w:kern w:val="0"/>
                <w:szCs w:val="21"/>
                <w:highlight w:val="none"/>
              </w:rPr>
            </w:pPr>
          </w:p>
        </w:tc>
      </w:tr>
      <w:tr w14:paraId="1CE9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4A68D887">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455" w:type="pct"/>
            <w:shd w:val="clear" w:color="auto" w:fill="auto"/>
            <w:vAlign w:val="center"/>
          </w:tcPr>
          <w:p w14:paraId="1315A990">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094" w:type="pct"/>
            <w:shd w:val="clear" w:color="auto" w:fill="auto"/>
            <w:vAlign w:val="center"/>
          </w:tcPr>
          <w:p w14:paraId="06B58B93">
            <w:pPr>
              <w:spacing w:line="400" w:lineRule="exact"/>
              <w:rPr>
                <w:rFonts w:ascii="宋体" w:hAnsi="宋体" w:eastAsia="宋体" w:cs="宋体"/>
                <w:bCs/>
                <w:color w:val="auto"/>
                <w:szCs w:val="21"/>
                <w:highlight w:val="none"/>
              </w:rPr>
            </w:pPr>
            <w:r>
              <w:rPr>
                <w:rFonts w:hint="eastAsia" w:ascii="宋体" w:hAnsi="宋体" w:eastAsia="宋体" w:cs="宋体"/>
                <w:bCs/>
                <w:color w:val="auto"/>
                <w:szCs w:val="21"/>
                <w:highlight w:val="none"/>
              </w:rPr>
              <w:t>标的物</w:t>
            </w:r>
          </w:p>
        </w:tc>
        <w:tc>
          <w:tcPr>
            <w:tcW w:w="347" w:type="pct"/>
            <w:vAlign w:val="center"/>
          </w:tcPr>
          <w:p w14:paraId="76365669">
            <w:pPr>
              <w:keepNext/>
              <w:keepLines/>
              <w:spacing w:line="400" w:lineRule="exact"/>
              <w:jc w:val="center"/>
              <w:rPr>
                <w:rFonts w:ascii="宋体" w:hAnsi="宋体" w:eastAsia="宋体" w:cs="宋体"/>
                <w:color w:val="auto"/>
                <w:kern w:val="0"/>
                <w:szCs w:val="21"/>
                <w:highlight w:val="none"/>
              </w:rPr>
            </w:pPr>
          </w:p>
        </w:tc>
        <w:tc>
          <w:tcPr>
            <w:tcW w:w="419" w:type="pct"/>
            <w:vAlign w:val="center"/>
          </w:tcPr>
          <w:p w14:paraId="61B2CC5C">
            <w:pPr>
              <w:keepNext/>
              <w:keepLines/>
              <w:spacing w:line="400" w:lineRule="exact"/>
              <w:jc w:val="center"/>
              <w:rPr>
                <w:rFonts w:ascii="宋体" w:hAnsi="宋体" w:eastAsia="宋体" w:cs="宋体"/>
                <w:color w:val="auto"/>
                <w:kern w:val="0"/>
                <w:szCs w:val="21"/>
                <w:highlight w:val="none"/>
              </w:rPr>
            </w:pPr>
          </w:p>
        </w:tc>
        <w:tc>
          <w:tcPr>
            <w:tcW w:w="400" w:type="pct"/>
            <w:vAlign w:val="center"/>
          </w:tcPr>
          <w:p w14:paraId="6882A516">
            <w:pPr>
              <w:keepNext/>
              <w:keepLines/>
              <w:spacing w:line="400" w:lineRule="exact"/>
              <w:jc w:val="center"/>
              <w:rPr>
                <w:rFonts w:ascii="宋体" w:hAnsi="宋体" w:eastAsia="宋体" w:cs="宋体"/>
                <w:color w:val="auto"/>
                <w:kern w:val="0"/>
                <w:szCs w:val="21"/>
                <w:highlight w:val="none"/>
              </w:rPr>
            </w:pPr>
          </w:p>
        </w:tc>
      </w:tr>
      <w:tr w14:paraId="1C37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2ED425F8">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455" w:type="pct"/>
            <w:shd w:val="clear" w:color="auto" w:fill="auto"/>
            <w:vAlign w:val="center"/>
          </w:tcPr>
          <w:p w14:paraId="3F4571F1">
            <w:pPr>
              <w:spacing w:line="40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rPr>
              <w:t>三</w:t>
            </w:r>
          </w:p>
        </w:tc>
        <w:tc>
          <w:tcPr>
            <w:tcW w:w="3094" w:type="pct"/>
            <w:shd w:val="clear" w:color="auto" w:fill="auto"/>
            <w:vAlign w:val="center"/>
          </w:tcPr>
          <w:p w14:paraId="090644DA">
            <w:pPr>
              <w:numPr>
                <w:ilvl w:val="255"/>
                <w:numId w:val="0"/>
              </w:numPr>
              <w:spacing w:line="400" w:lineRule="exact"/>
              <w:rPr>
                <w:rFonts w:ascii="宋体" w:hAnsi="宋体" w:eastAsia="宋体" w:cs="宋体"/>
                <w:bCs/>
                <w:color w:val="auto"/>
                <w:szCs w:val="21"/>
                <w:highlight w:val="none"/>
              </w:rPr>
            </w:pPr>
            <w:r>
              <w:rPr>
                <w:rFonts w:hint="eastAsia" w:ascii="宋体" w:hAnsi="宋体" w:eastAsia="宋体" w:cs="宋体"/>
                <w:bCs/>
                <w:color w:val="auto"/>
                <w:szCs w:val="21"/>
                <w:highlight w:val="none"/>
              </w:rPr>
              <w:t>交货要求</w:t>
            </w:r>
          </w:p>
        </w:tc>
        <w:tc>
          <w:tcPr>
            <w:tcW w:w="347" w:type="pct"/>
            <w:vAlign w:val="center"/>
          </w:tcPr>
          <w:p w14:paraId="0FF222DD">
            <w:pPr>
              <w:keepNext/>
              <w:keepLines/>
              <w:spacing w:line="400" w:lineRule="exact"/>
              <w:jc w:val="center"/>
              <w:rPr>
                <w:rFonts w:ascii="宋体" w:hAnsi="宋体" w:eastAsia="宋体" w:cs="宋体"/>
                <w:color w:val="auto"/>
                <w:kern w:val="0"/>
                <w:szCs w:val="21"/>
                <w:highlight w:val="none"/>
              </w:rPr>
            </w:pPr>
          </w:p>
        </w:tc>
        <w:tc>
          <w:tcPr>
            <w:tcW w:w="419" w:type="pct"/>
            <w:vAlign w:val="center"/>
          </w:tcPr>
          <w:p w14:paraId="02D93DC3">
            <w:pPr>
              <w:keepNext/>
              <w:keepLines/>
              <w:spacing w:line="400" w:lineRule="exact"/>
              <w:jc w:val="center"/>
              <w:rPr>
                <w:rFonts w:ascii="宋体" w:hAnsi="宋体" w:eastAsia="宋体" w:cs="宋体"/>
                <w:color w:val="auto"/>
                <w:kern w:val="0"/>
                <w:szCs w:val="21"/>
                <w:highlight w:val="none"/>
              </w:rPr>
            </w:pPr>
          </w:p>
        </w:tc>
        <w:tc>
          <w:tcPr>
            <w:tcW w:w="400" w:type="pct"/>
            <w:vAlign w:val="center"/>
          </w:tcPr>
          <w:p w14:paraId="5588EC20">
            <w:pPr>
              <w:keepNext/>
              <w:keepLines/>
              <w:spacing w:line="400" w:lineRule="exact"/>
              <w:jc w:val="center"/>
              <w:rPr>
                <w:rFonts w:ascii="宋体" w:hAnsi="宋体" w:eastAsia="宋体" w:cs="宋体"/>
                <w:color w:val="auto"/>
                <w:kern w:val="0"/>
                <w:szCs w:val="21"/>
                <w:highlight w:val="none"/>
              </w:rPr>
            </w:pPr>
          </w:p>
        </w:tc>
      </w:tr>
      <w:tr w14:paraId="6A42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1E0B5539">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455" w:type="pct"/>
            <w:shd w:val="clear" w:color="auto" w:fill="auto"/>
            <w:vAlign w:val="center"/>
          </w:tcPr>
          <w:p w14:paraId="0F06D641">
            <w:pPr>
              <w:spacing w:line="40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rPr>
              <w:t>四</w:t>
            </w:r>
          </w:p>
        </w:tc>
        <w:tc>
          <w:tcPr>
            <w:tcW w:w="3094" w:type="pct"/>
            <w:shd w:val="clear" w:color="auto" w:fill="auto"/>
            <w:vAlign w:val="center"/>
          </w:tcPr>
          <w:p w14:paraId="58FC0BBD">
            <w:pPr>
              <w:spacing w:line="400" w:lineRule="exact"/>
              <w:rPr>
                <w:rFonts w:ascii="宋体" w:hAnsi="宋体" w:eastAsia="宋体" w:cs="宋体"/>
                <w:bCs/>
                <w:color w:val="auto"/>
                <w:szCs w:val="21"/>
                <w:highlight w:val="none"/>
              </w:rPr>
            </w:pPr>
            <w:r>
              <w:rPr>
                <w:rFonts w:hint="eastAsia" w:ascii="宋体" w:hAnsi="宋体" w:eastAsia="宋体" w:cs="宋体"/>
                <w:bCs/>
                <w:color w:val="auto"/>
                <w:szCs w:val="21"/>
                <w:highlight w:val="none"/>
              </w:rPr>
              <w:t>验收要求</w:t>
            </w:r>
          </w:p>
        </w:tc>
        <w:tc>
          <w:tcPr>
            <w:tcW w:w="347" w:type="pct"/>
            <w:vAlign w:val="center"/>
          </w:tcPr>
          <w:p w14:paraId="0BB44F02">
            <w:pPr>
              <w:keepNext/>
              <w:keepLines/>
              <w:spacing w:line="400" w:lineRule="exact"/>
              <w:jc w:val="center"/>
              <w:rPr>
                <w:rFonts w:ascii="宋体" w:hAnsi="宋体" w:eastAsia="宋体" w:cs="宋体"/>
                <w:color w:val="auto"/>
                <w:kern w:val="0"/>
                <w:szCs w:val="21"/>
                <w:highlight w:val="none"/>
              </w:rPr>
            </w:pPr>
          </w:p>
        </w:tc>
        <w:tc>
          <w:tcPr>
            <w:tcW w:w="419" w:type="pct"/>
            <w:vAlign w:val="center"/>
          </w:tcPr>
          <w:p w14:paraId="0333D0F2">
            <w:pPr>
              <w:keepNext/>
              <w:keepLines/>
              <w:spacing w:line="400" w:lineRule="exact"/>
              <w:jc w:val="center"/>
              <w:rPr>
                <w:rFonts w:ascii="宋体" w:hAnsi="宋体" w:eastAsia="宋体" w:cs="宋体"/>
                <w:color w:val="auto"/>
                <w:kern w:val="0"/>
                <w:szCs w:val="21"/>
                <w:highlight w:val="none"/>
              </w:rPr>
            </w:pPr>
          </w:p>
        </w:tc>
        <w:tc>
          <w:tcPr>
            <w:tcW w:w="400" w:type="pct"/>
            <w:vAlign w:val="center"/>
          </w:tcPr>
          <w:p w14:paraId="5618633D">
            <w:pPr>
              <w:keepNext/>
              <w:keepLines/>
              <w:spacing w:line="400" w:lineRule="exact"/>
              <w:jc w:val="center"/>
              <w:rPr>
                <w:rFonts w:ascii="宋体" w:hAnsi="宋体" w:eastAsia="宋体" w:cs="宋体"/>
                <w:color w:val="auto"/>
                <w:kern w:val="0"/>
                <w:szCs w:val="21"/>
                <w:highlight w:val="none"/>
              </w:rPr>
            </w:pPr>
          </w:p>
        </w:tc>
      </w:tr>
      <w:tr w14:paraId="197B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54B41ADD">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455" w:type="pct"/>
            <w:shd w:val="clear" w:color="auto" w:fill="auto"/>
            <w:vAlign w:val="center"/>
          </w:tcPr>
          <w:p w14:paraId="14F1D1D8">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五</w:t>
            </w:r>
          </w:p>
        </w:tc>
        <w:tc>
          <w:tcPr>
            <w:tcW w:w="3094" w:type="pct"/>
            <w:shd w:val="clear" w:color="auto" w:fill="auto"/>
            <w:vAlign w:val="center"/>
          </w:tcPr>
          <w:p w14:paraId="5C89B411">
            <w:pPr>
              <w:spacing w:line="400" w:lineRule="exact"/>
              <w:rPr>
                <w:rFonts w:ascii="宋体" w:hAnsi="宋体" w:eastAsia="宋体" w:cs="宋体"/>
                <w:bCs/>
                <w:color w:val="auto"/>
                <w:szCs w:val="21"/>
                <w:highlight w:val="none"/>
              </w:rPr>
            </w:pPr>
            <w:r>
              <w:rPr>
                <w:rFonts w:hint="eastAsia" w:ascii="宋体" w:hAnsi="宋体" w:eastAsia="宋体" w:cs="宋体"/>
                <w:bCs/>
                <w:color w:val="auto"/>
                <w:szCs w:val="21"/>
                <w:highlight w:val="none"/>
              </w:rPr>
              <w:t>资料要求</w:t>
            </w:r>
          </w:p>
        </w:tc>
        <w:tc>
          <w:tcPr>
            <w:tcW w:w="347" w:type="pct"/>
            <w:vAlign w:val="center"/>
          </w:tcPr>
          <w:p w14:paraId="62019BF4">
            <w:pPr>
              <w:keepNext/>
              <w:keepLines/>
              <w:spacing w:line="400" w:lineRule="exact"/>
              <w:jc w:val="center"/>
              <w:rPr>
                <w:rFonts w:ascii="宋体" w:hAnsi="宋体" w:eastAsia="宋体" w:cs="宋体"/>
                <w:color w:val="auto"/>
                <w:kern w:val="0"/>
                <w:szCs w:val="21"/>
                <w:highlight w:val="none"/>
              </w:rPr>
            </w:pPr>
          </w:p>
        </w:tc>
        <w:tc>
          <w:tcPr>
            <w:tcW w:w="419" w:type="pct"/>
            <w:vAlign w:val="center"/>
          </w:tcPr>
          <w:p w14:paraId="405CCDD7">
            <w:pPr>
              <w:keepNext/>
              <w:keepLines/>
              <w:spacing w:line="400" w:lineRule="exact"/>
              <w:jc w:val="center"/>
              <w:rPr>
                <w:rFonts w:ascii="宋体" w:hAnsi="宋体" w:eastAsia="宋体" w:cs="宋体"/>
                <w:color w:val="auto"/>
                <w:kern w:val="0"/>
                <w:szCs w:val="21"/>
                <w:highlight w:val="none"/>
              </w:rPr>
            </w:pPr>
          </w:p>
        </w:tc>
        <w:tc>
          <w:tcPr>
            <w:tcW w:w="400" w:type="pct"/>
            <w:vAlign w:val="center"/>
          </w:tcPr>
          <w:p w14:paraId="54BC1EDB">
            <w:pPr>
              <w:keepNext/>
              <w:keepLines/>
              <w:spacing w:line="400" w:lineRule="exact"/>
              <w:jc w:val="center"/>
              <w:rPr>
                <w:rFonts w:ascii="宋体" w:hAnsi="宋体" w:eastAsia="宋体" w:cs="宋体"/>
                <w:color w:val="auto"/>
                <w:kern w:val="0"/>
                <w:szCs w:val="21"/>
                <w:highlight w:val="none"/>
              </w:rPr>
            </w:pPr>
          </w:p>
        </w:tc>
      </w:tr>
      <w:tr w14:paraId="4C55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714DA3FE">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455" w:type="pct"/>
            <w:shd w:val="clear" w:color="auto" w:fill="auto"/>
            <w:vAlign w:val="center"/>
          </w:tcPr>
          <w:p w14:paraId="1B0C1BF0">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六</w:t>
            </w:r>
          </w:p>
        </w:tc>
        <w:tc>
          <w:tcPr>
            <w:tcW w:w="3094" w:type="pct"/>
            <w:shd w:val="clear" w:color="auto" w:fill="auto"/>
            <w:vAlign w:val="center"/>
          </w:tcPr>
          <w:p w14:paraId="1D6F0F1C">
            <w:pPr>
              <w:spacing w:line="400" w:lineRule="exact"/>
              <w:rPr>
                <w:rFonts w:ascii="宋体" w:hAnsi="宋体" w:eastAsia="宋体" w:cs="宋体"/>
                <w:bCs/>
                <w:color w:val="auto"/>
                <w:szCs w:val="21"/>
                <w:highlight w:val="none"/>
              </w:rPr>
            </w:pPr>
            <w:r>
              <w:rPr>
                <w:rFonts w:hint="eastAsia" w:ascii="宋体" w:hAnsi="宋体" w:eastAsia="宋体" w:cs="宋体"/>
                <w:bCs/>
                <w:color w:val="auto"/>
                <w:szCs w:val="21"/>
                <w:highlight w:val="none"/>
              </w:rPr>
              <w:t>质量保证及售后要求</w:t>
            </w:r>
          </w:p>
        </w:tc>
        <w:tc>
          <w:tcPr>
            <w:tcW w:w="347" w:type="pct"/>
            <w:vAlign w:val="center"/>
          </w:tcPr>
          <w:p w14:paraId="79F3C517">
            <w:pPr>
              <w:keepNext/>
              <w:keepLines/>
              <w:spacing w:line="400" w:lineRule="exact"/>
              <w:jc w:val="center"/>
              <w:rPr>
                <w:rFonts w:ascii="宋体" w:hAnsi="宋体" w:eastAsia="宋体" w:cs="宋体"/>
                <w:color w:val="auto"/>
                <w:kern w:val="0"/>
                <w:szCs w:val="21"/>
                <w:highlight w:val="none"/>
              </w:rPr>
            </w:pPr>
          </w:p>
        </w:tc>
        <w:tc>
          <w:tcPr>
            <w:tcW w:w="419" w:type="pct"/>
            <w:vAlign w:val="center"/>
          </w:tcPr>
          <w:p w14:paraId="1F52764C">
            <w:pPr>
              <w:keepNext/>
              <w:keepLines/>
              <w:spacing w:line="400" w:lineRule="exact"/>
              <w:jc w:val="center"/>
              <w:rPr>
                <w:rFonts w:ascii="宋体" w:hAnsi="宋体" w:eastAsia="宋体" w:cs="宋体"/>
                <w:color w:val="auto"/>
                <w:kern w:val="0"/>
                <w:szCs w:val="21"/>
                <w:highlight w:val="none"/>
              </w:rPr>
            </w:pPr>
          </w:p>
        </w:tc>
        <w:tc>
          <w:tcPr>
            <w:tcW w:w="400" w:type="pct"/>
            <w:vAlign w:val="center"/>
          </w:tcPr>
          <w:p w14:paraId="601F2906">
            <w:pPr>
              <w:keepNext/>
              <w:keepLines/>
              <w:spacing w:line="400" w:lineRule="exact"/>
              <w:jc w:val="center"/>
              <w:rPr>
                <w:rFonts w:ascii="宋体" w:hAnsi="宋体" w:eastAsia="宋体" w:cs="宋体"/>
                <w:color w:val="auto"/>
                <w:kern w:val="0"/>
                <w:szCs w:val="21"/>
                <w:highlight w:val="none"/>
              </w:rPr>
            </w:pPr>
          </w:p>
        </w:tc>
      </w:tr>
      <w:tr w14:paraId="45DD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65782805">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455" w:type="pct"/>
            <w:shd w:val="clear" w:color="auto" w:fill="auto"/>
            <w:vAlign w:val="center"/>
          </w:tcPr>
          <w:p w14:paraId="35D0053D">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七</w:t>
            </w:r>
          </w:p>
        </w:tc>
        <w:tc>
          <w:tcPr>
            <w:tcW w:w="3094" w:type="pct"/>
            <w:shd w:val="clear" w:color="auto" w:fill="auto"/>
            <w:vAlign w:val="center"/>
          </w:tcPr>
          <w:p w14:paraId="2174154F">
            <w:pPr>
              <w:spacing w:line="400" w:lineRule="exact"/>
              <w:rPr>
                <w:rFonts w:ascii="宋体" w:hAnsi="宋体" w:eastAsia="宋体" w:cs="宋体"/>
                <w:bCs/>
                <w:color w:val="auto"/>
                <w:szCs w:val="21"/>
                <w:highlight w:val="none"/>
              </w:rPr>
            </w:pPr>
            <w:r>
              <w:rPr>
                <w:rFonts w:hint="eastAsia" w:ascii="宋体" w:hAnsi="宋体" w:eastAsia="宋体" w:cs="宋体"/>
                <w:bCs/>
                <w:color w:val="auto"/>
                <w:szCs w:val="21"/>
                <w:highlight w:val="none"/>
              </w:rPr>
              <w:t>货物的结算</w:t>
            </w:r>
          </w:p>
        </w:tc>
        <w:tc>
          <w:tcPr>
            <w:tcW w:w="347" w:type="pct"/>
            <w:vAlign w:val="center"/>
          </w:tcPr>
          <w:p w14:paraId="161A7749">
            <w:pPr>
              <w:keepNext/>
              <w:keepLines/>
              <w:spacing w:line="400" w:lineRule="exact"/>
              <w:jc w:val="center"/>
              <w:rPr>
                <w:rFonts w:ascii="宋体" w:hAnsi="宋体" w:eastAsia="宋体" w:cs="宋体"/>
                <w:color w:val="auto"/>
                <w:kern w:val="0"/>
                <w:szCs w:val="21"/>
                <w:highlight w:val="none"/>
              </w:rPr>
            </w:pPr>
          </w:p>
        </w:tc>
        <w:tc>
          <w:tcPr>
            <w:tcW w:w="419" w:type="pct"/>
            <w:vAlign w:val="center"/>
          </w:tcPr>
          <w:p w14:paraId="1A68A9E1">
            <w:pPr>
              <w:keepNext/>
              <w:keepLines/>
              <w:spacing w:line="400" w:lineRule="exact"/>
              <w:jc w:val="center"/>
              <w:rPr>
                <w:rFonts w:ascii="宋体" w:hAnsi="宋体" w:eastAsia="宋体" w:cs="宋体"/>
                <w:color w:val="auto"/>
                <w:kern w:val="0"/>
                <w:szCs w:val="21"/>
                <w:highlight w:val="none"/>
              </w:rPr>
            </w:pPr>
          </w:p>
        </w:tc>
        <w:tc>
          <w:tcPr>
            <w:tcW w:w="400" w:type="pct"/>
            <w:vAlign w:val="center"/>
          </w:tcPr>
          <w:p w14:paraId="1666B4A7">
            <w:pPr>
              <w:keepNext/>
              <w:keepLines/>
              <w:spacing w:line="400" w:lineRule="exact"/>
              <w:jc w:val="center"/>
              <w:rPr>
                <w:rFonts w:ascii="宋体" w:hAnsi="宋体" w:eastAsia="宋体" w:cs="宋体"/>
                <w:color w:val="auto"/>
                <w:kern w:val="0"/>
                <w:szCs w:val="21"/>
                <w:highlight w:val="none"/>
              </w:rPr>
            </w:pPr>
          </w:p>
        </w:tc>
      </w:tr>
      <w:tr w14:paraId="7AFD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3379BAF4">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455" w:type="pct"/>
            <w:shd w:val="clear" w:color="auto" w:fill="auto"/>
            <w:vAlign w:val="center"/>
          </w:tcPr>
          <w:p w14:paraId="614020C6">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八</w:t>
            </w:r>
          </w:p>
        </w:tc>
        <w:tc>
          <w:tcPr>
            <w:tcW w:w="3094" w:type="pct"/>
            <w:shd w:val="clear" w:color="auto" w:fill="auto"/>
            <w:vAlign w:val="center"/>
          </w:tcPr>
          <w:p w14:paraId="0EB4FA78">
            <w:pPr>
              <w:spacing w:line="400" w:lineRule="exact"/>
              <w:rPr>
                <w:rFonts w:ascii="宋体" w:hAnsi="宋体" w:eastAsia="宋体" w:cs="宋体"/>
                <w:bCs/>
                <w:color w:val="auto"/>
                <w:szCs w:val="21"/>
                <w:highlight w:val="none"/>
              </w:rPr>
            </w:pPr>
            <w:r>
              <w:rPr>
                <w:rFonts w:hint="eastAsia" w:ascii="宋体" w:hAnsi="宋体" w:eastAsia="宋体" w:cs="宋体"/>
                <w:bCs/>
                <w:color w:val="auto"/>
                <w:szCs w:val="21"/>
                <w:highlight w:val="none"/>
              </w:rPr>
              <w:t>其它要求</w:t>
            </w:r>
          </w:p>
        </w:tc>
        <w:tc>
          <w:tcPr>
            <w:tcW w:w="347" w:type="pct"/>
            <w:vAlign w:val="center"/>
          </w:tcPr>
          <w:p w14:paraId="433F2E7F">
            <w:pPr>
              <w:keepNext/>
              <w:keepLines/>
              <w:spacing w:line="400" w:lineRule="exact"/>
              <w:jc w:val="center"/>
              <w:rPr>
                <w:rFonts w:ascii="宋体" w:hAnsi="宋体" w:eastAsia="宋体" w:cs="宋体"/>
                <w:color w:val="auto"/>
                <w:kern w:val="0"/>
                <w:szCs w:val="21"/>
                <w:highlight w:val="none"/>
              </w:rPr>
            </w:pPr>
          </w:p>
        </w:tc>
        <w:tc>
          <w:tcPr>
            <w:tcW w:w="419" w:type="pct"/>
            <w:vAlign w:val="center"/>
          </w:tcPr>
          <w:p w14:paraId="747512F7">
            <w:pPr>
              <w:keepNext/>
              <w:keepLines/>
              <w:spacing w:line="400" w:lineRule="exact"/>
              <w:jc w:val="center"/>
              <w:rPr>
                <w:rFonts w:ascii="宋体" w:hAnsi="宋体" w:eastAsia="宋体" w:cs="宋体"/>
                <w:color w:val="auto"/>
                <w:kern w:val="0"/>
                <w:szCs w:val="21"/>
                <w:highlight w:val="none"/>
              </w:rPr>
            </w:pPr>
          </w:p>
        </w:tc>
        <w:tc>
          <w:tcPr>
            <w:tcW w:w="400" w:type="pct"/>
            <w:vAlign w:val="center"/>
          </w:tcPr>
          <w:p w14:paraId="1DAAF77E">
            <w:pPr>
              <w:keepNext/>
              <w:keepLines/>
              <w:spacing w:line="400" w:lineRule="exact"/>
              <w:jc w:val="center"/>
              <w:rPr>
                <w:rFonts w:ascii="宋体" w:hAnsi="宋体" w:eastAsia="宋体" w:cs="宋体"/>
                <w:color w:val="auto"/>
                <w:kern w:val="0"/>
                <w:szCs w:val="21"/>
                <w:highlight w:val="none"/>
              </w:rPr>
            </w:pPr>
          </w:p>
        </w:tc>
      </w:tr>
      <w:tr w14:paraId="7784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37F600AD">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455" w:type="pct"/>
            <w:shd w:val="clear" w:color="auto" w:fill="auto"/>
            <w:vAlign w:val="center"/>
          </w:tcPr>
          <w:p w14:paraId="184B4AAB">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附件1</w:t>
            </w:r>
          </w:p>
        </w:tc>
        <w:tc>
          <w:tcPr>
            <w:tcW w:w="3094" w:type="pct"/>
            <w:shd w:val="clear" w:color="auto" w:fill="auto"/>
            <w:vAlign w:val="center"/>
          </w:tcPr>
          <w:p w14:paraId="17A30690">
            <w:pPr>
              <w:spacing w:line="400" w:lineRule="exact"/>
              <w:rPr>
                <w:rFonts w:ascii="宋体" w:hAnsi="宋体" w:eastAsia="宋体" w:cs="宋体"/>
                <w:b/>
                <w:color w:val="auto"/>
                <w:szCs w:val="21"/>
                <w:highlight w:val="none"/>
              </w:rPr>
            </w:pPr>
            <w:r>
              <w:rPr>
                <w:rFonts w:hint="eastAsia" w:ascii="宋体" w:hAnsi="宋体" w:eastAsia="宋体" w:cs="宋体"/>
                <w:color w:val="auto"/>
                <w:szCs w:val="21"/>
                <w:highlight w:val="none"/>
              </w:rPr>
              <w:t>招标人运营项目相关信息</w:t>
            </w:r>
          </w:p>
        </w:tc>
        <w:tc>
          <w:tcPr>
            <w:tcW w:w="347" w:type="pct"/>
            <w:vAlign w:val="center"/>
          </w:tcPr>
          <w:p w14:paraId="16B759C9">
            <w:pPr>
              <w:keepNext/>
              <w:keepLines/>
              <w:spacing w:line="400" w:lineRule="exact"/>
              <w:jc w:val="center"/>
              <w:rPr>
                <w:rFonts w:ascii="宋体" w:hAnsi="宋体" w:eastAsia="宋体" w:cs="宋体"/>
                <w:color w:val="auto"/>
                <w:kern w:val="0"/>
                <w:szCs w:val="21"/>
                <w:highlight w:val="none"/>
              </w:rPr>
            </w:pPr>
          </w:p>
        </w:tc>
        <w:tc>
          <w:tcPr>
            <w:tcW w:w="419" w:type="pct"/>
            <w:vAlign w:val="center"/>
          </w:tcPr>
          <w:p w14:paraId="5E567058">
            <w:pPr>
              <w:keepNext/>
              <w:keepLines/>
              <w:spacing w:line="400" w:lineRule="exact"/>
              <w:jc w:val="center"/>
              <w:rPr>
                <w:rFonts w:ascii="宋体" w:hAnsi="宋体" w:eastAsia="宋体" w:cs="宋体"/>
                <w:color w:val="auto"/>
                <w:kern w:val="0"/>
                <w:szCs w:val="21"/>
                <w:highlight w:val="none"/>
              </w:rPr>
            </w:pPr>
          </w:p>
        </w:tc>
        <w:tc>
          <w:tcPr>
            <w:tcW w:w="400" w:type="pct"/>
            <w:vAlign w:val="center"/>
          </w:tcPr>
          <w:p w14:paraId="144AAA31">
            <w:pPr>
              <w:keepNext/>
              <w:keepLines/>
              <w:spacing w:line="400" w:lineRule="exact"/>
              <w:jc w:val="center"/>
              <w:rPr>
                <w:rFonts w:ascii="宋体" w:hAnsi="宋体" w:eastAsia="宋体" w:cs="宋体"/>
                <w:color w:val="auto"/>
                <w:kern w:val="0"/>
                <w:szCs w:val="21"/>
                <w:highlight w:val="none"/>
              </w:rPr>
            </w:pPr>
          </w:p>
        </w:tc>
      </w:tr>
      <w:tr w14:paraId="121C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6630376D">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455" w:type="pct"/>
            <w:shd w:val="clear" w:color="auto" w:fill="auto"/>
            <w:vAlign w:val="center"/>
          </w:tcPr>
          <w:p w14:paraId="6F065187">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附件2</w:t>
            </w:r>
          </w:p>
        </w:tc>
        <w:tc>
          <w:tcPr>
            <w:tcW w:w="3094" w:type="pct"/>
            <w:shd w:val="clear" w:color="auto" w:fill="auto"/>
            <w:vAlign w:val="center"/>
          </w:tcPr>
          <w:p w14:paraId="52BA7913">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验收报告（模板）</w:t>
            </w:r>
          </w:p>
        </w:tc>
        <w:tc>
          <w:tcPr>
            <w:tcW w:w="347" w:type="pct"/>
            <w:vAlign w:val="center"/>
          </w:tcPr>
          <w:p w14:paraId="4CAD2529">
            <w:pPr>
              <w:keepNext/>
              <w:keepLines/>
              <w:spacing w:line="400" w:lineRule="exact"/>
              <w:jc w:val="center"/>
              <w:rPr>
                <w:rFonts w:ascii="宋体" w:hAnsi="宋体" w:eastAsia="宋体" w:cs="宋体"/>
                <w:color w:val="auto"/>
                <w:kern w:val="0"/>
                <w:szCs w:val="21"/>
                <w:highlight w:val="none"/>
              </w:rPr>
            </w:pPr>
          </w:p>
        </w:tc>
        <w:tc>
          <w:tcPr>
            <w:tcW w:w="419" w:type="pct"/>
            <w:vAlign w:val="center"/>
          </w:tcPr>
          <w:p w14:paraId="3DACF393">
            <w:pPr>
              <w:keepNext/>
              <w:keepLines/>
              <w:spacing w:line="400" w:lineRule="exact"/>
              <w:jc w:val="center"/>
              <w:rPr>
                <w:rFonts w:ascii="宋体" w:hAnsi="宋体" w:eastAsia="宋体" w:cs="宋体"/>
                <w:color w:val="auto"/>
                <w:kern w:val="0"/>
                <w:szCs w:val="21"/>
                <w:highlight w:val="none"/>
              </w:rPr>
            </w:pPr>
          </w:p>
        </w:tc>
        <w:tc>
          <w:tcPr>
            <w:tcW w:w="400" w:type="pct"/>
            <w:vAlign w:val="center"/>
          </w:tcPr>
          <w:p w14:paraId="41E812D7">
            <w:pPr>
              <w:keepNext/>
              <w:keepLines/>
              <w:spacing w:line="400" w:lineRule="exact"/>
              <w:jc w:val="center"/>
              <w:rPr>
                <w:rFonts w:ascii="宋体" w:hAnsi="宋体" w:eastAsia="宋体" w:cs="宋体"/>
                <w:color w:val="auto"/>
                <w:kern w:val="0"/>
                <w:szCs w:val="21"/>
                <w:highlight w:val="none"/>
              </w:rPr>
            </w:pPr>
          </w:p>
        </w:tc>
      </w:tr>
      <w:tr w14:paraId="4E85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23DE8160">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455" w:type="pct"/>
            <w:shd w:val="clear" w:color="auto" w:fill="auto"/>
            <w:vAlign w:val="center"/>
          </w:tcPr>
          <w:p w14:paraId="0393D2BD">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附件3</w:t>
            </w:r>
          </w:p>
        </w:tc>
        <w:tc>
          <w:tcPr>
            <w:tcW w:w="3094" w:type="pct"/>
            <w:shd w:val="clear" w:color="auto" w:fill="auto"/>
            <w:vAlign w:val="center"/>
          </w:tcPr>
          <w:p w14:paraId="287CA044">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lang w:bidi="ar"/>
              </w:rPr>
              <w:t>供应商履约评价表</w:t>
            </w:r>
          </w:p>
        </w:tc>
        <w:tc>
          <w:tcPr>
            <w:tcW w:w="347" w:type="pct"/>
            <w:vAlign w:val="center"/>
          </w:tcPr>
          <w:p w14:paraId="7608AB61">
            <w:pPr>
              <w:keepNext/>
              <w:keepLines/>
              <w:spacing w:line="400" w:lineRule="exact"/>
              <w:jc w:val="center"/>
              <w:rPr>
                <w:rFonts w:ascii="宋体" w:hAnsi="宋体" w:eastAsia="宋体" w:cs="宋体"/>
                <w:color w:val="auto"/>
                <w:kern w:val="0"/>
                <w:szCs w:val="21"/>
                <w:highlight w:val="none"/>
              </w:rPr>
            </w:pPr>
          </w:p>
        </w:tc>
        <w:tc>
          <w:tcPr>
            <w:tcW w:w="419" w:type="pct"/>
            <w:vAlign w:val="center"/>
          </w:tcPr>
          <w:p w14:paraId="6D484A8B">
            <w:pPr>
              <w:keepNext/>
              <w:keepLines/>
              <w:spacing w:line="400" w:lineRule="exact"/>
              <w:jc w:val="center"/>
              <w:rPr>
                <w:rFonts w:ascii="宋体" w:hAnsi="宋体" w:eastAsia="宋体" w:cs="宋体"/>
                <w:color w:val="auto"/>
                <w:kern w:val="0"/>
                <w:szCs w:val="21"/>
                <w:highlight w:val="none"/>
              </w:rPr>
            </w:pPr>
          </w:p>
        </w:tc>
        <w:tc>
          <w:tcPr>
            <w:tcW w:w="400" w:type="pct"/>
            <w:vAlign w:val="center"/>
          </w:tcPr>
          <w:p w14:paraId="4640524D">
            <w:pPr>
              <w:keepNext/>
              <w:keepLines/>
              <w:spacing w:line="400" w:lineRule="exact"/>
              <w:jc w:val="center"/>
              <w:rPr>
                <w:rFonts w:ascii="宋体" w:hAnsi="宋体" w:eastAsia="宋体" w:cs="宋体"/>
                <w:color w:val="auto"/>
                <w:kern w:val="0"/>
                <w:szCs w:val="21"/>
                <w:highlight w:val="none"/>
              </w:rPr>
            </w:pPr>
          </w:p>
        </w:tc>
      </w:tr>
      <w:tr w14:paraId="25E2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1FF11DFC">
            <w:pPr>
              <w:keepNext/>
              <w:keepLines/>
              <w:spacing w:line="400" w:lineRule="exact"/>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用户需求书“★”条款汇总：</w:t>
            </w:r>
          </w:p>
        </w:tc>
      </w:tr>
      <w:tr w14:paraId="6990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0FC903CE">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455" w:type="pct"/>
            <w:vAlign w:val="center"/>
          </w:tcPr>
          <w:p w14:paraId="0879AAEB">
            <w:pPr>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二</w:t>
            </w:r>
          </w:p>
        </w:tc>
        <w:tc>
          <w:tcPr>
            <w:tcW w:w="3094" w:type="pct"/>
            <w:vAlign w:val="center"/>
          </w:tcPr>
          <w:p w14:paraId="039282C4">
            <w:pPr>
              <w:keepNext w:val="0"/>
              <w:keepLines w:val="0"/>
              <w:widowControl w:val="0"/>
              <w:suppressLineNumbers w:val="0"/>
              <w:spacing w:before="0" w:beforeAutospacing="0" w:after="0" w:afterAutospacing="0" w:line="24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color w:val="auto"/>
                <w:sz w:val="21"/>
                <w:szCs w:val="21"/>
                <w:highlight w:val="none"/>
              </w:rPr>
              <w:t>本次采购涉及招标人运营项目及采购数量为暂定，仅为便于计算暂定合同价使用，不作为招标人</w:t>
            </w:r>
            <w:r>
              <w:rPr>
                <w:rFonts w:hint="eastAsia" w:ascii="宋体" w:hAnsi="宋体" w:eastAsia="宋体" w:cs="宋体"/>
                <w:b/>
                <w:color w:val="auto"/>
                <w:sz w:val="21"/>
                <w:szCs w:val="21"/>
                <w:highlight w:val="none"/>
                <w:lang w:eastAsia="zh-CN"/>
              </w:rPr>
              <w:t>权属子公司</w:t>
            </w:r>
            <w:r>
              <w:rPr>
                <w:rFonts w:hint="eastAsia" w:ascii="宋体" w:hAnsi="宋体" w:eastAsia="宋体" w:cs="宋体"/>
                <w:b/>
                <w:color w:val="auto"/>
                <w:sz w:val="21"/>
                <w:szCs w:val="21"/>
                <w:highlight w:val="none"/>
              </w:rPr>
              <w:t>最终采购数量的保证，招标人保留根据运营项目实际情况，对采购数量进行灵活调整的权利。实际</w:t>
            </w:r>
            <w:r>
              <w:rPr>
                <w:rFonts w:hint="eastAsia" w:ascii="宋体" w:hAnsi="宋体" w:eastAsia="宋体" w:cs="宋体"/>
                <w:b/>
                <w:bCs/>
                <w:color w:val="auto"/>
                <w:kern w:val="2"/>
                <w:sz w:val="21"/>
                <w:szCs w:val="21"/>
                <w:highlight w:val="none"/>
              </w:rPr>
              <w:t>招标人运营项目</w:t>
            </w:r>
            <w:r>
              <w:rPr>
                <w:rFonts w:hint="eastAsia" w:ascii="宋体" w:hAnsi="宋体" w:eastAsia="宋体" w:cs="宋体"/>
                <w:b/>
                <w:color w:val="auto"/>
                <w:sz w:val="21"/>
                <w:szCs w:val="21"/>
                <w:highlight w:val="none"/>
              </w:rPr>
              <w:t>根据项目工艺及性质，结合项目实际使用效果选用，招标人权属子公司实际需求数量以招标人运营项目每次的供货通知为准，在供货期内</w:t>
            </w:r>
            <w:r>
              <w:rPr>
                <w:rFonts w:hint="eastAsia" w:ascii="宋体" w:hAnsi="宋体" w:eastAsia="宋体" w:cs="宋体"/>
                <w:b/>
                <w:color w:val="auto"/>
                <w:sz w:val="21"/>
                <w:szCs w:val="21"/>
                <w:highlight w:val="none"/>
                <w:lang w:eastAsia="zh-CN"/>
              </w:rPr>
              <w:t>中标人</w:t>
            </w:r>
            <w:r>
              <w:rPr>
                <w:rFonts w:hint="eastAsia" w:ascii="宋体" w:hAnsi="宋体" w:eastAsia="宋体" w:cs="宋体"/>
                <w:b/>
                <w:color w:val="auto"/>
                <w:sz w:val="21"/>
                <w:szCs w:val="21"/>
                <w:highlight w:val="none"/>
              </w:rPr>
              <w:t>不得因招标人</w:t>
            </w:r>
            <w:r>
              <w:rPr>
                <w:rFonts w:hint="eastAsia" w:ascii="宋体" w:hAnsi="宋体" w:eastAsia="宋体" w:cs="宋体"/>
                <w:b/>
                <w:color w:val="auto"/>
                <w:sz w:val="21"/>
                <w:szCs w:val="21"/>
                <w:highlight w:val="none"/>
                <w:lang w:eastAsia="zh-CN"/>
              </w:rPr>
              <w:t>权属子公司</w:t>
            </w:r>
            <w:r>
              <w:rPr>
                <w:rFonts w:hint="eastAsia" w:ascii="宋体" w:hAnsi="宋体" w:eastAsia="宋体" w:cs="宋体"/>
                <w:b/>
                <w:color w:val="auto"/>
                <w:sz w:val="21"/>
                <w:szCs w:val="21"/>
                <w:highlight w:val="none"/>
              </w:rPr>
              <w:t>实际采购数量的减少或增加而要求提供任何形式的补偿或赔偿，或要求招标人权属子公司按暂定采购数量采购相应货物</w:t>
            </w:r>
            <w:r>
              <w:rPr>
                <w:rFonts w:hint="eastAsia" w:ascii="宋体" w:hAnsi="宋体" w:eastAsia="宋体" w:cs="宋体"/>
                <w:b/>
                <w:bCs/>
                <w:color w:val="auto"/>
                <w:kern w:val="2"/>
                <w:sz w:val="21"/>
                <w:szCs w:val="21"/>
                <w:highlight w:val="none"/>
                <w:lang w:val="en-US" w:eastAsia="zh-CN" w:bidi="ar"/>
              </w:rPr>
              <w:t>。</w:t>
            </w:r>
          </w:p>
          <w:p w14:paraId="54567CD6">
            <w:pPr>
              <w:spacing w:line="240" w:lineRule="auto"/>
              <w:ind w:firstLine="420" w:firstLineChars="200"/>
              <w:rPr>
                <w:rFonts w:ascii="宋体" w:hAnsi="宋体" w:eastAsia="宋体" w:cs="宋体"/>
                <w:bCs/>
                <w:color w:val="auto"/>
                <w:kern w:val="0"/>
                <w:szCs w:val="21"/>
                <w:highlight w:val="none"/>
              </w:rPr>
            </w:pPr>
          </w:p>
        </w:tc>
        <w:tc>
          <w:tcPr>
            <w:tcW w:w="347" w:type="pct"/>
            <w:vAlign w:val="center"/>
          </w:tcPr>
          <w:p w14:paraId="26BBDADC">
            <w:pPr>
              <w:keepNext/>
              <w:keepLines/>
              <w:spacing w:line="400" w:lineRule="exact"/>
              <w:jc w:val="center"/>
              <w:rPr>
                <w:rFonts w:ascii="宋体" w:hAnsi="宋体" w:eastAsia="宋体" w:cs="宋体"/>
                <w:color w:val="auto"/>
                <w:kern w:val="0"/>
                <w:szCs w:val="21"/>
                <w:highlight w:val="none"/>
              </w:rPr>
            </w:pPr>
          </w:p>
        </w:tc>
        <w:tc>
          <w:tcPr>
            <w:tcW w:w="419" w:type="pct"/>
            <w:vAlign w:val="center"/>
          </w:tcPr>
          <w:p w14:paraId="7B7E848D">
            <w:pPr>
              <w:keepNext/>
              <w:keepLines/>
              <w:spacing w:line="400" w:lineRule="exact"/>
              <w:jc w:val="center"/>
              <w:rPr>
                <w:rFonts w:ascii="宋体" w:hAnsi="宋体" w:eastAsia="宋体" w:cs="宋体"/>
                <w:color w:val="auto"/>
                <w:kern w:val="0"/>
                <w:szCs w:val="21"/>
                <w:highlight w:val="none"/>
              </w:rPr>
            </w:pPr>
          </w:p>
        </w:tc>
        <w:tc>
          <w:tcPr>
            <w:tcW w:w="400" w:type="pct"/>
            <w:vAlign w:val="center"/>
          </w:tcPr>
          <w:p w14:paraId="25630968">
            <w:pPr>
              <w:keepNext/>
              <w:keepLines/>
              <w:spacing w:line="400" w:lineRule="exact"/>
              <w:jc w:val="center"/>
              <w:rPr>
                <w:rFonts w:ascii="宋体" w:hAnsi="宋体" w:eastAsia="宋体" w:cs="宋体"/>
                <w:color w:val="auto"/>
                <w:kern w:val="0"/>
                <w:szCs w:val="21"/>
                <w:highlight w:val="none"/>
              </w:rPr>
            </w:pPr>
          </w:p>
        </w:tc>
      </w:tr>
      <w:tr w14:paraId="2776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282" w:type="pct"/>
            <w:vAlign w:val="center"/>
          </w:tcPr>
          <w:p w14:paraId="31808F52">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455" w:type="pct"/>
            <w:vAlign w:val="center"/>
          </w:tcPr>
          <w:p w14:paraId="01619AD9">
            <w:pPr>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二</w:t>
            </w:r>
          </w:p>
        </w:tc>
        <w:tc>
          <w:tcPr>
            <w:tcW w:w="3094" w:type="pct"/>
            <w:vAlign w:val="center"/>
          </w:tcPr>
          <w:p w14:paraId="75906C1E">
            <w:pPr>
              <w:autoSpaceDE/>
              <w:autoSpaceDN/>
              <w:adjustRightInd/>
              <w:spacing w:line="240" w:lineRule="auto"/>
              <w:ind w:firstLine="422" w:firstLineChars="200"/>
              <w:jc w:val="both"/>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、采购货物</w:t>
            </w:r>
            <w:r>
              <w:rPr>
                <w:rFonts w:hint="eastAsia" w:ascii="宋体" w:hAnsi="宋体" w:eastAsia="宋体" w:cs="宋体"/>
                <w:b/>
                <w:color w:val="auto"/>
                <w:sz w:val="21"/>
                <w:szCs w:val="21"/>
                <w:highlight w:val="none"/>
                <w:lang w:val="en-US" w:eastAsia="zh-CN"/>
              </w:rPr>
              <w:t>主要技术指标</w:t>
            </w:r>
          </w:p>
          <w:p w14:paraId="0B2F6ED0">
            <w:pPr>
              <w:autoSpaceDE/>
              <w:autoSpaceDN/>
              <w:adjustRightInd/>
              <w:spacing w:line="24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3.1、液体聚合氯化铝</w:t>
            </w:r>
            <w:r>
              <w:rPr>
                <w:rFonts w:hint="eastAsia" w:ascii="宋体" w:hAnsi="宋体" w:eastAsia="宋体" w:cs="宋体"/>
                <w:b/>
                <w:color w:val="auto"/>
                <w:sz w:val="21"/>
                <w:szCs w:val="21"/>
                <w:highlight w:val="none"/>
              </w:rPr>
              <w:t>主要技术指标</w:t>
            </w:r>
          </w:p>
          <w:p w14:paraId="2067C915">
            <w:pPr>
              <w:spacing w:line="24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（1）外观：液</w:t>
            </w:r>
            <w:r>
              <w:rPr>
                <w:rFonts w:hint="eastAsia" w:ascii="宋体" w:hAnsi="宋体" w:eastAsia="宋体" w:cs="宋体"/>
                <w:b/>
                <w:color w:val="auto"/>
                <w:sz w:val="21"/>
                <w:szCs w:val="21"/>
                <w:highlight w:val="none"/>
                <w:lang w:val="en-US" w:eastAsia="zh-CN"/>
              </w:rPr>
              <w:t>体</w:t>
            </w:r>
            <w:r>
              <w:rPr>
                <w:rFonts w:hint="eastAsia" w:ascii="宋体" w:hAnsi="宋体" w:eastAsia="宋体" w:cs="宋体"/>
                <w:b/>
                <w:color w:val="auto"/>
                <w:sz w:val="21"/>
                <w:szCs w:val="21"/>
                <w:highlight w:val="none"/>
              </w:rPr>
              <w:t>聚</w:t>
            </w:r>
            <w:r>
              <w:rPr>
                <w:rFonts w:hint="eastAsia" w:ascii="宋体" w:hAnsi="宋体" w:eastAsia="宋体" w:cs="宋体"/>
                <w:b/>
                <w:color w:val="auto"/>
                <w:sz w:val="21"/>
                <w:szCs w:val="21"/>
                <w:highlight w:val="none"/>
                <w:lang w:val="en-US" w:eastAsia="zh-CN"/>
              </w:rPr>
              <w:t>合</w:t>
            </w:r>
            <w:r>
              <w:rPr>
                <w:rFonts w:hint="eastAsia" w:ascii="宋体" w:hAnsi="宋体" w:eastAsia="宋体" w:cs="宋体"/>
                <w:b/>
                <w:color w:val="auto"/>
                <w:sz w:val="21"/>
                <w:szCs w:val="21"/>
                <w:highlight w:val="none"/>
              </w:rPr>
              <w:t>氯化铝应为无色至黄色或黄褐色液体，无异味。</w:t>
            </w:r>
          </w:p>
          <w:p w14:paraId="19E74857">
            <w:pPr>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（2）液</w:t>
            </w:r>
            <w:r>
              <w:rPr>
                <w:rFonts w:hint="eastAsia" w:ascii="宋体" w:hAnsi="宋体" w:eastAsia="宋体" w:cs="宋体"/>
                <w:b/>
                <w:color w:val="auto"/>
                <w:sz w:val="21"/>
                <w:szCs w:val="21"/>
                <w:highlight w:val="none"/>
                <w:lang w:val="en-US" w:eastAsia="zh-CN"/>
              </w:rPr>
              <w:t>体</w:t>
            </w:r>
            <w:r>
              <w:rPr>
                <w:rFonts w:hint="eastAsia" w:ascii="宋体" w:hAnsi="宋体" w:eastAsia="宋体" w:cs="宋体"/>
                <w:b/>
                <w:color w:val="auto"/>
                <w:sz w:val="21"/>
                <w:szCs w:val="21"/>
                <w:highlight w:val="none"/>
              </w:rPr>
              <w:t>聚</w:t>
            </w:r>
            <w:r>
              <w:rPr>
                <w:rFonts w:hint="eastAsia" w:ascii="宋体" w:hAnsi="宋体" w:eastAsia="宋体" w:cs="宋体"/>
                <w:b/>
                <w:color w:val="auto"/>
                <w:sz w:val="21"/>
                <w:szCs w:val="21"/>
                <w:highlight w:val="none"/>
                <w:lang w:val="en-US" w:eastAsia="zh-CN"/>
              </w:rPr>
              <w:t>合</w:t>
            </w:r>
            <w:r>
              <w:rPr>
                <w:rFonts w:hint="eastAsia" w:ascii="宋体" w:hAnsi="宋体" w:eastAsia="宋体" w:cs="宋体"/>
                <w:b/>
                <w:color w:val="auto"/>
                <w:sz w:val="21"/>
                <w:szCs w:val="21"/>
                <w:highlight w:val="none"/>
              </w:rPr>
              <w:t>氯化铝必须符合《水处理剂 聚氯化铝》（GB/T 22627-2022）产品质量及检测标准，技术指标要求如下：</w:t>
            </w:r>
          </w:p>
          <w:p w14:paraId="25335DD6">
            <w:pPr>
              <w:spacing w:line="24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表1  </w:t>
            </w:r>
            <w:r>
              <w:rPr>
                <w:rFonts w:hint="eastAsia" w:ascii="宋体" w:hAnsi="宋体" w:eastAsia="宋体" w:cs="宋体"/>
                <w:b/>
                <w:color w:val="auto"/>
                <w:szCs w:val="21"/>
                <w:highlight w:val="none"/>
              </w:rPr>
              <w:t>液</w:t>
            </w:r>
            <w:r>
              <w:rPr>
                <w:rFonts w:hint="eastAsia" w:ascii="宋体" w:hAnsi="宋体" w:eastAsia="宋体" w:cs="宋体"/>
                <w:b/>
                <w:color w:val="auto"/>
                <w:szCs w:val="21"/>
                <w:highlight w:val="none"/>
                <w:lang w:val="en-US" w:eastAsia="zh-CN"/>
              </w:rPr>
              <w:t>体</w:t>
            </w:r>
            <w:r>
              <w:rPr>
                <w:rFonts w:hint="eastAsia" w:ascii="宋体" w:hAnsi="宋体" w:eastAsia="宋体" w:cs="宋体"/>
                <w:b/>
                <w:color w:val="auto"/>
                <w:szCs w:val="21"/>
                <w:highlight w:val="none"/>
              </w:rPr>
              <w:t>聚</w:t>
            </w:r>
            <w:r>
              <w:rPr>
                <w:rFonts w:hint="eastAsia" w:ascii="宋体" w:hAnsi="宋体" w:eastAsia="宋体" w:cs="宋体"/>
                <w:b/>
                <w:color w:val="auto"/>
                <w:szCs w:val="21"/>
                <w:highlight w:val="none"/>
                <w:lang w:val="en-US" w:eastAsia="zh-CN"/>
              </w:rPr>
              <w:t>合</w:t>
            </w:r>
            <w:r>
              <w:rPr>
                <w:rFonts w:hint="eastAsia" w:ascii="宋体" w:hAnsi="宋体" w:eastAsia="宋体" w:cs="宋体"/>
                <w:b/>
                <w:color w:val="auto"/>
                <w:szCs w:val="21"/>
                <w:highlight w:val="none"/>
              </w:rPr>
              <w:t>氯化铝主要技术指标</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0"/>
              <w:gridCol w:w="1643"/>
            </w:tblGrid>
            <w:tr w14:paraId="55F8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574" w:type="pct"/>
                  <w:vAlign w:val="center"/>
                </w:tcPr>
                <w:p w14:paraId="0447C01A">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指标项目</w:t>
                  </w:r>
                </w:p>
              </w:tc>
              <w:tc>
                <w:tcPr>
                  <w:tcW w:w="1425" w:type="pct"/>
                  <w:vAlign w:val="center"/>
                </w:tcPr>
                <w:p w14:paraId="53140F68">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w:t>
                  </w:r>
                </w:p>
              </w:tc>
            </w:tr>
            <w:tr w14:paraId="6352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574" w:type="pct"/>
                  <w:vAlign w:val="center"/>
                </w:tcPr>
                <w:p w14:paraId="271F6EE3">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氧化铝（Al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）的质量分数，%</w:t>
                  </w:r>
                </w:p>
              </w:tc>
              <w:tc>
                <w:tcPr>
                  <w:tcW w:w="1425" w:type="pct"/>
                  <w:vAlign w:val="center"/>
                </w:tcPr>
                <w:p w14:paraId="43FE5E28">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≥10</w:t>
                  </w:r>
                </w:p>
              </w:tc>
            </w:tr>
            <w:tr w14:paraId="62E4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574" w:type="pct"/>
                  <w:vAlign w:val="center"/>
                </w:tcPr>
                <w:p w14:paraId="1EE62307">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密度（20℃），g/cm</w:t>
                  </w:r>
                  <w:r>
                    <w:rPr>
                      <w:rFonts w:hint="eastAsia" w:ascii="宋体" w:hAnsi="宋体" w:eastAsia="宋体" w:cs="宋体"/>
                      <w:b/>
                      <w:color w:val="auto"/>
                      <w:szCs w:val="21"/>
                      <w:highlight w:val="none"/>
                      <w:vertAlign w:val="superscript"/>
                    </w:rPr>
                    <w:t>3</w:t>
                  </w:r>
                </w:p>
              </w:tc>
              <w:tc>
                <w:tcPr>
                  <w:tcW w:w="1425" w:type="pct"/>
                  <w:vAlign w:val="center"/>
                </w:tcPr>
                <w:p w14:paraId="5EAC89CD">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≥1.12</w:t>
                  </w:r>
                </w:p>
              </w:tc>
            </w:tr>
            <w:tr w14:paraId="7D50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574" w:type="pct"/>
                  <w:vAlign w:val="center"/>
                </w:tcPr>
                <w:p w14:paraId="092AC6DE">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盐基度，%</w:t>
                  </w:r>
                </w:p>
              </w:tc>
              <w:tc>
                <w:tcPr>
                  <w:tcW w:w="1425" w:type="pct"/>
                  <w:vAlign w:val="center"/>
                </w:tcPr>
                <w:p w14:paraId="2E015C44">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20~98</w:t>
                  </w:r>
                </w:p>
              </w:tc>
            </w:tr>
            <w:tr w14:paraId="71BC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4" w:type="pct"/>
                  <w:vAlign w:val="center"/>
                </w:tcPr>
                <w:p w14:paraId="5C5CDDD8">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水不溶物的质量分数，%</w:t>
                  </w:r>
                </w:p>
              </w:tc>
              <w:tc>
                <w:tcPr>
                  <w:tcW w:w="1425" w:type="pct"/>
                  <w:vAlign w:val="center"/>
                </w:tcPr>
                <w:p w14:paraId="703B7C70">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≤0.4</w:t>
                  </w:r>
                </w:p>
              </w:tc>
            </w:tr>
            <w:tr w14:paraId="2AAF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4" w:type="pct"/>
                  <w:vAlign w:val="center"/>
                </w:tcPr>
                <w:p w14:paraId="0BC154A8">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pH值（10g/L水溶液）</w:t>
                  </w:r>
                </w:p>
              </w:tc>
              <w:tc>
                <w:tcPr>
                  <w:tcW w:w="1425" w:type="pct"/>
                  <w:vAlign w:val="center"/>
                </w:tcPr>
                <w:p w14:paraId="7902E7E6">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3.5~5.0</w:t>
                  </w:r>
                </w:p>
              </w:tc>
            </w:tr>
            <w:tr w14:paraId="085A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4" w:type="pct"/>
                  <w:vAlign w:val="center"/>
                </w:tcPr>
                <w:p w14:paraId="0C129171">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铁（Fe）的质量分数，%</w:t>
                  </w:r>
                </w:p>
              </w:tc>
              <w:tc>
                <w:tcPr>
                  <w:tcW w:w="1425" w:type="pct"/>
                  <w:vAlign w:val="center"/>
                </w:tcPr>
                <w:p w14:paraId="5363D149">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≤1.5</w:t>
                  </w:r>
                </w:p>
              </w:tc>
            </w:tr>
            <w:tr w14:paraId="1F55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4" w:type="pct"/>
                  <w:vAlign w:val="center"/>
                </w:tcPr>
                <w:p w14:paraId="0DD160BF">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氨氮（以N计）的质量分数，%</w:t>
                  </w:r>
                </w:p>
              </w:tc>
              <w:tc>
                <w:tcPr>
                  <w:tcW w:w="1425" w:type="pct"/>
                  <w:vAlign w:val="center"/>
                </w:tcPr>
                <w:p w14:paraId="392A294C">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≤0.05</w:t>
                  </w:r>
                </w:p>
              </w:tc>
            </w:tr>
            <w:tr w14:paraId="6764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4" w:type="pct"/>
                </w:tcPr>
                <w:p w14:paraId="265B5BCF">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砷（As）的质量分数，%</w:t>
                  </w:r>
                </w:p>
              </w:tc>
              <w:tc>
                <w:tcPr>
                  <w:tcW w:w="1425" w:type="pct"/>
                  <w:vAlign w:val="center"/>
                </w:tcPr>
                <w:p w14:paraId="74063A83">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≤0.0005</w:t>
                  </w:r>
                </w:p>
              </w:tc>
            </w:tr>
            <w:tr w14:paraId="6EE7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4" w:type="pct"/>
                </w:tcPr>
                <w:p w14:paraId="319A8CC4">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铅（Pb）的质量分数，%</w:t>
                  </w:r>
                </w:p>
              </w:tc>
              <w:tc>
                <w:tcPr>
                  <w:tcW w:w="1425" w:type="pct"/>
                  <w:vAlign w:val="center"/>
                </w:tcPr>
                <w:p w14:paraId="799A99CC">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≤0.002</w:t>
                  </w:r>
                </w:p>
              </w:tc>
            </w:tr>
            <w:tr w14:paraId="1897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4" w:type="pct"/>
                </w:tcPr>
                <w:p w14:paraId="150C62B3">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镉（Cd）的质量分数，%</w:t>
                  </w:r>
                </w:p>
              </w:tc>
              <w:tc>
                <w:tcPr>
                  <w:tcW w:w="1425" w:type="pct"/>
                  <w:vAlign w:val="center"/>
                </w:tcPr>
                <w:p w14:paraId="63C7CF48">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≤0.0005</w:t>
                  </w:r>
                </w:p>
              </w:tc>
            </w:tr>
            <w:tr w14:paraId="50E4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4" w:type="pct"/>
                </w:tcPr>
                <w:p w14:paraId="786746D9">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汞（Hg）的质量分数，%</w:t>
                  </w:r>
                </w:p>
              </w:tc>
              <w:tc>
                <w:tcPr>
                  <w:tcW w:w="1425" w:type="pct"/>
                  <w:vAlign w:val="center"/>
                </w:tcPr>
                <w:p w14:paraId="18A23B39">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≤0.00005</w:t>
                  </w:r>
                </w:p>
              </w:tc>
            </w:tr>
            <w:tr w14:paraId="7D0A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4" w:type="pct"/>
                </w:tcPr>
                <w:p w14:paraId="42AE7698">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铬（Cr）的质量分数，%</w:t>
                  </w:r>
                </w:p>
              </w:tc>
              <w:tc>
                <w:tcPr>
                  <w:tcW w:w="1425" w:type="pct"/>
                  <w:vAlign w:val="center"/>
                </w:tcPr>
                <w:p w14:paraId="09ED05D6">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≤0.005</w:t>
                  </w:r>
                </w:p>
              </w:tc>
            </w:tr>
            <w:tr w14:paraId="4CDF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4" w:type="pct"/>
                </w:tcPr>
                <w:p w14:paraId="2ECF9078">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总磷（以P计），mg/L</w:t>
                  </w:r>
                </w:p>
              </w:tc>
              <w:tc>
                <w:tcPr>
                  <w:tcW w:w="1425" w:type="pct"/>
                  <w:vAlign w:val="center"/>
                </w:tcPr>
                <w:p w14:paraId="7A1CD73C">
                  <w:pPr>
                    <w:spacing w:line="240" w:lineRule="auto"/>
                    <w:ind w:firstLine="276" w:firstLineChars="131"/>
                    <w:jc w:val="center"/>
                    <w:rPr>
                      <w:rFonts w:hint="default" w:ascii="Times New Roman" w:hAnsi="Times New Roman" w:eastAsia="宋体" w:cs="Times New Roman"/>
                      <w:b/>
                      <w:color w:val="auto"/>
                      <w:szCs w:val="21"/>
                      <w:highlight w:val="none"/>
                      <w:lang w:val="en-US" w:eastAsia="zh-CN"/>
                    </w:rPr>
                  </w:pPr>
                  <w:r>
                    <w:rPr>
                      <w:rFonts w:hint="default" w:ascii="Times New Roman" w:hAnsi="Times New Roman" w:eastAsia="宋体" w:cs="Times New Roman"/>
                      <w:b/>
                      <w:color w:val="auto"/>
                      <w:szCs w:val="21"/>
                      <w:highlight w:val="none"/>
                      <w:lang w:val="en-US" w:eastAsia="zh-CN"/>
                    </w:rPr>
                    <w:t>≤1200</w:t>
                  </w:r>
                </w:p>
              </w:tc>
            </w:tr>
            <w:tr w14:paraId="73A2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2F978899">
                  <w:pPr>
                    <w:spacing w:line="240" w:lineRule="auto"/>
                    <w:ind w:firstLine="276" w:firstLineChars="131"/>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注：表中所列产品的不溶物、铁、氨氮、砷、铅、镉、汞、铬的指标均按Al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质量分数为10%计算。Al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含量≠10%时，应按实际含量折算成Al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为10%产品比例，计算各项杂质指标。</w:t>
                  </w:r>
                </w:p>
              </w:tc>
            </w:tr>
          </w:tbl>
          <w:p w14:paraId="01C3B8DC">
            <w:pPr>
              <w:autoSpaceDE/>
              <w:autoSpaceDN/>
              <w:adjustRightInd/>
              <w:spacing w:line="24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、液</w:t>
            </w:r>
            <w:r>
              <w:rPr>
                <w:rFonts w:hint="eastAsia" w:ascii="宋体" w:hAnsi="宋体" w:eastAsia="宋体" w:cs="宋体"/>
                <w:b/>
                <w:color w:val="auto"/>
                <w:sz w:val="21"/>
                <w:szCs w:val="21"/>
                <w:highlight w:val="none"/>
                <w:lang w:val="en-US" w:eastAsia="zh-CN"/>
              </w:rPr>
              <w:t>体</w:t>
            </w:r>
            <w:r>
              <w:rPr>
                <w:rFonts w:hint="eastAsia" w:ascii="宋体" w:hAnsi="宋体" w:eastAsia="宋体" w:cs="宋体"/>
                <w:b/>
                <w:color w:val="auto"/>
                <w:sz w:val="21"/>
                <w:szCs w:val="21"/>
                <w:highlight w:val="none"/>
              </w:rPr>
              <w:t>聚</w:t>
            </w:r>
            <w:r>
              <w:rPr>
                <w:rFonts w:hint="eastAsia" w:ascii="宋体" w:hAnsi="宋体" w:eastAsia="宋体" w:cs="宋体"/>
                <w:b/>
                <w:color w:val="auto"/>
                <w:sz w:val="21"/>
                <w:szCs w:val="21"/>
                <w:highlight w:val="none"/>
                <w:lang w:val="en-US" w:eastAsia="zh-CN"/>
              </w:rPr>
              <w:t>合</w:t>
            </w:r>
            <w:r>
              <w:rPr>
                <w:rFonts w:hint="eastAsia" w:ascii="宋体" w:hAnsi="宋体" w:eastAsia="宋体" w:cs="宋体"/>
                <w:b/>
                <w:color w:val="auto"/>
                <w:sz w:val="21"/>
                <w:szCs w:val="21"/>
                <w:highlight w:val="none"/>
              </w:rPr>
              <w:t>氯化铝</w:t>
            </w:r>
            <w:r>
              <w:rPr>
                <w:rFonts w:hint="eastAsia" w:ascii="宋体" w:hAnsi="宋体" w:eastAsia="宋体" w:cs="宋体"/>
                <w:b/>
                <w:color w:val="auto"/>
                <w:sz w:val="21"/>
                <w:szCs w:val="21"/>
                <w:highlight w:val="none"/>
                <w:lang w:val="en-US" w:eastAsia="zh-CN"/>
              </w:rPr>
              <w:t>铁</w:t>
            </w:r>
            <w:r>
              <w:rPr>
                <w:rFonts w:hint="eastAsia" w:ascii="宋体" w:hAnsi="宋体" w:eastAsia="宋体" w:cs="宋体"/>
                <w:b/>
                <w:color w:val="auto"/>
                <w:sz w:val="21"/>
                <w:szCs w:val="21"/>
                <w:highlight w:val="none"/>
              </w:rPr>
              <w:t>主要技术指标</w:t>
            </w:r>
          </w:p>
          <w:p w14:paraId="7DBC3F10">
            <w:pPr>
              <w:spacing w:line="24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（1）液</w:t>
            </w:r>
            <w:r>
              <w:rPr>
                <w:rFonts w:hint="eastAsia" w:ascii="宋体" w:hAnsi="宋体" w:eastAsia="宋体" w:cs="宋体"/>
                <w:b/>
                <w:color w:val="auto"/>
                <w:sz w:val="21"/>
                <w:szCs w:val="21"/>
                <w:highlight w:val="none"/>
                <w:lang w:val="en-US" w:eastAsia="zh-CN"/>
              </w:rPr>
              <w:t>体</w:t>
            </w:r>
            <w:r>
              <w:rPr>
                <w:rFonts w:hint="eastAsia" w:ascii="宋体" w:hAnsi="宋体" w:eastAsia="宋体" w:cs="宋体"/>
                <w:b/>
                <w:color w:val="auto"/>
                <w:sz w:val="21"/>
                <w:szCs w:val="21"/>
                <w:highlight w:val="none"/>
              </w:rPr>
              <w:t>聚</w:t>
            </w:r>
            <w:r>
              <w:rPr>
                <w:rFonts w:hint="eastAsia" w:ascii="宋体" w:hAnsi="宋体" w:eastAsia="宋体" w:cs="宋体"/>
                <w:b/>
                <w:color w:val="auto"/>
                <w:sz w:val="21"/>
                <w:szCs w:val="21"/>
                <w:highlight w:val="none"/>
                <w:lang w:val="en-US" w:eastAsia="zh-CN"/>
              </w:rPr>
              <w:t>合</w:t>
            </w:r>
            <w:r>
              <w:rPr>
                <w:rFonts w:hint="eastAsia" w:ascii="宋体" w:hAnsi="宋体" w:eastAsia="宋体" w:cs="宋体"/>
                <w:b/>
                <w:color w:val="auto"/>
                <w:sz w:val="21"/>
                <w:szCs w:val="21"/>
                <w:highlight w:val="none"/>
              </w:rPr>
              <w:t>氯化铝</w:t>
            </w:r>
            <w:r>
              <w:rPr>
                <w:rFonts w:hint="eastAsia" w:ascii="宋体" w:hAnsi="宋体" w:eastAsia="宋体" w:cs="宋体"/>
                <w:b/>
                <w:color w:val="auto"/>
                <w:sz w:val="21"/>
                <w:szCs w:val="21"/>
                <w:highlight w:val="none"/>
                <w:lang w:val="en-US" w:eastAsia="zh-CN"/>
              </w:rPr>
              <w:t>铁</w:t>
            </w:r>
            <w:r>
              <w:rPr>
                <w:rFonts w:hint="eastAsia" w:ascii="宋体" w:hAnsi="宋体" w:eastAsia="宋体" w:cs="宋体"/>
                <w:b/>
                <w:color w:val="auto"/>
                <w:sz w:val="21"/>
                <w:szCs w:val="21"/>
                <w:highlight w:val="none"/>
              </w:rPr>
              <w:t>产品为黄褐色至褐色液体。</w:t>
            </w:r>
          </w:p>
          <w:p w14:paraId="59CE5776">
            <w:pPr>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（2）液</w:t>
            </w:r>
            <w:r>
              <w:rPr>
                <w:rFonts w:hint="eastAsia" w:ascii="宋体" w:hAnsi="宋体" w:eastAsia="宋体" w:cs="宋体"/>
                <w:b/>
                <w:color w:val="auto"/>
                <w:sz w:val="21"/>
                <w:szCs w:val="21"/>
                <w:highlight w:val="none"/>
                <w:lang w:val="en-US" w:eastAsia="zh-CN"/>
              </w:rPr>
              <w:t>体</w:t>
            </w:r>
            <w:r>
              <w:rPr>
                <w:rFonts w:hint="eastAsia" w:ascii="宋体" w:hAnsi="宋体" w:eastAsia="宋体" w:cs="宋体"/>
                <w:b/>
                <w:color w:val="auto"/>
                <w:sz w:val="21"/>
                <w:szCs w:val="21"/>
                <w:highlight w:val="none"/>
              </w:rPr>
              <w:t>聚</w:t>
            </w:r>
            <w:r>
              <w:rPr>
                <w:rFonts w:hint="eastAsia" w:ascii="宋体" w:hAnsi="宋体" w:eastAsia="宋体" w:cs="宋体"/>
                <w:b/>
                <w:color w:val="auto"/>
                <w:sz w:val="21"/>
                <w:szCs w:val="21"/>
                <w:highlight w:val="none"/>
                <w:lang w:val="en-US" w:eastAsia="zh-CN"/>
              </w:rPr>
              <w:t>合</w:t>
            </w:r>
            <w:r>
              <w:rPr>
                <w:rFonts w:hint="eastAsia" w:ascii="宋体" w:hAnsi="宋体" w:eastAsia="宋体" w:cs="宋体"/>
                <w:b/>
                <w:color w:val="auto"/>
                <w:sz w:val="21"/>
                <w:szCs w:val="21"/>
                <w:highlight w:val="none"/>
              </w:rPr>
              <w:t>氯化铝</w:t>
            </w:r>
            <w:r>
              <w:rPr>
                <w:rFonts w:hint="eastAsia" w:ascii="宋体" w:hAnsi="宋体" w:eastAsia="宋体" w:cs="宋体"/>
                <w:b/>
                <w:color w:val="auto"/>
                <w:sz w:val="21"/>
                <w:szCs w:val="21"/>
                <w:highlight w:val="none"/>
                <w:lang w:val="en-US" w:eastAsia="zh-CN"/>
              </w:rPr>
              <w:t>铁</w:t>
            </w:r>
            <w:r>
              <w:rPr>
                <w:rFonts w:hint="eastAsia" w:ascii="宋体" w:hAnsi="宋体" w:eastAsia="宋体" w:cs="宋体"/>
                <w:b/>
                <w:color w:val="auto"/>
                <w:sz w:val="21"/>
                <w:szCs w:val="21"/>
                <w:highlight w:val="none"/>
              </w:rPr>
              <w:t>产品必须符合《水处理剂 聚氯化铝铁》（HG/T 5359-2018）质量及检测标准，技术指标要求如下：</w:t>
            </w:r>
          </w:p>
          <w:p w14:paraId="642478CD">
            <w:pPr>
              <w:spacing w:line="24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表</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Cs w:val="21"/>
                <w:highlight w:val="none"/>
              </w:rPr>
              <w:t>液</w:t>
            </w:r>
            <w:r>
              <w:rPr>
                <w:rFonts w:hint="eastAsia" w:ascii="宋体" w:hAnsi="宋体" w:eastAsia="宋体" w:cs="宋体"/>
                <w:b/>
                <w:color w:val="auto"/>
                <w:szCs w:val="21"/>
                <w:highlight w:val="none"/>
                <w:lang w:val="en-US" w:eastAsia="zh-CN"/>
              </w:rPr>
              <w:t>体</w:t>
            </w:r>
            <w:r>
              <w:rPr>
                <w:rFonts w:hint="eastAsia" w:ascii="宋体" w:hAnsi="宋体" w:eastAsia="宋体" w:cs="宋体"/>
                <w:b/>
                <w:color w:val="auto"/>
                <w:szCs w:val="21"/>
                <w:highlight w:val="none"/>
              </w:rPr>
              <w:t>聚</w:t>
            </w:r>
            <w:r>
              <w:rPr>
                <w:rFonts w:hint="eastAsia" w:ascii="宋体" w:hAnsi="宋体" w:eastAsia="宋体" w:cs="宋体"/>
                <w:b/>
                <w:color w:val="auto"/>
                <w:szCs w:val="21"/>
                <w:highlight w:val="none"/>
                <w:lang w:val="en-US" w:eastAsia="zh-CN"/>
              </w:rPr>
              <w:t>合</w:t>
            </w:r>
            <w:r>
              <w:rPr>
                <w:rFonts w:hint="eastAsia" w:ascii="宋体" w:hAnsi="宋体" w:eastAsia="宋体" w:cs="宋体"/>
                <w:b/>
                <w:color w:val="auto"/>
                <w:szCs w:val="21"/>
                <w:highlight w:val="none"/>
              </w:rPr>
              <w:t>氯化铝</w:t>
            </w:r>
            <w:r>
              <w:rPr>
                <w:rFonts w:hint="eastAsia" w:ascii="宋体" w:hAnsi="宋体" w:eastAsia="宋体" w:cs="宋体"/>
                <w:b/>
                <w:color w:val="auto"/>
                <w:szCs w:val="21"/>
                <w:highlight w:val="none"/>
                <w:lang w:val="en-US" w:eastAsia="zh-CN"/>
              </w:rPr>
              <w:t>铁</w:t>
            </w:r>
            <w:r>
              <w:rPr>
                <w:rFonts w:hint="eastAsia" w:ascii="宋体" w:hAnsi="宋体" w:eastAsia="宋体" w:cs="宋体"/>
                <w:b/>
                <w:color w:val="auto"/>
                <w:szCs w:val="21"/>
                <w:highlight w:val="none"/>
              </w:rPr>
              <w:t>主要技术指标</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0"/>
              <w:gridCol w:w="1642"/>
            </w:tblGrid>
            <w:tr w14:paraId="6268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575" w:type="pct"/>
                  <w:vAlign w:val="center"/>
                </w:tcPr>
                <w:p w14:paraId="7F096B8F">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指标项目</w:t>
                  </w:r>
                </w:p>
              </w:tc>
              <w:tc>
                <w:tcPr>
                  <w:tcW w:w="1424" w:type="pct"/>
                  <w:vAlign w:val="center"/>
                </w:tcPr>
                <w:p w14:paraId="6A4C3DBE">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w:t>
                  </w:r>
                </w:p>
              </w:tc>
            </w:tr>
            <w:tr w14:paraId="7F90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575" w:type="pct"/>
                  <w:vAlign w:val="center"/>
                </w:tcPr>
                <w:p w14:paraId="32AF072E">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氧化铝（铁、铝合量，以Al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vertAlign w:val="baseline"/>
                      <w:lang w:val="en-US" w:eastAsia="zh-CN"/>
                    </w:rPr>
                    <w:t>计</w:t>
                  </w:r>
                  <w:r>
                    <w:rPr>
                      <w:rFonts w:hint="eastAsia" w:ascii="宋体" w:hAnsi="宋体" w:eastAsia="宋体" w:cs="宋体"/>
                      <w:b/>
                      <w:color w:val="auto"/>
                      <w:szCs w:val="21"/>
                      <w:highlight w:val="none"/>
                    </w:rPr>
                    <w:t>）的质量分数，%</w:t>
                  </w:r>
                </w:p>
              </w:tc>
              <w:tc>
                <w:tcPr>
                  <w:tcW w:w="1424" w:type="pct"/>
                  <w:vAlign w:val="center"/>
                </w:tcPr>
                <w:p w14:paraId="616F2310">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≥10</w:t>
                  </w:r>
                </w:p>
              </w:tc>
            </w:tr>
            <w:tr w14:paraId="2F19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575" w:type="pct"/>
                  <w:vAlign w:val="center"/>
                </w:tcPr>
                <w:p w14:paraId="445E5747">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全铁（Fe）的质量分数，%</w:t>
                  </w:r>
                </w:p>
              </w:tc>
              <w:tc>
                <w:tcPr>
                  <w:tcW w:w="1424" w:type="pct"/>
                  <w:vAlign w:val="center"/>
                </w:tcPr>
                <w:p w14:paraId="79347A0A">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1.5~5.0</w:t>
                  </w:r>
                </w:p>
              </w:tc>
            </w:tr>
            <w:tr w14:paraId="3F25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5" w:type="pct"/>
                  <w:vAlign w:val="center"/>
                </w:tcPr>
                <w:p w14:paraId="4C42E883">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亚铁（Fe</w:t>
                  </w:r>
                  <w:r>
                    <w:rPr>
                      <w:rFonts w:hint="eastAsia" w:ascii="宋体" w:hAnsi="宋体" w:eastAsia="宋体" w:cs="宋体"/>
                      <w:b/>
                      <w:color w:val="auto"/>
                      <w:szCs w:val="21"/>
                      <w:highlight w:val="none"/>
                      <w:vertAlign w:val="superscript"/>
                    </w:rPr>
                    <w:t>2+</w:t>
                  </w:r>
                  <w:r>
                    <w:rPr>
                      <w:rFonts w:hint="eastAsia" w:ascii="宋体" w:hAnsi="宋体" w:eastAsia="宋体" w:cs="宋体"/>
                      <w:b/>
                      <w:color w:val="auto"/>
                      <w:szCs w:val="21"/>
                      <w:highlight w:val="none"/>
                    </w:rPr>
                    <w:t>）的质量分数，%</w:t>
                  </w:r>
                </w:p>
              </w:tc>
              <w:tc>
                <w:tcPr>
                  <w:tcW w:w="1424" w:type="pct"/>
                  <w:vAlign w:val="center"/>
                </w:tcPr>
                <w:p w14:paraId="43322809">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≤0.2</w:t>
                  </w:r>
                </w:p>
              </w:tc>
            </w:tr>
            <w:tr w14:paraId="0358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5" w:type="pct"/>
                  <w:vAlign w:val="center"/>
                </w:tcPr>
                <w:p w14:paraId="0A734DDA">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盐基度，%</w:t>
                  </w:r>
                </w:p>
              </w:tc>
              <w:tc>
                <w:tcPr>
                  <w:tcW w:w="1424" w:type="pct"/>
                  <w:vAlign w:val="center"/>
                </w:tcPr>
                <w:p w14:paraId="1D753BEC">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20.0~85.0</w:t>
                  </w:r>
                </w:p>
              </w:tc>
            </w:tr>
            <w:tr w14:paraId="0176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5" w:type="pct"/>
                  <w:vAlign w:val="center"/>
                </w:tcPr>
                <w:p w14:paraId="3B8D2D68">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密度（20℃）/（g/cm3）</w:t>
                  </w:r>
                </w:p>
              </w:tc>
              <w:tc>
                <w:tcPr>
                  <w:tcW w:w="1424" w:type="pct"/>
                  <w:vAlign w:val="center"/>
                </w:tcPr>
                <w:p w14:paraId="02500E2E">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≥1.19</w:t>
                  </w:r>
                </w:p>
              </w:tc>
            </w:tr>
            <w:tr w14:paraId="709D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5" w:type="pct"/>
                  <w:vAlign w:val="center"/>
                </w:tcPr>
                <w:p w14:paraId="48712BD0">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不溶物的质量分数，%</w:t>
                  </w:r>
                </w:p>
              </w:tc>
              <w:tc>
                <w:tcPr>
                  <w:tcW w:w="1424" w:type="pct"/>
                  <w:vAlign w:val="center"/>
                </w:tcPr>
                <w:p w14:paraId="21CAC12A">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≤0.5</w:t>
                  </w:r>
                </w:p>
              </w:tc>
            </w:tr>
            <w:tr w14:paraId="163D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5" w:type="pct"/>
                  <w:vAlign w:val="center"/>
                </w:tcPr>
                <w:p w14:paraId="4940CC2B">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pH值（10g/L水溶液）</w:t>
                  </w:r>
                </w:p>
              </w:tc>
              <w:tc>
                <w:tcPr>
                  <w:tcW w:w="1424" w:type="pct"/>
                  <w:vAlign w:val="center"/>
                </w:tcPr>
                <w:p w14:paraId="2B74AA99">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3.5~5.0</w:t>
                  </w:r>
                </w:p>
              </w:tc>
            </w:tr>
            <w:tr w14:paraId="66B8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5" w:type="pct"/>
                  <w:vAlign w:val="center"/>
                </w:tcPr>
                <w:p w14:paraId="0B738D72">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砷（As）的质量分数，%</w:t>
                  </w:r>
                </w:p>
              </w:tc>
              <w:tc>
                <w:tcPr>
                  <w:tcW w:w="1424" w:type="pct"/>
                  <w:vAlign w:val="center"/>
                </w:tcPr>
                <w:p w14:paraId="42F19D59">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≤0.0005</w:t>
                  </w:r>
                </w:p>
              </w:tc>
            </w:tr>
            <w:tr w14:paraId="3872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5" w:type="pct"/>
                  <w:vAlign w:val="center"/>
                </w:tcPr>
                <w:p w14:paraId="13D6E0A6">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铅（Pb）的质量分数，%</w:t>
                  </w:r>
                </w:p>
              </w:tc>
              <w:tc>
                <w:tcPr>
                  <w:tcW w:w="1424" w:type="pct"/>
                  <w:vAlign w:val="center"/>
                </w:tcPr>
                <w:p w14:paraId="04C5A0FB">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≤0.002</w:t>
                  </w:r>
                </w:p>
              </w:tc>
            </w:tr>
            <w:tr w14:paraId="1AE0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5" w:type="pct"/>
                  <w:vAlign w:val="center"/>
                </w:tcPr>
                <w:p w14:paraId="37334FF5">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镉（Cd）的质量分数，%</w:t>
                  </w:r>
                </w:p>
              </w:tc>
              <w:tc>
                <w:tcPr>
                  <w:tcW w:w="1424" w:type="pct"/>
                  <w:vAlign w:val="center"/>
                </w:tcPr>
                <w:p w14:paraId="637520B1">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≤0.0002</w:t>
                  </w:r>
                </w:p>
              </w:tc>
            </w:tr>
            <w:tr w14:paraId="297F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5" w:type="pct"/>
                  <w:vAlign w:val="center"/>
                </w:tcPr>
                <w:p w14:paraId="66B7F96B">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汞（Hg）的质量分数，%</w:t>
                  </w:r>
                </w:p>
              </w:tc>
              <w:tc>
                <w:tcPr>
                  <w:tcW w:w="1424" w:type="pct"/>
                  <w:vAlign w:val="center"/>
                </w:tcPr>
                <w:p w14:paraId="6184F38A">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≤0.00002</w:t>
                  </w:r>
                </w:p>
              </w:tc>
            </w:tr>
            <w:tr w14:paraId="5398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5" w:type="pct"/>
                  <w:vAlign w:val="center"/>
                </w:tcPr>
                <w:p w14:paraId="44CD4230">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铬（Cr）的质量分数，%</w:t>
                  </w:r>
                </w:p>
              </w:tc>
              <w:tc>
                <w:tcPr>
                  <w:tcW w:w="1424" w:type="pct"/>
                  <w:vAlign w:val="center"/>
                </w:tcPr>
                <w:p w14:paraId="2AE7A8F0">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≤0.005</w:t>
                  </w:r>
                </w:p>
              </w:tc>
            </w:tr>
            <w:tr w14:paraId="4F1C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5" w:type="pct"/>
                  <w:vAlign w:val="center"/>
                </w:tcPr>
                <w:p w14:paraId="3B54E01C">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锌（Zn）的质量分数，%</w:t>
                  </w:r>
                </w:p>
              </w:tc>
              <w:tc>
                <w:tcPr>
                  <w:tcW w:w="1424" w:type="pct"/>
                  <w:vAlign w:val="center"/>
                </w:tcPr>
                <w:p w14:paraId="44D52832">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≤0.02</w:t>
                  </w:r>
                </w:p>
              </w:tc>
            </w:tr>
            <w:tr w14:paraId="3A6F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5" w:type="pct"/>
                  <w:vAlign w:val="center"/>
                </w:tcPr>
                <w:p w14:paraId="1B3611C4">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镍（Ni）的质量分数，%</w:t>
                  </w:r>
                </w:p>
              </w:tc>
              <w:tc>
                <w:tcPr>
                  <w:tcW w:w="1424" w:type="pct"/>
                  <w:vAlign w:val="center"/>
                </w:tcPr>
                <w:p w14:paraId="72CC7AFA">
                  <w:pPr>
                    <w:spacing w:line="24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≤0.001</w:t>
                  </w:r>
                </w:p>
              </w:tc>
            </w:tr>
            <w:tr w14:paraId="411F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5" w:type="pct"/>
                  <w:vAlign w:val="center"/>
                </w:tcPr>
                <w:p w14:paraId="46AB31B2">
                  <w:pPr>
                    <w:spacing w:line="24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总磷（以P计），mg/L</w:t>
                  </w:r>
                </w:p>
              </w:tc>
              <w:tc>
                <w:tcPr>
                  <w:tcW w:w="1424" w:type="pct"/>
                  <w:vAlign w:val="center"/>
                </w:tcPr>
                <w:p w14:paraId="5D5CAD3F">
                  <w:pPr>
                    <w:spacing w:line="240" w:lineRule="auto"/>
                    <w:ind w:firstLine="276" w:firstLineChars="131"/>
                    <w:jc w:val="center"/>
                    <w:rPr>
                      <w:rFonts w:hint="default" w:ascii="Times New Roman" w:hAnsi="Times New Roman" w:eastAsia="宋体" w:cs="Times New Roman"/>
                      <w:b/>
                      <w:color w:val="auto"/>
                      <w:szCs w:val="21"/>
                      <w:highlight w:val="none"/>
                      <w:lang w:val="en-US" w:eastAsia="zh-CN"/>
                    </w:rPr>
                  </w:pPr>
                  <w:r>
                    <w:rPr>
                      <w:rFonts w:hint="default" w:ascii="Times New Roman" w:hAnsi="Times New Roman" w:eastAsia="宋体" w:cs="Times New Roman"/>
                      <w:b/>
                      <w:color w:val="auto"/>
                      <w:szCs w:val="21"/>
                      <w:highlight w:val="none"/>
                      <w:lang w:val="en-US" w:eastAsia="zh-CN"/>
                    </w:rPr>
                    <w:t>≤1200</w:t>
                  </w:r>
                </w:p>
              </w:tc>
            </w:tr>
            <w:tr w14:paraId="7739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14:paraId="1C3D8C61">
                  <w:pPr>
                    <w:spacing w:line="24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注：表中产品所列的全铁、不溶物、As、Pb、Cd、Hg、Cr、Zn、Ni指标均按Al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10%计算，Al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含量≠10%时应按实际含量折算成Al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10%产品比例计算各项杂质指标。</w:t>
                  </w:r>
                </w:p>
              </w:tc>
            </w:tr>
          </w:tbl>
          <w:p w14:paraId="28A5DD44">
            <w:pPr>
              <w:autoSpaceDE w:val="0"/>
              <w:autoSpaceDN w:val="0"/>
              <w:adjustRightInd w:val="0"/>
              <w:spacing w:line="240" w:lineRule="auto"/>
              <w:ind w:firstLine="420" w:firstLineChars="200"/>
              <w:rPr>
                <w:rFonts w:ascii="宋体" w:hAnsi="宋体" w:eastAsia="宋体" w:cs="宋体"/>
                <w:bCs/>
                <w:color w:val="auto"/>
                <w:kern w:val="0"/>
                <w:szCs w:val="21"/>
                <w:highlight w:val="none"/>
              </w:rPr>
            </w:pPr>
          </w:p>
        </w:tc>
        <w:tc>
          <w:tcPr>
            <w:tcW w:w="347" w:type="pct"/>
            <w:vAlign w:val="center"/>
          </w:tcPr>
          <w:p w14:paraId="672A969F">
            <w:pPr>
              <w:keepNext/>
              <w:keepLines/>
              <w:spacing w:line="400" w:lineRule="exact"/>
              <w:jc w:val="center"/>
              <w:rPr>
                <w:rFonts w:ascii="宋体" w:hAnsi="宋体" w:eastAsia="宋体" w:cs="宋体"/>
                <w:color w:val="auto"/>
                <w:kern w:val="0"/>
                <w:szCs w:val="21"/>
                <w:highlight w:val="none"/>
              </w:rPr>
            </w:pPr>
          </w:p>
        </w:tc>
        <w:tc>
          <w:tcPr>
            <w:tcW w:w="419" w:type="pct"/>
            <w:vAlign w:val="center"/>
          </w:tcPr>
          <w:p w14:paraId="2BE767B4">
            <w:pPr>
              <w:keepNext/>
              <w:keepLines/>
              <w:spacing w:line="400" w:lineRule="exact"/>
              <w:jc w:val="center"/>
              <w:rPr>
                <w:rFonts w:ascii="宋体" w:hAnsi="宋体" w:eastAsia="宋体" w:cs="宋体"/>
                <w:color w:val="auto"/>
                <w:kern w:val="0"/>
                <w:szCs w:val="21"/>
                <w:highlight w:val="none"/>
              </w:rPr>
            </w:pPr>
          </w:p>
        </w:tc>
        <w:tc>
          <w:tcPr>
            <w:tcW w:w="400" w:type="pct"/>
            <w:vAlign w:val="center"/>
          </w:tcPr>
          <w:p w14:paraId="51723308">
            <w:pPr>
              <w:keepNext/>
              <w:keepLines/>
              <w:spacing w:line="400" w:lineRule="exact"/>
              <w:jc w:val="center"/>
              <w:rPr>
                <w:rFonts w:ascii="宋体" w:hAnsi="宋体" w:eastAsia="宋体" w:cs="宋体"/>
                <w:color w:val="auto"/>
                <w:kern w:val="0"/>
                <w:szCs w:val="21"/>
                <w:highlight w:val="none"/>
              </w:rPr>
            </w:pPr>
          </w:p>
        </w:tc>
      </w:tr>
    </w:tbl>
    <w:p w14:paraId="1B365245">
      <w:pPr>
        <w:spacing w:line="360" w:lineRule="auto"/>
        <w:rPr>
          <w:rFonts w:ascii="宋体" w:hAnsi="宋体" w:eastAsia="宋体" w:cs="宋体"/>
          <w:color w:val="auto"/>
          <w:szCs w:val="21"/>
          <w:highlight w:val="none"/>
        </w:rPr>
      </w:pPr>
    </w:p>
    <w:p w14:paraId="56E6621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67638D36">
      <w:pPr>
        <w:spacing w:line="360" w:lineRule="auto"/>
        <w:ind w:left="605" w:leftChars="18" w:hanging="567" w:hangingChars="270"/>
        <w:rPr>
          <w:rFonts w:ascii="宋体" w:hAnsi="宋体" w:eastAsia="宋体" w:cs="宋体"/>
          <w:b/>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28BDB32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22A390E5">
      <w:pPr>
        <w:spacing w:line="360" w:lineRule="auto"/>
        <w:ind w:left="607" w:leftChars="18" w:hanging="569" w:hangingChars="270"/>
        <w:rPr>
          <w:rFonts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rPr>
        <w:t>投标货物技术参数、性能、功能</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14:paraId="60803CE8">
      <w:pPr>
        <w:spacing w:line="360" w:lineRule="auto"/>
        <w:ind w:left="607" w:leftChars="18" w:hanging="569" w:hangingChars="270"/>
        <w:rPr>
          <w:rFonts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color w:val="auto"/>
          <w:kern w:val="0"/>
          <w:sz w:val="24"/>
          <w:szCs w:val="21"/>
          <w:highlight w:val="none"/>
          <w:u w:val="single"/>
          <w:lang w:val="zh-CN"/>
        </w:rPr>
        <w:t>。</w:t>
      </w:r>
    </w:p>
    <w:p w14:paraId="46144294">
      <w:pPr>
        <w:spacing w:line="360" w:lineRule="auto"/>
        <w:rPr>
          <w:rFonts w:ascii="宋体" w:hAnsi="宋体" w:eastAsia="宋体" w:cs="宋体"/>
          <w:color w:val="auto"/>
          <w:szCs w:val="21"/>
          <w:highlight w:val="none"/>
        </w:rPr>
      </w:pPr>
    </w:p>
    <w:p w14:paraId="40435CAC">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B4E1201">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15841F41">
      <w:pPr>
        <w:autoSpaceDE w:val="0"/>
        <w:autoSpaceDN w:val="0"/>
        <w:adjustRightInd w:val="0"/>
        <w:spacing w:line="360" w:lineRule="auto"/>
        <w:jc w:val="center"/>
        <w:rPr>
          <w:rFonts w:ascii="宋体" w:hAnsi="宋体" w:eastAsia="宋体" w:cs="宋体"/>
          <w:b/>
          <w:bCs/>
          <w:color w:val="auto"/>
          <w:szCs w:val="24"/>
          <w:highlight w:val="none"/>
          <w:lang w:val="zh-CN"/>
        </w:rPr>
      </w:pPr>
    </w:p>
    <w:p w14:paraId="6916EFFA">
      <w:pPr>
        <w:widowControl/>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b/>
          <w:bCs/>
          <w:color w:val="auto"/>
          <w:szCs w:val="24"/>
          <w:highlight w:val="none"/>
          <w:lang w:val="zh-CN"/>
        </w:rPr>
        <w:t>说明：由投标人使用投标人的企业数字证书电子签名。</w:t>
      </w:r>
    </w:p>
    <w:p w14:paraId="783AD4AF">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7B24B474">
      <w:pPr>
        <w:jc w:val="left"/>
        <w:outlineLvl w:val="1"/>
        <w:rPr>
          <w:rFonts w:ascii="宋体" w:hAnsi="宋体" w:eastAsia="宋体" w:cs="宋体"/>
          <w:b/>
          <w:color w:val="auto"/>
          <w:kern w:val="0"/>
          <w:sz w:val="30"/>
          <w:szCs w:val="30"/>
          <w:highlight w:val="none"/>
        </w:rPr>
      </w:pPr>
      <w:bookmarkStart w:id="773" w:name="_Toc24575"/>
      <w:bookmarkStart w:id="774" w:name="_Toc211622222"/>
      <w:r>
        <w:rPr>
          <w:rFonts w:hint="eastAsia" w:ascii="宋体" w:hAnsi="宋体" w:eastAsia="宋体" w:cs="宋体"/>
          <w:b/>
          <w:color w:val="auto"/>
          <w:kern w:val="0"/>
          <w:sz w:val="30"/>
          <w:szCs w:val="30"/>
          <w:highlight w:val="none"/>
        </w:rPr>
        <w:t>二、投标产品技术指标承诺书格式</w:t>
      </w:r>
      <w:bookmarkEnd w:id="773"/>
      <w:bookmarkEnd w:id="774"/>
    </w:p>
    <w:p w14:paraId="3974294B">
      <w:pPr>
        <w:pStyle w:val="46"/>
        <w:rPr>
          <w:color w:val="auto"/>
          <w:highlight w:val="none"/>
        </w:rPr>
      </w:pPr>
    </w:p>
    <w:p w14:paraId="490A3DAE">
      <w:pPr>
        <w:widowControl/>
        <w:autoSpaceDE w:val="0"/>
        <w:autoSpaceDN w:val="0"/>
        <w:adjustRightInd w:val="0"/>
        <w:spacing w:line="360" w:lineRule="auto"/>
        <w:rPr>
          <w:rFonts w:ascii="宋体" w:hAnsi="宋体" w:eastAsia="宋体" w:cs="宋体"/>
          <w:color w:val="auto"/>
          <w:szCs w:val="21"/>
          <w:highlight w:val="none"/>
        </w:rPr>
      </w:pPr>
    </w:p>
    <w:p w14:paraId="59E71929">
      <w:pPr>
        <w:spacing w:line="360" w:lineRule="auto"/>
        <w:jc w:val="center"/>
        <w:rPr>
          <w:rFonts w:ascii="宋体" w:hAnsi="宋体" w:eastAsia="宋体" w:cs="宋体"/>
          <w:b/>
          <w:bCs/>
          <w:color w:val="auto"/>
          <w:sz w:val="30"/>
          <w:szCs w:val="30"/>
          <w:highlight w:val="none"/>
          <w:lang w:val="zh-CN"/>
        </w:rPr>
      </w:pPr>
      <w:bookmarkStart w:id="775" w:name="_Toc31354"/>
      <w:bookmarkStart w:id="776" w:name="_Toc28982"/>
      <w:bookmarkStart w:id="777" w:name="_Toc94107225"/>
      <w:r>
        <w:rPr>
          <w:rFonts w:hint="eastAsia" w:ascii="宋体" w:hAnsi="宋体" w:eastAsia="宋体" w:cs="宋体"/>
          <w:b/>
          <w:bCs/>
          <w:color w:val="auto"/>
          <w:sz w:val="32"/>
          <w:szCs w:val="32"/>
          <w:highlight w:val="none"/>
          <w:lang w:val="zh-CN"/>
        </w:rPr>
        <w:t>投标产品</w:t>
      </w:r>
      <w:r>
        <w:rPr>
          <w:rFonts w:hint="eastAsia" w:ascii="宋体" w:hAnsi="宋体" w:eastAsia="宋体" w:cs="宋体"/>
          <w:b/>
          <w:bCs/>
          <w:color w:val="auto"/>
          <w:sz w:val="30"/>
          <w:szCs w:val="30"/>
          <w:highlight w:val="none"/>
          <w:lang w:val="zh-CN"/>
        </w:rPr>
        <w:t>技术指标承诺书</w:t>
      </w:r>
      <w:bookmarkEnd w:id="775"/>
      <w:bookmarkEnd w:id="776"/>
    </w:p>
    <w:p w14:paraId="5BD93398">
      <w:pPr>
        <w:spacing w:line="360" w:lineRule="auto"/>
        <w:rPr>
          <w:rFonts w:ascii="宋体" w:hAnsi="宋体" w:eastAsia="宋体" w:cs="宋体"/>
          <w:color w:val="auto"/>
          <w:szCs w:val="21"/>
          <w:highlight w:val="none"/>
        </w:rPr>
      </w:pPr>
    </w:p>
    <w:p w14:paraId="5C0EEB3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致：东莞市水务环境投资控股集团净水有限公司</w:t>
      </w:r>
    </w:p>
    <w:p w14:paraId="50A0AD1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我方已详细研究了本项目招标文件</w:t>
      </w:r>
      <w:r>
        <w:rPr>
          <w:rFonts w:hint="eastAsia" w:ascii="宋体" w:hAnsi="宋体" w:eastAsia="宋体" w:cs="宋体"/>
          <w:b/>
          <w:color w:val="auto"/>
          <w:szCs w:val="21"/>
          <w:highlight w:val="none"/>
        </w:rPr>
        <w:t>用户需求书主要技术指标</w:t>
      </w:r>
      <w:r>
        <w:rPr>
          <w:rFonts w:hint="eastAsia" w:ascii="宋体" w:hAnsi="宋体" w:eastAsia="宋体" w:cs="宋体"/>
          <w:color w:val="auto"/>
          <w:szCs w:val="21"/>
          <w:highlight w:val="none"/>
        </w:rPr>
        <w:t>的所有内容包括相关资料及修正文（如有），完全理解并接受上述内容所有条款及要求。</w:t>
      </w:r>
    </w:p>
    <w:p w14:paraId="18EE447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我方承诺在履行合同过程中按本项目招标文件</w:t>
      </w:r>
      <w:r>
        <w:rPr>
          <w:rFonts w:hint="eastAsia" w:ascii="宋体" w:hAnsi="宋体" w:eastAsia="宋体" w:cs="宋体"/>
          <w:b/>
          <w:color w:val="auto"/>
          <w:szCs w:val="21"/>
          <w:highlight w:val="none"/>
        </w:rPr>
        <w:t>用户需求书主要技术指标</w:t>
      </w:r>
      <w:r>
        <w:rPr>
          <w:rFonts w:hint="eastAsia" w:ascii="宋体" w:hAnsi="宋体" w:eastAsia="宋体" w:cs="宋体"/>
          <w:color w:val="auto"/>
          <w:szCs w:val="21"/>
          <w:highlight w:val="none"/>
        </w:rPr>
        <w:t>的所有内容包括相关资料及修正文（如有）的条款和要求提供货物和相关的服务。</w:t>
      </w:r>
    </w:p>
    <w:p w14:paraId="235479E3">
      <w:pPr>
        <w:snapToGrid w:val="0"/>
        <w:spacing w:line="360" w:lineRule="auto"/>
        <w:ind w:left="399" w:leftChars="-58" w:hanging="521" w:hangingChars="247"/>
        <w:rPr>
          <w:rFonts w:ascii="宋体" w:hAnsi="宋体" w:eastAsia="宋体" w:cs="宋体"/>
          <w:b/>
          <w:color w:val="auto"/>
          <w:szCs w:val="21"/>
          <w:highlight w:val="none"/>
        </w:rPr>
      </w:pPr>
    </w:p>
    <w:p w14:paraId="248B8D8B">
      <w:pPr>
        <w:autoSpaceDE w:val="0"/>
        <w:autoSpaceDN w:val="0"/>
        <w:adjustRightInd w:val="0"/>
        <w:spacing w:line="360" w:lineRule="auto"/>
        <w:ind w:firstLine="3360" w:firstLineChars="1600"/>
        <w:rPr>
          <w:rFonts w:ascii="宋体" w:hAnsi="宋体" w:eastAsia="宋体" w:cs="宋体"/>
          <w:color w:val="auto"/>
          <w:kern w:val="0"/>
          <w:szCs w:val="21"/>
          <w:highlight w:val="none"/>
        </w:rPr>
      </w:pPr>
    </w:p>
    <w:p w14:paraId="013053CD">
      <w:pPr>
        <w:autoSpaceDE w:val="0"/>
        <w:autoSpaceDN w:val="0"/>
        <w:adjustRightInd w:val="0"/>
        <w:spacing w:line="360" w:lineRule="auto"/>
        <w:ind w:firstLine="3360" w:firstLineChars="1600"/>
        <w:rPr>
          <w:rFonts w:ascii="宋体" w:hAnsi="宋体" w:eastAsia="宋体" w:cs="宋体"/>
          <w:color w:val="auto"/>
          <w:kern w:val="0"/>
          <w:szCs w:val="21"/>
          <w:highlight w:val="none"/>
        </w:rPr>
      </w:pPr>
    </w:p>
    <w:p w14:paraId="56F3115D">
      <w:pPr>
        <w:autoSpaceDE w:val="0"/>
        <w:autoSpaceDN w:val="0"/>
        <w:adjustRightInd w:val="0"/>
        <w:spacing w:line="360" w:lineRule="auto"/>
        <w:ind w:firstLine="3360" w:firstLineChars="16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75EA24FA">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073A857">
      <w:pPr>
        <w:autoSpaceDE w:val="0"/>
        <w:autoSpaceDN w:val="0"/>
        <w:adjustRightInd w:val="0"/>
        <w:spacing w:line="360" w:lineRule="auto"/>
        <w:jc w:val="center"/>
        <w:rPr>
          <w:rFonts w:ascii="宋体" w:hAnsi="宋体" w:eastAsia="宋体" w:cs="宋体"/>
          <w:b/>
          <w:bCs/>
          <w:color w:val="auto"/>
          <w:szCs w:val="24"/>
          <w:highlight w:val="none"/>
          <w:lang w:val="zh-CN"/>
        </w:rPr>
      </w:pPr>
    </w:p>
    <w:p w14:paraId="00027B95">
      <w:pPr>
        <w:widowControl/>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b/>
          <w:bCs/>
          <w:color w:val="auto"/>
          <w:szCs w:val="24"/>
          <w:highlight w:val="none"/>
          <w:lang w:val="zh-CN"/>
        </w:rPr>
        <w:t>说明：由投标人使用投标人的企业数字证书电子签名。</w:t>
      </w:r>
    </w:p>
    <w:p w14:paraId="458DF1CC">
      <w:pPr>
        <w:widowControl/>
        <w:jc w:val="left"/>
        <w:rPr>
          <w:rFonts w:ascii="宋体" w:hAnsi="宋体" w:eastAsia="宋体" w:cs="宋体"/>
          <w:color w:val="auto"/>
          <w:kern w:val="0"/>
          <w:szCs w:val="21"/>
          <w:highlight w:val="none"/>
        </w:rPr>
      </w:pPr>
    </w:p>
    <w:bookmarkEnd w:id="777"/>
    <w:p w14:paraId="76EBFDE9">
      <w:pPr>
        <w:pageBreakBefore/>
        <w:outlineLvl w:val="1"/>
        <w:rPr>
          <w:rFonts w:ascii="宋体" w:hAnsi="宋体" w:eastAsia="宋体" w:cs="宋体"/>
          <w:b/>
          <w:color w:val="auto"/>
          <w:kern w:val="0"/>
          <w:sz w:val="30"/>
          <w:szCs w:val="30"/>
          <w:highlight w:val="none"/>
        </w:rPr>
      </w:pPr>
      <w:bookmarkStart w:id="778" w:name="_Toc211622223"/>
      <w:bookmarkStart w:id="779" w:name="_Toc12499"/>
      <w:bookmarkStart w:id="780" w:name="_Toc140596949"/>
      <w:bookmarkStart w:id="781" w:name="_Toc102860438"/>
      <w:bookmarkStart w:id="782" w:name="_Toc102860094"/>
      <w:bookmarkStart w:id="783" w:name="_Toc104991896"/>
      <w:bookmarkStart w:id="784" w:name="_Toc142508389"/>
      <w:bookmarkStart w:id="785" w:name="_Toc533708139"/>
      <w:r>
        <w:rPr>
          <w:rFonts w:hint="eastAsia" w:ascii="宋体" w:hAnsi="宋体" w:eastAsia="宋体" w:cs="宋体"/>
          <w:b/>
          <w:color w:val="auto"/>
          <w:kern w:val="0"/>
          <w:sz w:val="30"/>
          <w:szCs w:val="30"/>
          <w:highlight w:val="none"/>
        </w:rPr>
        <w:t>三、生产工艺（投标人自行编写，其中应包含生产工艺流程图）</w:t>
      </w:r>
      <w:bookmarkEnd w:id="778"/>
      <w:bookmarkEnd w:id="779"/>
    </w:p>
    <w:p w14:paraId="73692F08">
      <w:pPr>
        <w:rPr>
          <w:rFonts w:ascii="宋体" w:hAnsi="宋体" w:eastAsia="宋体" w:cs="宋体"/>
          <w:color w:val="auto"/>
          <w:kern w:val="0"/>
          <w:szCs w:val="21"/>
          <w:highlight w:val="none"/>
        </w:rPr>
      </w:pPr>
      <w:r>
        <w:rPr>
          <w:rFonts w:hint="eastAsia" w:ascii="宋体" w:hAnsi="宋体" w:eastAsia="宋体" w:cs="宋体"/>
          <w:b/>
          <w:color w:val="auto"/>
          <w:kern w:val="0"/>
          <w:sz w:val="30"/>
          <w:szCs w:val="30"/>
          <w:highlight w:val="none"/>
        </w:rPr>
        <w:br w:type="page"/>
      </w:r>
    </w:p>
    <w:p w14:paraId="0E52A838">
      <w:pPr>
        <w:pageBreakBefore/>
        <w:outlineLvl w:val="1"/>
        <w:rPr>
          <w:rFonts w:ascii="宋体" w:hAnsi="宋体" w:eastAsia="宋体" w:cs="宋体"/>
          <w:b/>
          <w:color w:val="auto"/>
          <w:kern w:val="0"/>
          <w:sz w:val="30"/>
          <w:szCs w:val="30"/>
          <w:highlight w:val="none"/>
        </w:rPr>
      </w:pPr>
      <w:bookmarkStart w:id="786" w:name="_Toc211622224"/>
      <w:bookmarkStart w:id="787" w:name="_Toc18272"/>
      <w:r>
        <w:rPr>
          <w:rFonts w:hint="eastAsia" w:ascii="宋体" w:hAnsi="宋体" w:eastAsia="宋体" w:cs="宋体"/>
          <w:b/>
          <w:color w:val="auto"/>
          <w:kern w:val="0"/>
          <w:sz w:val="30"/>
          <w:szCs w:val="30"/>
          <w:highlight w:val="none"/>
        </w:rPr>
        <w:t>四、生产供货保障能力（投标人自行编写）</w:t>
      </w:r>
      <w:bookmarkEnd w:id="786"/>
      <w:bookmarkEnd w:id="787"/>
    </w:p>
    <w:p w14:paraId="705EBEA8">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2AF93396">
      <w:pPr>
        <w:outlineLvl w:val="1"/>
        <w:rPr>
          <w:rFonts w:ascii="宋体" w:hAnsi="宋体" w:eastAsia="宋体" w:cs="宋体"/>
          <w:b/>
          <w:color w:val="auto"/>
          <w:kern w:val="0"/>
          <w:sz w:val="30"/>
          <w:szCs w:val="30"/>
          <w:highlight w:val="none"/>
        </w:rPr>
      </w:pPr>
      <w:bookmarkStart w:id="788" w:name="_Toc7623"/>
      <w:bookmarkStart w:id="789" w:name="_Toc211622225"/>
      <w:r>
        <w:rPr>
          <w:rFonts w:hint="eastAsia" w:ascii="宋体" w:hAnsi="宋体" w:eastAsia="宋体" w:cs="宋体"/>
          <w:b/>
          <w:color w:val="auto"/>
          <w:kern w:val="0"/>
          <w:sz w:val="30"/>
          <w:szCs w:val="30"/>
          <w:highlight w:val="none"/>
        </w:rPr>
        <w:t>五、质量保证体系和措施（投标人自行编写）</w:t>
      </w:r>
      <w:bookmarkEnd w:id="788"/>
      <w:bookmarkEnd w:id="789"/>
    </w:p>
    <w:p w14:paraId="3A1171D9">
      <w:pP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04958A79">
      <w:pPr>
        <w:outlineLvl w:val="1"/>
        <w:rPr>
          <w:rFonts w:ascii="宋体" w:hAnsi="宋体" w:eastAsia="宋体" w:cs="宋体"/>
          <w:b/>
          <w:color w:val="auto"/>
          <w:kern w:val="0"/>
          <w:sz w:val="30"/>
          <w:szCs w:val="30"/>
          <w:highlight w:val="none"/>
        </w:rPr>
      </w:pPr>
      <w:bookmarkStart w:id="790" w:name="_Toc30545"/>
      <w:bookmarkStart w:id="791" w:name="_Toc3750"/>
      <w:bookmarkStart w:id="792" w:name="_Toc211622226"/>
      <w:bookmarkStart w:id="793" w:name="_Toc18180"/>
      <w:bookmarkStart w:id="794" w:name="_Toc27868"/>
      <w:r>
        <w:rPr>
          <w:rFonts w:hint="eastAsia" w:ascii="宋体" w:hAnsi="宋体" w:eastAsia="宋体" w:cs="宋体"/>
          <w:b/>
          <w:color w:val="auto"/>
          <w:kern w:val="0"/>
          <w:sz w:val="30"/>
          <w:szCs w:val="30"/>
          <w:highlight w:val="none"/>
          <w:lang w:val="en-US" w:eastAsia="zh-CN"/>
        </w:rPr>
        <w:t>六</w:t>
      </w:r>
      <w:r>
        <w:rPr>
          <w:rFonts w:hint="eastAsia" w:ascii="宋体" w:hAnsi="宋体" w:eastAsia="宋体" w:cs="宋体"/>
          <w:b/>
          <w:color w:val="auto"/>
          <w:kern w:val="0"/>
          <w:sz w:val="30"/>
          <w:szCs w:val="30"/>
          <w:highlight w:val="none"/>
        </w:rPr>
        <w:t>、企业运输能力</w:t>
      </w:r>
    </w:p>
    <w:p w14:paraId="16D11CED">
      <w:pPr>
        <w:spacing w:line="360" w:lineRule="auto"/>
        <w:jc w:val="left"/>
        <w:rPr>
          <w:rFonts w:ascii="宋体" w:hAnsi="宋体" w:eastAsia="宋体" w:cs="宋体"/>
          <w:color w:val="auto"/>
          <w:kern w:val="0"/>
          <w:szCs w:val="24"/>
          <w:highlight w:val="none"/>
        </w:rPr>
      </w:pPr>
    </w:p>
    <w:p w14:paraId="65F85857">
      <w:pPr>
        <w:spacing w:line="360" w:lineRule="auto"/>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注：</w:t>
      </w:r>
      <w:r>
        <w:rPr>
          <w:rFonts w:hint="eastAsia" w:ascii="宋体" w:hAnsi="宋体" w:eastAsia="宋体" w:cs="宋体"/>
          <w:color w:val="auto"/>
          <w:kern w:val="0"/>
          <w:szCs w:val="24"/>
          <w:highlight w:val="none"/>
        </w:rPr>
        <w:t>投标人的运输车</w:t>
      </w:r>
      <w:r>
        <w:rPr>
          <w:rFonts w:hint="eastAsia" w:ascii="宋体" w:hAnsi="宋体" w:eastAsia="宋体" w:cs="宋体"/>
          <w:color w:val="auto"/>
          <w:szCs w:val="21"/>
          <w:highlight w:val="none"/>
          <w:lang w:val="zh-CN"/>
        </w:rPr>
        <w:t>（可用于运输液体聚合氯化铝、液体聚合氯化铝铁的车辆）</w:t>
      </w:r>
      <w:r>
        <w:rPr>
          <w:rFonts w:hint="eastAsia" w:ascii="宋体" w:hAnsi="宋体" w:eastAsia="宋体" w:cs="宋体"/>
          <w:color w:val="auto"/>
          <w:szCs w:val="21"/>
          <w:highlight w:val="none"/>
        </w:rPr>
        <w:t>的相关资料。</w:t>
      </w:r>
    </w:p>
    <w:p w14:paraId="38B38A7B">
      <w:pP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6B7225BB">
      <w:pPr>
        <w:pStyle w:val="46"/>
        <w:ind w:right="420"/>
        <w:jc w:val="left"/>
        <w:outlineLvl w:val="1"/>
        <w:rPr>
          <w:rFonts w:hAnsi="宋体" w:eastAsia="宋体" w:cs="宋体"/>
          <w:b/>
          <w:color w:val="auto"/>
          <w:kern w:val="0"/>
          <w:sz w:val="30"/>
          <w:szCs w:val="30"/>
          <w:highlight w:val="none"/>
        </w:rPr>
      </w:pPr>
      <w:r>
        <w:rPr>
          <w:rFonts w:hint="eastAsia" w:hAnsi="宋体" w:eastAsia="宋体" w:cs="宋体"/>
          <w:b/>
          <w:color w:val="auto"/>
          <w:kern w:val="0"/>
          <w:sz w:val="30"/>
          <w:szCs w:val="30"/>
          <w:highlight w:val="none"/>
          <w:lang w:val="en-US" w:eastAsia="zh-CN"/>
        </w:rPr>
        <w:t>七</w:t>
      </w:r>
      <w:r>
        <w:rPr>
          <w:rFonts w:hint="eastAsia" w:hAnsi="宋体" w:eastAsia="宋体" w:cs="宋体"/>
          <w:b/>
          <w:color w:val="auto"/>
          <w:kern w:val="0"/>
          <w:sz w:val="30"/>
          <w:szCs w:val="30"/>
          <w:highlight w:val="none"/>
        </w:rPr>
        <w:t>、投标人认为有必要提供的其它材料（不做强制要求）</w:t>
      </w:r>
      <w:bookmarkEnd w:id="780"/>
      <w:bookmarkEnd w:id="781"/>
      <w:bookmarkEnd w:id="782"/>
      <w:bookmarkEnd w:id="783"/>
      <w:bookmarkEnd w:id="784"/>
      <w:bookmarkEnd w:id="790"/>
      <w:bookmarkEnd w:id="791"/>
      <w:bookmarkEnd w:id="792"/>
      <w:bookmarkEnd w:id="793"/>
      <w:bookmarkEnd w:id="794"/>
    </w:p>
    <w:p w14:paraId="0627E584">
      <w:pPr>
        <w:autoSpaceDE w:val="0"/>
        <w:autoSpaceDN w:val="0"/>
        <w:adjustRightInd w:val="0"/>
        <w:jc w:val="left"/>
        <w:rPr>
          <w:rFonts w:ascii="宋体" w:hAnsi="宋体" w:eastAsia="宋体" w:cs="宋体"/>
          <w:color w:val="auto"/>
          <w:kern w:val="0"/>
          <w:sz w:val="24"/>
          <w:szCs w:val="24"/>
          <w:highlight w:val="none"/>
        </w:rPr>
      </w:pPr>
    </w:p>
    <w:p w14:paraId="2CF69A44">
      <w:pPr>
        <w:autoSpaceDE w:val="0"/>
        <w:autoSpaceDN w:val="0"/>
        <w:adjustRightInd w:val="0"/>
        <w:jc w:val="left"/>
        <w:rPr>
          <w:rFonts w:ascii="宋体" w:hAnsi="宋体" w:eastAsia="宋体" w:cs="宋体"/>
          <w:color w:val="auto"/>
          <w:kern w:val="0"/>
          <w:sz w:val="24"/>
          <w:szCs w:val="24"/>
          <w:highlight w:val="none"/>
        </w:rPr>
      </w:pPr>
    </w:p>
    <w:p w14:paraId="538F5726">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44FC609D">
      <w:pPr>
        <w:jc w:val="center"/>
        <w:outlineLvl w:val="1"/>
        <w:rPr>
          <w:rFonts w:ascii="宋体" w:hAnsi="宋体" w:eastAsia="宋体" w:cs="宋体"/>
          <w:b/>
          <w:color w:val="auto"/>
          <w:kern w:val="0"/>
          <w:sz w:val="32"/>
          <w:szCs w:val="32"/>
          <w:highlight w:val="none"/>
        </w:rPr>
      </w:pPr>
      <w:bookmarkStart w:id="795" w:name="_Toc195714410"/>
      <w:bookmarkStart w:id="796" w:name="_Toc22748"/>
      <w:bookmarkStart w:id="797" w:name="_Toc13597"/>
      <w:bookmarkStart w:id="798" w:name="_Toc29896"/>
      <w:bookmarkStart w:id="799" w:name="_Toc211622227"/>
      <w:bookmarkStart w:id="800" w:name="_Toc18687"/>
      <w:bookmarkStart w:id="801" w:name="_Toc13980"/>
      <w:bookmarkStart w:id="802" w:name="_Toc26484"/>
      <w:r>
        <w:rPr>
          <w:rFonts w:hint="eastAsia" w:ascii="宋体" w:hAnsi="宋体" w:eastAsia="宋体" w:cs="宋体"/>
          <w:b/>
          <w:color w:val="auto"/>
          <w:kern w:val="0"/>
          <w:sz w:val="32"/>
          <w:szCs w:val="32"/>
          <w:highlight w:val="none"/>
        </w:rPr>
        <w:t>三  投标文件报价信封</w:t>
      </w:r>
      <w:bookmarkEnd w:id="795"/>
      <w:bookmarkEnd w:id="796"/>
      <w:bookmarkEnd w:id="797"/>
      <w:bookmarkEnd w:id="798"/>
      <w:bookmarkEnd w:id="799"/>
      <w:bookmarkEnd w:id="800"/>
      <w:bookmarkEnd w:id="801"/>
      <w:bookmarkEnd w:id="802"/>
      <w:bookmarkStart w:id="803" w:name="_Toc142508390"/>
      <w:bookmarkStart w:id="804" w:name="_Toc14977"/>
      <w:bookmarkStart w:id="805" w:name="_Toc21059"/>
      <w:bookmarkStart w:id="806" w:name="_Toc25618"/>
      <w:bookmarkStart w:id="807" w:name="_Toc521918141"/>
      <w:bookmarkStart w:id="808" w:name="_Toc522047402"/>
      <w:bookmarkStart w:id="809" w:name="_Toc22601_WPSOffice_Level1"/>
      <w:r>
        <w:rPr>
          <w:rFonts w:hint="eastAsia" w:ascii="宋体" w:hAnsi="宋体" w:eastAsia="宋体" w:cs="宋体"/>
          <w:b/>
          <w:color w:val="auto"/>
          <w:kern w:val="0"/>
          <w:sz w:val="32"/>
          <w:szCs w:val="32"/>
          <w:highlight w:val="none"/>
        </w:rPr>
        <w:t>格式</w:t>
      </w:r>
    </w:p>
    <w:p w14:paraId="4DC6D64C">
      <w:pPr>
        <w:jc w:val="center"/>
        <w:rPr>
          <w:rFonts w:ascii="宋体" w:hAnsi="宋体" w:eastAsia="宋体" w:cs="宋体"/>
          <w:b/>
          <w:color w:val="auto"/>
          <w:kern w:val="0"/>
          <w:sz w:val="32"/>
          <w:szCs w:val="32"/>
          <w:highlight w:val="none"/>
        </w:rPr>
      </w:pPr>
    </w:p>
    <w:p w14:paraId="538D8CEA">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1、本部分由投标人使用电子标书制作软件编制并生成报价信封。报价信封的编制要求详见第二篇投标人须知第17.6.3项。由投标人按格式要求进行电子签名。</w:t>
      </w:r>
    </w:p>
    <w:p w14:paraId="59BF7AF0">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2、报价信封</w:t>
      </w:r>
      <w:r>
        <w:rPr>
          <w:rFonts w:hint="default" w:ascii="宋体" w:hAnsi="宋体" w:eastAsia="宋体" w:cs="宋体"/>
          <w:color w:val="auto"/>
          <w:kern w:val="0"/>
          <w:szCs w:val="21"/>
          <w:highlight w:val="none"/>
          <w:lang w:val="en-US"/>
        </w:rPr>
        <w:t>投标值</w:t>
      </w:r>
      <w:r>
        <w:rPr>
          <w:rFonts w:hint="eastAsia" w:ascii="宋体" w:hAnsi="宋体" w:eastAsia="宋体" w:cs="宋体"/>
          <w:color w:val="auto"/>
          <w:kern w:val="0"/>
          <w:szCs w:val="21"/>
          <w:highlight w:val="none"/>
        </w:rPr>
        <w:t>为本项目暂定采购数量对应的</w:t>
      </w:r>
      <w:r>
        <w:rPr>
          <w:rFonts w:hint="eastAsia" w:ascii="宋体" w:hAnsi="宋体" w:eastAsia="宋体" w:cs="宋体"/>
          <w:b/>
          <w:bCs/>
          <w:color w:val="auto"/>
          <w:kern w:val="0"/>
          <w:szCs w:val="21"/>
          <w:highlight w:val="none"/>
        </w:rPr>
        <w:t>不含税</w:t>
      </w:r>
      <w:r>
        <w:rPr>
          <w:rFonts w:hint="eastAsia" w:ascii="宋体" w:hAnsi="宋体" w:eastAsia="宋体" w:cs="宋体"/>
          <w:b/>
          <w:bCs/>
          <w:color w:val="auto"/>
          <w:kern w:val="0"/>
          <w:szCs w:val="21"/>
          <w:highlight w:val="none"/>
          <w:lang w:val="en-US" w:eastAsia="zh-CN"/>
        </w:rPr>
        <w:t>总价</w:t>
      </w:r>
      <w:r>
        <w:rPr>
          <w:rFonts w:hint="eastAsia" w:ascii="宋体" w:hAnsi="宋体" w:eastAsia="宋体" w:cs="宋体"/>
          <w:color w:val="auto"/>
          <w:kern w:val="0"/>
          <w:szCs w:val="21"/>
          <w:highlight w:val="none"/>
        </w:rPr>
        <w:t>。</w:t>
      </w:r>
    </w:p>
    <w:p w14:paraId="23D8F480">
      <w:pPr>
        <w:pageBreakBefore/>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t>附件一：评标工作大纲</w:t>
      </w:r>
      <w:bookmarkEnd w:id="803"/>
      <w:bookmarkEnd w:id="804"/>
      <w:bookmarkEnd w:id="805"/>
      <w:bookmarkEnd w:id="806"/>
    </w:p>
    <w:p w14:paraId="4042EB16">
      <w:pPr>
        <w:autoSpaceDE w:val="0"/>
        <w:autoSpaceDN w:val="0"/>
        <w:adjustRightInd w:val="0"/>
        <w:spacing w:line="400" w:lineRule="atLeast"/>
        <w:jc w:val="center"/>
        <w:rPr>
          <w:rFonts w:ascii="宋体" w:hAnsi="宋体" w:eastAsia="宋体" w:cs="宋体"/>
          <w:b/>
          <w:bCs/>
          <w:color w:val="auto"/>
          <w:szCs w:val="21"/>
          <w:highlight w:val="none"/>
        </w:rPr>
      </w:pPr>
    </w:p>
    <w:p w14:paraId="4BE8FDED">
      <w:pPr>
        <w:autoSpaceDE w:val="0"/>
        <w:autoSpaceDN w:val="0"/>
        <w:adjustRightInd w:val="0"/>
        <w:spacing w:line="400" w:lineRule="atLeast"/>
        <w:jc w:val="center"/>
        <w:rPr>
          <w:rFonts w:ascii="宋体" w:hAnsi="宋体" w:eastAsia="宋体" w:cs="宋体"/>
          <w:b/>
          <w:bCs/>
          <w:color w:val="auto"/>
          <w:szCs w:val="21"/>
          <w:highlight w:val="none"/>
        </w:rPr>
      </w:pPr>
    </w:p>
    <w:p w14:paraId="79F70D48">
      <w:pPr>
        <w:autoSpaceDE w:val="0"/>
        <w:autoSpaceDN w:val="0"/>
        <w:adjustRightInd w:val="0"/>
        <w:spacing w:line="400" w:lineRule="atLeast"/>
        <w:jc w:val="center"/>
        <w:rPr>
          <w:rFonts w:ascii="宋体" w:hAnsi="宋体" w:eastAsia="宋体" w:cs="宋体"/>
          <w:b/>
          <w:bCs/>
          <w:color w:val="auto"/>
          <w:szCs w:val="21"/>
          <w:highlight w:val="none"/>
        </w:rPr>
      </w:pPr>
    </w:p>
    <w:p w14:paraId="5E908A39">
      <w:pPr>
        <w:autoSpaceDE w:val="0"/>
        <w:autoSpaceDN w:val="0"/>
        <w:adjustRightInd w:val="0"/>
        <w:spacing w:line="400" w:lineRule="atLeast"/>
        <w:jc w:val="center"/>
        <w:rPr>
          <w:rFonts w:ascii="宋体" w:hAnsi="宋体" w:eastAsia="宋体" w:cs="宋体"/>
          <w:b/>
          <w:bCs/>
          <w:color w:val="auto"/>
          <w:szCs w:val="21"/>
          <w:highlight w:val="none"/>
        </w:rPr>
      </w:pPr>
    </w:p>
    <w:p w14:paraId="154A8206">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36"/>
          <w:szCs w:val="44"/>
          <w:highlight w:val="none"/>
          <w:lang w:eastAsia="zh-CN"/>
        </w:rPr>
        <w:t>东莞市水务环境投资控股集团净水有限公司2026年-2027年生产药剂液体聚合氯化铝、液体聚合氯化铝铁采购项目</w:t>
      </w:r>
    </w:p>
    <w:p w14:paraId="78EA34A8">
      <w:pPr>
        <w:autoSpaceDE w:val="0"/>
        <w:autoSpaceDN w:val="0"/>
        <w:adjustRightInd w:val="0"/>
        <w:spacing w:line="360" w:lineRule="auto"/>
        <w:jc w:val="center"/>
        <w:rPr>
          <w:rFonts w:ascii="宋体" w:hAnsi="宋体" w:eastAsia="宋体" w:cs="宋体"/>
          <w:b/>
          <w:bCs/>
          <w:color w:val="auto"/>
          <w:sz w:val="36"/>
          <w:szCs w:val="36"/>
          <w:highlight w:val="none"/>
        </w:rPr>
      </w:pPr>
      <w:bookmarkStart w:id="810" w:name="_Toc14752_WPSOffice_Level1"/>
      <w:r>
        <w:rPr>
          <w:rFonts w:hint="eastAsia" w:ascii="宋体" w:hAnsi="宋体" w:eastAsia="宋体" w:cs="宋体"/>
          <w:b/>
          <w:bCs/>
          <w:color w:val="auto"/>
          <w:sz w:val="36"/>
          <w:szCs w:val="36"/>
          <w:highlight w:val="none"/>
          <w:lang w:val="zh-CN"/>
        </w:rPr>
        <w:t>（招标编号：WQWWQZ12600299）</w:t>
      </w:r>
      <w:bookmarkEnd w:id="810"/>
    </w:p>
    <w:p w14:paraId="60A6EE76">
      <w:pPr>
        <w:autoSpaceDE w:val="0"/>
        <w:autoSpaceDN w:val="0"/>
        <w:adjustRightInd w:val="0"/>
        <w:spacing w:line="400" w:lineRule="atLeast"/>
        <w:jc w:val="center"/>
        <w:rPr>
          <w:rFonts w:ascii="宋体" w:hAnsi="宋体" w:eastAsia="宋体" w:cs="宋体"/>
          <w:b/>
          <w:bCs/>
          <w:color w:val="auto"/>
          <w:sz w:val="36"/>
          <w:szCs w:val="36"/>
          <w:highlight w:val="none"/>
        </w:rPr>
      </w:pPr>
    </w:p>
    <w:p w14:paraId="5551E064">
      <w:pPr>
        <w:autoSpaceDE w:val="0"/>
        <w:autoSpaceDN w:val="0"/>
        <w:adjustRightInd w:val="0"/>
        <w:spacing w:line="400" w:lineRule="atLeast"/>
        <w:jc w:val="center"/>
        <w:rPr>
          <w:rFonts w:ascii="宋体" w:hAnsi="宋体" w:eastAsia="宋体" w:cs="宋体"/>
          <w:b/>
          <w:bCs/>
          <w:color w:val="auto"/>
          <w:sz w:val="36"/>
          <w:szCs w:val="36"/>
          <w:highlight w:val="none"/>
        </w:rPr>
      </w:pPr>
    </w:p>
    <w:p w14:paraId="6BDC9E31">
      <w:pPr>
        <w:autoSpaceDE w:val="0"/>
        <w:autoSpaceDN w:val="0"/>
        <w:adjustRightInd w:val="0"/>
        <w:spacing w:line="400" w:lineRule="atLeast"/>
        <w:jc w:val="center"/>
        <w:rPr>
          <w:rFonts w:ascii="宋体" w:hAnsi="宋体" w:eastAsia="宋体" w:cs="宋体"/>
          <w:b/>
          <w:bCs/>
          <w:color w:val="auto"/>
          <w:sz w:val="36"/>
          <w:szCs w:val="36"/>
          <w:highlight w:val="none"/>
        </w:rPr>
      </w:pPr>
    </w:p>
    <w:p w14:paraId="23970492">
      <w:pPr>
        <w:autoSpaceDE w:val="0"/>
        <w:autoSpaceDN w:val="0"/>
        <w:adjustRightInd w:val="0"/>
        <w:spacing w:line="400" w:lineRule="atLeast"/>
        <w:jc w:val="center"/>
        <w:rPr>
          <w:rFonts w:ascii="宋体" w:hAnsi="宋体" w:eastAsia="宋体" w:cs="宋体"/>
          <w:b/>
          <w:bCs/>
          <w:color w:val="auto"/>
          <w:sz w:val="36"/>
          <w:szCs w:val="36"/>
          <w:highlight w:val="none"/>
        </w:rPr>
      </w:pPr>
    </w:p>
    <w:p w14:paraId="6E816905">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811" w:name="_Toc18947_WPSOffice_Level2"/>
      <w:r>
        <w:rPr>
          <w:rFonts w:hint="eastAsia" w:ascii="宋体" w:hAnsi="宋体" w:eastAsia="宋体" w:cs="宋体"/>
          <w:b/>
          <w:bCs/>
          <w:color w:val="auto"/>
          <w:sz w:val="72"/>
          <w:szCs w:val="72"/>
          <w:highlight w:val="none"/>
          <w:lang w:val="zh-CN"/>
        </w:rPr>
        <w:t>评标工作大纲</w:t>
      </w:r>
      <w:bookmarkEnd w:id="811"/>
    </w:p>
    <w:p w14:paraId="2B0D9E99">
      <w:pPr>
        <w:autoSpaceDE w:val="0"/>
        <w:autoSpaceDN w:val="0"/>
        <w:adjustRightInd w:val="0"/>
        <w:spacing w:line="400" w:lineRule="atLeast"/>
        <w:jc w:val="center"/>
        <w:rPr>
          <w:rFonts w:ascii="宋体" w:hAnsi="宋体" w:eastAsia="宋体" w:cs="宋体"/>
          <w:b/>
          <w:bCs/>
          <w:color w:val="auto"/>
          <w:sz w:val="36"/>
          <w:szCs w:val="36"/>
          <w:highlight w:val="none"/>
        </w:rPr>
      </w:pPr>
    </w:p>
    <w:p w14:paraId="5CFB349F">
      <w:pPr>
        <w:autoSpaceDE w:val="0"/>
        <w:autoSpaceDN w:val="0"/>
        <w:adjustRightInd w:val="0"/>
        <w:spacing w:line="400" w:lineRule="atLeast"/>
        <w:rPr>
          <w:rFonts w:ascii="宋体" w:hAnsi="宋体" w:eastAsia="宋体" w:cs="宋体"/>
          <w:b/>
          <w:bCs/>
          <w:color w:val="auto"/>
          <w:sz w:val="36"/>
          <w:szCs w:val="36"/>
          <w:highlight w:val="none"/>
        </w:rPr>
      </w:pPr>
    </w:p>
    <w:p w14:paraId="36BF0809">
      <w:pPr>
        <w:autoSpaceDE w:val="0"/>
        <w:autoSpaceDN w:val="0"/>
        <w:adjustRightInd w:val="0"/>
        <w:spacing w:line="400" w:lineRule="atLeast"/>
        <w:jc w:val="center"/>
        <w:rPr>
          <w:rFonts w:ascii="宋体" w:hAnsi="宋体" w:eastAsia="宋体" w:cs="宋体"/>
          <w:b/>
          <w:bCs/>
          <w:color w:val="auto"/>
          <w:sz w:val="36"/>
          <w:szCs w:val="36"/>
          <w:highlight w:val="none"/>
        </w:rPr>
      </w:pPr>
    </w:p>
    <w:p w14:paraId="483554BE">
      <w:pPr>
        <w:autoSpaceDE w:val="0"/>
        <w:autoSpaceDN w:val="0"/>
        <w:adjustRightInd w:val="0"/>
        <w:spacing w:line="400" w:lineRule="atLeast"/>
        <w:jc w:val="center"/>
        <w:rPr>
          <w:rFonts w:ascii="宋体" w:hAnsi="宋体" w:eastAsia="宋体" w:cs="宋体"/>
          <w:b/>
          <w:bCs/>
          <w:color w:val="auto"/>
          <w:sz w:val="36"/>
          <w:szCs w:val="36"/>
          <w:highlight w:val="none"/>
        </w:rPr>
      </w:pPr>
    </w:p>
    <w:p w14:paraId="4434D5AD">
      <w:pPr>
        <w:autoSpaceDE w:val="0"/>
        <w:autoSpaceDN w:val="0"/>
        <w:adjustRightInd w:val="0"/>
        <w:spacing w:line="400" w:lineRule="atLeast"/>
        <w:jc w:val="center"/>
        <w:rPr>
          <w:rFonts w:ascii="宋体" w:hAnsi="宋体" w:eastAsia="宋体" w:cs="宋体"/>
          <w:b/>
          <w:bCs/>
          <w:color w:val="auto"/>
          <w:sz w:val="36"/>
          <w:szCs w:val="36"/>
          <w:highlight w:val="none"/>
        </w:rPr>
      </w:pPr>
    </w:p>
    <w:p w14:paraId="50DF46A9">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广东一方项目管理有限公司</w:t>
      </w:r>
    </w:p>
    <w:p w14:paraId="56DE64AA">
      <w:pPr>
        <w:autoSpaceDE w:val="0"/>
        <w:autoSpaceDN w:val="0"/>
        <w:adjustRightInd w:val="0"/>
        <w:spacing w:line="400" w:lineRule="atLeast"/>
        <w:jc w:val="center"/>
        <w:rPr>
          <w:rFonts w:ascii="宋体" w:hAnsi="宋体" w:eastAsia="宋体" w:cs="宋体"/>
          <w:b/>
          <w:bCs/>
          <w:color w:val="auto"/>
          <w:sz w:val="36"/>
          <w:szCs w:val="36"/>
          <w:highlight w:val="none"/>
        </w:rPr>
      </w:pPr>
    </w:p>
    <w:p w14:paraId="7FE287BE">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812" w:name="_Toc32395_WPSOffice_Level1"/>
      <w:r>
        <w:rPr>
          <w:rFonts w:hint="eastAsia" w:ascii="宋体" w:hAnsi="宋体" w:eastAsia="宋体" w:cs="宋体"/>
          <w:b/>
          <w:bCs/>
          <w:color w:val="auto"/>
          <w:sz w:val="36"/>
          <w:szCs w:val="36"/>
          <w:highlight w:val="none"/>
          <w:lang w:val="zh-CN"/>
        </w:rPr>
        <w:t>目录</w:t>
      </w:r>
      <w:bookmarkEnd w:id="812"/>
    </w:p>
    <w:p w14:paraId="7924F67B">
      <w:pPr>
        <w:autoSpaceDE w:val="0"/>
        <w:autoSpaceDN w:val="0"/>
        <w:adjustRightInd w:val="0"/>
        <w:spacing w:line="400" w:lineRule="atLeast"/>
        <w:jc w:val="center"/>
        <w:rPr>
          <w:rFonts w:ascii="宋体" w:hAnsi="宋体" w:eastAsia="宋体" w:cs="宋体"/>
          <w:color w:val="auto"/>
          <w:sz w:val="44"/>
          <w:szCs w:val="44"/>
          <w:highlight w:val="none"/>
        </w:rPr>
      </w:pPr>
    </w:p>
    <w:p w14:paraId="6B7673F0">
      <w:pPr>
        <w:autoSpaceDE w:val="0"/>
        <w:autoSpaceDN w:val="0"/>
        <w:adjustRightInd w:val="0"/>
        <w:spacing w:line="360" w:lineRule="auto"/>
        <w:ind w:left="567" w:hanging="567"/>
        <w:rPr>
          <w:rFonts w:ascii="宋体" w:hAnsi="宋体" w:eastAsia="宋体" w:cs="宋体"/>
          <w:color w:val="auto"/>
          <w:szCs w:val="30"/>
          <w:highlight w:val="none"/>
        </w:rPr>
      </w:pPr>
      <w:bookmarkStart w:id="813"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13"/>
    </w:p>
    <w:p w14:paraId="1245BC03">
      <w:pPr>
        <w:autoSpaceDE w:val="0"/>
        <w:autoSpaceDN w:val="0"/>
        <w:adjustRightInd w:val="0"/>
        <w:spacing w:line="360" w:lineRule="auto"/>
        <w:ind w:left="567" w:hanging="567"/>
        <w:rPr>
          <w:rFonts w:ascii="宋体" w:hAnsi="宋体" w:eastAsia="宋体" w:cs="宋体"/>
          <w:color w:val="auto"/>
          <w:szCs w:val="30"/>
          <w:highlight w:val="none"/>
        </w:rPr>
      </w:pPr>
      <w:bookmarkStart w:id="814"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814"/>
    </w:p>
    <w:p w14:paraId="56E9F012">
      <w:pPr>
        <w:autoSpaceDE w:val="0"/>
        <w:autoSpaceDN w:val="0"/>
        <w:adjustRightInd w:val="0"/>
        <w:spacing w:line="360" w:lineRule="auto"/>
        <w:ind w:left="567" w:hanging="567"/>
        <w:rPr>
          <w:rFonts w:ascii="宋体" w:hAnsi="宋体" w:eastAsia="宋体" w:cs="宋体"/>
          <w:color w:val="auto"/>
          <w:szCs w:val="30"/>
          <w:highlight w:val="none"/>
        </w:rPr>
      </w:pPr>
      <w:bookmarkStart w:id="815"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15"/>
    </w:p>
    <w:p w14:paraId="310FAEC0">
      <w:pPr>
        <w:autoSpaceDE w:val="0"/>
        <w:autoSpaceDN w:val="0"/>
        <w:adjustRightInd w:val="0"/>
        <w:spacing w:line="360" w:lineRule="auto"/>
        <w:ind w:left="567" w:hanging="567"/>
        <w:rPr>
          <w:rFonts w:ascii="宋体" w:hAnsi="宋体" w:eastAsia="宋体" w:cs="宋体"/>
          <w:color w:val="auto"/>
          <w:szCs w:val="30"/>
          <w:highlight w:val="none"/>
        </w:rPr>
      </w:pPr>
      <w:bookmarkStart w:id="816" w:name="_Toc1206_WPSOffice_Level1"/>
      <w:r>
        <w:rPr>
          <w:rFonts w:hint="eastAsia" w:ascii="宋体" w:hAnsi="宋体" w:eastAsia="宋体" w:cs="宋体"/>
          <w:color w:val="auto"/>
          <w:szCs w:val="30"/>
          <w:highlight w:val="none"/>
        </w:rPr>
        <w:t>四、 比较和评价</w:t>
      </w:r>
      <w:bookmarkEnd w:id="816"/>
    </w:p>
    <w:p w14:paraId="13DD790A">
      <w:pPr>
        <w:autoSpaceDE w:val="0"/>
        <w:autoSpaceDN w:val="0"/>
        <w:adjustRightInd w:val="0"/>
        <w:spacing w:line="360" w:lineRule="auto"/>
        <w:ind w:left="567" w:hanging="567"/>
        <w:rPr>
          <w:rFonts w:ascii="宋体" w:hAnsi="宋体" w:eastAsia="宋体" w:cs="宋体"/>
          <w:color w:val="auto"/>
          <w:szCs w:val="30"/>
          <w:highlight w:val="none"/>
        </w:rPr>
      </w:pPr>
      <w:bookmarkStart w:id="817"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17"/>
    </w:p>
    <w:p w14:paraId="1CCAFEC0">
      <w:pPr>
        <w:autoSpaceDE w:val="0"/>
        <w:autoSpaceDN w:val="0"/>
        <w:adjustRightInd w:val="0"/>
        <w:spacing w:line="360" w:lineRule="auto"/>
        <w:ind w:left="567" w:hanging="567"/>
        <w:rPr>
          <w:rFonts w:ascii="宋体" w:hAnsi="宋体" w:eastAsia="宋体" w:cs="宋体"/>
          <w:color w:val="auto"/>
          <w:szCs w:val="30"/>
          <w:highlight w:val="none"/>
        </w:rPr>
      </w:pPr>
      <w:bookmarkStart w:id="818"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18"/>
    </w:p>
    <w:p w14:paraId="4E3E06EC">
      <w:pPr>
        <w:autoSpaceDE w:val="0"/>
        <w:autoSpaceDN w:val="0"/>
        <w:adjustRightInd w:val="0"/>
        <w:spacing w:line="360" w:lineRule="auto"/>
        <w:ind w:left="567" w:hanging="567"/>
        <w:rPr>
          <w:rFonts w:ascii="宋体" w:hAnsi="宋体" w:eastAsia="宋体" w:cs="宋体"/>
          <w:color w:val="auto"/>
          <w:szCs w:val="30"/>
          <w:highlight w:val="none"/>
        </w:rPr>
      </w:pPr>
      <w:bookmarkStart w:id="819"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19"/>
    </w:p>
    <w:p w14:paraId="21FE557E">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F60DD05">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42EDFC11">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4D46219C">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20"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820"/>
    </w:p>
    <w:p w14:paraId="2F367284">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467BA3DC">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东莞市水务环境投资控股集团净水有限公司2026年-2027年生产药剂液体聚合氯化铝、液体聚合氯化铝铁采购项目</w:t>
      </w:r>
      <w:r>
        <w:rPr>
          <w:rFonts w:hint="eastAsia" w:ascii="宋体" w:hAnsi="宋体" w:eastAsia="宋体" w:cs="宋体"/>
          <w:color w:val="auto"/>
          <w:szCs w:val="21"/>
          <w:highlight w:val="none"/>
          <w:lang w:val="zh-CN"/>
        </w:rPr>
        <w:t>(招标编号：WQWWQZ12600299</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1B0984F5">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0772BEA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广东一方项目管理有限公司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7CC6C118">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45E8251C">
      <w:pPr>
        <w:numPr>
          <w:ilvl w:val="1"/>
          <w:numId w:val="6"/>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140CCDB2">
      <w:pPr>
        <w:autoSpaceDE w:val="0"/>
        <w:autoSpaceDN w:val="0"/>
        <w:adjustRightInd w:val="0"/>
        <w:spacing w:line="360" w:lineRule="auto"/>
        <w:rPr>
          <w:rFonts w:ascii="宋体" w:hAnsi="宋体" w:eastAsia="宋体" w:cs="宋体"/>
          <w:color w:val="auto"/>
          <w:sz w:val="24"/>
          <w:szCs w:val="24"/>
          <w:highlight w:val="none"/>
          <w:lang w:val="zh-CN"/>
        </w:rPr>
      </w:pPr>
    </w:p>
    <w:p w14:paraId="0CB7341F">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0A28A275">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rPr>
        <w:t>7人以上（含7人）单数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453A9BC5">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7100AE28">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1D79B6B4">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701F4A19">
      <w:pPr>
        <w:autoSpaceDE w:val="0"/>
        <w:autoSpaceDN w:val="0"/>
        <w:adjustRightInd w:val="0"/>
        <w:spacing w:line="360" w:lineRule="auto"/>
        <w:rPr>
          <w:rFonts w:ascii="宋体" w:hAnsi="宋体" w:eastAsia="宋体" w:cs="宋体"/>
          <w:color w:val="auto"/>
          <w:sz w:val="24"/>
          <w:szCs w:val="24"/>
          <w:highlight w:val="none"/>
          <w:lang w:val="zh-CN"/>
        </w:rPr>
      </w:pPr>
    </w:p>
    <w:p w14:paraId="1933D248">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02161EE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4450D9B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32E1A01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4E3C4DE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16FA3FB7">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155A0BF5">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5669F26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220C0EC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3600BD9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40FF6F8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3FE4B14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7FF4336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4C984893">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1F662F15">
      <w:pPr>
        <w:tabs>
          <w:tab w:val="left" w:pos="1547"/>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192940E7">
      <w:pPr>
        <w:autoSpaceDE w:val="0"/>
        <w:autoSpaceDN w:val="0"/>
        <w:adjustRightInd w:val="0"/>
        <w:spacing w:line="360" w:lineRule="auto"/>
        <w:ind w:left="567" w:hanging="567"/>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公开招标：</w:t>
      </w:r>
    </w:p>
    <w:p w14:paraId="2DAACC94">
      <w:pPr>
        <w:autoSpaceDE w:val="0"/>
        <w:autoSpaceDN w:val="0"/>
        <w:adjustRightInd w:val="0"/>
        <w:spacing w:line="360" w:lineRule="auto"/>
        <w:ind w:left="567" w:hanging="567"/>
        <w:rPr>
          <w:rFonts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367ABD6E">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254F18BA">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3FDD4DD1">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2B680367">
      <w:pPr>
        <w:autoSpaceDE w:val="0"/>
        <w:autoSpaceDN w:val="0"/>
        <w:adjustRightInd w:val="0"/>
        <w:spacing w:line="360" w:lineRule="auto"/>
        <w:ind w:left="567" w:hanging="567"/>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5A508778">
      <w:pPr>
        <w:autoSpaceDE w:val="0"/>
        <w:autoSpaceDN w:val="0"/>
        <w:adjustRightInd w:val="0"/>
        <w:spacing w:line="360" w:lineRule="auto"/>
        <w:ind w:left="567" w:hanging="567"/>
        <w:rPr>
          <w:rFonts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6770CAAC">
      <w:pPr>
        <w:autoSpaceDE w:val="0"/>
        <w:autoSpaceDN w:val="0"/>
        <w:adjustRightInd w:val="0"/>
        <w:spacing w:line="360" w:lineRule="auto"/>
        <w:ind w:left="525" w:hanging="525" w:hangingChars="250"/>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34E4610A">
      <w:pPr>
        <w:autoSpaceDE w:val="0"/>
        <w:autoSpaceDN w:val="0"/>
        <w:adjustRightInd w:val="0"/>
        <w:spacing w:line="360" w:lineRule="auto"/>
        <w:ind w:left="525" w:hanging="525" w:hangingChars="250"/>
        <w:jc w:val="left"/>
        <w:rPr>
          <w:rFonts w:ascii="宋体" w:hAnsi="宋体" w:eastAsia="宋体" w:cs="宋体"/>
          <w:color w:val="auto"/>
          <w:szCs w:val="24"/>
          <w:highlight w:val="none"/>
          <w:lang w:val="zh-CN"/>
        </w:rPr>
      </w:pPr>
    </w:p>
    <w:p w14:paraId="19C1C91F">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821" w:name="_Toc19435_WPSOffice_Level1"/>
      <w:r>
        <w:rPr>
          <w:rFonts w:hint="eastAsia" w:ascii="宋体" w:hAnsi="宋体" w:eastAsia="宋体" w:cs="宋体"/>
          <w:b/>
          <w:bCs/>
          <w:color w:val="auto"/>
          <w:sz w:val="28"/>
          <w:szCs w:val="28"/>
          <w:highlight w:val="none"/>
          <w:lang w:val="zh-CN"/>
        </w:rPr>
        <w:t>二、投标文件的初审</w:t>
      </w:r>
      <w:bookmarkEnd w:id="821"/>
    </w:p>
    <w:p w14:paraId="4B18EDDB">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6A9962C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379F8224">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7393560B">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供货及服务范围、质量和性能，或指与招标文件有实质不一致，限制了合同项下委托人的权利和承包人的义务, 或对该重大偏离的修改对提交实质性响应投标的其他投标人将不公平。</w:t>
      </w:r>
    </w:p>
    <w:p w14:paraId="6286BCAD">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04B666CE">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18241637">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3F3C0BFD">
      <w:pPr>
        <w:autoSpaceDE w:val="0"/>
        <w:autoSpaceDN w:val="0"/>
        <w:adjustRightInd w:val="0"/>
        <w:spacing w:line="360" w:lineRule="auto"/>
        <w:rPr>
          <w:rFonts w:ascii="宋体" w:hAnsi="宋体" w:eastAsia="宋体" w:cs="宋体"/>
          <w:b/>
          <w:color w:val="auto"/>
          <w:szCs w:val="21"/>
          <w:highlight w:val="none"/>
          <w:lang w:val="zh-CN"/>
        </w:rPr>
      </w:pPr>
      <w:bookmarkStart w:id="822" w:name="_Toc26899"/>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上传的投标文件损坏或无法读取的；</w:t>
      </w:r>
      <w:bookmarkEnd w:id="822"/>
    </w:p>
    <w:p w14:paraId="13755570">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经招标人确认，投标人在公共资源交易企业库填报的与本项目密切相关的信息与事实不相符的；</w:t>
      </w:r>
    </w:p>
    <w:p w14:paraId="38ADF255">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.3 投标文件中使用的本项目招标文件版本，与交易系统上发布的本项目招标文件的最新版本不一致的；</w:t>
      </w:r>
    </w:p>
    <w:p w14:paraId="3397889C">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投标文件签名使用的数字证书与签到的投标人名称不一致的；</w:t>
      </w:r>
    </w:p>
    <w:p w14:paraId="672573C8">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投标人的投标编制MAC信息、投标编制CPU序列号、投标编制硬盘序列号均与其他投标人相同的；</w:t>
      </w:r>
    </w:p>
    <w:p w14:paraId="17A36269">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投标文件附有招标人不能接受的条件的；</w:t>
      </w:r>
    </w:p>
    <w:p w14:paraId="1022801A">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投标人资格不满足第二篇投标人须知第2</w:t>
      </w:r>
      <w:r>
        <w:rPr>
          <w:rFonts w:hint="eastAsia" w:ascii="宋体" w:hAnsi="宋体" w:eastAsia="宋体" w:cs="宋体"/>
          <w:b/>
          <w:color w:val="auto"/>
          <w:szCs w:val="21"/>
          <w:highlight w:val="none"/>
        </w:rPr>
        <w:t>条</w:t>
      </w:r>
      <w:r>
        <w:rPr>
          <w:rFonts w:hint="eastAsia" w:ascii="宋体" w:hAnsi="宋体" w:eastAsia="宋体" w:cs="宋体"/>
          <w:b/>
          <w:color w:val="auto"/>
          <w:szCs w:val="21"/>
          <w:highlight w:val="none"/>
          <w:lang w:val="zh-CN"/>
        </w:rPr>
        <w:t>的要求；</w:t>
      </w:r>
    </w:p>
    <w:p w14:paraId="008564FD">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投标人未按招标文件要求交纳投标保证金的；</w:t>
      </w:r>
    </w:p>
    <w:p w14:paraId="796F638B">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 xml:space="preserve"> 投标文件报价信封中填报的投标</w:t>
      </w:r>
      <w:r>
        <w:rPr>
          <w:rFonts w:hint="eastAsia" w:ascii="宋体" w:hAnsi="宋体" w:eastAsia="宋体" w:cs="宋体"/>
          <w:b/>
          <w:color w:val="auto"/>
          <w:szCs w:val="21"/>
          <w:highlight w:val="none"/>
          <w:lang w:val="en-US" w:eastAsia="zh-CN"/>
        </w:rPr>
        <w:t>总价</w:t>
      </w:r>
      <w:r>
        <w:rPr>
          <w:rFonts w:hint="eastAsia" w:ascii="宋体" w:hAnsi="宋体" w:eastAsia="宋体" w:cs="宋体"/>
          <w:b/>
          <w:color w:val="auto"/>
          <w:szCs w:val="21"/>
          <w:highlight w:val="none"/>
          <w:lang w:val="zh-CN"/>
        </w:rPr>
        <w:t>报价高于不含税最高投标限价的；；</w:t>
      </w:r>
    </w:p>
    <w:p w14:paraId="64D10D6E">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0</w:t>
      </w:r>
      <w:r>
        <w:rPr>
          <w:rFonts w:hint="eastAsia" w:ascii="宋体" w:hAnsi="宋体" w:eastAsia="宋体" w:cs="宋体"/>
          <w:b/>
          <w:color w:val="auto"/>
          <w:szCs w:val="21"/>
          <w:highlight w:val="none"/>
          <w:lang w:val="zh-CN"/>
        </w:rPr>
        <w:t xml:space="preserve"> 投标人以低于企业成本价报价，且投标人不能合理说明或不能提供相关证明材料；</w:t>
      </w:r>
    </w:p>
    <w:p w14:paraId="6ED93D13">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 xml:space="preserve"> 投标人递交两份或多份内容不同的投标文件，或在一份投标文件中报有两个或多个报价，且未书面声明哪一个有效；</w:t>
      </w:r>
    </w:p>
    <w:p w14:paraId="475E841A">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 xml:space="preserve"> 投标文件未按第二篇投标人须知第17</w:t>
      </w:r>
      <w:r>
        <w:rPr>
          <w:rFonts w:hint="eastAsia" w:ascii="宋体" w:hAnsi="宋体" w:eastAsia="宋体" w:cs="宋体"/>
          <w:b/>
          <w:color w:val="auto"/>
          <w:szCs w:val="21"/>
          <w:highlight w:val="none"/>
        </w:rPr>
        <w:t>条</w:t>
      </w:r>
      <w:r>
        <w:rPr>
          <w:rFonts w:hint="eastAsia" w:ascii="宋体" w:hAnsi="宋体" w:eastAsia="宋体" w:cs="宋体"/>
          <w:b/>
          <w:color w:val="auto"/>
          <w:szCs w:val="21"/>
          <w:highlight w:val="none"/>
          <w:lang w:val="zh-CN"/>
        </w:rPr>
        <w:t xml:space="preserve">的要求编制、使用企业数字证书或个人数字证书电子签名的； </w:t>
      </w:r>
    </w:p>
    <w:p w14:paraId="30579CD9">
      <w:pPr>
        <w:autoSpaceDE w:val="0"/>
        <w:autoSpaceDN w:val="0"/>
        <w:adjustRightInd w:val="0"/>
        <w:spacing w:line="360" w:lineRule="auto"/>
        <w:rPr>
          <w:rFonts w:ascii="宋体" w:hAnsi="宋体" w:eastAsia="宋体" w:cs="宋体"/>
          <w:b/>
          <w:color w:val="auto"/>
          <w:szCs w:val="21"/>
          <w:highlight w:val="none"/>
          <w:lang w:val="zh-CN"/>
        </w:rPr>
      </w:pPr>
      <w:bookmarkStart w:id="823" w:name="_Toc16046"/>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 xml:space="preserve"> 投标有效期限不符合要求；</w:t>
      </w:r>
      <w:bookmarkEnd w:id="823"/>
    </w:p>
    <w:p w14:paraId="3E273745">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投标文件未对招标范围内的全部内容进行投标报价或投标方案不是唯一；</w:t>
      </w:r>
    </w:p>
    <w:p w14:paraId="5BAD704B">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未提供或虚假填写《合同条款偏离表》，或对《合同条款偏离表》有负偏离的；</w:t>
      </w:r>
    </w:p>
    <w:p w14:paraId="0A8999DA">
      <w:pPr>
        <w:autoSpaceDE w:val="0"/>
        <w:autoSpaceDN w:val="0"/>
        <w:adjustRightInd w:val="0"/>
        <w:spacing w:line="360" w:lineRule="auto"/>
        <w:rPr>
          <w:rFonts w:ascii="宋体" w:hAnsi="宋体" w:eastAsia="宋体" w:cs="宋体"/>
          <w:b/>
          <w:color w:val="auto"/>
          <w:szCs w:val="21"/>
          <w:highlight w:val="none"/>
          <w:lang w:val="zh-CN"/>
        </w:rPr>
      </w:pPr>
      <w:bookmarkStart w:id="824" w:name="_Toc18040"/>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未填写或虚假填写《用户需求偏离表》的；</w:t>
      </w:r>
      <w:bookmarkEnd w:id="824"/>
    </w:p>
    <w:p w14:paraId="32FB56BE">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未响应招标文件提出的实质性要求和条件（标注★的条款）；</w:t>
      </w:r>
    </w:p>
    <w:p w14:paraId="51B11A30">
      <w:pPr>
        <w:autoSpaceDE w:val="0"/>
        <w:autoSpaceDN w:val="0"/>
        <w:adjustRightInd w:val="0"/>
        <w:spacing w:line="360" w:lineRule="auto"/>
        <w:ind w:left="316" w:hanging="316" w:hangingChars="1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18</w:t>
      </w:r>
      <w:r>
        <w:rPr>
          <w:rFonts w:hint="eastAsia" w:ascii="宋体" w:hAnsi="宋体" w:eastAsia="宋体" w:cs="宋体"/>
          <w:b/>
          <w:color w:val="auto"/>
          <w:szCs w:val="21"/>
          <w:highlight w:val="none"/>
          <w:lang w:val="zh-CN"/>
        </w:rPr>
        <w:t xml:space="preserve"> 属于招标文件中规定为无效标的；属于法律、法规、规章规定的应作无效投标文件处理的。</w:t>
      </w:r>
    </w:p>
    <w:p w14:paraId="0A67C93E">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272AC760">
      <w:pPr>
        <w:spacing w:line="360" w:lineRule="auto"/>
        <w:ind w:left="480"/>
        <w:rPr>
          <w:rFonts w:ascii="宋体" w:hAnsi="宋体" w:eastAsia="宋体" w:cs="宋体"/>
          <w:b/>
          <w:color w:val="auto"/>
          <w:kern w:val="0"/>
          <w:szCs w:val="21"/>
          <w:highlight w:val="none"/>
        </w:rPr>
      </w:pPr>
    </w:p>
    <w:p w14:paraId="2B2A0F78">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825" w:name="_Toc4109_WPSOffice_Level1"/>
      <w:r>
        <w:rPr>
          <w:rFonts w:hint="eastAsia" w:ascii="宋体" w:hAnsi="宋体" w:eastAsia="宋体" w:cs="宋体"/>
          <w:b/>
          <w:bCs/>
          <w:color w:val="auto"/>
          <w:sz w:val="28"/>
          <w:szCs w:val="28"/>
          <w:highlight w:val="none"/>
          <w:lang w:val="zh-CN"/>
        </w:rPr>
        <w:t>三、澄清有关问题</w:t>
      </w:r>
      <w:bookmarkEnd w:id="825"/>
    </w:p>
    <w:p w14:paraId="278BDE3A">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46ECDB65">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778EBE43">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2E680155">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13900BC9">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szCs w:val="24"/>
          <w:highlight w:val="none"/>
          <w:lang w:val="zh-CN"/>
        </w:rPr>
        <w:t>9.</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kern w:val="0"/>
          <w:szCs w:val="21"/>
          <w:highlight w:val="none"/>
        </w:rPr>
        <w:t>投标文件报价计算错误的修正</w:t>
      </w:r>
    </w:p>
    <w:p w14:paraId="2ADC685B">
      <w:pPr>
        <w:spacing w:line="360" w:lineRule="auto"/>
        <w:ind w:left="556" w:leftChars="195" w:hanging="147" w:hangingChars="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5D2FB3DF">
      <w:pPr>
        <w:spacing w:line="360" w:lineRule="auto"/>
        <w:ind w:firstLine="420" w:firstLine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5547D8A3">
      <w:pPr>
        <w:spacing w:line="360" w:lineRule="auto"/>
        <w:ind w:left="420" w:left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（B）分项报价表内投标报价金额与按综合单价计算的总金额不一致的，以综合单价计算结果为准，综合单价金额小数点有明显错位的，应以总价为准，并修正综合单价；</w:t>
      </w:r>
    </w:p>
    <w:p w14:paraId="02F560CB">
      <w:pPr>
        <w:spacing w:line="360" w:lineRule="auto"/>
        <w:ind w:left="420" w:leftChars="20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09C722BD">
      <w:pPr>
        <w:autoSpaceDE w:val="0"/>
        <w:autoSpaceDN w:val="0"/>
        <w:adjustRightInd w:val="0"/>
        <w:spacing w:line="360" w:lineRule="auto"/>
        <w:ind w:left="512" w:leftChars="194" w:right="18" w:hanging="105" w:hangingChars="50"/>
        <w:rPr>
          <w:rFonts w:ascii="宋体" w:hAnsi="宋体" w:eastAsia="宋体" w:cs="宋体"/>
          <w:color w:val="auto"/>
          <w:szCs w:val="24"/>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83734D6">
      <w:pPr>
        <w:spacing w:line="360" w:lineRule="auto"/>
        <w:ind w:left="567" w:hanging="567" w:hangingChars="270"/>
        <w:rPr>
          <w:rFonts w:hint="eastAsia" w:ascii="宋体" w:hAnsi="宋体" w:eastAsia="宋体" w:cs="宋体"/>
          <w:b/>
          <w:color w:val="auto"/>
          <w:szCs w:val="21"/>
          <w:highlight w:val="none"/>
          <w:lang w:val="zh-CN"/>
        </w:rPr>
      </w:pPr>
      <w:r>
        <w:rPr>
          <w:rFonts w:hint="eastAsia" w:ascii="宋体" w:hAnsi="宋体" w:eastAsia="宋体" w:cs="宋体"/>
          <w:color w:val="auto"/>
          <w:kern w:val="0"/>
          <w:szCs w:val="21"/>
          <w:highlight w:val="none"/>
          <w:lang w:val="zh-CN"/>
        </w:rPr>
        <w:t>9.</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rPr>
        <w:t xml:space="preserve">  若投标人出现超低报价，</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6DE5C942">
      <w:pPr>
        <w:spacing w:line="360" w:lineRule="auto"/>
        <w:ind w:left="1094" w:leftChars="250" w:hanging="569" w:hangingChars="27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若出现下列情形之一的，评审委员会应启动异常低价投标审查程序：</w:t>
      </w:r>
    </w:p>
    <w:p w14:paraId="0D281679">
      <w:pPr>
        <w:spacing w:line="360" w:lineRule="auto"/>
        <w:ind w:left="1094" w:leftChars="250" w:hanging="569" w:hangingChars="27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（1）投标报价低于合格投标人报价平均值50%的；</w:t>
      </w:r>
    </w:p>
    <w:p w14:paraId="5B7A2FD9">
      <w:pPr>
        <w:spacing w:line="360" w:lineRule="auto"/>
        <w:ind w:left="1094" w:leftChars="250" w:hanging="569" w:hangingChars="27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（2）投标报价低于合格且报价次低投标人报价50%的；</w:t>
      </w:r>
    </w:p>
    <w:p w14:paraId="48D243E0">
      <w:pPr>
        <w:spacing w:line="360" w:lineRule="auto"/>
        <w:ind w:left="1094" w:leftChars="250" w:hanging="569" w:hangingChars="27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（3）投标报价低于采购项目采购限价45%的；</w:t>
      </w:r>
    </w:p>
    <w:p w14:paraId="24781841">
      <w:pPr>
        <w:spacing w:line="360" w:lineRule="auto"/>
        <w:ind w:left="1094" w:leftChars="250" w:hanging="569" w:hangingChars="27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（4）评审委员会认为投标人报价过低，有可能影响产品质量或者不能诚信履约的。</w:t>
      </w:r>
    </w:p>
    <w:p w14:paraId="5EA772F0">
      <w:pPr>
        <w:spacing w:line="360" w:lineRule="auto"/>
        <w:ind w:left="567" w:hanging="567" w:hangingChars="270"/>
        <w:rPr>
          <w:rFonts w:ascii="宋体" w:hAnsi="宋体" w:eastAsia="宋体" w:cs="宋体"/>
          <w:color w:val="auto"/>
          <w:kern w:val="0"/>
          <w:szCs w:val="21"/>
          <w:highlight w:val="none"/>
          <w:lang w:val="zh-CN"/>
        </w:rPr>
      </w:pPr>
    </w:p>
    <w:p w14:paraId="11295ED2">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826" w:name="_Toc8518_WPSOffice_Level1"/>
    </w:p>
    <w:p w14:paraId="03C60F35">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26"/>
    </w:p>
    <w:p w14:paraId="06828B58">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50019904">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42C8F031">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5D66048D">
      <w:pPr>
        <w:autoSpaceDE w:val="0"/>
        <w:autoSpaceDN w:val="0"/>
        <w:adjustRightInd w:val="0"/>
        <w:spacing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3B2C3015">
      <w:pPr>
        <w:autoSpaceDE w:val="0"/>
        <w:autoSpaceDN w:val="0"/>
        <w:adjustRightInd w:val="0"/>
        <w:spacing w:line="360" w:lineRule="auto"/>
        <w:ind w:left="565" w:leftChars="-1" w:hanging="567" w:hangingChars="27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10FAD8FF">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3401E571">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18754E1F">
      <w:pPr>
        <w:autoSpaceDE w:val="0"/>
        <w:autoSpaceDN w:val="0"/>
        <w:adjustRightInd w:val="0"/>
        <w:spacing w:line="360" w:lineRule="auto"/>
        <w:ind w:left="565" w:leftChars="-1" w:hanging="567" w:hangingChars="270"/>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的评分因素的评分低于权重分值60%的，应在评标报告中作出说明。</w:t>
      </w:r>
    </w:p>
    <w:p w14:paraId="47C3889E">
      <w:pPr>
        <w:autoSpaceDE w:val="0"/>
        <w:autoSpaceDN w:val="0"/>
        <w:adjustRightInd w:val="0"/>
        <w:spacing w:line="360" w:lineRule="auto"/>
        <w:ind w:left="565" w:leftChars="-1" w:hanging="567" w:hangingChars="270"/>
        <w:rPr>
          <w:rFonts w:ascii="宋体" w:hAnsi="宋体" w:eastAsia="宋体" w:cs="宋体"/>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14:paraId="6F05CF64">
      <w:pPr>
        <w:tabs>
          <w:tab w:val="left" w:pos="600"/>
        </w:tabs>
        <w:autoSpaceDE w:val="0"/>
        <w:autoSpaceDN w:val="0"/>
        <w:adjustRightInd w:val="0"/>
        <w:spacing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3CCD31BC">
      <w:pPr>
        <w:autoSpaceDE w:val="0"/>
        <w:autoSpaceDN w:val="0"/>
        <w:adjustRightInd w:val="0"/>
        <w:spacing w:line="360" w:lineRule="auto"/>
        <w:ind w:left="565" w:leftChars="-1" w:hanging="567" w:hangingChars="27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157A6431">
      <w:pPr>
        <w:autoSpaceDE w:val="0"/>
        <w:autoSpaceDN w:val="0"/>
        <w:adjustRightInd w:val="0"/>
        <w:spacing w:line="360" w:lineRule="auto"/>
        <w:ind w:left="426" w:hanging="426"/>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07741D13">
      <w:pPr>
        <w:tabs>
          <w:tab w:val="left" w:pos="600"/>
        </w:tabs>
        <w:autoSpaceDE w:val="0"/>
        <w:autoSpaceDN w:val="0"/>
        <w:adjustRightInd w:val="0"/>
        <w:spacing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0A7A5D94">
      <w:pPr>
        <w:tabs>
          <w:tab w:val="left" w:pos="1134"/>
        </w:tabs>
        <w:autoSpaceDE w:val="0"/>
        <w:autoSpaceDN w:val="0"/>
        <w:adjustRightInd w:val="0"/>
        <w:spacing w:line="360" w:lineRule="auto"/>
        <w:ind w:left="565" w:leftChars="-1" w:hanging="567" w:hangingChars="27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05503077">
      <w:pPr>
        <w:tabs>
          <w:tab w:val="left" w:pos="1134"/>
        </w:tabs>
        <w:autoSpaceDE w:val="0"/>
        <w:autoSpaceDN w:val="0"/>
        <w:adjustRightInd w:val="0"/>
        <w:spacing w:line="360" w:lineRule="auto"/>
        <w:ind w:left="565" w:leftChars="-1" w:hanging="567" w:hangingChars="27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27C9A25D">
      <w:pPr>
        <w:tabs>
          <w:tab w:val="left" w:pos="1134"/>
        </w:tabs>
        <w:autoSpaceDE w:val="0"/>
        <w:autoSpaceDN w:val="0"/>
        <w:adjustRightInd w:val="0"/>
        <w:spacing w:line="360" w:lineRule="auto"/>
        <w:ind w:left="565" w:leftChars="-1" w:hanging="567" w:hangingChars="27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31434C67">
      <w:pPr>
        <w:autoSpaceDE w:val="0"/>
        <w:autoSpaceDN w:val="0"/>
        <w:adjustRightInd w:val="0"/>
        <w:spacing w:line="360" w:lineRule="auto"/>
        <w:rPr>
          <w:rFonts w:ascii="宋体" w:hAnsi="宋体" w:eastAsia="宋体" w:cs="宋体"/>
          <w:color w:val="auto"/>
          <w:szCs w:val="24"/>
          <w:highlight w:val="none"/>
          <w:lang w:val="zh-CN"/>
        </w:rPr>
      </w:pPr>
    </w:p>
    <w:p w14:paraId="40F33567">
      <w:pPr>
        <w:tabs>
          <w:tab w:val="left" w:pos="1701"/>
        </w:tabs>
        <w:autoSpaceDE w:val="0"/>
        <w:autoSpaceDN w:val="0"/>
        <w:adjustRightInd w:val="0"/>
        <w:spacing w:line="360" w:lineRule="auto"/>
        <w:outlineLvl w:val="1"/>
        <w:rPr>
          <w:rFonts w:ascii="宋体" w:hAnsi="宋体" w:eastAsia="宋体" w:cs="宋体"/>
          <w:b/>
          <w:color w:val="auto"/>
          <w:szCs w:val="24"/>
          <w:highlight w:val="none"/>
          <w:lang w:val="zh-CN"/>
        </w:rPr>
      </w:pPr>
      <w:bookmarkStart w:id="827" w:name="_Toc32051"/>
      <w:bookmarkStart w:id="828" w:name="_Toc211622229"/>
      <w:r>
        <w:rPr>
          <w:rFonts w:hint="eastAsia" w:ascii="宋体" w:hAnsi="宋体" w:eastAsia="宋体" w:cs="宋体"/>
          <w:b/>
          <w:color w:val="auto"/>
          <w:szCs w:val="24"/>
          <w:highlight w:val="none"/>
          <w:lang w:val="zh-CN"/>
        </w:rPr>
        <w:t>12、评分因素及分值</w:t>
      </w:r>
      <w:bookmarkEnd w:id="827"/>
      <w:bookmarkEnd w:id="828"/>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850"/>
        <w:gridCol w:w="4826"/>
      </w:tblGrid>
      <w:tr w14:paraId="1A2CB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7794063">
            <w:pPr>
              <w:spacing w:line="240" w:lineRule="auto"/>
              <w:jc w:val="center"/>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357D5C22">
            <w:pPr>
              <w:spacing w:line="240" w:lineRule="auto"/>
              <w:jc w:val="center"/>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分值</w:t>
            </w:r>
          </w:p>
        </w:tc>
      </w:tr>
      <w:tr w14:paraId="3534F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5BE38FB">
            <w:pPr>
              <w:spacing w:line="240" w:lineRule="auto"/>
              <w:jc w:val="center"/>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1、商务</w:t>
            </w:r>
          </w:p>
        </w:tc>
        <w:tc>
          <w:tcPr>
            <w:tcW w:w="4826" w:type="dxa"/>
            <w:tcBorders>
              <w:top w:val="single" w:color="auto" w:sz="4" w:space="0"/>
              <w:left w:val="single" w:color="auto" w:sz="4" w:space="0"/>
              <w:bottom w:val="single" w:color="auto" w:sz="4" w:space="0"/>
              <w:right w:val="single" w:color="auto" w:sz="4" w:space="0"/>
            </w:tcBorders>
            <w:vAlign w:val="center"/>
          </w:tcPr>
          <w:p w14:paraId="37C6AF21">
            <w:pPr>
              <w:autoSpaceDE w:val="0"/>
              <w:autoSpaceDN w:val="0"/>
              <w:adjustRightInd w:val="0"/>
              <w:spacing w:line="240" w:lineRule="auto"/>
              <w:jc w:val="center"/>
              <w:rPr>
                <w:rFonts w:ascii="宋体" w:hAnsi="宋体" w:eastAsia="宋体" w:cs="宋体"/>
                <w:bCs/>
                <w:color w:val="auto"/>
                <w:kern w:val="0"/>
                <w:szCs w:val="21"/>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14:paraId="794B4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C0B7E57">
            <w:pPr>
              <w:spacing w:line="240" w:lineRule="auto"/>
              <w:jc w:val="center"/>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2、技术</w:t>
            </w:r>
          </w:p>
        </w:tc>
        <w:tc>
          <w:tcPr>
            <w:tcW w:w="4826" w:type="dxa"/>
            <w:tcBorders>
              <w:top w:val="single" w:color="auto" w:sz="4" w:space="0"/>
              <w:left w:val="single" w:color="auto" w:sz="4" w:space="0"/>
              <w:bottom w:val="single" w:color="auto" w:sz="4" w:space="0"/>
              <w:right w:val="single" w:color="auto" w:sz="4" w:space="0"/>
            </w:tcBorders>
            <w:vAlign w:val="center"/>
          </w:tcPr>
          <w:p w14:paraId="003D61E9">
            <w:pPr>
              <w:autoSpaceDE w:val="0"/>
              <w:autoSpaceDN w:val="0"/>
              <w:adjustRightInd w:val="0"/>
              <w:spacing w:line="240" w:lineRule="auto"/>
              <w:jc w:val="center"/>
              <w:rPr>
                <w:rFonts w:ascii="宋体" w:hAnsi="宋体" w:eastAsia="宋体" w:cs="宋体"/>
                <w:bCs/>
                <w:color w:val="auto"/>
                <w:kern w:val="0"/>
                <w:szCs w:val="21"/>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14:paraId="33A289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7CED22E">
            <w:pPr>
              <w:spacing w:line="240" w:lineRule="auto"/>
              <w:jc w:val="center"/>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3、价格</w:t>
            </w:r>
          </w:p>
        </w:tc>
        <w:tc>
          <w:tcPr>
            <w:tcW w:w="4826" w:type="dxa"/>
            <w:tcBorders>
              <w:top w:val="single" w:color="auto" w:sz="4" w:space="0"/>
              <w:left w:val="single" w:color="auto" w:sz="4" w:space="0"/>
              <w:bottom w:val="single" w:color="auto" w:sz="4" w:space="0"/>
              <w:right w:val="single" w:color="auto" w:sz="4" w:space="0"/>
            </w:tcBorders>
            <w:vAlign w:val="center"/>
          </w:tcPr>
          <w:p w14:paraId="40C8E6EB">
            <w:pPr>
              <w:autoSpaceDE w:val="0"/>
              <w:autoSpaceDN w:val="0"/>
              <w:adjustRightInd w:val="0"/>
              <w:spacing w:line="240" w:lineRule="auto"/>
              <w:jc w:val="center"/>
              <w:rPr>
                <w:rFonts w:ascii="宋体" w:hAnsi="宋体" w:eastAsia="宋体" w:cs="宋体"/>
                <w:bCs/>
                <w:color w:val="auto"/>
                <w:kern w:val="0"/>
                <w:szCs w:val="21"/>
                <w:highlight w:val="none"/>
                <w:lang w:val="zh-CN"/>
              </w:rPr>
            </w:pPr>
            <w:r>
              <w:rPr>
                <w:rFonts w:hint="eastAsia" w:ascii="宋体" w:hAnsi="宋体" w:eastAsia="宋体" w:cs="宋体"/>
                <w:b/>
                <w:color w:val="auto"/>
                <w:szCs w:val="21"/>
                <w:highlight w:val="none"/>
              </w:rPr>
              <w:t>60</w:t>
            </w:r>
            <w:r>
              <w:rPr>
                <w:rFonts w:hint="eastAsia" w:ascii="宋体" w:hAnsi="宋体" w:eastAsia="宋体" w:cs="宋体"/>
                <w:b/>
                <w:color w:val="auto"/>
                <w:szCs w:val="21"/>
                <w:highlight w:val="none"/>
                <w:lang w:val="zh-CN"/>
              </w:rPr>
              <w:t>分</w:t>
            </w:r>
          </w:p>
        </w:tc>
      </w:tr>
    </w:tbl>
    <w:p w14:paraId="46D9F185">
      <w:pPr>
        <w:tabs>
          <w:tab w:val="left" w:pos="585"/>
        </w:tabs>
        <w:autoSpaceDE w:val="0"/>
        <w:autoSpaceDN w:val="0"/>
        <w:adjustRightInd w:val="0"/>
        <w:spacing w:line="360" w:lineRule="auto"/>
        <w:rPr>
          <w:rFonts w:ascii="宋体" w:hAnsi="宋体" w:eastAsia="宋体" w:cs="宋体"/>
          <w:b/>
          <w:color w:val="auto"/>
          <w:szCs w:val="21"/>
          <w:highlight w:val="none"/>
        </w:rPr>
      </w:pPr>
      <w:bookmarkStart w:id="829" w:name="_Toc18349_WPSOffice_Level2"/>
    </w:p>
    <w:p w14:paraId="43DA88A5">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829"/>
    </w:p>
    <w:tbl>
      <w:tblPr>
        <w:tblStyle w:val="37"/>
        <w:tblW w:w="52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193"/>
        <w:gridCol w:w="7167"/>
        <w:gridCol w:w="1128"/>
      </w:tblGrid>
      <w:tr w14:paraId="6411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6" w:type="pct"/>
            <w:tcBorders>
              <w:top w:val="single" w:color="auto" w:sz="4" w:space="0"/>
              <w:left w:val="single" w:color="auto" w:sz="4" w:space="0"/>
              <w:bottom w:val="single" w:color="auto" w:sz="4" w:space="0"/>
              <w:right w:val="single" w:color="auto" w:sz="4" w:space="0"/>
            </w:tcBorders>
            <w:vAlign w:val="center"/>
          </w:tcPr>
          <w:p w14:paraId="66633636">
            <w:pPr>
              <w:autoSpaceDE w:val="0"/>
              <w:autoSpaceDN w:val="0"/>
              <w:adjustRightInd w:val="0"/>
              <w:spacing w:line="400" w:lineRule="exact"/>
              <w:jc w:val="center"/>
              <w:rPr>
                <w:rFonts w:hint="eastAsia" w:ascii="宋体" w:hAnsi="宋体" w:eastAsia="宋体" w:cs="宋体"/>
                <w:b/>
                <w:color w:val="auto"/>
                <w:kern w:val="0"/>
                <w:szCs w:val="21"/>
                <w:highlight w:val="none"/>
              </w:rPr>
            </w:pPr>
            <w:bookmarkStart w:id="830" w:name="_Toc11639_WPSOffice_Level2"/>
            <w:r>
              <w:rPr>
                <w:rFonts w:hint="eastAsia" w:ascii="宋体" w:hAnsi="宋体" w:eastAsia="宋体" w:cs="宋体"/>
                <w:b/>
                <w:color w:val="auto"/>
                <w:kern w:val="0"/>
                <w:szCs w:val="21"/>
                <w:highlight w:val="none"/>
              </w:rPr>
              <w:t>序号</w:t>
            </w:r>
          </w:p>
        </w:tc>
        <w:tc>
          <w:tcPr>
            <w:tcW w:w="585" w:type="pct"/>
            <w:tcBorders>
              <w:top w:val="single" w:color="auto" w:sz="4" w:space="0"/>
              <w:left w:val="single" w:color="auto" w:sz="4" w:space="0"/>
              <w:bottom w:val="single" w:color="auto" w:sz="4" w:space="0"/>
              <w:right w:val="single" w:color="auto" w:sz="4" w:space="0"/>
            </w:tcBorders>
            <w:vAlign w:val="center"/>
          </w:tcPr>
          <w:p w14:paraId="51E829DE">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zh-CN"/>
              </w:rPr>
              <w:t>评审内容</w:t>
            </w:r>
          </w:p>
        </w:tc>
        <w:tc>
          <w:tcPr>
            <w:tcW w:w="3515" w:type="pct"/>
            <w:tcBorders>
              <w:top w:val="single" w:color="auto" w:sz="4" w:space="0"/>
              <w:left w:val="single" w:color="auto" w:sz="4" w:space="0"/>
              <w:bottom w:val="single" w:color="auto" w:sz="4" w:space="0"/>
              <w:right w:val="single" w:color="auto" w:sz="4" w:space="0"/>
            </w:tcBorders>
            <w:vAlign w:val="center"/>
          </w:tcPr>
          <w:p w14:paraId="1F15211B">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553" w:type="pct"/>
            <w:tcBorders>
              <w:top w:val="single" w:color="auto" w:sz="4" w:space="0"/>
              <w:left w:val="single" w:color="auto" w:sz="4" w:space="0"/>
              <w:bottom w:val="single" w:color="auto" w:sz="4" w:space="0"/>
              <w:right w:val="single" w:color="auto" w:sz="4" w:space="0"/>
            </w:tcBorders>
            <w:vAlign w:val="center"/>
          </w:tcPr>
          <w:p w14:paraId="29848C10">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C9D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6" w:type="pct"/>
            <w:tcBorders>
              <w:top w:val="single" w:color="auto" w:sz="4" w:space="0"/>
              <w:left w:val="single" w:color="auto" w:sz="4" w:space="0"/>
              <w:bottom w:val="single" w:color="auto" w:sz="4" w:space="0"/>
              <w:right w:val="single" w:color="auto" w:sz="4" w:space="0"/>
            </w:tcBorders>
            <w:vAlign w:val="center"/>
          </w:tcPr>
          <w:p w14:paraId="7F974F7C">
            <w:pPr>
              <w:spacing w:line="400" w:lineRule="exact"/>
              <w:jc w:val="center"/>
              <w:rPr>
                <w:rFonts w:ascii="宋体" w:hAnsi="宋体" w:eastAsia="宋体" w:cs="宋体"/>
                <w:color w:val="auto"/>
                <w:kern w:val="0"/>
                <w:szCs w:val="21"/>
                <w:highlight w:val="none"/>
              </w:rPr>
            </w:pPr>
            <w:r>
              <w:rPr>
                <w:rFonts w:ascii="宋体" w:hAnsi="宋体" w:eastAsia="宋体" w:cs="宋体"/>
                <w:color w:val="auto"/>
                <w:szCs w:val="21"/>
                <w:highlight w:val="none"/>
              </w:rPr>
              <w:t>1</w:t>
            </w:r>
          </w:p>
        </w:tc>
        <w:tc>
          <w:tcPr>
            <w:tcW w:w="585" w:type="pct"/>
            <w:tcBorders>
              <w:top w:val="single" w:color="auto" w:sz="4" w:space="0"/>
              <w:left w:val="single" w:color="auto" w:sz="4" w:space="0"/>
              <w:bottom w:val="single" w:color="auto" w:sz="4" w:space="0"/>
              <w:right w:val="single" w:color="auto" w:sz="4" w:space="0"/>
            </w:tcBorders>
            <w:vAlign w:val="center"/>
          </w:tcPr>
          <w:p w14:paraId="6769D9D1">
            <w:pPr>
              <w:snapToGrid w:val="0"/>
              <w:spacing w:line="400" w:lineRule="exact"/>
              <w:jc w:val="center"/>
              <w:rPr>
                <w:rFonts w:ascii="宋体" w:hAnsi="宋体" w:eastAsia="宋体" w:cs="宋体"/>
                <w:bCs/>
                <w:color w:val="auto"/>
                <w:kern w:val="0"/>
                <w:sz w:val="24"/>
                <w:szCs w:val="21"/>
                <w:highlight w:val="none"/>
              </w:rPr>
            </w:pPr>
            <w:r>
              <w:rPr>
                <w:rFonts w:hint="eastAsia" w:ascii="宋体" w:hAnsi="宋体" w:eastAsia="宋体" w:cs="宋体"/>
                <w:color w:val="auto"/>
                <w:szCs w:val="21"/>
                <w:highlight w:val="none"/>
                <w:lang w:val="zh-CN"/>
              </w:rPr>
              <w:t>财务状况</w:t>
            </w:r>
          </w:p>
        </w:tc>
        <w:tc>
          <w:tcPr>
            <w:tcW w:w="3515" w:type="pct"/>
            <w:tcBorders>
              <w:top w:val="single" w:color="auto" w:sz="4" w:space="0"/>
              <w:left w:val="single" w:color="auto" w:sz="4" w:space="0"/>
              <w:bottom w:val="single" w:color="auto" w:sz="4" w:space="0"/>
              <w:right w:val="single" w:color="auto" w:sz="4" w:space="0"/>
            </w:tcBorders>
            <w:vAlign w:val="center"/>
          </w:tcPr>
          <w:p w14:paraId="20D88876">
            <w:pPr>
              <w:snapToGrid w:val="0"/>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投标人2022年-2024年三个年度，每具有1个年度盈利的得1分，满分3分。</w:t>
            </w:r>
          </w:p>
          <w:p w14:paraId="2B70A163">
            <w:pPr>
              <w:snapToGrid w:val="0"/>
              <w:spacing w:line="400" w:lineRule="exact"/>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备注：盈利指净利润为正数（非零、非负数），投标人应提供202</w:t>
            </w: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zh-CN"/>
              </w:rPr>
              <w:t>年、202</w:t>
            </w:r>
            <w:r>
              <w:rPr>
                <w:rFonts w:hint="eastAsia" w:ascii="宋体" w:hAnsi="宋体" w:eastAsia="宋体" w:cs="宋体"/>
                <w:b/>
                <w:color w:val="auto"/>
                <w:szCs w:val="21"/>
                <w:highlight w:val="none"/>
              </w:rPr>
              <w:t>3</w:t>
            </w:r>
            <w:r>
              <w:rPr>
                <w:rFonts w:hint="eastAsia" w:ascii="宋体" w:hAnsi="宋体" w:eastAsia="宋体" w:cs="宋体"/>
                <w:b/>
                <w:color w:val="auto"/>
                <w:szCs w:val="21"/>
                <w:highlight w:val="none"/>
                <w:lang w:val="zh-CN"/>
              </w:rPr>
              <w:t>年、202</w:t>
            </w: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val="zh-CN"/>
              </w:rPr>
              <w:t>年三个年度的财务报表，净利润以对应年度经审计的财务报表为准，应提供经独立会计师事务所审计过的有效的财务报表</w:t>
            </w:r>
            <w:r>
              <w:rPr>
                <w:rFonts w:hint="eastAsia" w:ascii="宋体" w:hAnsi="宋体" w:eastAsia="宋体" w:cs="宋体"/>
                <w:b/>
                <w:color w:val="auto"/>
                <w:szCs w:val="21"/>
                <w:highlight w:val="none"/>
              </w:rPr>
              <w:t>扫描件</w:t>
            </w:r>
            <w:r>
              <w:rPr>
                <w:rFonts w:hint="eastAsia" w:ascii="宋体" w:hAnsi="宋体" w:eastAsia="宋体" w:cs="宋体"/>
                <w:b/>
                <w:color w:val="auto"/>
                <w:szCs w:val="21"/>
                <w:highlight w:val="none"/>
                <w:lang w:val="zh-CN"/>
              </w:rPr>
              <w:t>；未提供前述财务报表或财务报表未能反映净利润的，不得分</w:t>
            </w:r>
            <w:r>
              <w:rPr>
                <w:rFonts w:hint="eastAsia" w:ascii="宋体" w:hAnsi="宋体" w:eastAsia="宋体" w:cs="宋体"/>
                <w:color w:val="auto"/>
                <w:szCs w:val="21"/>
                <w:highlight w:val="none"/>
                <w:lang w:val="zh-CN"/>
              </w:rPr>
              <w:t>。</w:t>
            </w:r>
          </w:p>
        </w:tc>
        <w:tc>
          <w:tcPr>
            <w:tcW w:w="553" w:type="pct"/>
            <w:tcBorders>
              <w:top w:val="single" w:color="auto" w:sz="4" w:space="0"/>
              <w:left w:val="single" w:color="auto" w:sz="4" w:space="0"/>
              <w:bottom w:val="single" w:color="auto" w:sz="4" w:space="0"/>
              <w:right w:val="single" w:color="auto" w:sz="4" w:space="0"/>
            </w:tcBorders>
            <w:vAlign w:val="center"/>
          </w:tcPr>
          <w:p w14:paraId="68A061E0">
            <w:pPr>
              <w:snapToGri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3分</w:t>
            </w:r>
          </w:p>
        </w:tc>
      </w:tr>
      <w:tr w14:paraId="7C14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6" w:type="pct"/>
            <w:tcBorders>
              <w:top w:val="single" w:color="auto" w:sz="4" w:space="0"/>
              <w:left w:val="single" w:color="auto" w:sz="4" w:space="0"/>
              <w:bottom w:val="single" w:color="auto" w:sz="4" w:space="0"/>
              <w:right w:val="single" w:color="auto" w:sz="4" w:space="0"/>
            </w:tcBorders>
            <w:vAlign w:val="center"/>
          </w:tcPr>
          <w:p w14:paraId="0949DB33">
            <w:pPr>
              <w:spacing w:line="400" w:lineRule="exact"/>
              <w:jc w:val="center"/>
              <w:rPr>
                <w:rFonts w:ascii="宋体" w:hAnsi="宋体" w:eastAsia="宋体" w:cs="宋体"/>
                <w:color w:val="auto"/>
                <w:kern w:val="0"/>
                <w:szCs w:val="21"/>
                <w:highlight w:val="none"/>
              </w:rPr>
            </w:pPr>
            <w:bookmarkStart w:id="831" w:name="_Hlk104987354"/>
            <w:r>
              <w:rPr>
                <w:rFonts w:hint="eastAsia" w:ascii="宋体" w:hAnsi="宋体" w:eastAsia="宋体" w:cs="宋体"/>
                <w:color w:val="auto"/>
                <w:szCs w:val="21"/>
                <w:highlight w:val="none"/>
              </w:rPr>
              <w:t>2</w:t>
            </w:r>
          </w:p>
        </w:tc>
        <w:tc>
          <w:tcPr>
            <w:tcW w:w="585" w:type="pct"/>
            <w:tcBorders>
              <w:top w:val="single" w:color="auto" w:sz="4" w:space="0"/>
              <w:left w:val="single" w:color="auto" w:sz="4" w:space="0"/>
              <w:bottom w:val="single" w:color="auto" w:sz="4" w:space="0"/>
              <w:right w:val="single" w:color="auto" w:sz="4" w:space="0"/>
            </w:tcBorders>
            <w:vAlign w:val="center"/>
          </w:tcPr>
          <w:p w14:paraId="19F07C82">
            <w:pPr>
              <w:snapToGri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业绩</w:t>
            </w:r>
          </w:p>
        </w:tc>
        <w:tc>
          <w:tcPr>
            <w:tcW w:w="3515" w:type="pct"/>
            <w:tcBorders>
              <w:top w:val="single" w:color="auto" w:sz="4" w:space="0"/>
              <w:left w:val="single" w:color="auto" w:sz="4" w:space="0"/>
              <w:bottom w:val="single" w:color="auto" w:sz="4" w:space="0"/>
              <w:right w:val="single" w:color="auto" w:sz="4" w:space="0"/>
            </w:tcBorders>
            <w:vAlign w:val="center"/>
          </w:tcPr>
          <w:p w14:paraId="48DE2E62">
            <w:pPr>
              <w:pStyle w:val="22"/>
              <w:spacing w:line="360" w:lineRule="auto"/>
              <w:rPr>
                <w:rFonts w:hint="eastAsia" w:hAnsi="宋体" w:cs="宋体"/>
                <w:color w:val="auto"/>
                <w:szCs w:val="21"/>
                <w:highlight w:val="none"/>
              </w:rPr>
            </w:pPr>
            <w:r>
              <w:rPr>
                <w:rFonts w:hint="eastAsia" w:hAnsi="宋体" w:cs="宋体"/>
                <w:color w:val="auto"/>
                <w:szCs w:val="21"/>
                <w:highlight w:val="none"/>
              </w:rPr>
              <w:t>（一）投标人202</w:t>
            </w:r>
            <w:r>
              <w:rPr>
                <w:rFonts w:hint="eastAsia" w:hAnsi="宋体" w:cs="宋体"/>
                <w:color w:val="auto"/>
                <w:szCs w:val="21"/>
                <w:highlight w:val="none"/>
                <w:lang w:val="en-US" w:eastAsia="zh-CN"/>
              </w:rPr>
              <w:t>3</w:t>
            </w:r>
            <w:r>
              <w:rPr>
                <w:rFonts w:hint="eastAsia" w:hAnsi="宋体" w:cs="宋体"/>
                <w:color w:val="auto"/>
                <w:szCs w:val="21"/>
                <w:highlight w:val="none"/>
              </w:rPr>
              <w:t>年1月1日以来具有的投标品牌液体聚合氯化铝供货业绩（合同签订日期为202</w:t>
            </w:r>
            <w:r>
              <w:rPr>
                <w:rFonts w:hint="eastAsia" w:hAnsi="宋体" w:cs="宋体"/>
                <w:color w:val="auto"/>
                <w:szCs w:val="21"/>
                <w:highlight w:val="none"/>
                <w:lang w:val="en-US" w:eastAsia="zh-CN"/>
              </w:rPr>
              <w:t>3</w:t>
            </w:r>
            <w:r>
              <w:rPr>
                <w:rFonts w:hint="eastAsia" w:hAnsi="宋体" w:cs="宋体"/>
                <w:color w:val="auto"/>
                <w:szCs w:val="21"/>
                <w:highlight w:val="none"/>
              </w:rPr>
              <w:t>年1月1日或以后），按下列情况评分</w:t>
            </w:r>
            <w:r>
              <w:rPr>
                <w:rFonts w:hint="eastAsia" w:hAnsi="宋体" w:cs="宋体"/>
                <w:b/>
                <w:bCs/>
                <w:color w:val="auto"/>
                <w:szCs w:val="21"/>
                <w:highlight w:val="none"/>
              </w:rPr>
              <w:t>（本评分项满分</w:t>
            </w:r>
            <w:r>
              <w:rPr>
                <w:rFonts w:hint="eastAsia" w:hAnsi="宋体" w:cs="宋体"/>
                <w:b/>
                <w:bCs/>
                <w:color w:val="auto"/>
                <w:szCs w:val="21"/>
                <w:highlight w:val="none"/>
                <w:lang w:val="en-US" w:eastAsia="zh-CN"/>
              </w:rPr>
              <w:t>12</w:t>
            </w:r>
            <w:r>
              <w:rPr>
                <w:rFonts w:hint="eastAsia" w:hAnsi="宋体" w:cs="宋体"/>
                <w:b/>
                <w:bCs/>
                <w:color w:val="auto"/>
                <w:szCs w:val="21"/>
                <w:highlight w:val="none"/>
              </w:rPr>
              <w:t>分）</w:t>
            </w:r>
            <w:r>
              <w:rPr>
                <w:rFonts w:hint="eastAsia" w:hAnsi="宋体" w:cs="宋体"/>
                <w:color w:val="auto"/>
                <w:szCs w:val="21"/>
                <w:highlight w:val="none"/>
              </w:rPr>
              <w:t>：</w:t>
            </w:r>
          </w:p>
          <w:p w14:paraId="124AF2A3">
            <w:pPr>
              <w:pStyle w:val="22"/>
              <w:spacing w:line="360" w:lineRule="auto"/>
              <w:rPr>
                <w:rFonts w:hint="eastAsia" w:hAnsi="宋体" w:cs="宋体"/>
                <w:color w:val="auto"/>
                <w:szCs w:val="21"/>
                <w:highlight w:val="none"/>
              </w:rPr>
            </w:pPr>
            <w:r>
              <w:rPr>
                <w:rFonts w:hint="eastAsia" w:hAnsi="宋体" w:cs="宋体"/>
                <w:color w:val="auto"/>
                <w:szCs w:val="21"/>
                <w:highlight w:val="none"/>
              </w:rPr>
              <w:t>（1）单项合同金额≥</w:t>
            </w:r>
            <w:r>
              <w:rPr>
                <w:rFonts w:hint="eastAsia" w:hAnsi="宋体" w:cs="宋体"/>
                <w:color w:val="auto"/>
                <w:szCs w:val="21"/>
                <w:highlight w:val="none"/>
                <w:lang w:val="en-US" w:eastAsia="zh-CN"/>
              </w:rPr>
              <w:t>2000</w:t>
            </w:r>
            <w:r>
              <w:rPr>
                <w:rFonts w:hint="eastAsia" w:hAnsi="宋体" w:cs="宋体"/>
                <w:color w:val="auto"/>
                <w:szCs w:val="21"/>
                <w:highlight w:val="none"/>
              </w:rPr>
              <w:t>万元的前述业绩的，每项得</w:t>
            </w:r>
            <w:r>
              <w:rPr>
                <w:rFonts w:hint="eastAsia" w:hAnsi="宋体" w:cs="宋体"/>
                <w:color w:val="auto"/>
                <w:szCs w:val="21"/>
                <w:highlight w:val="none"/>
                <w:lang w:val="en-US" w:eastAsia="zh-CN"/>
              </w:rPr>
              <w:t>3</w:t>
            </w:r>
            <w:r>
              <w:rPr>
                <w:rFonts w:hint="eastAsia" w:hAnsi="宋体" w:cs="宋体"/>
                <w:color w:val="auto"/>
                <w:szCs w:val="21"/>
                <w:highlight w:val="none"/>
              </w:rPr>
              <w:t>分；</w:t>
            </w:r>
          </w:p>
          <w:p w14:paraId="767210A1">
            <w:pPr>
              <w:pStyle w:val="22"/>
              <w:spacing w:line="360" w:lineRule="auto"/>
              <w:rPr>
                <w:rFonts w:hint="eastAsia"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val="en-US" w:eastAsia="zh-CN"/>
              </w:rPr>
              <w:t>1000</w:t>
            </w:r>
            <w:r>
              <w:rPr>
                <w:rFonts w:hint="eastAsia" w:hAnsi="宋体" w:cs="宋体"/>
                <w:color w:val="auto"/>
                <w:szCs w:val="21"/>
                <w:highlight w:val="none"/>
              </w:rPr>
              <w:t>万元≤单项合同金额＜</w:t>
            </w:r>
            <w:r>
              <w:rPr>
                <w:rFonts w:hint="eastAsia" w:hAnsi="宋体" w:cs="宋体"/>
                <w:color w:val="auto"/>
                <w:szCs w:val="21"/>
                <w:highlight w:val="none"/>
                <w:lang w:val="en-US" w:eastAsia="zh-CN"/>
              </w:rPr>
              <w:t>2000</w:t>
            </w:r>
            <w:r>
              <w:rPr>
                <w:rFonts w:hint="eastAsia" w:hAnsi="宋体" w:cs="宋体"/>
                <w:color w:val="auto"/>
                <w:szCs w:val="21"/>
                <w:highlight w:val="none"/>
              </w:rPr>
              <w:t>万元的前述业绩的，每项得</w:t>
            </w:r>
            <w:r>
              <w:rPr>
                <w:rFonts w:hint="eastAsia" w:hAnsi="宋体" w:cs="宋体"/>
                <w:color w:val="auto"/>
                <w:szCs w:val="21"/>
                <w:highlight w:val="none"/>
                <w:lang w:val="en-US" w:eastAsia="zh-CN"/>
              </w:rPr>
              <w:t>2</w:t>
            </w:r>
            <w:r>
              <w:rPr>
                <w:rFonts w:hint="eastAsia" w:hAnsi="宋体" w:cs="宋体"/>
                <w:color w:val="auto"/>
                <w:szCs w:val="21"/>
                <w:highlight w:val="none"/>
              </w:rPr>
              <w:t>分；</w:t>
            </w:r>
          </w:p>
          <w:p w14:paraId="342B0711">
            <w:pPr>
              <w:pStyle w:val="22"/>
              <w:spacing w:line="360" w:lineRule="auto"/>
              <w:rPr>
                <w:rFonts w:hint="eastAsia" w:hAnsi="宋体" w:cs="宋体"/>
                <w:color w:val="auto"/>
                <w:szCs w:val="21"/>
                <w:highlight w:val="none"/>
              </w:rPr>
            </w:pPr>
            <w:r>
              <w:rPr>
                <w:rFonts w:hint="eastAsia" w:hAnsi="宋体" w:cs="宋体"/>
                <w:color w:val="auto"/>
                <w:szCs w:val="21"/>
                <w:highlight w:val="none"/>
              </w:rPr>
              <w:t>（3）</w:t>
            </w:r>
            <w:r>
              <w:rPr>
                <w:rFonts w:hint="eastAsia" w:hAnsi="宋体" w:cs="宋体"/>
                <w:color w:val="auto"/>
                <w:szCs w:val="21"/>
                <w:highlight w:val="none"/>
                <w:lang w:val="en-US" w:eastAsia="zh-CN"/>
              </w:rPr>
              <w:t>200</w:t>
            </w:r>
            <w:r>
              <w:rPr>
                <w:rFonts w:hint="eastAsia" w:hAnsi="宋体" w:cs="宋体"/>
                <w:color w:val="auto"/>
                <w:szCs w:val="21"/>
                <w:highlight w:val="none"/>
              </w:rPr>
              <w:t>万元≤单项合同金额＜</w:t>
            </w:r>
            <w:r>
              <w:rPr>
                <w:rFonts w:hint="eastAsia" w:hAnsi="宋体" w:cs="宋体"/>
                <w:color w:val="auto"/>
                <w:szCs w:val="21"/>
                <w:highlight w:val="none"/>
                <w:lang w:val="en-US" w:eastAsia="zh-CN"/>
              </w:rPr>
              <w:t>1000</w:t>
            </w:r>
            <w:r>
              <w:rPr>
                <w:rFonts w:hint="eastAsia" w:hAnsi="宋体" w:cs="宋体"/>
                <w:color w:val="auto"/>
                <w:szCs w:val="21"/>
                <w:highlight w:val="none"/>
              </w:rPr>
              <w:t>万元的前述业绩的，每项得</w:t>
            </w:r>
            <w:r>
              <w:rPr>
                <w:rFonts w:hint="eastAsia" w:hAnsi="宋体" w:cs="宋体"/>
                <w:color w:val="auto"/>
                <w:szCs w:val="21"/>
                <w:highlight w:val="none"/>
                <w:lang w:val="en-US" w:eastAsia="zh-CN"/>
              </w:rPr>
              <w:t>1</w:t>
            </w:r>
            <w:r>
              <w:rPr>
                <w:rFonts w:hint="eastAsia" w:hAnsi="宋体" w:cs="宋体"/>
                <w:color w:val="auto"/>
                <w:szCs w:val="21"/>
                <w:highlight w:val="none"/>
              </w:rPr>
              <w:t>分</w:t>
            </w:r>
            <w:r>
              <w:rPr>
                <w:rFonts w:hint="eastAsia" w:hAnsi="宋体" w:cs="宋体"/>
                <w:color w:val="auto"/>
                <w:szCs w:val="21"/>
                <w:highlight w:val="none"/>
                <w:lang w:eastAsia="zh-CN"/>
              </w:rPr>
              <w:t>，</w:t>
            </w:r>
            <w:r>
              <w:rPr>
                <w:rFonts w:hint="eastAsia" w:hAnsi="宋体" w:cs="宋体"/>
                <w:color w:val="auto"/>
                <w:szCs w:val="21"/>
                <w:highlight w:val="none"/>
              </w:rPr>
              <w:t>本子项满分</w:t>
            </w:r>
            <w:r>
              <w:rPr>
                <w:rFonts w:hint="eastAsia" w:hAnsi="宋体" w:cs="宋体"/>
                <w:color w:val="auto"/>
                <w:szCs w:val="21"/>
                <w:highlight w:val="none"/>
                <w:lang w:val="en-US" w:eastAsia="zh-CN"/>
              </w:rPr>
              <w:t>4</w:t>
            </w:r>
            <w:r>
              <w:rPr>
                <w:rFonts w:hint="eastAsia" w:hAnsi="宋体" w:cs="宋体"/>
                <w:color w:val="auto"/>
                <w:szCs w:val="21"/>
                <w:highlight w:val="none"/>
              </w:rPr>
              <w:t>分。</w:t>
            </w:r>
          </w:p>
          <w:p w14:paraId="7180141D">
            <w:pPr>
              <w:pStyle w:val="22"/>
              <w:spacing w:line="360" w:lineRule="auto"/>
              <w:rPr>
                <w:rFonts w:hint="eastAsia" w:hAnsi="宋体" w:cs="宋体"/>
                <w:color w:val="auto"/>
                <w:szCs w:val="21"/>
                <w:highlight w:val="none"/>
              </w:rPr>
            </w:pPr>
            <w:r>
              <w:rPr>
                <w:rFonts w:hint="eastAsia" w:hAnsi="宋体" w:cs="宋体"/>
                <w:color w:val="auto"/>
                <w:szCs w:val="21"/>
                <w:highlight w:val="none"/>
              </w:rPr>
              <w:t>（二）投标人202</w:t>
            </w:r>
            <w:r>
              <w:rPr>
                <w:rFonts w:hint="eastAsia" w:hAnsi="宋体" w:cs="宋体"/>
                <w:color w:val="auto"/>
                <w:szCs w:val="21"/>
                <w:highlight w:val="none"/>
                <w:lang w:val="en-US" w:eastAsia="zh-CN"/>
              </w:rPr>
              <w:t>3</w:t>
            </w:r>
            <w:r>
              <w:rPr>
                <w:rFonts w:hint="eastAsia" w:hAnsi="宋体" w:cs="宋体"/>
                <w:color w:val="auto"/>
                <w:szCs w:val="21"/>
                <w:highlight w:val="none"/>
              </w:rPr>
              <w:t>年1月1日以来具有的投标品牌液体聚合氯化铝铁供货业绩（合同签订日期为202</w:t>
            </w:r>
            <w:r>
              <w:rPr>
                <w:rFonts w:hint="eastAsia" w:hAnsi="宋体" w:cs="宋体"/>
                <w:color w:val="auto"/>
                <w:szCs w:val="21"/>
                <w:highlight w:val="none"/>
                <w:lang w:val="en-US" w:eastAsia="zh-CN"/>
              </w:rPr>
              <w:t>3</w:t>
            </w:r>
            <w:r>
              <w:rPr>
                <w:rFonts w:hint="eastAsia" w:hAnsi="宋体" w:cs="宋体"/>
                <w:color w:val="auto"/>
                <w:szCs w:val="21"/>
                <w:highlight w:val="none"/>
              </w:rPr>
              <w:t>年1月1日或以后），按下列情况评分</w:t>
            </w:r>
            <w:r>
              <w:rPr>
                <w:rFonts w:hint="eastAsia" w:hAnsi="宋体" w:cs="宋体"/>
                <w:b/>
                <w:bCs/>
                <w:color w:val="auto"/>
                <w:szCs w:val="21"/>
                <w:highlight w:val="none"/>
              </w:rPr>
              <w:t>（本评分项满分</w:t>
            </w:r>
            <w:r>
              <w:rPr>
                <w:rFonts w:hint="eastAsia" w:hAnsi="宋体" w:cs="宋体"/>
                <w:b/>
                <w:bCs/>
                <w:color w:val="auto"/>
                <w:szCs w:val="21"/>
                <w:highlight w:val="none"/>
                <w:lang w:val="en-US" w:eastAsia="zh-CN"/>
              </w:rPr>
              <w:t>5</w:t>
            </w:r>
            <w:r>
              <w:rPr>
                <w:rFonts w:hint="eastAsia" w:hAnsi="宋体" w:cs="宋体"/>
                <w:b/>
                <w:bCs/>
                <w:color w:val="auto"/>
                <w:szCs w:val="21"/>
                <w:highlight w:val="none"/>
              </w:rPr>
              <w:t>分）</w:t>
            </w:r>
            <w:r>
              <w:rPr>
                <w:rFonts w:hint="eastAsia" w:hAnsi="宋体" w:cs="宋体"/>
                <w:color w:val="auto"/>
                <w:szCs w:val="21"/>
                <w:highlight w:val="none"/>
              </w:rPr>
              <w:t>：</w:t>
            </w:r>
          </w:p>
          <w:p w14:paraId="16D4CE6B">
            <w:pPr>
              <w:pStyle w:val="22"/>
              <w:spacing w:line="360" w:lineRule="auto"/>
              <w:rPr>
                <w:rFonts w:hint="eastAsia" w:hAnsi="宋体" w:cs="宋体"/>
                <w:color w:val="auto"/>
                <w:szCs w:val="21"/>
                <w:highlight w:val="none"/>
              </w:rPr>
            </w:pPr>
            <w:r>
              <w:rPr>
                <w:rFonts w:hint="eastAsia" w:hAnsi="宋体" w:cs="宋体"/>
                <w:color w:val="auto"/>
                <w:szCs w:val="21"/>
                <w:highlight w:val="none"/>
              </w:rPr>
              <w:t>（1）单项合同金额≥</w:t>
            </w:r>
            <w:r>
              <w:rPr>
                <w:rFonts w:hint="eastAsia" w:hAnsi="宋体" w:cs="宋体"/>
                <w:color w:val="auto"/>
                <w:szCs w:val="21"/>
                <w:highlight w:val="none"/>
                <w:lang w:val="en-US" w:eastAsia="zh-CN"/>
              </w:rPr>
              <w:t>800</w:t>
            </w:r>
            <w:r>
              <w:rPr>
                <w:rFonts w:hint="eastAsia" w:hAnsi="宋体" w:cs="宋体"/>
                <w:color w:val="auto"/>
                <w:szCs w:val="21"/>
                <w:highlight w:val="none"/>
              </w:rPr>
              <w:t>万元的前述业绩的，每项得</w:t>
            </w:r>
            <w:r>
              <w:rPr>
                <w:rFonts w:hint="eastAsia" w:hAnsi="宋体" w:cs="宋体"/>
                <w:color w:val="auto"/>
                <w:szCs w:val="21"/>
                <w:highlight w:val="none"/>
                <w:lang w:val="en-US" w:eastAsia="zh-CN"/>
              </w:rPr>
              <w:t>2</w:t>
            </w:r>
            <w:r>
              <w:rPr>
                <w:rFonts w:hint="eastAsia" w:hAnsi="宋体" w:cs="宋体"/>
                <w:color w:val="auto"/>
                <w:szCs w:val="21"/>
                <w:highlight w:val="none"/>
              </w:rPr>
              <w:t>分；</w:t>
            </w:r>
          </w:p>
          <w:p w14:paraId="50D39F56">
            <w:pPr>
              <w:pStyle w:val="22"/>
              <w:spacing w:line="360" w:lineRule="auto"/>
              <w:rPr>
                <w:rFonts w:hint="eastAsia"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val="en-US" w:eastAsia="zh-CN"/>
              </w:rPr>
              <w:t>400</w:t>
            </w:r>
            <w:r>
              <w:rPr>
                <w:rFonts w:hint="eastAsia" w:hAnsi="宋体" w:cs="宋体"/>
                <w:color w:val="auto"/>
                <w:szCs w:val="21"/>
                <w:highlight w:val="none"/>
              </w:rPr>
              <w:t>万元≤单项合同金额＜</w:t>
            </w:r>
            <w:r>
              <w:rPr>
                <w:rFonts w:hint="eastAsia" w:hAnsi="宋体" w:cs="宋体"/>
                <w:color w:val="auto"/>
                <w:szCs w:val="21"/>
                <w:highlight w:val="none"/>
                <w:lang w:val="en-US" w:eastAsia="zh-CN"/>
              </w:rPr>
              <w:t>800</w:t>
            </w:r>
            <w:r>
              <w:rPr>
                <w:rFonts w:hint="eastAsia" w:hAnsi="宋体" w:cs="宋体"/>
                <w:color w:val="auto"/>
                <w:szCs w:val="21"/>
                <w:highlight w:val="none"/>
              </w:rPr>
              <w:t>万元的前述业绩的，每项得</w:t>
            </w:r>
            <w:r>
              <w:rPr>
                <w:rFonts w:hint="eastAsia" w:hAnsi="宋体" w:cs="宋体"/>
                <w:color w:val="auto"/>
                <w:szCs w:val="21"/>
                <w:highlight w:val="none"/>
                <w:lang w:val="en-US" w:eastAsia="zh-CN"/>
              </w:rPr>
              <w:t>1</w:t>
            </w:r>
            <w:r>
              <w:rPr>
                <w:rFonts w:hint="eastAsia" w:hAnsi="宋体" w:cs="宋体"/>
                <w:color w:val="auto"/>
                <w:szCs w:val="21"/>
                <w:highlight w:val="none"/>
              </w:rPr>
              <w:t>分；</w:t>
            </w:r>
          </w:p>
          <w:p w14:paraId="6040DBC8">
            <w:pPr>
              <w:pStyle w:val="22"/>
              <w:spacing w:line="360" w:lineRule="auto"/>
              <w:rPr>
                <w:rFonts w:hint="eastAsia" w:hAnsi="宋体" w:cs="宋体"/>
                <w:color w:val="auto"/>
                <w:szCs w:val="21"/>
                <w:highlight w:val="none"/>
              </w:rPr>
            </w:pPr>
            <w:r>
              <w:rPr>
                <w:rFonts w:hint="eastAsia" w:hAnsi="宋体" w:cs="宋体"/>
                <w:color w:val="auto"/>
                <w:szCs w:val="21"/>
                <w:highlight w:val="none"/>
              </w:rPr>
              <w:t>（3）</w:t>
            </w:r>
            <w:r>
              <w:rPr>
                <w:rFonts w:hint="eastAsia" w:hAnsi="宋体" w:cs="宋体"/>
                <w:color w:val="auto"/>
                <w:szCs w:val="21"/>
                <w:highlight w:val="none"/>
                <w:lang w:val="en-US" w:eastAsia="zh-CN"/>
              </w:rPr>
              <w:t>100</w:t>
            </w:r>
            <w:r>
              <w:rPr>
                <w:rFonts w:hint="eastAsia" w:hAnsi="宋体" w:cs="宋体"/>
                <w:color w:val="auto"/>
                <w:szCs w:val="21"/>
                <w:highlight w:val="none"/>
              </w:rPr>
              <w:t>万元≤单项合同金额＜</w:t>
            </w:r>
            <w:r>
              <w:rPr>
                <w:rFonts w:hint="eastAsia" w:hAnsi="宋体" w:cs="宋体"/>
                <w:color w:val="auto"/>
                <w:szCs w:val="21"/>
                <w:highlight w:val="none"/>
                <w:lang w:val="en-US" w:eastAsia="zh-CN"/>
              </w:rPr>
              <w:t>400</w:t>
            </w:r>
            <w:r>
              <w:rPr>
                <w:rFonts w:hint="eastAsia" w:hAnsi="宋体" w:cs="宋体"/>
                <w:color w:val="auto"/>
                <w:szCs w:val="21"/>
                <w:highlight w:val="none"/>
              </w:rPr>
              <w:t>万元的前述业绩的，每项得</w:t>
            </w:r>
            <w:r>
              <w:rPr>
                <w:rFonts w:hint="eastAsia" w:hAnsi="宋体" w:cs="宋体"/>
                <w:color w:val="auto"/>
                <w:szCs w:val="21"/>
                <w:highlight w:val="none"/>
                <w:lang w:val="en-US" w:eastAsia="zh-CN"/>
              </w:rPr>
              <w:t>0.5</w:t>
            </w:r>
            <w:r>
              <w:rPr>
                <w:rFonts w:hint="eastAsia" w:hAnsi="宋体" w:cs="宋体"/>
                <w:color w:val="auto"/>
                <w:szCs w:val="21"/>
                <w:highlight w:val="none"/>
              </w:rPr>
              <w:t>分</w:t>
            </w:r>
            <w:r>
              <w:rPr>
                <w:rFonts w:hint="eastAsia" w:hAnsi="宋体" w:cs="宋体"/>
                <w:color w:val="auto"/>
                <w:szCs w:val="21"/>
                <w:highlight w:val="none"/>
                <w:lang w:eastAsia="zh-CN"/>
              </w:rPr>
              <w:t>，</w:t>
            </w:r>
            <w:r>
              <w:rPr>
                <w:rFonts w:hint="eastAsia" w:hAnsi="宋体" w:cs="宋体"/>
                <w:color w:val="auto"/>
                <w:szCs w:val="21"/>
                <w:highlight w:val="none"/>
              </w:rPr>
              <w:t>本子项满分</w:t>
            </w:r>
            <w:r>
              <w:rPr>
                <w:rFonts w:hint="eastAsia" w:hAnsi="宋体" w:cs="宋体"/>
                <w:color w:val="auto"/>
                <w:szCs w:val="21"/>
                <w:highlight w:val="none"/>
                <w:lang w:val="en-US" w:eastAsia="zh-CN"/>
              </w:rPr>
              <w:t>2</w:t>
            </w:r>
            <w:r>
              <w:rPr>
                <w:rFonts w:hint="eastAsia" w:hAnsi="宋体" w:cs="宋体"/>
                <w:color w:val="auto"/>
                <w:szCs w:val="21"/>
                <w:highlight w:val="none"/>
              </w:rPr>
              <w:t>分。</w:t>
            </w:r>
          </w:p>
          <w:p w14:paraId="4E145C53">
            <w:pPr>
              <w:pStyle w:val="22"/>
              <w:spacing w:line="360" w:lineRule="auto"/>
              <w:rPr>
                <w:rFonts w:hint="eastAsia" w:hAnsi="宋体" w:cs="宋体"/>
                <w:b/>
                <w:color w:val="auto"/>
                <w:szCs w:val="21"/>
                <w:highlight w:val="none"/>
              </w:rPr>
            </w:pPr>
            <w:r>
              <w:rPr>
                <w:rFonts w:hint="eastAsia" w:hAnsi="宋体" w:cs="宋体"/>
                <w:b/>
                <w:color w:val="auto"/>
                <w:szCs w:val="21"/>
                <w:highlight w:val="none"/>
              </w:rPr>
              <w:t>备注：</w:t>
            </w:r>
          </w:p>
          <w:p w14:paraId="6C13E832">
            <w:pPr>
              <w:pStyle w:val="22"/>
              <w:spacing w:line="360" w:lineRule="auto"/>
              <w:rPr>
                <w:rFonts w:hint="eastAsia" w:hAnsi="宋体" w:cs="宋体"/>
                <w:b/>
                <w:color w:val="auto"/>
                <w:szCs w:val="21"/>
                <w:highlight w:val="none"/>
              </w:rPr>
            </w:pPr>
            <w:r>
              <w:rPr>
                <w:rFonts w:hint="eastAsia" w:hAnsi="宋体" w:cs="宋体"/>
                <w:b/>
                <w:color w:val="auto"/>
                <w:szCs w:val="21"/>
                <w:highlight w:val="none"/>
              </w:rPr>
              <w:t>业绩按以下条款作为考评依据：</w:t>
            </w:r>
          </w:p>
          <w:p w14:paraId="615F79B2">
            <w:pPr>
              <w:pStyle w:val="22"/>
              <w:spacing w:line="360" w:lineRule="auto"/>
              <w:rPr>
                <w:rFonts w:hint="eastAsia" w:hAnsi="宋体" w:cs="宋体"/>
                <w:b/>
                <w:color w:val="auto"/>
                <w:szCs w:val="21"/>
                <w:highlight w:val="none"/>
              </w:rPr>
            </w:pPr>
            <w:r>
              <w:rPr>
                <w:rFonts w:hint="eastAsia" w:hAnsi="宋体" w:cs="宋体"/>
                <w:b/>
                <w:color w:val="auto"/>
                <w:szCs w:val="21"/>
                <w:highlight w:val="none"/>
              </w:rPr>
              <w:t>（1）业绩须同时提供①合同扫描件，②已供货产品任意一张发票扫描件（发票开具日期须在本项目招标公告发布之日前），否则不得分；</w:t>
            </w:r>
          </w:p>
          <w:p w14:paraId="2700E1EC">
            <w:pPr>
              <w:pStyle w:val="22"/>
              <w:spacing w:line="360" w:lineRule="auto"/>
              <w:rPr>
                <w:rFonts w:hint="eastAsia" w:hAnsi="宋体" w:cs="宋体"/>
                <w:b/>
                <w:color w:val="auto"/>
                <w:szCs w:val="21"/>
                <w:highlight w:val="none"/>
              </w:rPr>
            </w:pPr>
            <w:r>
              <w:rPr>
                <w:rFonts w:hint="eastAsia" w:hAnsi="宋体" w:cs="宋体"/>
                <w:b/>
                <w:color w:val="auto"/>
                <w:szCs w:val="21"/>
                <w:highlight w:val="none"/>
              </w:rPr>
              <w:t>（2）若业绩为框架式协议或资格入围等无明确金额的合同，必须同时提供合同期限内已供货产品发票金额统计表和供货发票扫描件，否则，视为无效业绩；</w:t>
            </w:r>
          </w:p>
          <w:p w14:paraId="348E3BB5">
            <w:pPr>
              <w:pStyle w:val="22"/>
              <w:spacing w:line="360" w:lineRule="auto"/>
              <w:rPr>
                <w:rFonts w:hint="eastAsia" w:hAnsi="宋体" w:cs="宋体"/>
                <w:b/>
                <w:color w:val="auto"/>
                <w:szCs w:val="21"/>
                <w:highlight w:val="none"/>
              </w:rPr>
            </w:pPr>
            <w:r>
              <w:rPr>
                <w:rFonts w:hint="eastAsia" w:hAnsi="宋体" w:cs="宋体"/>
                <w:b/>
                <w:color w:val="auto"/>
                <w:szCs w:val="21"/>
                <w:highlight w:val="none"/>
              </w:rPr>
              <w:t>（3）若合同无法反映评分条件（卖方为投标人、合同签订日期为202</w:t>
            </w:r>
            <w:r>
              <w:rPr>
                <w:rFonts w:hint="eastAsia" w:hAnsi="宋体" w:cs="宋体"/>
                <w:b/>
                <w:color w:val="auto"/>
                <w:szCs w:val="21"/>
                <w:highlight w:val="none"/>
                <w:lang w:val="en-US" w:eastAsia="zh-CN"/>
              </w:rPr>
              <w:t>3</w:t>
            </w:r>
            <w:r>
              <w:rPr>
                <w:rFonts w:hint="eastAsia" w:hAnsi="宋体" w:cs="宋体"/>
                <w:b/>
                <w:color w:val="auto"/>
                <w:szCs w:val="21"/>
                <w:highlight w:val="none"/>
              </w:rPr>
              <w:t>年1月1日或以后、金额、合同标的必须包含投标品牌液体聚合氯化铝或液体聚合氯化铝铁）的，还需提供产品购买方出具的书面补充说明文件扫描件作为辅助证明（补充说明文件扫描件能显示购买方公章），否则不得分；</w:t>
            </w:r>
          </w:p>
          <w:p w14:paraId="3D2B7E87">
            <w:pPr>
              <w:snapToGrid w:val="0"/>
              <w:spacing w:line="400" w:lineRule="exact"/>
              <w:rPr>
                <w:rFonts w:ascii="宋体" w:hAnsi="宋体" w:eastAsia="宋体" w:cs="宋体"/>
                <w:b/>
                <w:color w:val="auto"/>
                <w:kern w:val="0"/>
                <w:szCs w:val="21"/>
                <w:highlight w:val="none"/>
              </w:rPr>
            </w:pPr>
            <w:r>
              <w:rPr>
                <w:rFonts w:hint="eastAsia" w:ascii="宋体" w:hAnsi="宋体" w:eastAsia="宋体" w:cs="宋体"/>
                <w:b/>
                <w:color w:val="auto"/>
                <w:szCs w:val="21"/>
                <w:highlight w:val="none"/>
              </w:rPr>
              <w:t>（4）未按上述要求提供证明材料的业绩，或所附材料无法证明填报项目符合本项评分要求的业绩，在评标时将不予考虑。</w:t>
            </w:r>
          </w:p>
        </w:tc>
        <w:tc>
          <w:tcPr>
            <w:tcW w:w="553" w:type="pct"/>
            <w:tcBorders>
              <w:top w:val="single" w:color="auto" w:sz="4" w:space="0"/>
              <w:left w:val="single" w:color="auto" w:sz="4" w:space="0"/>
              <w:bottom w:val="single" w:color="auto" w:sz="4" w:space="0"/>
              <w:right w:val="single" w:color="auto" w:sz="4" w:space="0"/>
            </w:tcBorders>
            <w:vAlign w:val="center"/>
          </w:tcPr>
          <w:p w14:paraId="0CFBB395">
            <w:pPr>
              <w:snapToGrid w:val="0"/>
              <w:spacing w:line="400" w:lineRule="exact"/>
              <w:jc w:val="center"/>
              <w:rPr>
                <w:rFonts w:ascii="宋体" w:hAnsi="宋体" w:eastAsia="宋体" w:cs="宋体"/>
                <w:color w:val="auto"/>
                <w:szCs w:val="24"/>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分</w:t>
            </w:r>
          </w:p>
        </w:tc>
      </w:tr>
      <w:bookmarkEnd w:id="831"/>
    </w:tbl>
    <w:p w14:paraId="14957269">
      <w:pPr>
        <w:autoSpaceDE w:val="0"/>
        <w:autoSpaceDN w:val="0"/>
        <w:adjustRightInd w:val="0"/>
        <w:ind w:right="-26" w:firstLine="480"/>
        <w:jc w:val="center"/>
        <w:rPr>
          <w:rFonts w:ascii="宋体" w:hAnsi="宋体" w:eastAsia="宋体" w:cs="宋体"/>
          <w:b/>
          <w:bCs/>
          <w:color w:val="auto"/>
          <w:kern w:val="0"/>
          <w:sz w:val="24"/>
          <w:szCs w:val="24"/>
          <w:highlight w:val="none"/>
        </w:rPr>
      </w:pPr>
    </w:p>
    <w:p w14:paraId="46600432">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830"/>
    </w:p>
    <w:tbl>
      <w:tblPr>
        <w:tblStyle w:val="37"/>
        <w:tblW w:w="52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185"/>
        <w:gridCol w:w="7179"/>
        <w:gridCol w:w="1124"/>
      </w:tblGrid>
      <w:tr w14:paraId="7E7A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6" w:type="pct"/>
            <w:tcBorders>
              <w:top w:val="single" w:color="auto" w:sz="4" w:space="0"/>
              <w:left w:val="single" w:color="auto" w:sz="4" w:space="0"/>
              <w:bottom w:val="single" w:color="auto" w:sz="4" w:space="0"/>
              <w:right w:val="single" w:color="auto" w:sz="4" w:space="0"/>
            </w:tcBorders>
            <w:vAlign w:val="center"/>
          </w:tcPr>
          <w:p w14:paraId="107F6071">
            <w:pPr>
              <w:autoSpaceDE w:val="0"/>
              <w:autoSpaceDN w:val="0"/>
              <w:adjustRightInd w:val="0"/>
              <w:spacing w:line="400" w:lineRule="exact"/>
              <w:jc w:val="center"/>
              <w:rPr>
                <w:rFonts w:hint="eastAsia" w:ascii="宋体" w:hAnsi="宋体" w:eastAsia="宋体" w:cs="宋体"/>
                <w:b/>
                <w:color w:val="auto"/>
                <w:kern w:val="0"/>
                <w:szCs w:val="21"/>
                <w:highlight w:val="none"/>
              </w:rPr>
            </w:pPr>
            <w:bookmarkStart w:id="832" w:name="_Hlk104987779"/>
            <w:r>
              <w:rPr>
                <w:rFonts w:hint="eastAsia" w:ascii="宋体" w:hAnsi="宋体" w:eastAsia="宋体" w:cs="宋体"/>
                <w:b/>
                <w:color w:val="auto"/>
                <w:kern w:val="0"/>
                <w:szCs w:val="21"/>
                <w:highlight w:val="none"/>
              </w:rPr>
              <w:t>序号</w:t>
            </w:r>
          </w:p>
        </w:tc>
        <w:tc>
          <w:tcPr>
            <w:tcW w:w="581" w:type="pct"/>
            <w:tcBorders>
              <w:top w:val="single" w:color="auto" w:sz="4" w:space="0"/>
              <w:left w:val="single" w:color="auto" w:sz="4" w:space="0"/>
              <w:bottom w:val="single" w:color="auto" w:sz="4" w:space="0"/>
              <w:right w:val="single" w:color="auto" w:sz="4" w:space="0"/>
            </w:tcBorders>
            <w:vAlign w:val="center"/>
          </w:tcPr>
          <w:p w14:paraId="49A467C3">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zh-CN"/>
              </w:rPr>
              <w:t>评审内容</w:t>
            </w:r>
          </w:p>
        </w:tc>
        <w:tc>
          <w:tcPr>
            <w:tcW w:w="3520" w:type="pct"/>
            <w:tcBorders>
              <w:top w:val="single" w:color="auto" w:sz="4" w:space="0"/>
              <w:left w:val="single" w:color="auto" w:sz="4" w:space="0"/>
              <w:bottom w:val="single" w:color="auto" w:sz="4" w:space="0"/>
              <w:right w:val="single" w:color="auto" w:sz="4" w:space="0"/>
            </w:tcBorders>
            <w:vAlign w:val="center"/>
          </w:tcPr>
          <w:p w14:paraId="6D728200">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551" w:type="pct"/>
            <w:tcBorders>
              <w:top w:val="single" w:color="auto" w:sz="4" w:space="0"/>
              <w:left w:val="single" w:color="auto" w:sz="4" w:space="0"/>
              <w:bottom w:val="single" w:color="auto" w:sz="4" w:space="0"/>
              <w:right w:val="single" w:color="auto" w:sz="4" w:space="0"/>
            </w:tcBorders>
            <w:vAlign w:val="center"/>
          </w:tcPr>
          <w:p w14:paraId="3BFBCEAA">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6C5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6" w:type="pct"/>
            <w:tcBorders>
              <w:top w:val="single" w:color="auto" w:sz="4" w:space="0"/>
              <w:left w:val="single" w:color="auto" w:sz="4" w:space="0"/>
              <w:bottom w:val="single" w:color="auto" w:sz="4" w:space="0"/>
              <w:right w:val="single" w:color="auto" w:sz="4" w:space="0"/>
            </w:tcBorders>
            <w:vAlign w:val="center"/>
          </w:tcPr>
          <w:p w14:paraId="53606BA7">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1</w:t>
            </w:r>
          </w:p>
        </w:tc>
        <w:tc>
          <w:tcPr>
            <w:tcW w:w="581" w:type="pct"/>
            <w:tcBorders>
              <w:top w:val="single" w:color="auto" w:sz="4" w:space="0"/>
              <w:left w:val="single" w:color="auto" w:sz="4" w:space="0"/>
              <w:bottom w:val="single" w:color="auto" w:sz="4" w:space="0"/>
              <w:right w:val="single" w:color="auto" w:sz="4" w:space="0"/>
            </w:tcBorders>
            <w:vAlign w:val="center"/>
          </w:tcPr>
          <w:p w14:paraId="4767028A">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用户需求的响应程度</w:t>
            </w:r>
          </w:p>
        </w:tc>
        <w:tc>
          <w:tcPr>
            <w:tcW w:w="3520" w:type="pct"/>
            <w:tcBorders>
              <w:top w:val="single" w:color="auto" w:sz="4" w:space="0"/>
              <w:left w:val="single" w:color="auto" w:sz="4" w:space="0"/>
              <w:bottom w:val="single" w:color="auto" w:sz="4" w:space="0"/>
              <w:right w:val="single" w:color="auto" w:sz="4" w:space="0"/>
            </w:tcBorders>
            <w:vAlign w:val="center"/>
          </w:tcPr>
          <w:p w14:paraId="79651883">
            <w:pPr>
              <w:spacing w:line="400" w:lineRule="exac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根据用户需求偏离表的偏离情况进行评审计分，完全满足用户需求的要求得满分，每一处负偏离，扣</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分；本项最低分为0分。</w:t>
            </w:r>
          </w:p>
        </w:tc>
        <w:tc>
          <w:tcPr>
            <w:tcW w:w="551" w:type="pct"/>
            <w:tcBorders>
              <w:top w:val="single" w:color="auto" w:sz="4" w:space="0"/>
              <w:left w:val="single" w:color="auto" w:sz="4" w:space="0"/>
              <w:bottom w:val="single" w:color="auto" w:sz="4" w:space="0"/>
              <w:right w:val="single" w:color="auto" w:sz="4" w:space="0"/>
            </w:tcBorders>
            <w:vAlign w:val="center"/>
          </w:tcPr>
          <w:p w14:paraId="2D414B96">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w:t>
            </w:r>
          </w:p>
        </w:tc>
      </w:tr>
      <w:tr w14:paraId="310A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6" w:type="pct"/>
            <w:tcBorders>
              <w:top w:val="single" w:color="auto" w:sz="4" w:space="0"/>
              <w:left w:val="single" w:color="auto" w:sz="4" w:space="0"/>
              <w:bottom w:val="single" w:color="auto" w:sz="4" w:space="0"/>
              <w:right w:val="single" w:color="auto" w:sz="4" w:space="0"/>
            </w:tcBorders>
            <w:vAlign w:val="center"/>
          </w:tcPr>
          <w:p w14:paraId="1CBF4A12">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581" w:type="pct"/>
            <w:tcBorders>
              <w:top w:val="single" w:color="auto" w:sz="4" w:space="0"/>
              <w:left w:val="single" w:color="auto" w:sz="4" w:space="0"/>
              <w:bottom w:val="single" w:color="auto" w:sz="4" w:space="0"/>
              <w:right w:val="single" w:color="auto" w:sz="4" w:space="0"/>
            </w:tcBorders>
            <w:vAlign w:val="center"/>
          </w:tcPr>
          <w:p w14:paraId="2BF6EC15">
            <w:pPr>
              <w:snapToGri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生产工艺</w:t>
            </w:r>
          </w:p>
        </w:tc>
        <w:tc>
          <w:tcPr>
            <w:tcW w:w="3520" w:type="pct"/>
            <w:tcBorders>
              <w:top w:val="single" w:color="auto" w:sz="4" w:space="0"/>
              <w:left w:val="single" w:color="auto" w:sz="4" w:space="0"/>
              <w:bottom w:val="single" w:color="auto" w:sz="4" w:space="0"/>
              <w:right w:val="single" w:color="auto" w:sz="4" w:space="0"/>
            </w:tcBorders>
            <w:vAlign w:val="center"/>
          </w:tcPr>
          <w:p w14:paraId="477DF7EF">
            <w:pPr>
              <w:snapToGrid w:val="0"/>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根据投标人提供生产原理、生产工艺流程图及其合理性说明；对照生产工艺流程图，及提供关键节点生产现场照片，包括但不限于生产、储存设施（设备）等进行评审：</w:t>
            </w:r>
          </w:p>
          <w:p w14:paraId="44627249">
            <w:pPr>
              <w:snapToGrid w:val="0"/>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优：提供的生产原理、生产工艺流程图详细、全面、合理，关键节点的生产、储存设施（设备）等与项目实施的配合度高的，得[3-2]分；</w:t>
            </w:r>
          </w:p>
          <w:p w14:paraId="2BD5E99C">
            <w:pPr>
              <w:snapToGrid w:val="0"/>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中：有提供生产原理、生产工艺流程图一般，关键节点的生产、储存设施（设备）等与项目实施的配合度一般的，得（2-1]分；</w:t>
            </w:r>
          </w:p>
          <w:p w14:paraId="15AA5C4E">
            <w:pPr>
              <w:snapToGrid w:val="0"/>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差：有提供生产原理、生产工艺流程图，但不详细、不全面，关键节点的生产、储存设施（设备）等与项目实施的配合度低的，得（1-0]分。</w:t>
            </w:r>
          </w:p>
        </w:tc>
        <w:tc>
          <w:tcPr>
            <w:tcW w:w="551" w:type="pct"/>
            <w:tcBorders>
              <w:top w:val="single" w:color="auto" w:sz="4" w:space="0"/>
              <w:left w:val="single" w:color="auto" w:sz="4" w:space="0"/>
              <w:bottom w:val="single" w:color="auto" w:sz="4" w:space="0"/>
              <w:right w:val="single" w:color="auto" w:sz="4" w:space="0"/>
            </w:tcBorders>
            <w:vAlign w:val="center"/>
          </w:tcPr>
          <w:p w14:paraId="53A51E1B">
            <w:pPr>
              <w:pStyle w:val="195"/>
              <w:keepNext w:val="0"/>
              <w:tabs>
                <w:tab w:val="left" w:pos="585"/>
                <w:tab w:val="left" w:pos="680"/>
              </w:tabs>
              <w:spacing w:after="0"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3分</w:t>
            </w:r>
          </w:p>
        </w:tc>
      </w:tr>
      <w:tr w14:paraId="1C68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6" w:type="pct"/>
            <w:tcBorders>
              <w:top w:val="single" w:color="auto" w:sz="4" w:space="0"/>
              <w:left w:val="single" w:color="auto" w:sz="4" w:space="0"/>
              <w:bottom w:val="single" w:color="auto" w:sz="4" w:space="0"/>
              <w:right w:val="single" w:color="auto" w:sz="4" w:space="0"/>
            </w:tcBorders>
            <w:vAlign w:val="center"/>
          </w:tcPr>
          <w:p w14:paraId="7F85538E">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3</w:t>
            </w:r>
          </w:p>
        </w:tc>
        <w:tc>
          <w:tcPr>
            <w:tcW w:w="581" w:type="pct"/>
            <w:tcBorders>
              <w:top w:val="single" w:color="auto" w:sz="4" w:space="0"/>
              <w:left w:val="single" w:color="auto" w:sz="4" w:space="0"/>
              <w:bottom w:val="single" w:color="auto" w:sz="4" w:space="0"/>
              <w:right w:val="single" w:color="auto" w:sz="4" w:space="0"/>
            </w:tcBorders>
            <w:vAlign w:val="center"/>
          </w:tcPr>
          <w:p w14:paraId="635F54BF">
            <w:pPr>
              <w:pStyle w:val="195"/>
              <w:keepNext w:val="0"/>
              <w:tabs>
                <w:tab w:val="left" w:pos="585"/>
                <w:tab w:val="left" w:pos="680"/>
              </w:tabs>
              <w:spacing w:after="0" w:line="400" w:lineRule="exact"/>
              <w:jc w:val="center"/>
              <w:rPr>
                <w:rFonts w:ascii="宋体" w:hAnsi="宋体" w:cs="宋体"/>
                <w:color w:val="auto"/>
                <w:kern w:val="0"/>
                <w:szCs w:val="21"/>
                <w:highlight w:val="none"/>
              </w:rPr>
            </w:pPr>
            <w:r>
              <w:rPr>
                <w:rFonts w:hint="eastAsia" w:ascii="宋体" w:hAnsi="宋体" w:cs="宋体"/>
                <w:color w:val="auto"/>
                <w:szCs w:val="21"/>
                <w:highlight w:val="none"/>
                <w:lang w:val="zh-CN"/>
              </w:rPr>
              <w:t>生产供货保障能力</w:t>
            </w:r>
          </w:p>
        </w:tc>
        <w:tc>
          <w:tcPr>
            <w:tcW w:w="3520" w:type="pct"/>
            <w:tcBorders>
              <w:top w:val="single" w:color="auto" w:sz="4" w:space="0"/>
              <w:left w:val="single" w:color="auto" w:sz="4" w:space="0"/>
              <w:bottom w:val="single" w:color="auto" w:sz="4" w:space="0"/>
              <w:right w:val="single" w:color="auto" w:sz="4" w:space="0"/>
            </w:tcBorders>
            <w:vAlign w:val="center"/>
          </w:tcPr>
          <w:p w14:paraId="5C88AF11">
            <w:pPr>
              <w:snapToGrid w:val="0"/>
              <w:spacing w:line="40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横向比较制造商生产液体聚合氯化铝、液体聚合氯化铝铁产品的场地规模、生产环境、设施设备资料、产能证明资料</w:t>
            </w:r>
            <w:r>
              <w:rPr>
                <w:rFonts w:hint="eastAsia" w:ascii="宋体" w:hAnsi="宋体" w:eastAsia="宋体" w:cs="宋体"/>
                <w:color w:val="auto"/>
                <w:szCs w:val="21"/>
                <w:highlight w:val="none"/>
              </w:rPr>
              <w:t>及</w:t>
            </w:r>
            <w:r>
              <w:rPr>
                <w:rFonts w:hint="eastAsia" w:ascii="宋体" w:hAnsi="宋体" w:eastAsia="宋体" w:cs="宋体"/>
                <w:color w:val="auto"/>
                <w:szCs w:val="21"/>
                <w:highlight w:val="none"/>
                <w:lang w:val="zh-CN"/>
              </w:rPr>
              <w:t>服务团队等</w:t>
            </w:r>
            <w:r>
              <w:rPr>
                <w:rFonts w:hint="eastAsia" w:ascii="宋体" w:hAnsi="宋体" w:eastAsia="宋体" w:cs="宋体"/>
                <w:color w:val="auto"/>
                <w:szCs w:val="21"/>
                <w:highlight w:val="none"/>
              </w:rPr>
              <w:t>进行评审</w:t>
            </w:r>
            <w:r>
              <w:rPr>
                <w:rFonts w:hint="eastAsia" w:ascii="宋体" w:hAnsi="宋体" w:eastAsia="宋体" w:cs="宋体"/>
                <w:color w:val="auto"/>
                <w:szCs w:val="21"/>
                <w:highlight w:val="none"/>
                <w:lang w:val="zh-CN"/>
              </w:rPr>
              <w:t>：</w:t>
            </w:r>
          </w:p>
          <w:p w14:paraId="1DCC6006">
            <w:pPr>
              <w:snapToGrid w:val="0"/>
              <w:spacing w:line="40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优：场地规模</w:t>
            </w:r>
            <w:r>
              <w:rPr>
                <w:rFonts w:hint="eastAsia" w:ascii="宋体" w:hAnsi="宋体" w:eastAsia="宋体" w:cs="宋体"/>
                <w:color w:val="auto"/>
                <w:szCs w:val="21"/>
                <w:highlight w:val="none"/>
              </w:rPr>
              <w:t>大</w:t>
            </w:r>
            <w:r>
              <w:rPr>
                <w:rFonts w:hint="eastAsia" w:ascii="宋体" w:hAnsi="宋体" w:eastAsia="宋体" w:cs="宋体"/>
                <w:color w:val="auto"/>
                <w:szCs w:val="21"/>
                <w:highlight w:val="none"/>
                <w:lang w:val="zh-CN"/>
              </w:rPr>
              <w:t>、生产环境</w:t>
            </w:r>
            <w:r>
              <w:rPr>
                <w:rFonts w:hint="eastAsia" w:ascii="宋体" w:hAnsi="宋体" w:eastAsia="宋体" w:cs="宋体"/>
                <w:color w:val="auto"/>
                <w:szCs w:val="21"/>
                <w:highlight w:val="none"/>
              </w:rPr>
              <w:t>好、设施设备先进、</w:t>
            </w:r>
            <w:r>
              <w:rPr>
                <w:rFonts w:hint="eastAsia" w:ascii="宋体" w:hAnsi="宋体" w:eastAsia="宋体" w:cs="宋体"/>
                <w:color w:val="auto"/>
                <w:szCs w:val="21"/>
                <w:highlight w:val="none"/>
                <w:lang w:val="zh-CN"/>
              </w:rPr>
              <w:t>产能证明资料充分且可靠、服务团队</w:t>
            </w:r>
            <w:r>
              <w:rPr>
                <w:rFonts w:hint="eastAsia" w:ascii="宋体" w:hAnsi="宋体" w:eastAsia="宋体" w:cs="宋体"/>
                <w:color w:val="auto"/>
                <w:szCs w:val="21"/>
                <w:highlight w:val="none"/>
              </w:rPr>
              <w:t>人员充足、</w:t>
            </w:r>
            <w:r>
              <w:rPr>
                <w:rFonts w:hint="eastAsia" w:ascii="宋体" w:hAnsi="宋体" w:eastAsia="宋体" w:cs="宋体"/>
                <w:color w:val="auto"/>
                <w:szCs w:val="21"/>
                <w:highlight w:val="none"/>
                <w:lang w:val="zh-CN"/>
              </w:rPr>
              <w:t>具备丰富的行业经验和专业</w:t>
            </w:r>
            <w:r>
              <w:rPr>
                <w:rFonts w:hint="eastAsia" w:ascii="宋体" w:hAnsi="宋体" w:eastAsia="宋体" w:cs="宋体"/>
                <w:color w:val="auto"/>
                <w:szCs w:val="21"/>
                <w:highlight w:val="none"/>
              </w:rPr>
              <w:t>能力的，得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]分；</w:t>
            </w:r>
          </w:p>
          <w:p w14:paraId="44587157">
            <w:pPr>
              <w:snapToGrid w:val="0"/>
              <w:spacing w:line="40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中：场地规模</w:t>
            </w:r>
            <w:r>
              <w:rPr>
                <w:rFonts w:hint="eastAsia" w:ascii="宋体" w:hAnsi="宋体" w:eastAsia="宋体" w:cs="宋体"/>
                <w:color w:val="auto"/>
                <w:szCs w:val="21"/>
                <w:highlight w:val="none"/>
              </w:rPr>
              <w:t>一般</w:t>
            </w:r>
            <w:r>
              <w:rPr>
                <w:rFonts w:hint="eastAsia" w:ascii="宋体" w:hAnsi="宋体" w:eastAsia="宋体" w:cs="宋体"/>
                <w:color w:val="auto"/>
                <w:szCs w:val="21"/>
                <w:highlight w:val="none"/>
                <w:lang w:val="zh-CN"/>
              </w:rPr>
              <w:t>、生产环境</w:t>
            </w:r>
            <w:r>
              <w:rPr>
                <w:rFonts w:hint="eastAsia" w:ascii="宋体" w:hAnsi="宋体" w:eastAsia="宋体" w:cs="宋体"/>
                <w:color w:val="auto"/>
                <w:szCs w:val="21"/>
                <w:highlight w:val="none"/>
              </w:rPr>
              <w:t>一般</w:t>
            </w:r>
            <w:r>
              <w:rPr>
                <w:rFonts w:hint="eastAsia" w:ascii="宋体" w:hAnsi="宋体" w:eastAsia="宋体" w:cs="宋体"/>
                <w:color w:val="auto"/>
                <w:szCs w:val="21"/>
                <w:highlight w:val="none"/>
                <w:lang w:val="zh-CN"/>
              </w:rPr>
              <w:t>、设施设备</w:t>
            </w:r>
            <w:r>
              <w:rPr>
                <w:rFonts w:hint="eastAsia" w:ascii="宋体" w:hAnsi="宋体" w:eastAsia="宋体" w:cs="宋体"/>
                <w:color w:val="auto"/>
                <w:szCs w:val="21"/>
                <w:highlight w:val="none"/>
              </w:rPr>
              <w:t>一般</w:t>
            </w:r>
            <w:r>
              <w:rPr>
                <w:rFonts w:hint="eastAsia" w:ascii="宋体" w:hAnsi="宋体" w:eastAsia="宋体" w:cs="宋体"/>
                <w:color w:val="auto"/>
                <w:szCs w:val="21"/>
                <w:highlight w:val="none"/>
                <w:lang w:val="zh-CN"/>
              </w:rPr>
              <w:t>、产能证明资料基本能反映生产能力、服务团队</w:t>
            </w:r>
            <w:r>
              <w:rPr>
                <w:rFonts w:hint="eastAsia" w:ascii="宋体" w:hAnsi="宋体" w:eastAsia="宋体" w:cs="宋体"/>
                <w:color w:val="auto"/>
                <w:szCs w:val="21"/>
                <w:highlight w:val="none"/>
              </w:rPr>
              <w:t>人员较少、</w:t>
            </w:r>
            <w:r>
              <w:rPr>
                <w:rFonts w:hint="eastAsia" w:ascii="宋体" w:hAnsi="宋体" w:eastAsia="宋体" w:cs="宋体"/>
                <w:color w:val="auto"/>
                <w:szCs w:val="21"/>
                <w:highlight w:val="none"/>
                <w:lang w:val="zh-CN"/>
              </w:rPr>
              <w:t>行业经验和专业</w:t>
            </w:r>
            <w:r>
              <w:rPr>
                <w:rFonts w:hint="eastAsia" w:ascii="宋体" w:hAnsi="宋体" w:eastAsia="宋体" w:cs="宋体"/>
                <w:color w:val="auto"/>
                <w:szCs w:val="21"/>
                <w:highlight w:val="none"/>
              </w:rPr>
              <w:t>能力一般的，得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p>
          <w:p w14:paraId="1CA65D9C">
            <w:pPr>
              <w:snapToGrid w:val="0"/>
              <w:spacing w:line="40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差：场地规模</w:t>
            </w:r>
            <w:r>
              <w:rPr>
                <w:rFonts w:hint="eastAsia" w:ascii="宋体" w:hAnsi="宋体" w:eastAsia="宋体" w:cs="宋体"/>
                <w:color w:val="auto"/>
                <w:szCs w:val="21"/>
                <w:highlight w:val="none"/>
              </w:rPr>
              <w:t>小</w:t>
            </w:r>
            <w:r>
              <w:rPr>
                <w:rFonts w:hint="eastAsia" w:ascii="宋体" w:hAnsi="宋体" w:eastAsia="宋体" w:cs="宋体"/>
                <w:color w:val="auto"/>
                <w:szCs w:val="21"/>
                <w:highlight w:val="none"/>
                <w:lang w:val="zh-CN"/>
              </w:rPr>
              <w:t>、生产环境</w:t>
            </w:r>
            <w:r>
              <w:rPr>
                <w:rFonts w:hint="eastAsia" w:ascii="宋体" w:hAnsi="宋体" w:eastAsia="宋体" w:cs="宋体"/>
                <w:color w:val="auto"/>
                <w:szCs w:val="21"/>
                <w:highlight w:val="none"/>
              </w:rPr>
              <w:t>简陋</w:t>
            </w:r>
            <w:r>
              <w:rPr>
                <w:rFonts w:hint="eastAsia" w:ascii="宋体" w:hAnsi="宋体" w:eastAsia="宋体" w:cs="宋体"/>
                <w:color w:val="auto"/>
                <w:szCs w:val="21"/>
                <w:highlight w:val="none"/>
                <w:lang w:val="zh-CN"/>
              </w:rPr>
              <w:t>、设施设备</w:t>
            </w:r>
            <w:r>
              <w:rPr>
                <w:rFonts w:hint="eastAsia" w:ascii="宋体" w:hAnsi="宋体" w:eastAsia="宋体" w:cs="宋体"/>
                <w:color w:val="auto"/>
                <w:szCs w:val="21"/>
                <w:highlight w:val="none"/>
              </w:rPr>
              <w:t>差、</w:t>
            </w:r>
            <w:r>
              <w:rPr>
                <w:rFonts w:hint="eastAsia" w:ascii="宋体" w:hAnsi="宋体" w:eastAsia="宋体" w:cs="宋体"/>
                <w:color w:val="auto"/>
                <w:szCs w:val="21"/>
                <w:highlight w:val="none"/>
                <w:lang w:val="zh-CN"/>
              </w:rPr>
              <w:t>产能证明资料不足、服务团队</w:t>
            </w:r>
            <w:r>
              <w:rPr>
                <w:rFonts w:hint="eastAsia" w:ascii="宋体" w:hAnsi="宋体" w:eastAsia="宋体" w:cs="宋体"/>
                <w:color w:val="auto"/>
                <w:szCs w:val="21"/>
                <w:highlight w:val="none"/>
              </w:rPr>
              <w:t>人员少、</w:t>
            </w:r>
            <w:r>
              <w:rPr>
                <w:rFonts w:hint="eastAsia" w:ascii="宋体" w:hAnsi="宋体" w:eastAsia="宋体" w:cs="宋体"/>
                <w:color w:val="auto"/>
                <w:szCs w:val="21"/>
                <w:highlight w:val="none"/>
                <w:lang w:val="zh-CN"/>
              </w:rPr>
              <w:t>行业经验和专业</w:t>
            </w:r>
            <w:r>
              <w:rPr>
                <w:rFonts w:hint="eastAsia" w:ascii="宋体" w:hAnsi="宋体" w:eastAsia="宋体" w:cs="宋体"/>
                <w:color w:val="auto"/>
                <w:szCs w:val="21"/>
                <w:highlight w:val="none"/>
              </w:rPr>
              <w:t>能力</w:t>
            </w:r>
            <w:r>
              <w:rPr>
                <w:rFonts w:hint="eastAsia" w:ascii="宋体" w:hAnsi="宋体" w:eastAsia="宋体" w:cs="宋体"/>
                <w:color w:val="auto"/>
                <w:szCs w:val="21"/>
                <w:highlight w:val="none"/>
                <w:lang w:val="zh-CN"/>
              </w:rPr>
              <w:t>不足</w:t>
            </w:r>
            <w:r>
              <w:rPr>
                <w:rFonts w:hint="eastAsia" w:ascii="宋体" w:hAnsi="宋体" w:eastAsia="宋体" w:cs="宋体"/>
                <w:color w:val="auto"/>
                <w:szCs w:val="21"/>
                <w:highlight w:val="none"/>
              </w:rPr>
              <w:t>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-0]分。</w:t>
            </w:r>
          </w:p>
          <w:p w14:paraId="6FBE4F9E">
            <w:pPr>
              <w:snapToGri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备注：</w:t>
            </w:r>
          </w:p>
          <w:p w14:paraId="339A72A7">
            <w:pPr>
              <w:snapToGri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（1）提供制造商场地自有产权证明</w:t>
            </w:r>
            <w:r>
              <w:rPr>
                <w:rFonts w:hint="eastAsia" w:ascii="宋体" w:hAnsi="宋体" w:eastAsia="宋体" w:cs="宋体"/>
                <w:b/>
                <w:color w:val="auto"/>
                <w:szCs w:val="21"/>
                <w:highlight w:val="none"/>
              </w:rPr>
              <w:t>扫描件</w:t>
            </w:r>
            <w:r>
              <w:rPr>
                <w:rFonts w:hint="eastAsia" w:ascii="宋体" w:hAnsi="宋体" w:eastAsia="宋体" w:cs="宋体"/>
                <w:b/>
                <w:color w:val="auto"/>
                <w:szCs w:val="21"/>
                <w:highlight w:val="none"/>
                <w:lang w:val="zh-CN"/>
              </w:rPr>
              <w:t>（或非自有产权时提供承租人为制造商的租赁合同</w:t>
            </w:r>
            <w:r>
              <w:rPr>
                <w:rFonts w:hint="eastAsia" w:ascii="宋体" w:hAnsi="宋体" w:eastAsia="宋体" w:cs="宋体"/>
                <w:b/>
                <w:color w:val="auto"/>
                <w:szCs w:val="21"/>
                <w:highlight w:val="none"/>
              </w:rPr>
              <w:t>扫描件</w:t>
            </w:r>
            <w:r>
              <w:rPr>
                <w:rFonts w:hint="eastAsia" w:ascii="宋体" w:hAnsi="宋体" w:eastAsia="宋体" w:cs="宋体"/>
                <w:b/>
                <w:color w:val="auto"/>
                <w:szCs w:val="21"/>
                <w:highlight w:val="none"/>
                <w:lang w:val="zh-CN"/>
              </w:rPr>
              <w:t>），产权证明或租赁合同的有效期须至202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年</w:t>
            </w:r>
            <w:r>
              <w:rPr>
                <w:rFonts w:hint="eastAsia" w:ascii="宋体" w:hAnsi="宋体" w:eastAsia="宋体" w:cs="宋体"/>
                <w:b/>
                <w:color w:val="auto"/>
                <w:szCs w:val="21"/>
                <w:highlight w:val="none"/>
                <w:lang w:val="en-US" w:eastAsia="zh-CN"/>
              </w:rPr>
              <w:t>12</w:t>
            </w:r>
            <w:r>
              <w:rPr>
                <w:rFonts w:hint="eastAsia" w:ascii="宋体" w:hAnsi="宋体" w:eastAsia="宋体" w:cs="宋体"/>
                <w:b/>
                <w:color w:val="auto"/>
                <w:szCs w:val="21"/>
                <w:highlight w:val="none"/>
                <w:lang w:val="zh-CN"/>
              </w:rPr>
              <w:t>月</w:t>
            </w:r>
            <w:r>
              <w:rPr>
                <w:rFonts w:hint="eastAsia" w:ascii="宋体" w:hAnsi="宋体" w:eastAsia="宋体" w:cs="宋体"/>
                <w:b/>
                <w:color w:val="auto"/>
                <w:szCs w:val="21"/>
                <w:highlight w:val="none"/>
                <w:lang w:val="en-US" w:eastAsia="zh-CN"/>
              </w:rPr>
              <w:t>31</w:t>
            </w:r>
            <w:r>
              <w:rPr>
                <w:rFonts w:hint="eastAsia" w:ascii="宋体" w:hAnsi="宋体" w:eastAsia="宋体" w:cs="宋体"/>
                <w:b/>
                <w:color w:val="auto"/>
                <w:szCs w:val="21"/>
                <w:highlight w:val="none"/>
                <w:lang w:val="zh-CN"/>
              </w:rPr>
              <w:t>日或以后；</w:t>
            </w:r>
          </w:p>
          <w:p w14:paraId="1779F236">
            <w:pPr>
              <w:snapToGri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（2）提供制造商现场经营、生产环境、生产设备设施的照片/图片（照片/图片须清晰显示拍摄时间为202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年</w:t>
            </w:r>
            <w:r>
              <w:rPr>
                <w:rFonts w:hint="eastAsia" w:ascii="宋体" w:hAnsi="宋体" w:eastAsia="宋体" w:cs="宋体"/>
                <w:b/>
                <w:color w:val="auto"/>
                <w:szCs w:val="21"/>
                <w:highlight w:val="none"/>
                <w:lang w:val="en-US" w:eastAsia="zh-CN"/>
              </w:rPr>
              <w:t>11</w:t>
            </w:r>
            <w:r>
              <w:rPr>
                <w:rFonts w:hint="eastAsia" w:ascii="宋体" w:hAnsi="宋体" w:eastAsia="宋体" w:cs="宋体"/>
                <w:b/>
                <w:color w:val="auto"/>
                <w:szCs w:val="21"/>
                <w:highlight w:val="none"/>
                <w:lang w:val="zh-CN"/>
              </w:rPr>
              <w:t>月1日或以后），生产设备设施清单和（付款单位/购买方为制造商的）购置发票</w:t>
            </w:r>
            <w:r>
              <w:rPr>
                <w:rFonts w:hint="eastAsia" w:ascii="宋体" w:hAnsi="宋体" w:eastAsia="宋体" w:cs="宋体"/>
                <w:b/>
                <w:color w:val="auto"/>
                <w:szCs w:val="21"/>
                <w:highlight w:val="none"/>
              </w:rPr>
              <w:t>扫描件</w:t>
            </w:r>
            <w:r>
              <w:rPr>
                <w:rFonts w:hint="eastAsia" w:ascii="宋体" w:hAnsi="宋体" w:eastAsia="宋体" w:cs="宋体"/>
                <w:b/>
                <w:color w:val="auto"/>
                <w:szCs w:val="21"/>
                <w:highlight w:val="none"/>
                <w:lang w:val="zh-CN"/>
              </w:rPr>
              <w:t>等，并提供能证明其生产能力的环评报告或其他生产能力证明资料；</w:t>
            </w:r>
          </w:p>
          <w:p w14:paraId="01BC9208">
            <w:pPr>
              <w:snapToGri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（3）提供制造商生产及管理人员清单及人力资源和社会保障部门（或税务部门）出具的</w:t>
            </w:r>
            <w:r>
              <w:rPr>
                <w:rFonts w:hint="default" w:ascii="宋体" w:hAnsi="宋体" w:eastAsia="宋体" w:cs="宋体"/>
                <w:b/>
                <w:color w:val="auto"/>
                <w:szCs w:val="21"/>
                <w:highlight w:val="none"/>
                <w:lang w:val="en-US"/>
              </w:rPr>
              <w:t>2025年11月至2026年1月</w:t>
            </w:r>
            <w:r>
              <w:rPr>
                <w:rFonts w:hint="eastAsia" w:ascii="宋体" w:hAnsi="宋体" w:eastAsia="宋体" w:cs="宋体"/>
                <w:b/>
                <w:color w:val="auto"/>
                <w:szCs w:val="21"/>
                <w:highlight w:val="none"/>
                <w:lang w:val="zh-CN"/>
              </w:rPr>
              <w:t>制造商为其缴纳的社保证明</w:t>
            </w:r>
            <w:r>
              <w:rPr>
                <w:rFonts w:hint="eastAsia" w:ascii="宋体" w:hAnsi="宋体" w:eastAsia="宋体" w:cs="宋体"/>
                <w:b/>
                <w:color w:val="auto"/>
                <w:szCs w:val="21"/>
                <w:highlight w:val="none"/>
              </w:rPr>
              <w:t>扫描件</w:t>
            </w:r>
            <w:r>
              <w:rPr>
                <w:rFonts w:hint="eastAsia" w:ascii="宋体" w:hAnsi="宋体" w:eastAsia="宋体" w:cs="宋体"/>
                <w:b/>
                <w:color w:val="auto"/>
                <w:szCs w:val="21"/>
                <w:highlight w:val="none"/>
                <w:lang w:val="zh-CN"/>
              </w:rPr>
              <w:t>；</w:t>
            </w:r>
          </w:p>
          <w:p w14:paraId="1115E164">
            <w:pPr>
              <w:snapToGrid w:val="0"/>
              <w:spacing w:line="400" w:lineRule="exact"/>
              <w:rPr>
                <w:rFonts w:hAnsi="宋体" w:cs="宋体"/>
                <w:color w:val="auto"/>
                <w:kern w:val="0"/>
                <w:szCs w:val="21"/>
                <w:highlight w:val="none"/>
              </w:rPr>
            </w:pP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val="zh-CN"/>
              </w:rPr>
              <w:t>）投标人除文字介绍外，</w:t>
            </w:r>
            <w:r>
              <w:rPr>
                <w:rFonts w:ascii="宋体" w:hAnsi="宋体" w:eastAsia="宋体" w:cs="宋体"/>
                <w:b/>
                <w:color w:val="auto"/>
                <w:szCs w:val="21"/>
                <w:highlight w:val="none"/>
              </w:rPr>
              <w:t>须</w:t>
            </w:r>
            <w:r>
              <w:rPr>
                <w:rFonts w:hint="eastAsia" w:ascii="宋体" w:hAnsi="宋体" w:eastAsia="宋体" w:cs="宋体"/>
                <w:b/>
                <w:color w:val="auto"/>
                <w:szCs w:val="21"/>
                <w:highlight w:val="none"/>
                <w:lang w:val="zh-CN"/>
              </w:rPr>
              <w:t>提供以上材料</w:t>
            </w:r>
            <w:r>
              <w:rPr>
                <w:rFonts w:hint="eastAsia" w:ascii="宋体" w:hAnsi="宋体" w:eastAsia="宋体" w:cs="宋体"/>
                <w:b/>
                <w:color w:val="auto"/>
                <w:szCs w:val="21"/>
                <w:highlight w:val="none"/>
              </w:rPr>
              <w:t>作为辅助证明；如投标人不能完整提供上述证明材料的，在评标时将不予考虑评为“优”</w:t>
            </w:r>
            <w:r>
              <w:rPr>
                <w:rFonts w:hint="eastAsia" w:ascii="宋体" w:hAnsi="宋体" w:eastAsia="宋体" w:cs="宋体"/>
                <w:b/>
                <w:color w:val="auto"/>
                <w:szCs w:val="21"/>
                <w:highlight w:val="none"/>
                <w:lang w:val="zh-CN"/>
              </w:rPr>
              <w:t>。</w:t>
            </w:r>
          </w:p>
        </w:tc>
        <w:tc>
          <w:tcPr>
            <w:tcW w:w="551" w:type="pct"/>
            <w:tcBorders>
              <w:top w:val="single" w:color="auto" w:sz="4" w:space="0"/>
              <w:left w:val="single" w:color="auto" w:sz="4" w:space="0"/>
              <w:bottom w:val="single" w:color="auto" w:sz="4" w:space="0"/>
              <w:right w:val="single" w:color="auto" w:sz="4" w:space="0"/>
            </w:tcBorders>
            <w:vAlign w:val="center"/>
          </w:tcPr>
          <w:p w14:paraId="7AE3E2D9">
            <w:pPr>
              <w:pStyle w:val="195"/>
              <w:keepNext w:val="0"/>
              <w:tabs>
                <w:tab w:val="left" w:pos="585"/>
                <w:tab w:val="left" w:pos="680"/>
              </w:tabs>
              <w:spacing w:after="0"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3分</w:t>
            </w:r>
          </w:p>
        </w:tc>
      </w:tr>
      <w:tr w14:paraId="393F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6" w:type="pct"/>
            <w:tcBorders>
              <w:top w:val="single" w:color="auto" w:sz="4" w:space="0"/>
              <w:left w:val="single" w:color="auto" w:sz="4" w:space="0"/>
              <w:bottom w:val="single" w:color="auto" w:sz="4" w:space="0"/>
              <w:right w:val="single" w:color="auto" w:sz="4" w:space="0"/>
            </w:tcBorders>
            <w:vAlign w:val="center"/>
          </w:tcPr>
          <w:p w14:paraId="40AF4BBD">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4</w:t>
            </w:r>
          </w:p>
        </w:tc>
        <w:tc>
          <w:tcPr>
            <w:tcW w:w="581" w:type="pct"/>
            <w:tcBorders>
              <w:top w:val="single" w:color="auto" w:sz="4" w:space="0"/>
              <w:left w:val="single" w:color="auto" w:sz="4" w:space="0"/>
              <w:bottom w:val="single" w:color="auto" w:sz="4" w:space="0"/>
              <w:right w:val="single" w:color="auto" w:sz="4" w:space="0"/>
            </w:tcBorders>
            <w:vAlign w:val="center"/>
          </w:tcPr>
          <w:p w14:paraId="18335948">
            <w:pPr>
              <w:pStyle w:val="195"/>
              <w:keepNext w:val="0"/>
              <w:tabs>
                <w:tab w:val="left" w:pos="585"/>
                <w:tab w:val="left" w:pos="680"/>
              </w:tabs>
              <w:spacing w:after="0" w:line="400" w:lineRule="exact"/>
              <w:jc w:val="center"/>
              <w:rPr>
                <w:rFonts w:ascii="宋体" w:hAnsi="宋体" w:cs="宋体"/>
                <w:color w:val="auto"/>
                <w:szCs w:val="21"/>
                <w:highlight w:val="none"/>
              </w:rPr>
            </w:pPr>
            <w:r>
              <w:rPr>
                <w:rFonts w:hint="eastAsia" w:ascii="宋体" w:hAnsi="宋体" w:cs="宋体"/>
                <w:color w:val="auto"/>
                <w:szCs w:val="21"/>
                <w:highlight w:val="none"/>
              </w:rPr>
              <w:t>质量保证体系和措施</w:t>
            </w:r>
          </w:p>
        </w:tc>
        <w:tc>
          <w:tcPr>
            <w:tcW w:w="3520" w:type="pct"/>
            <w:tcBorders>
              <w:top w:val="single" w:color="auto" w:sz="4" w:space="0"/>
              <w:left w:val="single" w:color="auto" w:sz="4" w:space="0"/>
              <w:bottom w:val="single" w:color="auto" w:sz="4" w:space="0"/>
              <w:right w:val="single" w:color="auto" w:sz="4" w:space="0"/>
            </w:tcBorders>
            <w:vAlign w:val="center"/>
          </w:tcPr>
          <w:p w14:paraId="410566AE">
            <w:pPr>
              <w:pStyle w:val="195"/>
              <w:keepNext w:val="0"/>
              <w:tabs>
                <w:tab w:val="left" w:pos="585"/>
                <w:tab w:val="left" w:pos="680"/>
              </w:tabs>
              <w:spacing w:after="0" w:line="400" w:lineRule="exact"/>
              <w:rPr>
                <w:rFonts w:ascii="宋体" w:hAnsi="宋体" w:cs="宋体"/>
                <w:color w:val="auto"/>
                <w:szCs w:val="21"/>
                <w:highlight w:val="none"/>
              </w:rPr>
            </w:pPr>
            <w:r>
              <w:rPr>
                <w:rFonts w:hint="eastAsia" w:ascii="宋体" w:hAnsi="宋体" w:cs="宋体"/>
                <w:color w:val="auto"/>
                <w:szCs w:val="21"/>
                <w:highlight w:val="none"/>
              </w:rPr>
              <w:t>对比投标人针对投标产品的测试、验收、质量保证实施计划和对招标人的水质、设备状况及运营情况进行液体聚合氯化铝、液体聚合氯化铝铁小试具体方案情况进行评审。</w:t>
            </w:r>
          </w:p>
          <w:p w14:paraId="2631401F">
            <w:pPr>
              <w:pStyle w:val="195"/>
              <w:keepNext w:val="0"/>
              <w:tabs>
                <w:tab w:val="left" w:pos="585"/>
                <w:tab w:val="left" w:pos="680"/>
              </w:tabs>
              <w:spacing w:after="0" w:line="400" w:lineRule="exact"/>
              <w:rPr>
                <w:rFonts w:ascii="宋体" w:hAnsi="宋体" w:cs="宋体"/>
                <w:color w:val="auto"/>
                <w:szCs w:val="21"/>
                <w:highlight w:val="none"/>
              </w:rPr>
            </w:pPr>
            <w:r>
              <w:rPr>
                <w:rFonts w:hint="eastAsia" w:ascii="宋体" w:hAnsi="宋体" w:cs="宋体"/>
                <w:color w:val="auto"/>
                <w:szCs w:val="21"/>
                <w:highlight w:val="none"/>
              </w:rPr>
              <w:t>优：提供的测试、验收实施计划详细；</w:t>
            </w:r>
            <w:r>
              <w:rPr>
                <w:color w:val="auto"/>
                <w:highlight w:val="none"/>
              </w:rPr>
              <w:t>质量保证体系完善、科学</w:t>
            </w:r>
            <w:r>
              <w:rPr>
                <w:rFonts w:hint="eastAsia" w:ascii="宋体" w:hAnsi="宋体" w:cs="宋体"/>
                <w:color w:val="auto"/>
                <w:szCs w:val="21"/>
                <w:highlight w:val="none"/>
              </w:rPr>
              <w:t>；小试方案充分考虑了招标人的水质、设备状况及运营情况，方案针对性和可操作性强的，得[3-2]分；</w:t>
            </w:r>
          </w:p>
          <w:p w14:paraId="102E5732">
            <w:pPr>
              <w:pStyle w:val="195"/>
              <w:keepNext w:val="0"/>
              <w:tabs>
                <w:tab w:val="left" w:pos="585"/>
                <w:tab w:val="left" w:pos="680"/>
              </w:tabs>
              <w:spacing w:after="0" w:line="400" w:lineRule="exact"/>
              <w:rPr>
                <w:rFonts w:ascii="宋体" w:hAnsi="宋体" w:cs="宋体"/>
                <w:color w:val="auto"/>
                <w:szCs w:val="21"/>
                <w:highlight w:val="none"/>
              </w:rPr>
            </w:pPr>
            <w:r>
              <w:rPr>
                <w:rFonts w:hint="eastAsia" w:ascii="宋体" w:hAnsi="宋体" w:cs="宋体"/>
                <w:color w:val="auto"/>
                <w:szCs w:val="21"/>
                <w:highlight w:val="none"/>
              </w:rPr>
              <w:t>中：提供的测试、验收实施计划一般；</w:t>
            </w:r>
            <w:r>
              <w:rPr>
                <w:color w:val="auto"/>
                <w:highlight w:val="none"/>
              </w:rPr>
              <w:t>质量保证体系</w:t>
            </w:r>
            <w:r>
              <w:rPr>
                <w:rFonts w:hint="eastAsia" w:ascii="宋体" w:hAnsi="宋体" w:cs="宋体"/>
                <w:color w:val="auto"/>
                <w:szCs w:val="21"/>
                <w:highlight w:val="none"/>
              </w:rPr>
              <w:t>一般；小试方案基本考虑了招标人的水质、设备状况及运营情况，方案针对性和可操作性一般的，得（2-1]分；</w:t>
            </w:r>
          </w:p>
          <w:p w14:paraId="7157DE53">
            <w:pPr>
              <w:pStyle w:val="195"/>
              <w:keepNext w:val="0"/>
              <w:tabs>
                <w:tab w:val="left" w:pos="585"/>
                <w:tab w:val="left" w:pos="680"/>
              </w:tabs>
              <w:spacing w:after="0" w:line="400" w:lineRule="exact"/>
              <w:rPr>
                <w:rFonts w:ascii="宋体" w:hAnsi="宋体" w:cs="宋体"/>
                <w:color w:val="auto"/>
                <w:szCs w:val="21"/>
                <w:highlight w:val="none"/>
              </w:rPr>
            </w:pPr>
            <w:r>
              <w:rPr>
                <w:rFonts w:hint="eastAsia" w:ascii="宋体" w:hAnsi="宋体" w:cs="宋体"/>
                <w:color w:val="auto"/>
                <w:szCs w:val="21"/>
                <w:highlight w:val="none"/>
              </w:rPr>
              <w:t>差：提供的测试、验收实施计划</w:t>
            </w:r>
            <w:r>
              <w:rPr>
                <w:rFonts w:hint="eastAsia" w:ascii="宋体" w:hAnsi="宋体" w:cs="宋体"/>
                <w:color w:val="auto"/>
                <w:szCs w:val="21"/>
                <w:highlight w:val="none"/>
                <w:lang w:val="zh-CN"/>
              </w:rPr>
              <w:t>存在一定缺失或不够详细</w:t>
            </w:r>
            <w:r>
              <w:rPr>
                <w:rFonts w:hint="eastAsia" w:ascii="宋体" w:hAnsi="宋体" w:cs="宋体"/>
                <w:color w:val="auto"/>
                <w:szCs w:val="21"/>
                <w:highlight w:val="none"/>
              </w:rPr>
              <w:t>；</w:t>
            </w:r>
            <w:r>
              <w:rPr>
                <w:color w:val="auto"/>
                <w:highlight w:val="none"/>
              </w:rPr>
              <w:t>质量保证体系</w:t>
            </w:r>
            <w:r>
              <w:rPr>
                <w:rFonts w:hint="eastAsia"/>
                <w:color w:val="auto"/>
                <w:highlight w:val="none"/>
              </w:rPr>
              <w:t>不完整或未提供</w:t>
            </w:r>
            <w:r>
              <w:rPr>
                <w:rFonts w:hint="eastAsia" w:ascii="宋体" w:hAnsi="宋体" w:cs="宋体"/>
                <w:color w:val="auto"/>
                <w:szCs w:val="21"/>
                <w:highlight w:val="none"/>
              </w:rPr>
              <w:t>；小试方案未能考虑招标人的水质、设备状况及运营情况，方案针对性和可操作性差的，得（1-0]分。</w:t>
            </w:r>
          </w:p>
        </w:tc>
        <w:tc>
          <w:tcPr>
            <w:tcW w:w="551" w:type="pct"/>
            <w:tcBorders>
              <w:top w:val="single" w:color="auto" w:sz="4" w:space="0"/>
              <w:left w:val="single" w:color="auto" w:sz="4" w:space="0"/>
              <w:bottom w:val="single" w:color="auto" w:sz="4" w:space="0"/>
              <w:right w:val="single" w:color="auto" w:sz="4" w:space="0"/>
            </w:tcBorders>
            <w:vAlign w:val="center"/>
          </w:tcPr>
          <w:p w14:paraId="5DC0B1CB">
            <w:pPr>
              <w:pStyle w:val="195"/>
              <w:keepNext w:val="0"/>
              <w:tabs>
                <w:tab w:val="left" w:pos="585"/>
                <w:tab w:val="left" w:pos="680"/>
              </w:tabs>
              <w:snapToGrid w:val="0"/>
              <w:spacing w:after="0"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3分</w:t>
            </w:r>
          </w:p>
        </w:tc>
      </w:tr>
      <w:tr w14:paraId="67C1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6" w:type="pct"/>
            <w:tcBorders>
              <w:top w:val="single" w:color="auto" w:sz="4" w:space="0"/>
              <w:left w:val="single" w:color="auto" w:sz="4" w:space="0"/>
              <w:right w:val="single" w:color="auto" w:sz="4" w:space="0"/>
            </w:tcBorders>
            <w:vAlign w:val="center"/>
          </w:tcPr>
          <w:p w14:paraId="7EF0DE87">
            <w:pPr>
              <w:spacing w:line="40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1185" w:type="dxa"/>
            <w:tcBorders>
              <w:top w:val="single" w:color="auto" w:sz="4" w:space="0"/>
              <w:left w:val="single" w:color="auto" w:sz="4" w:space="0"/>
              <w:right w:val="single" w:color="auto" w:sz="4" w:space="0"/>
            </w:tcBorders>
            <w:vAlign w:val="center"/>
          </w:tcPr>
          <w:p w14:paraId="5FEA1A2E">
            <w:pPr>
              <w:snapToGrid w:val="0"/>
              <w:spacing w:line="400" w:lineRule="exact"/>
              <w:jc w:val="center"/>
              <w:rPr>
                <w:rFonts w:hint="eastAsia" w:ascii="宋体" w:hAnsi="宋体" w:cs="宋体"/>
                <w:color w:val="auto"/>
                <w:szCs w:val="21"/>
                <w:highlight w:val="none"/>
              </w:rPr>
            </w:pPr>
            <w:r>
              <w:rPr>
                <w:rFonts w:hint="eastAsia" w:ascii="宋体" w:hAnsi="宋体" w:eastAsia="宋体" w:cs="宋体"/>
                <w:color w:val="auto"/>
                <w:szCs w:val="21"/>
                <w:highlight w:val="none"/>
                <w:lang w:eastAsia="zh-CN"/>
              </w:rPr>
              <w:t>企业运输能力</w:t>
            </w:r>
          </w:p>
        </w:tc>
        <w:tc>
          <w:tcPr>
            <w:tcW w:w="7179" w:type="dxa"/>
            <w:tcBorders>
              <w:top w:val="single" w:color="auto" w:sz="4" w:space="0"/>
              <w:left w:val="single" w:color="auto" w:sz="4" w:space="0"/>
              <w:bottom w:val="single" w:color="auto" w:sz="4" w:space="0"/>
              <w:right w:val="single" w:color="auto" w:sz="4" w:space="0"/>
            </w:tcBorders>
            <w:vAlign w:val="center"/>
          </w:tcPr>
          <w:p w14:paraId="633D4B07">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lang w:val="zh-CN"/>
              </w:rPr>
              <w:t>根据投标人的运输能力进行评审：</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val="zh-CN"/>
              </w:rPr>
              <w:t>的运输车（可用</w:t>
            </w:r>
            <w:r>
              <w:rPr>
                <w:rFonts w:hint="eastAsia" w:ascii="宋体" w:hAnsi="宋体" w:eastAsia="宋体" w:cs="宋体"/>
                <w:color w:val="auto"/>
                <w:szCs w:val="21"/>
                <w:highlight w:val="none"/>
                <w:lang w:val="en-US" w:eastAsia="zh-CN"/>
              </w:rPr>
              <w:t>于</w:t>
            </w:r>
            <w:r>
              <w:rPr>
                <w:rFonts w:hint="eastAsia" w:ascii="宋体" w:hAnsi="宋体" w:eastAsia="宋体" w:cs="宋体"/>
                <w:color w:val="auto"/>
                <w:szCs w:val="21"/>
                <w:highlight w:val="none"/>
                <w:lang w:val="zh-CN"/>
              </w:rPr>
              <w:t>运输液体聚合氯化铝、液体聚合氯化铝铁</w:t>
            </w:r>
            <w:r>
              <w:rPr>
                <w:rFonts w:hint="eastAsia" w:ascii="宋体" w:hAnsi="宋体" w:eastAsia="宋体" w:cs="宋体"/>
                <w:color w:val="auto"/>
                <w:szCs w:val="21"/>
                <w:highlight w:val="none"/>
                <w:lang w:val="en-US" w:eastAsia="zh-CN"/>
              </w:rPr>
              <w:t>的车辆</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数量累计达到5台的，得1分</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在上述基础上，</w:t>
            </w:r>
            <w:r>
              <w:rPr>
                <w:rFonts w:hint="eastAsia" w:ascii="宋体" w:hAnsi="宋体" w:eastAsia="宋体" w:cs="宋体"/>
                <w:color w:val="auto"/>
                <w:szCs w:val="21"/>
                <w:highlight w:val="none"/>
                <w:lang w:val="zh-CN"/>
              </w:rPr>
              <w:t>运输专用车每</w:t>
            </w:r>
            <w:r>
              <w:rPr>
                <w:rFonts w:hint="eastAsia" w:ascii="宋体" w:hAnsi="宋体" w:eastAsia="宋体" w:cs="宋体"/>
                <w:color w:val="auto"/>
                <w:szCs w:val="21"/>
                <w:highlight w:val="none"/>
              </w:rPr>
              <w:t>增加投入</w:t>
            </w:r>
            <w:r>
              <w:rPr>
                <w:rFonts w:hint="eastAsia" w:ascii="宋体" w:hAnsi="宋体" w:eastAsia="宋体" w:cs="宋体"/>
                <w:color w:val="auto"/>
                <w:szCs w:val="21"/>
                <w:highlight w:val="none"/>
                <w:lang w:val="zh-CN"/>
              </w:rPr>
              <w:t>1台</w:t>
            </w:r>
            <w:r>
              <w:rPr>
                <w:rFonts w:hint="eastAsia" w:ascii="宋体" w:hAnsi="宋体" w:eastAsia="宋体" w:cs="宋体"/>
                <w:color w:val="auto"/>
                <w:szCs w:val="21"/>
                <w:highlight w:val="none"/>
              </w:rPr>
              <w:t>的加1</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rPr>
              <w:t>本项</w:t>
            </w:r>
            <w:r>
              <w:rPr>
                <w:rFonts w:hint="eastAsia" w:ascii="宋体" w:hAnsi="宋体" w:eastAsia="宋体" w:cs="宋体"/>
                <w:color w:val="auto"/>
                <w:szCs w:val="21"/>
                <w:highlight w:val="none"/>
                <w:lang w:val="zh-CN"/>
              </w:rPr>
              <w:t>满分</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分。</w:t>
            </w:r>
            <w:bookmarkStart w:id="838" w:name="_GoBack"/>
            <w:bookmarkEnd w:id="838"/>
          </w:p>
          <w:p w14:paraId="1ADDE603">
            <w:pPr>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备注：</w:t>
            </w:r>
          </w:p>
          <w:p w14:paraId="46FD2E33">
            <w:pPr>
              <w:spacing w:line="400" w:lineRule="exact"/>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zh-CN"/>
              </w:rPr>
              <w:t>自有的运输专用车的须提供：①行驶证</w:t>
            </w:r>
            <w:r>
              <w:rPr>
                <w:rFonts w:hint="eastAsia" w:ascii="宋体" w:hAnsi="宋体" w:eastAsia="宋体" w:cs="宋体"/>
                <w:b/>
                <w:color w:val="auto"/>
                <w:szCs w:val="21"/>
                <w:highlight w:val="none"/>
              </w:rPr>
              <w:t>扫描件</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rPr>
              <w:t>②车辆照片/图片（照片/图片须清晰</w:t>
            </w:r>
            <w:r>
              <w:rPr>
                <w:rFonts w:hint="eastAsia" w:ascii="宋体" w:hAnsi="宋体" w:eastAsia="宋体" w:cs="宋体"/>
                <w:b/>
                <w:bCs/>
                <w:color w:val="auto"/>
                <w:szCs w:val="21"/>
                <w:highlight w:val="none"/>
                <w:lang w:val="zh-CN"/>
              </w:rPr>
              <w:t>显示</w:t>
            </w:r>
            <w:r>
              <w:rPr>
                <w:rFonts w:hint="eastAsia" w:ascii="宋体" w:hAnsi="宋体" w:eastAsia="宋体" w:cs="宋体"/>
                <w:b/>
                <w:bCs/>
                <w:color w:val="auto"/>
                <w:szCs w:val="21"/>
                <w:highlight w:val="none"/>
              </w:rPr>
              <w:t>拍摄时间为</w:t>
            </w:r>
            <w:r>
              <w:rPr>
                <w:rFonts w:hint="eastAsia" w:ascii="宋体" w:hAnsi="宋体" w:eastAsia="宋体" w:cs="宋体"/>
                <w:b/>
                <w:bCs/>
                <w:color w:val="auto"/>
                <w:szCs w:val="21"/>
                <w:highlight w:val="none"/>
                <w:lang w:eastAsia="zh-CN"/>
              </w:rPr>
              <w:t>202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月1日或以后）</w:t>
            </w:r>
            <w:r>
              <w:rPr>
                <w:rFonts w:hint="eastAsia" w:ascii="宋体" w:hAnsi="宋体" w:eastAsia="宋体" w:cs="宋体"/>
                <w:b/>
                <w:bCs/>
                <w:color w:val="auto"/>
                <w:szCs w:val="21"/>
                <w:highlight w:val="none"/>
                <w:lang w:val="zh-CN"/>
              </w:rPr>
              <w:t>。</w:t>
            </w:r>
          </w:p>
          <w:p w14:paraId="417E5076">
            <w:pPr>
              <w:spacing w:line="400" w:lineRule="exact"/>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zh-CN"/>
              </w:rPr>
              <w:t>委托第三方运输的须提供：①运输合同扫描件；</w:t>
            </w:r>
            <w:r>
              <w:rPr>
                <w:rFonts w:hint="eastAsia" w:ascii="宋体" w:hAnsi="宋体" w:eastAsia="宋体" w:cs="宋体"/>
                <w:b/>
                <w:bCs/>
                <w:color w:val="auto"/>
                <w:szCs w:val="21"/>
                <w:highlight w:val="none"/>
              </w:rPr>
              <w:t>②受托方道路运输经营许可证</w:t>
            </w:r>
            <w:r>
              <w:rPr>
                <w:rFonts w:hint="eastAsia" w:ascii="宋体" w:hAnsi="宋体" w:eastAsia="宋体" w:cs="宋体"/>
                <w:b/>
                <w:color w:val="auto"/>
                <w:szCs w:val="21"/>
                <w:highlight w:val="none"/>
              </w:rPr>
              <w:t>扫描件</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③车辆道路运输证</w:t>
            </w:r>
            <w:r>
              <w:rPr>
                <w:rFonts w:hint="eastAsia" w:ascii="宋体" w:hAnsi="宋体" w:eastAsia="宋体" w:cs="宋体"/>
                <w:b/>
                <w:color w:val="auto"/>
                <w:szCs w:val="21"/>
                <w:highlight w:val="none"/>
              </w:rPr>
              <w:t>扫描件</w:t>
            </w:r>
            <w:r>
              <w:rPr>
                <w:rFonts w:hint="eastAsia" w:ascii="宋体" w:hAnsi="宋体" w:eastAsia="宋体" w:cs="宋体"/>
                <w:b/>
                <w:bCs/>
                <w:color w:val="auto"/>
                <w:szCs w:val="21"/>
                <w:highlight w:val="none"/>
                <w:lang w:val="zh-CN"/>
              </w:rPr>
              <w:t>；④车辆行驶证</w:t>
            </w:r>
            <w:r>
              <w:rPr>
                <w:rFonts w:hint="eastAsia" w:ascii="宋体" w:hAnsi="宋体" w:eastAsia="宋体" w:cs="宋体"/>
                <w:b/>
                <w:color w:val="auto"/>
                <w:szCs w:val="21"/>
                <w:highlight w:val="none"/>
              </w:rPr>
              <w:t>扫描件</w:t>
            </w:r>
            <w:r>
              <w:rPr>
                <w:rFonts w:hint="eastAsia" w:ascii="宋体" w:hAnsi="宋体" w:eastAsia="宋体" w:cs="宋体"/>
                <w:b/>
                <w:bCs/>
                <w:color w:val="auto"/>
                <w:szCs w:val="21"/>
                <w:highlight w:val="none"/>
                <w:lang w:val="zh-CN"/>
              </w:rPr>
              <w:t>；⑤</w:t>
            </w:r>
            <w:r>
              <w:rPr>
                <w:rFonts w:hint="eastAsia" w:ascii="宋体" w:hAnsi="宋体" w:eastAsia="宋体" w:cs="宋体"/>
                <w:b/>
                <w:bCs/>
                <w:color w:val="auto"/>
                <w:szCs w:val="21"/>
                <w:highlight w:val="none"/>
              </w:rPr>
              <w:t>车辆照片/图片（照片/图片须清晰</w:t>
            </w:r>
            <w:r>
              <w:rPr>
                <w:rFonts w:hint="eastAsia" w:ascii="宋体" w:hAnsi="宋体" w:eastAsia="宋体" w:cs="宋体"/>
                <w:b/>
                <w:bCs/>
                <w:color w:val="auto"/>
                <w:szCs w:val="21"/>
                <w:highlight w:val="none"/>
                <w:lang w:val="zh-CN"/>
              </w:rPr>
              <w:t>显示</w:t>
            </w:r>
            <w:r>
              <w:rPr>
                <w:rFonts w:hint="eastAsia" w:ascii="宋体" w:hAnsi="宋体" w:eastAsia="宋体" w:cs="宋体"/>
                <w:b/>
                <w:bCs/>
                <w:color w:val="auto"/>
                <w:szCs w:val="21"/>
                <w:highlight w:val="none"/>
              </w:rPr>
              <w:t>拍摄时间为</w:t>
            </w:r>
            <w:r>
              <w:rPr>
                <w:rFonts w:hint="eastAsia" w:ascii="宋体" w:hAnsi="宋体" w:eastAsia="宋体" w:cs="宋体"/>
                <w:b/>
                <w:bCs/>
                <w:color w:val="auto"/>
                <w:szCs w:val="21"/>
                <w:highlight w:val="none"/>
                <w:lang w:eastAsia="zh-CN"/>
              </w:rPr>
              <w:t>202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月1日或以后）</w:t>
            </w:r>
            <w:r>
              <w:rPr>
                <w:rFonts w:hint="eastAsia" w:ascii="宋体" w:hAnsi="宋体" w:eastAsia="宋体" w:cs="宋体"/>
                <w:b/>
                <w:bCs/>
                <w:color w:val="auto"/>
                <w:szCs w:val="21"/>
                <w:highlight w:val="none"/>
                <w:lang w:val="zh-CN"/>
              </w:rPr>
              <w:t>。</w:t>
            </w:r>
          </w:p>
          <w:p w14:paraId="07D8F2CB">
            <w:pPr>
              <w:spacing w:line="400" w:lineRule="exact"/>
              <w:rPr>
                <w:rFonts w:hint="eastAsia" w:ascii="宋体" w:hAnsi="宋体" w:cs="宋体"/>
                <w:color w:val="auto"/>
                <w:szCs w:val="21"/>
                <w:highlight w:val="none"/>
              </w:rPr>
            </w:pP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zh-CN"/>
              </w:rPr>
              <w:t>未提供或者提供信息不全或证件无效的相应车辆不得分。</w:t>
            </w:r>
          </w:p>
        </w:tc>
        <w:tc>
          <w:tcPr>
            <w:tcW w:w="1124" w:type="dxa"/>
            <w:tcBorders>
              <w:top w:val="single" w:color="auto" w:sz="4" w:space="0"/>
              <w:left w:val="single" w:color="auto" w:sz="4" w:space="0"/>
              <w:bottom w:val="single" w:color="auto" w:sz="4" w:space="0"/>
              <w:right w:val="single" w:color="auto" w:sz="4" w:space="0"/>
            </w:tcBorders>
            <w:vAlign w:val="center"/>
          </w:tcPr>
          <w:p w14:paraId="3EEFFEEB">
            <w:pPr>
              <w:pStyle w:val="195"/>
              <w:keepNext w:val="0"/>
              <w:tabs>
                <w:tab w:val="left" w:pos="585"/>
                <w:tab w:val="left" w:pos="680"/>
              </w:tabs>
              <w:spacing w:after="0" w:line="400" w:lineRule="exact"/>
              <w:ind w:right="0" w:rightChars="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zh-CN"/>
              </w:rPr>
              <w:t>分</w:t>
            </w:r>
          </w:p>
        </w:tc>
      </w:tr>
      <w:bookmarkEnd w:id="832"/>
    </w:tbl>
    <w:p w14:paraId="5E0A9022">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38C2E46B">
      <w:pPr>
        <w:autoSpaceDE w:val="0"/>
        <w:autoSpaceDN w:val="0"/>
        <w:adjustRightInd w:val="0"/>
        <w:spacing w:line="360" w:lineRule="auto"/>
        <w:ind w:left="420" w:leftChars="200"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①表中“[”代表闭区间，“]”代表闭区间，如[0，1]代表该分数段范围为大于等于0且小于等于1。表中“（”代表开区间，“]”代表闭区间，如（1，2]代表该分数段范围为大于1且小于等于2。</w:t>
      </w:r>
    </w:p>
    <w:p w14:paraId="1D4B4236">
      <w:pPr>
        <w:autoSpaceDE w:val="0"/>
        <w:autoSpaceDN w:val="0"/>
        <w:adjustRightInd w:val="0"/>
        <w:spacing w:line="360" w:lineRule="auto"/>
        <w:ind w:left="420" w:leftChars="200"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②分数出现小数点，保留小数点后2位，从小数点后第3位四舍五入。</w:t>
      </w:r>
    </w:p>
    <w:p w14:paraId="116E9517">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bCs/>
          <w:color w:val="auto"/>
          <w:szCs w:val="21"/>
          <w:highlight w:val="none"/>
        </w:rPr>
        <w:t>③</w:t>
      </w:r>
      <w:r>
        <w:rPr>
          <w:rFonts w:hint="eastAsia" w:ascii="宋体" w:hAnsi="宋体" w:eastAsia="宋体" w:cs="宋体"/>
          <w:b/>
          <w:color w:val="auto"/>
          <w:szCs w:val="24"/>
          <w:highlight w:val="none"/>
          <w:lang w:val="zh-CN"/>
        </w:rPr>
        <w:t>上述“评分项目”中按“优、</w:t>
      </w:r>
      <w:r>
        <w:rPr>
          <w:rFonts w:hint="eastAsia" w:ascii="宋体" w:hAnsi="宋体" w:eastAsia="宋体" w:cs="宋体"/>
          <w:b/>
          <w:color w:val="auto"/>
          <w:szCs w:val="24"/>
          <w:highlight w:val="none"/>
        </w:rPr>
        <w:t>中</w:t>
      </w:r>
      <w:r>
        <w:rPr>
          <w:rFonts w:hint="eastAsia" w:ascii="宋体" w:hAnsi="宋体" w:eastAsia="宋体" w:cs="宋体"/>
          <w:b/>
          <w:color w:val="auto"/>
          <w:szCs w:val="24"/>
          <w:highlight w:val="none"/>
          <w:lang w:val="zh-CN"/>
        </w:rPr>
        <w:t>、差”</w:t>
      </w:r>
      <w:r>
        <w:rPr>
          <w:rFonts w:hint="eastAsia" w:ascii="宋体" w:hAnsi="宋体" w:eastAsia="宋体" w:cs="宋体"/>
          <w:b/>
          <w:color w:val="auto"/>
          <w:szCs w:val="24"/>
          <w:highlight w:val="none"/>
        </w:rPr>
        <w:t>区间</w:t>
      </w:r>
      <w:r>
        <w:rPr>
          <w:rFonts w:hint="eastAsia" w:ascii="宋体" w:hAnsi="宋体" w:eastAsia="宋体" w:cs="宋体"/>
          <w:b/>
          <w:color w:val="auto"/>
          <w:szCs w:val="24"/>
          <w:highlight w:val="none"/>
          <w:lang w:val="zh-CN"/>
        </w:rPr>
        <w:t>评审的，若低于该项满分分值60%时，评标专家需详细填写该项低分的充分理由，例如：该项目内容存在违反国家有关标准和规范或与项目实际不符等原则性问题。</w:t>
      </w:r>
    </w:p>
    <w:p w14:paraId="4530BD4E">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rPr>
        <w:t>确定该项的评分。</w:t>
      </w:r>
    </w:p>
    <w:p w14:paraId="21A86B8D">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56621AFF">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1259F402">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1B034479">
      <w:pPr>
        <w:autoSpaceDE w:val="0"/>
        <w:autoSpaceDN w:val="0"/>
        <w:adjustRightInd w:val="0"/>
        <w:spacing w:line="360" w:lineRule="auto"/>
        <w:ind w:left="420" w:leftChars="200" w:firstLine="420" w:firstLineChars="200"/>
        <w:rPr>
          <w:rFonts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56FD93B1">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7E4088B9">
      <w:pPr>
        <w:spacing w:line="360" w:lineRule="auto"/>
        <w:ind w:left="420" w:leftChars="200" w:firstLine="420" w:firstLineChars="200"/>
        <w:rPr>
          <w:rFonts w:ascii="宋体" w:hAnsi="宋体" w:eastAsia="宋体" w:cs="宋体"/>
          <w:color w:val="auto"/>
          <w:kern w:val="0"/>
          <w:szCs w:val="21"/>
          <w:highlight w:val="none"/>
          <w:lang w:val="zh-CN"/>
        </w:rPr>
      </w:pPr>
    </w:p>
    <w:p w14:paraId="500CD121">
      <w:pPr>
        <w:spacing w:line="360" w:lineRule="auto"/>
        <w:ind w:left="480" w:firstLine="211" w:firstLineChars="1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rPr>
        <w:t>60</w:t>
      </w:r>
      <w:r>
        <w:rPr>
          <w:rFonts w:hint="eastAsia" w:ascii="宋体" w:hAnsi="宋体" w:eastAsia="宋体" w:cs="宋体"/>
          <w:b/>
          <w:bCs/>
          <w:color w:val="auto"/>
          <w:kern w:val="0"/>
          <w:szCs w:val="21"/>
          <w:highlight w:val="none"/>
          <w:lang w:val="zh-CN"/>
        </w:rPr>
        <w:t>分</w:t>
      </w:r>
    </w:p>
    <w:p w14:paraId="16408719">
      <w:pPr>
        <w:autoSpaceDN w:val="0"/>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A、根据有效投标人的投标报价，最低价作为基准价（Y）。投标人报价（X）等于基准价的得满分60分，其他投标人的价格得分统一按照下列公式计算：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价格得分=(基准价／投标报价)×60</w:t>
      </w:r>
    </w:p>
    <w:p w14:paraId="339E0020">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2714F2CA">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5EE12A12">
      <w:pPr>
        <w:spacing w:line="400" w:lineRule="exact"/>
        <w:ind w:firstLine="848" w:firstLineChars="404"/>
        <w:rPr>
          <w:rFonts w:ascii="宋体" w:hAnsi="宋体" w:eastAsia="宋体" w:cs="宋体"/>
          <w:color w:val="auto"/>
          <w:kern w:val="0"/>
          <w:szCs w:val="28"/>
          <w:highlight w:val="none"/>
          <w:lang w:val="zh-CN"/>
        </w:rPr>
      </w:pPr>
      <w:bookmarkStart w:id="833" w:name="_Toc31624_WPSOffice_Level2"/>
      <w:r>
        <w:rPr>
          <w:rFonts w:hint="eastAsia" w:ascii="宋体" w:hAnsi="宋体" w:eastAsia="宋体" w:cs="宋体"/>
          <w:color w:val="auto"/>
          <w:kern w:val="0"/>
          <w:szCs w:val="28"/>
          <w:highlight w:val="none"/>
          <w:lang w:val="zh-CN"/>
        </w:rPr>
        <w:t>评标总得分=F1＋F2＋……+Fn</w:t>
      </w:r>
      <w:bookmarkEnd w:id="833"/>
    </w:p>
    <w:p w14:paraId="74099235">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834" w:name="_Toc13236_WPSOffice_Level2"/>
      <w:r>
        <w:rPr>
          <w:rFonts w:hint="eastAsia" w:ascii="宋体" w:hAnsi="宋体" w:eastAsia="宋体" w:cs="宋体"/>
          <w:color w:val="auto"/>
          <w:kern w:val="0"/>
          <w:szCs w:val="21"/>
          <w:highlight w:val="none"/>
        </w:rPr>
        <w:t>F1、F2、……Fn分别为各项评分因素的得分</w:t>
      </w:r>
      <w:bookmarkEnd w:id="834"/>
      <w:r>
        <w:rPr>
          <w:rFonts w:hint="eastAsia" w:ascii="宋体" w:hAnsi="宋体" w:eastAsia="宋体" w:cs="宋体"/>
          <w:color w:val="auto"/>
          <w:kern w:val="0"/>
          <w:szCs w:val="21"/>
          <w:highlight w:val="none"/>
        </w:rPr>
        <w:t>。</w:t>
      </w:r>
    </w:p>
    <w:p w14:paraId="63009D45">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43896042">
      <w:pPr>
        <w:autoSpaceDE w:val="0"/>
        <w:autoSpaceDN w:val="0"/>
        <w:adjustRightInd w:val="0"/>
        <w:spacing w:line="360" w:lineRule="auto"/>
        <w:jc w:val="center"/>
        <w:rPr>
          <w:rFonts w:ascii="宋体" w:hAnsi="宋体" w:eastAsia="宋体" w:cs="宋体"/>
          <w:b/>
          <w:bCs/>
          <w:color w:val="auto"/>
          <w:sz w:val="28"/>
          <w:szCs w:val="28"/>
          <w:highlight w:val="none"/>
        </w:rPr>
      </w:pPr>
      <w:bookmarkStart w:id="835" w:name="_Toc518_WPSOffice_Level1"/>
      <w:r>
        <w:rPr>
          <w:rFonts w:hint="eastAsia" w:ascii="宋体" w:hAnsi="宋体" w:eastAsia="宋体" w:cs="宋体"/>
          <w:b/>
          <w:bCs/>
          <w:color w:val="auto"/>
          <w:sz w:val="28"/>
          <w:szCs w:val="28"/>
          <w:highlight w:val="none"/>
          <w:lang w:val="zh-CN"/>
        </w:rPr>
        <w:t>五、推荐中标人</w:t>
      </w:r>
      <w:bookmarkEnd w:id="835"/>
    </w:p>
    <w:p w14:paraId="088AAFD7">
      <w:pPr>
        <w:autoSpaceDE w:val="0"/>
        <w:autoSpaceDN w:val="0"/>
        <w:adjustRightInd w:val="0"/>
        <w:spacing w:line="360" w:lineRule="auto"/>
        <w:ind w:left="420" w:hanging="420" w:hanging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27C6EC2F">
      <w:pPr>
        <w:autoSpaceDE w:val="0"/>
        <w:autoSpaceDN w:val="0"/>
        <w:adjustRightInd w:val="0"/>
        <w:spacing w:line="360" w:lineRule="auto"/>
        <w:ind w:left="420" w:leftChars="200" w:firstLine="420" w:firstLineChars="200"/>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34B61F79">
      <w:pPr>
        <w:widowControl/>
        <w:spacing w:line="360" w:lineRule="auto"/>
        <w:jc w:val="left"/>
        <w:rPr>
          <w:rFonts w:ascii="宋体" w:hAnsi="宋体" w:eastAsia="宋体" w:cs="宋体"/>
          <w:color w:val="auto"/>
          <w:kern w:val="0"/>
          <w:szCs w:val="21"/>
          <w:highlight w:val="none"/>
        </w:rPr>
      </w:pPr>
    </w:p>
    <w:p w14:paraId="5F2F3901">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836" w:name="_Toc22724_WPSOffice_Level1"/>
      <w:r>
        <w:rPr>
          <w:rFonts w:hint="eastAsia" w:ascii="宋体" w:hAnsi="宋体" w:eastAsia="宋体" w:cs="宋体"/>
          <w:b/>
          <w:bCs/>
          <w:color w:val="auto"/>
          <w:sz w:val="28"/>
          <w:szCs w:val="28"/>
          <w:highlight w:val="none"/>
          <w:lang w:val="zh-CN"/>
        </w:rPr>
        <w:t>六、编写评标报告</w:t>
      </w:r>
      <w:bookmarkEnd w:id="836"/>
    </w:p>
    <w:p w14:paraId="0AD341A6">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1F7B47E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51EEDAB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6F2E50E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796611B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31CAF6F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64F790F1">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100CBDEE">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2CA590C0">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837" w:name="_Toc23773_WPSOffice_Level1"/>
      <w:r>
        <w:rPr>
          <w:rFonts w:hint="eastAsia" w:ascii="宋体" w:hAnsi="宋体" w:eastAsia="宋体" w:cs="宋体"/>
          <w:b/>
          <w:bCs/>
          <w:color w:val="auto"/>
          <w:sz w:val="28"/>
          <w:szCs w:val="28"/>
          <w:highlight w:val="none"/>
          <w:lang w:val="zh-CN"/>
        </w:rPr>
        <w:t>七、注意事项</w:t>
      </w:r>
      <w:bookmarkEnd w:id="837"/>
    </w:p>
    <w:p w14:paraId="4658EAF3">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1539AFFD">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5AB062D">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6575CD44">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6EB51FD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5615F92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p>
    <w:bookmarkEnd w:id="785"/>
    <w:bookmarkEnd w:id="807"/>
    <w:bookmarkEnd w:id="808"/>
    <w:bookmarkEnd w:id="809"/>
    <w:p w14:paraId="3A030C3C">
      <w:pPr>
        <w:widowControl/>
        <w:jc w:val="left"/>
        <w:rPr>
          <w:rFonts w:ascii="宋体" w:hAnsi="宋体" w:eastAsia="宋体" w:cs="宋体"/>
          <w:color w:val="auto"/>
          <w:szCs w:val="24"/>
          <w:highlight w:val="none"/>
          <w:lang w:val="zh-CN"/>
        </w:rPr>
      </w:pPr>
    </w:p>
    <w:sectPr>
      <w:pgSz w:w="12240" w:h="15840"/>
      <w:pgMar w:top="1191" w:right="1737"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6CC7457-BA25-4CB4-9EE7-A66C463495B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C8D920F6-72DE-4859-B826-92FDCDEB92A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98E067F7-0CFF-4A0D-BCCF-0FC7266EBBF1}"/>
  </w:font>
  <w:font w:name="等线 Light">
    <w:panose1 w:val="02010600030101010101"/>
    <w:charset w:val="86"/>
    <w:family w:val="auto"/>
    <w:pitch w:val="default"/>
    <w:sig w:usb0="A00002BF" w:usb1="38CF7CFA" w:usb2="00000016" w:usb3="00000000" w:csb0="0004000F" w:csb1="00000000"/>
    <w:embedRegular r:id="rId4" w:fontKey="{BE9815C9-5159-48C7-845B-1A4257A58CE9}"/>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5" w:fontKey="{6757187F-82D8-4F24-BE3A-2E2EBD55E13D}"/>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2000000000000000000"/>
    <w:charset w:val="86"/>
    <w:family w:val="script"/>
    <w:pitch w:val="default"/>
    <w:sig w:usb0="A00002BF" w:usb1="184F6CFA" w:usb2="00000012" w:usb3="00000000" w:csb0="00040001" w:csb1="00000000"/>
    <w:embedRegular r:id="rId6" w:fontKey="{D6B468E8-6F69-4886-AFB5-F06FC820495E}"/>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B2719">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110</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110</w:t>
    </w:r>
    <w:r>
      <w:rPr>
        <w:bCs/>
        <w:sz w:val="24"/>
        <w:szCs w:val="24"/>
      </w:rPr>
      <w:fldChar w:fldCharType="end"/>
    </w:r>
    <w:r>
      <w:rPr>
        <w:b/>
        <w:bCs/>
        <w:sz w:val="24"/>
        <w:szCs w:val="24"/>
      </w:rPr>
      <w:t xml:space="preserve"> </w:t>
    </w:r>
    <w:r>
      <w:rPr>
        <w:rFonts w:hint="eastAsia"/>
      </w:rPr>
      <w:t>页</w:t>
    </w:r>
  </w:p>
  <w:p w14:paraId="4F16F1A3">
    <w:pPr>
      <w:pStyle w:val="2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B52A6">
    <w:pPr>
      <w:pStyle w:val="26"/>
      <w:jc w:val="center"/>
    </w:pPr>
    <w:r>
      <w:rPr>
        <w:rFonts w:hint="eastAsia"/>
      </w:rPr>
      <w:t>第</w:t>
    </w:r>
    <w:r>
      <w:rPr>
        <w:bCs/>
      </w:rPr>
      <w:fldChar w:fldCharType="begin"/>
    </w:r>
    <w:r>
      <w:rPr>
        <w:bCs/>
      </w:rPr>
      <w:instrText xml:space="preserve">PAGE</w:instrText>
    </w:r>
    <w:r>
      <w:rPr>
        <w:bCs/>
      </w:rPr>
      <w:fldChar w:fldCharType="separate"/>
    </w:r>
    <w:r>
      <w:rPr>
        <w:bCs/>
      </w:rPr>
      <w:t>87</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110</w:t>
    </w:r>
    <w:r>
      <w:rPr>
        <w:bCs/>
      </w:rPr>
      <w:fldChar w:fldCharType="end"/>
    </w:r>
    <w:r>
      <w:rPr>
        <w:rFonts w:hint="eastAsia"/>
        <w:bCs/>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B0F63">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101</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110</w:t>
    </w:r>
    <w:r>
      <w:rPr>
        <w:bCs/>
        <w:sz w:val="24"/>
        <w:szCs w:val="24"/>
      </w:rPr>
      <w:fldChar w:fldCharType="end"/>
    </w:r>
    <w:r>
      <w:rPr>
        <w:b/>
        <w:bCs/>
        <w:sz w:val="24"/>
        <w:szCs w:val="24"/>
      </w:rPr>
      <w:t xml:space="preserve"> </w:t>
    </w:r>
    <w:r>
      <w:rPr>
        <w:rFonts w:hint="eastAsia"/>
      </w:rPr>
      <w:t>页</w:t>
    </w:r>
  </w:p>
  <w:p w14:paraId="4141654D">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EE551">
    <w:pPr>
      <w:pStyle w:val="26"/>
      <w:jc w:val="center"/>
    </w:pPr>
    <w:r>
      <w:rPr>
        <w:rFonts w:hint="eastAsia"/>
      </w:rPr>
      <w:t>第</w:t>
    </w:r>
    <w:r>
      <w:rPr>
        <w:bCs/>
      </w:rPr>
      <w:fldChar w:fldCharType="begin"/>
    </w:r>
    <w:r>
      <w:rPr>
        <w:bCs/>
      </w:rPr>
      <w:instrText xml:space="preserve">PAGE</w:instrText>
    </w:r>
    <w:r>
      <w:rPr>
        <w:bCs/>
      </w:rPr>
      <w:fldChar w:fldCharType="separate"/>
    </w:r>
    <w:r>
      <w:rPr>
        <w:bCs/>
      </w:rPr>
      <w:t>86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86</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C1BBF">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7B6BACE8">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554D9">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6A02A">
    <w:pPr>
      <w:pStyle w:val="26"/>
      <w:jc w:val="center"/>
    </w:pPr>
    <w:r>
      <w:rPr>
        <w:rFonts w:hint="eastAsia"/>
      </w:rPr>
      <w:t>第</w:t>
    </w:r>
    <w:r>
      <w:fldChar w:fldCharType="begin"/>
    </w:r>
    <w:r>
      <w:rPr>
        <w:rStyle w:val="41"/>
      </w:rPr>
      <w:instrText xml:space="preserve"> PAGE </w:instrText>
    </w:r>
    <w:r>
      <w:fldChar w:fldCharType="separate"/>
    </w:r>
    <w:r>
      <w:rPr>
        <w:rStyle w:val="41"/>
      </w:rPr>
      <w:t>58</w:t>
    </w:r>
    <w:r>
      <w:fldChar w:fldCharType="end"/>
    </w:r>
    <w:r>
      <w:rPr>
        <w:rStyle w:val="41"/>
        <w:rFonts w:hint="eastAsia"/>
      </w:rPr>
      <w:t>页，共</w:t>
    </w:r>
    <w:r>
      <w:fldChar w:fldCharType="begin"/>
    </w:r>
    <w:r>
      <w:rPr>
        <w:rStyle w:val="41"/>
      </w:rPr>
      <w:instrText xml:space="preserve"> NUMPAGES </w:instrText>
    </w:r>
    <w:r>
      <w:fldChar w:fldCharType="separate"/>
    </w:r>
    <w:r>
      <w:rPr>
        <w:rStyle w:val="41"/>
      </w:rPr>
      <w:t>110</w:t>
    </w:r>
    <w:r>
      <w:fldChar w:fldCharType="end"/>
    </w:r>
    <w:r>
      <w:rPr>
        <w:rStyle w:val="41"/>
        <w:rFonts w:hint="eastAsia"/>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C06C4">
    <w:pPr>
      <w:pStyle w:val="26"/>
      <w:jc w:val="center"/>
    </w:pPr>
    <w:r>
      <w:rPr>
        <w:rFonts w:hint="eastAsia"/>
      </w:rPr>
      <w:t>第</w:t>
    </w:r>
    <w:r>
      <w:rPr>
        <w:bCs/>
      </w:rPr>
      <w:fldChar w:fldCharType="begin"/>
    </w:r>
    <w:r>
      <w:rPr>
        <w:bCs/>
      </w:rPr>
      <w:instrText xml:space="preserve">PAGE</w:instrText>
    </w:r>
    <w:r>
      <w:rPr>
        <w:bCs/>
      </w:rPr>
      <w:fldChar w:fldCharType="separate"/>
    </w:r>
    <w:r>
      <w:rPr>
        <w:bCs/>
      </w:rPr>
      <w:t>35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110</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A7FA4">
    <w:pPr>
      <w:pStyle w:val="26"/>
      <w:jc w:val="center"/>
    </w:pPr>
    <w:r>
      <w:rPr>
        <w:rFonts w:hint="eastAsia"/>
      </w:rPr>
      <w:t>第</w:t>
    </w:r>
    <w:r>
      <w:rPr>
        <w:bCs/>
      </w:rPr>
      <w:fldChar w:fldCharType="begin"/>
    </w:r>
    <w:r>
      <w:rPr>
        <w:bCs/>
      </w:rPr>
      <w:instrText xml:space="preserve">PAGE</w:instrText>
    </w:r>
    <w:r>
      <w:rPr>
        <w:bCs/>
      </w:rPr>
      <w:fldChar w:fldCharType="separate"/>
    </w:r>
    <w:r>
      <w:rPr>
        <w:bCs/>
      </w:rPr>
      <w:t>69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110</w:t>
    </w:r>
    <w:r>
      <w:rPr>
        <w:bCs/>
      </w:rPr>
      <w:fldChar w:fldCharType="end"/>
    </w:r>
    <w:r>
      <w:rPr>
        <w:rFonts w:hint="eastAsia"/>
        <w:bCs/>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99037">
    <w:pPr>
      <w:pStyle w:val="26"/>
      <w:jc w:val="center"/>
    </w:pPr>
    <w:r>
      <w:rPr>
        <w:rFonts w:hint="eastAsia"/>
      </w:rPr>
      <w:t>第</w:t>
    </w:r>
    <w:r>
      <w:rPr>
        <w:bCs/>
      </w:rPr>
      <w:fldChar w:fldCharType="begin"/>
    </w:r>
    <w:r>
      <w:rPr>
        <w:bCs/>
      </w:rPr>
      <w:instrText xml:space="preserve">PAGE</w:instrText>
    </w:r>
    <w:r>
      <w:rPr>
        <w:bCs/>
      </w:rPr>
      <w:fldChar w:fldCharType="separate"/>
    </w:r>
    <w:r>
      <w:rPr>
        <w:bCs/>
      </w:rPr>
      <w:t>59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110</w:t>
    </w:r>
    <w:r>
      <w:rPr>
        <w:bCs/>
      </w:rPr>
      <w:fldChar w:fldCharType="end"/>
    </w:r>
    <w:r>
      <w:rPr>
        <w:rFonts w:hint="eastAsia"/>
        <w:bCs/>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CD208">
    <w:pPr>
      <w:pStyle w:val="26"/>
      <w:jc w:val="center"/>
    </w:pPr>
    <w:r>
      <w:rPr>
        <w:rFonts w:hint="eastAsia"/>
      </w:rPr>
      <w:t>第</w:t>
    </w:r>
    <w:r>
      <w:rPr>
        <w:bCs/>
      </w:rPr>
      <w:fldChar w:fldCharType="begin"/>
    </w:r>
    <w:r>
      <w:rPr>
        <w:bCs/>
      </w:rPr>
      <w:instrText xml:space="preserve">PAGE</w:instrText>
    </w:r>
    <w:r>
      <w:rPr>
        <w:bCs/>
      </w:rPr>
      <w:fldChar w:fldCharType="separate"/>
    </w:r>
    <w:r>
      <w:rPr>
        <w:bCs/>
      </w:rPr>
      <w:t>73</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110</w:t>
    </w:r>
    <w:r>
      <w:rPr>
        <w:bCs/>
      </w:rPr>
      <w:fldChar w:fldCharType="end"/>
    </w:r>
    <w:r>
      <w:rPr>
        <w:rFonts w:hint="eastAsia"/>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F99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F0C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B810"/>
    <w:multiLevelType w:val="singleLevel"/>
    <w:tmpl w:val="EEFEB810"/>
    <w:lvl w:ilvl="0" w:tentative="0">
      <w:start w:val="1"/>
      <w:numFmt w:val="decimal"/>
      <w:suff w:val="nothing"/>
      <w:lvlText w:val="（%1）"/>
      <w:lvlJc w:val="left"/>
    </w:lvl>
  </w:abstractNum>
  <w:abstractNum w:abstractNumId="1">
    <w:nsid w:val="095EC3D1"/>
    <w:multiLevelType w:val="singleLevel"/>
    <w:tmpl w:val="095EC3D1"/>
    <w:lvl w:ilvl="0" w:tentative="0">
      <w:start w:val="3"/>
      <w:numFmt w:val="chineseCounting"/>
      <w:suff w:val="space"/>
      <w:lvlText w:val="第%1篇"/>
      <w:lvlJc w:val="left"/>
      <w:rPr>
        <w:rFonts w:hint="eastAsia"/>
      </w:rPr>
    </w:lvl>
  </w:abstractNum>
  <w:abstractNum w:abstractNumId="2">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69288AD"/>
    <w:multiLevelType w:val="singleLevel"/>
    <w:tmpl w:val="669288AD"/>
    <w:lvl w:ilvl="0" w:tentative="0">
      <w:start w:val="2"/>
      <w:numFmt w:val="decimal"/>
      <w:suff w:val="nothing"/>
      <w:lvlText w:val="（%1）"/>
      <w:lvlJc w:val="left"/>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OWRkZWY0Y2IzMzdkNjZiNWIyZWQ2ZjZjMmRkMmQifQ=="/>
  </w:docVars>
  <w:rsids>
    <w:rsidRoot w:val="001E63B6"/>
    <w:rsid w:val="000011AE"/>
    <w:rsid w:val="00004430"/>
    <w:rsid w:val="00006AEC"/>
    <w:rsid w:val="00011253"/>
    <w:rsid w:val="00015A2E"/>
    <w:rsid w:val="000245A6"/>
    <w:rsid w:val="0002570D"/>
    <w:rsid w:val="00027708"/>
    <w:rsid w:val="00035595"/>
    <w:rsid w:val="00040BE6"/>
    <w:rsid w:val="00040F92"/>
    <w:rsid w:val="00046C4B"/>
    <w:rsid w:val="00052FA1"/>
    <w:rsid w:val="00054A52"/>
    <w:rsid w:val="00054D9C"/>
    <w:rsid w:val="000622F9"/>
    <w:rsid w:val="00063AF4"/>
    <w:rsid w:val="000640CD"/>
    <w:rsid w:val="000749FE"/>
    <w:rsid w:val="000768C6"/>
    <w:rsid w:val="000770B9"/>
    <w:rsid w:val="0008097F"/>
    <w:rsid w:val="0008290A"/>
    <w:rsid w:val="00084D8D"/>
    <w:rsid w:val="000853A8"/>
    <w:rsid w:val="00086BE3"/>
    <w:rsid w:val="0009142F"/>
    <w:rsid w:val="00094AF8"/>
    <w:rsid w:val="000A31BD"/>
    <w:rsid w:val="000A34F7"/>
    <w:rsid w:val="000A65CD"/>
    <w:rsid w:val="000A73D7"/>
    <w:rsid w:val="000B2B61"/>
    <w:rsid w:val="000B4B09"/>
    <w:rsid w:val="000C1661"/>
    <w:rsid w:val="000C18B7"/>
    <w:rsid w:val="000C5D06"/>
    <w:rsid w:val="000C6A11"/>
    <w:rsid w:val="000C74BC"/>
    <w:rsid w:val="000D0B5D"/>
    <w:rsid w:val="000D5502"/>
    <w:rsid w:val="000D5537"/>
    <w:rsid w:val="000D75D3"/>
    <w:rsid w:val="000E079F"/>
    <w:rsid w:val="000E3ECA"/>
    <w:rsid w:val="000E4A4F"/>
    <w:rsid w:val="000E4D54"/>
    <w:rsid w:val="000F0A84"/>
    <w:rsid w:val="000F4CF0"/>
    <w:rsid w:val="000F7511"/>
    <w:rsid w:val="001059DC"/>
    <w:rsid w:val="0010738F"/>
    <w:rsid w:val="00113CFC"/>
    <w:rsid w:val="0011440A"/>
    <w:rsid w:val="00114519"/>
    <w:rsid w:val="001233ED"/>
    <w:rsid w:val="00127946"/>
    <w:rsid w:val="00131E91"/>
    <w:rsid w:val="00135A03"/>
    <w:rsid w:val="00143E09"/>
    <w:rsid w:val="001450A8"/>
    <w:rsid w:val="001523C0"/>
    <w:rsid w:val="00152F07"/>
    <w:rsid w:val="0015711A"/>
    <w:rsid w:val="001644BA"/>
    <w:rsid w:val="001647C7"/>
    <w:rsid w:val="00165203"/>
    <w:rsid w:val="00166309"/>
    <w:rsid w:val="00167D86"/>
    <w:rsid w:val="00170004"/>
    <w:rsid w:val="00174AE6"/>
    <w:rsid w:val="001758D3"/>
    <w:rsid w:val="00177B51"/>
    <w:rsid w:val="0018078B"/>
    <w:rsid w:val="00181A89"/>
    <w:rsid w:val="00183284"/>
    <w:rsid w:val="00183344"/>
    <w:rsid w:val="00187F5F"/>
    <w:rsid w:val="0019682B"/>
    <w:rsid w:val="001968CD"/>
    <w:rsid w:val="001A1FCB"/>
    <w:rsid w:val="001A21D7"/>
    <w:rsid w:val="001B74B3"/>
    <w:rsid w:val="001C2086"/>
    <w:rsid w:val="001C4AC2"/>
    <w:rsid w:val="001C6FAA"/>
    <w:rsid w:val="001D00B3"/>
    <w:rsid w:val="001D5A65"/>
    <w:rsid w:val="001D6B15"/>
    <w:rsid w:val="001E32CD"/>
    <w:rsid w:val="001E4158"/>
    <w:rsid w:val="001E6227"/>
    <w:rsid w:val="001E63B6"/>
    <w:rsid w:val="001E6DD8"/>
    <w:rsid w:val="001F0290"/>
    <w:rsid w:val="001F4DEB"/>
    <w:rsid w:val="001F6A01"/>
    <w:rsid w:val="00202DB9"/>
    <w:rsid w:val="00215B7A"/>
    <w:rsid w:val="00223D5B"/>
    <w:rsid w:val="0022528C"/>
    <w:rsid w:val="002258BB"/>
    <w:rsid w:val="00225B7D"/>
    <w:rsid w:val="002260FC"/>
    <w:rsid w:val="002315B7"/>
    <w:rsid w:val="002347FE"/>
    <w:rsid w:val="0024360C"/>
    <w:rsid w:val="002451A7"/>
    <w:rsid w:val="00247373"/>
    <w:rsid w:val="00250B4E"/>
    <w:rsid w:val="00260C05"/>
    <w:rsid w:val="00261575"/>
    <w:rsid w:val="00262407"/>
    <w:rsid w:val="00275E0E"/>
    <w:rsid w:val="00276819"/>
    <w:rsid w:val="0028146F"/>
    <w:rsid w:val="002831F6"/>
    <w:rsid w:val="00290CBF"/>
    <w:rsid w:val="0029590E"/>
    <w:rsid w:val="00296EC1"/>
    <w:rsid w:val="00297133"/>
    <w:rsid w:val="002A3EB3"/>
    <w:rsid w:val="002A6BB4"/>
    <w:rsid w:val="002B1734"/>
    <w:rsid w:val="002B5DBC"/>
    <w:rsid w:val="002B7423"/>
    <w:rsid w:val="002B7CA9"/>
    <w:rsid w:val="002C4A4A"/>
    <w:rsid w:val="002C6CF1"/>
    <w:rsid w:val="002D0003"/>
    <w:rsid w:val="002D1442"/>
    <w:rsid w:val="002E393B"/>
    <w:rsid w:val="002E4079"/>
    <w:rsid w:val="002F68EE"/>
    <w:rsid w:val="002F7DEF"/>
    <w:rsid w:val="003014E2"/>
    <w:rsid w:val="00302D85"/>
    <w:rsid w:val="0030753D"/>
    <w:rsid w:val="00311DA1"/>
    <w:rsid w:val="003121B1"/>
    <w:rsid w:val="00314AEC"/>
    <w:rsid w:val="003154FB"/>
    <w:rsid w:val="0031709C"/>
    <w:rsid w:val="0032056A"/>
    <w:rsid w:val="003223D5"/>
    <w:rsid w:val="00322AA4"/>
    <w:rsid w:val="00325EF0"/>
    <w:rsid w:val="00326230"/>
    <w:rsid w:val="00326290"/>
    <w:rsid w:val="00330DA7"/>
    <w:rsid w:val="00332C2D"/>
    <w:rsid w:val="00334879"/>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3514"/>
    <w:rsid w:val="003A5520"/>
    <w:rsid w:val="003B077B"/>
    <w:rsid w:val="003B3342"/>
    <w:rsid w:val="003B5C9C"/>
    <w:rsid w:val="003C193B"/>
    <w:rsid w:val="003D0D72"/>
    <w:rsid w:val="003D17A4"/>
    <w:rsid w:val="003D39E2"/>
    <w:rsid w:val="003D3F68"/>
    <w:rsid w:val="003E006E"/>
    <w:rsid w:val="003E1AE7"/>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6871"/>
    <w:rsid w:val="004378C7"/>
    <w:rsid w:val="00437B9C"/>
    <w:rsid w:val="00437FC4"/>
    <w:rsid w:val="00440B79"/>
    <w:rsid w:val="00441805"/>
    <w:rsid w:val="00450576"/>
    <w:rsid w:val="0045081C"/>
    <w:rsid w:val="004551D1"/>
    <w:rsid w:val="0045753C"/>
    <w:rsid w:val="004577C3"/>
    <w:rsid w:val="0046038A"/>
    <w:rsid w:val="00460F3E"/>
    <w:rsid w:val="00464570"/>
    <w:rsid w:val="004724D1"/>
    <w:rsid w:val="004761B2"/>
    <w:rsid w:val="00481AFA"/>
    <w:rsid w:val="00482C93"/>
    <w:rsid w:val="004864BB"/>
    <w:rsid w:val="0049337D"/>
    <w:rsid w:val="004B093D"/>
    <w:rsid w:val="004B604C"/>
    <w:rsid w:val="004E4ADE"/>
    <w:rsid w:val="004E5028"/>
    <w:rsid w:val="004E5F4E"/>
    <w:rsid w:val="004F01C0"/>
    <w:rsid w:val="004F2802"/>
    <w:rsid w:val="00500B9E"/>
    <w:rsid w:val="00503499"/>
    <w:rsid w:val="00506501"/>
    <w:rsid w:val="00507BC4"/>
    <w:rsid w:val="00513DB6"/>
    <w:rsid w:val="00524E28"/>
    <w:rsid w:val="00524E92"/>
    <w:rsid w:val="005303A0"/>
    <w:rsid w:val="00531E28"/>
    <w:rsid w:val="005344B1"/>
    <w:rsid w:val="005423E7"/>
    <w:rsid w:val="00544B50"/>
    <w:rsid w:val="005572B4"/>
    <w:rsid w:val="0056010A"/>
    <w:rsid w:val="00563302"/>
    <w:rsid w:val="00571307"/>
    <w:rsid w:val="005743EA"/>
    <w:rsid w:val="00576F2E"/>
    <w:rsid w:val="00581210"/>
    <w:rsid w:val="00581C0A"/>
    <w:rsid w:val="00581FC3"/>
    <w:rsid w:val="005832B2"/>
    <w:rsid w:val="005851F1"/>
    <w:rsid w:val="005910B4"/>
    <w:rsid w:val="00596A23"/>
    <w:rsid w:val="00597E70"/>
    <w:rsid w:val="005B735D"/>
    <w:rsid w:val="005C4A71"/>
    <w:rsid w:val="005C6F40"/>
    <w:rsid w:val="005D4119"/>
    <w:rsid w:val="005D66C2"/>
    <w:rsid w:val="005E2AC9"/>
    <w:rsid w:val="005E4D67"/>
    <w:rsid w:val="005F3D7C"/>
    <w:rsid w:val="005F481F"/>
    <w:rsid w:val="00602D7E"/>
    <w:rsid w:val="00603BD0"/>
    <w:rsid w:val="0060555D"/>
    <w:rsid w:val="00606161"/>
    <w:rsid w:val="006062B3"/>
    <w:rsid w:val="0061261E"/>
    <w:rsid w:val="00612EB1"/>
    <w:rsid w:val="0061352C"/>
    <w:rsid w:val="0061522B"/>
    <w:rsid w:val="006165C8"/>
    <w:rsid w:val="006175B4"/>
    <w:rsid w:val="00617AAD"/>
    <w:rsid w:val="00621B90"/>
    <w:rsid w:val="00621CDC"/>
    <w:rsid w:val="006229B2"/>
    <w:rsid w:val="00625E3D"/>
    <w:rsid w:val="00626487"/>
    <w:rsid w:val="00626B78"/>
    <w:rsid w:val="00630B61"/>
    <w:rsid w:val="006355D9"/>
    <w:rsid w:val="006402A6"/>
    <w:rsid w:val="006409B3"/>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2C4"/>
    <w:rsid w:val="006C2D84"/>
    <w:rsid w:val="006C2F7D"/>
    <w:rsid w:val="006C3580"/>
    <w:rsid w:val="006C3F4D"/>
    <w:rsid w:val="006C6349"/>
    <w:rsid w:val="006C6E11"/>
    <w:rsid w:val="006D479F"/>
    <w:rsid w:val="006E0C10"/>
    <w:rsid w:val="006E2E51"/>
    <w:rsid w:val="006E2EF1"/>
    <w:rsid w:val="006F6DB2"/>
    <w:rsid w:val="00704B3A"/>
    <w:rsid w:val="00705298"/>
    <w:rsid w:val="007067B2"/>
    <w:rsid w:val="00710CF8"/>
    <w:rsid w:val="00711E08"/>
    <w:rsid w:val="007138FD"/>
    <w:rsid w:val="00716BB1"/>
    <w:rsid w:val="007172FD"/>
    <w:rsid w:val="007200C8"/>
    <w:rsid w:val="007215F6"/>
    <w:rsid w:val="00721B6A"/>
    <w:rsid w:val="00721BAA"/>
    <w:rsid w:val="00730A67"/>
    <w:rsid w:val="007402CA"/>
    <w:rsid w:val="00745968"/>
    <w:rsid w:val="00747A3E"/>
    <w:rsid w:val="00770F81"/>
    <w:rsid w:val="007730C9"/>
    <w:rsid w:val="00775150"/>
    <w:rsid w:val="00776B48"/>
    <w:rsid w:val="0078099D"/>
    <w:rsid w:val="0078720A"/>
    <w:rsid w:val="00787DE8"/>
    <w:rsid w:val="007942D8"/>
    <w:rsid w:val="00794983"/>
    <w:rsid w:val="00796ED7"/>
    <w:rsid w:val="007A7740"/>
    <w:rsid w:val="007B4F1D"/>
    <w:rsid w:val="007C002A"/>
    <w:rsid w:val="007C024B"/>
    <w:rsid w:val="007C14DC"/>
    <w:rsid w:val="007C50C5"/>
    <w:rsid w:val="007D408A"/>
    <w:rsid w:val="007D43BF"/>
    <w:rsid w:val="007D4A5A"/>
    <w:rsid w:val="007D6B20"/>
    <w:rsid w:val="007E0673"/>
    <w:rsid w:val="007E32FC"/>
    <w:rsid w:val="007F01A2"/>
    <w:rsid w:val="007F0378"/>
    <w:rsid w:val="007F2ABC"/>
    <w:rsid w:val="007F7A77"/>
    <w:rsid w:val="007F7FEC"/>
    <w:rsid w:val="0080266E"/>
    <w:rsid w:val="00807AC3"/>
    <w:rsid w:val="0081027D"/>
    <w:rsid w:val="00817B3D"/>
    <w:rsid w:val="00822299"/>
    <w:rsid w:val="0082648B"/>
    <w:rsid w:val="008270D5"/>
    <w:rsid w:val="008279A7"/>
    <w:rsid w:val="00831B7F"/>
    <w:rsid w:val="00831D4B"/>
    <w:rsid w:val="0085250F"/>
    <w:rsid w:val="008525D6"/>
    <w:rsid w:val="00852B47"/>
    <w:rsid w:val="0085388E"/>
    <w:rsid w:val="00856F5E"/>
    <w:rsid w:val="008604D1"/>
    <w:rsid w:val="008659E9"/>
    <w:rsid w:val="0087095D"/>
    <w:rsid w:val="00871835"/>
    <w:rsid w:val="00871F12"/>
    <w:rsid w:val="00875420"/>
    <w:rsid w:val="00876184"/>
    <w:rsid w:val="00880A50"/>
    <w:rsid w:val="00881FE4"/>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441E"/>
    <w:rsid w:val="008D565D"/>
    <w:rsid w:val="008D6357"/>
    <w:rsid w:val="008E5EA1"/>
    <w:rsid w:val="008E6AB7"/>
    <w:rsid w:val="008F13C0"/>
    <w:rsid w:val="008F38EE"/>
    <w:rsid w:val="009001CB"/>
    <w:rsid w:val="009002E7"/>
    <w:rsid w:val="009004F6"/>
    <w:rsid w:val="009077A0"/>
    <w:rsid w:val="009113DE"/>
    <w:rsid w:val="00913121"/>
    <w:rsid w:val="009171D5"/>
    <w:rsid w:val="00917709"/>
    <w:rsid w:val="00917C84"/>
    <w:rsid w:val="009220F2"/>
    <w:rsid w:val="009227C1"/>
    <w:rsid w:val="00923EDB"/>
    <w:rsid w:val="00925D9A"/>
    <w:rsid w:val="00926978"/>
    <w:rsid w:val="00932BD9"/>
    <w:rsid w:val="00942FDC"/>
    <w:rsid w:val="0094670F"/>
    <w:rsid w:val="009479D0"/>
    <w:rsid w:val="00954519"/>
    <w:rsid w:val="00961BA9"/>
    <w:rsid w:val="00967923"/>
    <w:rsid w:val="009701D2"/>
    <w:rsid w:val="00970774"/>
    <w:rsid w:val="00972DD0"/>
    <w:rsid w:val="00972FAE"/>
    <w:rsid w:val="0097462A"/>
    <w:rsid w:val="0098220A"/>
    <w:rsid w:val="00986292"/>
    <w:rsid w:val="00987779"/>
    <w:rsid w:val="00995ACA"/>
    <w:rsid w:val="009A21A8"/>
    <w:rsid w:val="009A2AA5"/>
    <w:rsid w:val="009A5B30"/>
    <w:rsid w:val="009A63FB"/>
    <w:rsid w:val="009A7757"/>
    <w:rsid w:val="009B0318"/>
    <w:rsid w:val="009B55D4"/>
    <w:rsid w:val="009B787A"/>
    <w:rsid w:val="009B7A49"/>
    <w:rsid w:val="009B7AD9"/>
    <w:rsid w:val="009C387D"/>
    <w:rsid w:val="009C571F"/>
    <w:rsid w:val="009D03D2"/>
    <w:rsid w:val="009D0461"/>
    <w:rsid w:val="009D0729"/>
    <w:rsid w:val="009D4188"/>
    <w:rsid w:val="009D4EFC"/>
    <w:rsid w:val="009D562B"/>
    <w:rsid w:val="009D7FA3"/>
    <w:rsid w:val="009E216D"/>
    <w:rsid w:val="009E6283"/>
    <w:rsid w:val="009E63CA"/>
    <w:rsid w:val="009F34CB"/>
    <w:rsid w:val="009F487D"/>
    <w:rsid w:val="009F5F8A"/>
    <w:rsid w:val="009F7460"/>
    <w:rsid w:val="00A02221"/>
    <w:rsid w:val="00A03E44"/>
    <w:rsid w:val="00A075A8"/>
    <w:rsid w:val="00A10A7B"/>
    <w:rsid w:val="00A15F6A"/>
    <w:rsid w:val="00A30E5A"/>
    <w:rsid w:val="00A311C2"/>
    <w:rsid w:val="00A32233"/>
    <w:rsid w:val="00A36A24"/>
    <w:rsid w:val="00A376FB"/>
    <w:rsid w:val="00A40572"/>
    <w:rsid w:val="00A44926"/>
    <w:rsid w:val="00A45306"/>
    <w:rsid w:val="00A45D73"/>
    <w:rsid w:val="00A61D33"/>
    <w:rsid w:val="00A62F8C"/>
    <w:rsid w:val="00A64725"/>
    <w:rsid w:val="00A6666A"/>
    <w:rsid w:val="00A73490"/>
    <w:rsid w:val="00A760A2"/>
    <w:rsid w:val="00A819B6"/>
    <w:rsid w:val="00A91C8B"/>
    <w:rsid w:val="00A95824"/>
    <w:rsid w:val="00AB2EDC"/>
    <w:rsid w:val="00AB47F4"/>
    <w:rsid w:val="00AC136E"/>
    <w:rsid w:val="00AC1F6A"/>
    <w:rsid w:val="00AC413D"/>
    <w:rsid w:val="00AD3A9D"/>
    <w:rsid w:val="00AD6C8F"/>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2C69"/>
    <w:rsid w:val="00BB6C9A"/>
    <w:rsid w:val="00BC0594"/>
    <w:rsid w:val="00BC11FC"/>
    <w:rsid w:val="00BC1F54"/>
    <w:rsid w:val="00BC4C9D"/>
    <w:rsid w:val="00BC54FC"/>
    <w:rsid w:val="00BC6935"/>
    <w:rsid w:val="00BC694D"/>
    <w:rsid w:val="00BD2118"/>
    <w:rsid w:val="00BD5092"/>
    <w:rsid w:val="00BD5997"/>
    <w:rsid w:val="00BE6F50"/>
    <w:rsid w:val="00BF1BA3"/>
    <w:rsid w:val="00BF588D"/>
    <w:rsid w:val="00BF5B3E"/>
    <w:rsid w:val="00C01FD0"/>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0DEA"/>
    <w:rsid w:val="00C96DDA"/>
    <w:rsid w:val="00CA7F1F"/>
    <w:rsid w:val="00CB5D3E"/>
    <w:rsid w:val="00CC11BF"/>
    <w:rsid w:val="00CC4C46"/>
    <w:rsid w:val="00CC6AAB"/>
    <w:rsid w:val="00CC77FF"/>
    <w:rsid w:val="00CC7CF5"/>
    <w:rsid w:val="00CD60D6"/>
    <w:rsid w:val="00CE3C5A"/>
    <w:rsid w:val="00CE59C6"/>
    <w:rsid w:val="00CE7586"/>
    <w:rsid w:val="00D03659"/>
    <w:rsid w:val="00D03EDF"/>
    <w:rsid w:val="00D10DC0"/>
    <w:rsid w:val="00D11555"/>
    <w:rsid w:val="00D13D6D"/>
    <w:rsid w:val="00D16925"/>
    <w:rsid w:val="00D20C74"/>
    <w:rsid w:val="00D24FD7"/>
    <w:rsid w:val="00D25647"/>
    <w:rsid w:val="00D31191"/>
    <w:rsid w:val="00D34FE4"/>
    <w:rsid w:val="00D3669B"/>
    <w:rsid w:val="00D377A7"/>
    <w:rsid w:val="00D44C95"/>
    <w:rsid w:val="00D452A7"/>
    <w:rsid w:val="00D4584F"/>
    <w:rsid w:val="00D51C91"/>
    <w:rsid w:val="00D54725"/>
    <w:rsid w:val="00D559FF"/>
    <w:rsid w:val="00D62B8C"/>
    <w:rsid w:val="00D63276"/>
    <w:rsid w:val="00D66F39"/>
    <w:rsid w:val="00D84B36"/>
    <w:rsid w:val="00D85853"/>
    <w:rsid w:val="00D936A0"/>
    <w:rsid w:val="00D959D4"/>
    <w:rsid w:val="00D97162"/>
    <w:rsid w:val="00D97CE9"/>
    <w:rsid w:val="00DA18FD"/>
    <w:rsid w:val="00DA36E7"/>
    <w:rsid w:val="00DA4FC7"/>
    <w:rsid w:val="00DA550D"/>
    <w:rsid w:val="00DA7017"/>
    <w:rsid w:val="00DA7EE4"/>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37A15"/>
    <w:rsid w:val="00E4144C"/>
    <w:rsid w:val="00E44F84"/>
    <w:rsid w:val="00E463C6"/>
    <w:rsid w:val="00E46A9D"/>
    <w:rsid w:val="00E53121"/>
    <w:rsid w:val="00E5318E"/>
    <w:rsid w:val="00E53532"/>
    <w:rsid w:val="00E6034D"/>
    <w:rsid w:val="00E704F2"/>
    <w:rsid w:val="00E71967"/>
    <w:rsid w:val="00E74711"/>
    <w:rsid w:val="00E754B1"/>
    <w:rsid w:val="00E75B5D"/>
    <w:rsid w:val="00E801B5"/>
    <w:rsid w:val="00E83385"/>
    <w:rsid w:val="00E84001"/>
    <w:rsid w:val="00E86D11"/>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1294"/>
    <w:rsid w:val="00F2391C"/>
    <w:rsid w:val="00F31E30"/>
    <w:rsid w:val="00F3326F"/>
    <w:rsid w:val="00F34781"/>
    <w:rsid w:val="00F41A5D"/>
    <w:rsid w:val="00F470A2"/>
    <w:rsid w:val="00F50594"/>
    <w:rsid w:val="00F51F93"/>
    <w:rsid w:val="00F552E5"/>
    <w:rsid w:val="00F56AA8"/>
    <w:rsid w:val="00F67C91"/>
    <w:rsid w:val="00F723F9"/>
    <w:rsid w:val="00F82315"/>
    <w:rsid w:val="00F83D3C"/>
    <w:rsid w:val="00F840D6"/>
    <w:rsid w:val="00F8691C"/>
    <w:rsid w:val="00F900BE"/>
    <w:rsid w:val="00F92836"/>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351AA"/>
    <w:rsid w:val="028F407C"/>
    <w:rsid w:val="02A0745C"/>
    <w:rsid w:val="02AE55E9"/>
    <w:rsid w:val="02C80459"/>
    <w:rsid w:val="03015719"/>
    <w:rsid w:val="030A119C"/>
    <w:rsid w:val="037D42D2"/>
    <w:rsid w:val="03C03826"/>
    <w:rsid w:val="04041910"/>
    <w:rsid w:val="040E4592"/>
    <w:rsid w:val="04620439"/>
    <w:rsid w:val="051554AC"/>
    <w:rsid w:val="05162DCF"/>
    <w:rsid w:val="058F7720"/>
    <w:rsid w:val="06231E4A"/>
    <w:rsid w:val="066E6313"/>
    <w:rsid w:val="06840B3B"/>
    <w:rsid w:val="068723D9"/>
    <w:rsid w:val="06A75D00"/>
    <w:rsid w:val="070B3431"/>
    <w:rsid w:val="07325D92"/>
    <w:rsid w:val="08053EFD"/>
    <w:rsid w:val="08144141"/>
    <w:rsid w:val="0842610E"/>
    <w:rsid w:val="08591B53"/>
    <w:rsid w:val="08B21E29"/>
    <w:rsid w:val="08F157D6"/>
    <w:rsid w:val="09075A53"/>
    <w:rsid w:val="093F343F"/>
    <w:rsid w:val="09C3197A"/>
    <w:rsid w:val="09D647DF"/>
    <w:rsid w:val="0A0C4D82"/>
    <w:rsid w:val="0A1644EA"/>
    <w:rsid w:val="0A281EEF"/>
    <w:rsid w:val="0A3B6154"/>
    <w:rsid w:val="0A917CCA"/>
    <w:rsid w:val="0AA417AC"/>
    <w:rsid w:val="0B796FFB"/>
    <w:rsid w:val="0B7B7935"/>
    <w:rsid w:val="0BC038D2"/>
    <w:rsid w:val="0BE5207C"/>
    <w:rsid w:val="0BFE4EEC"/>
    <w:rsid w:val="0C0544CC"/>
    <w:rsid w:val="0C141AAC"/>
    <w:rsid w:val="0C9C64B3"/>
    <w:rsid w:val="0CA77331"/>
    <w:rsid w:val="0CAB702B"/>
    <w:rsid w:val="0CC55B89"/>
    <w:rsid w:val="0D046532"/>
    <w:rsid w:val="0D350DE1"/>
    <w:rsid w:val="0D501777"/>
    <w:rsid w:val="0D611BD6"/>
    <w:rsid w:val="0D735465"/>
    <w:rsid w:val="0D771249"/>
    <w:rsid w:val="0DED346A"/>
    <w:rsid w:val="0E3914FE"/>
    <w:rsid w:val="0E8F4521"/>
    <w:rsid w:val="0EE54141"/>
    <w:rsid w:val="0EF10D38"/>
    <w:rsid w:val="0EF83E74"/>
    <w:rsid w:val="0F241091"/>
    <w:rsid w:val="0F29161B"/>
    <w:rsid w:val="0F8120BC"/>
    <w:rsid w:val="0F8B4658"/>
    <w:rsid w:val="0F985657"/>
    <w:rsid w:val="0FE25DEF"/>
    <w:rsid w:val="100218D1"/>
    <w:rsid w:val="102869DB"/>
    <w:rsid w:val="10BC03C7"/>
    <w:rsid w:val="10D03F34"/>
    <w:rsid w:val="11294683"/>
    <w:rsid w:val="114710E3"/>
    <w:rsid w:val="117401CE"/>
    <w:rsid w:val="118041DE"/>
    <w:rsid w:val="11D96D2F"/>
    <w:rsid w:val="125E784D"/>
    <w:rsid w:val="12C0114D"/>
    <w:rsid w:val="12C02EFB"/>
    <w:rsid w:val="130F4A87"/>
    <w:rsid w:val="138D17F9"/>
    <w:rsid w:val="14237C67"/>
    <w:rsid w:val="143D057B"/>
    <w:rsid w:val="14693EF4"/>
    <w:rsid w:val="14D24E71"/>
    <w:rsid w:val="14E804E7"/>
    <w:rsid w:val="151A3879"/>
    <w:rsid w:val="152864CC"/>
    <w:rsid w:val="15674B2D"/>
    <w:rsid w:val="15A13C38"/>
    <w:rsid w:val="15FB7524"/>
    <w:rsid w:val="163C4F8E"/>
    <w:rsid w:val="166E2C6E"/>
    <w:rsid w:val="16917C74"/>
    <w:rsid w:val="16B60189"/>
    <w:rsid w:val="16B8147F"/>
    <w:rsid w:val="16CB3E87"/>
    <w:rsid w:val="16F07B27"/>
    <w:rsid w:val="16F969DB"/>
    <w:rsid w:val="1700420E"/>
    <w:rsid w:val="17146A2E"/>
    <w:rsid w:val="17606A5A"/>
    <w:rsid w:val="176D7D25"/>
    <w:rsid w:val="17C60E60"/>
    <w:rsid w:val="17D554A5"/>
    <w:rsid w:val="18221F62"/>
    <w:rsid w:val="18595ED3"/>
    <w:rsid w:val="18E72462"/>
    <w:rsid w:val="19514C94"/>
    <w:rsid w:val="19754EE1"/>
    <w:rsid w:val="198343FB"/>
    <w:rsid w:val="198D4854"/>
    <w:rsid w:val="19981E2F"/>
    <w:rsid w:val="199D3F96"/>
    <w:rsid w:val="1AE14356"/>
    <w:rsid w:val="1AE54A0E"/>
    <w:rsid w:val="1AE833AF"/>
    <w:rsid w:val="1B0940FF"/>
    <w:rsid w:val="1B5B3CD7"/>
    <w:rsid w:val="1C27223D"/>
    <w:rsid w:val="1C72434F"/>
    <w:rsid w:val="1C9563E4"/>
    <w:rsid w:val="1CAE64BA"/>
    <w:rsid w:val="1CD57C7B"/>
    <w:rsid w:val="1CD622FA"/>
    <w:rsid w:val="1CE36717"/>
    <w:rsid w:val="1D583653"/>
    <w:rsid w:val="1D8F11D2"/>
    <w:rsid w:val="1D9508C5"/>
    <w:rsid w:val="1DE2466D"/>
    <w:rsid w:val="1E262080"/>
    <w:rsid w:val="1E7B6870"/>
    <w:rsid w:val="1E7C1426"/>
    <w:rsid w:val="1EA43628"/>
    <w:rsid w:val="1EC13FE5"/>
    <w:rsid w:val="1EF62DD3"/>
    <w:rsid w:val="1F114ADE"/>
    <w:rsid w:val="1F4875E2"/>
    <w:rsid w:val="1F501AAA"/>
    <w:rsid w:val="1FBB33C8"/>
    <w:rsid w:val="1FBF00BB"/>
    <w:rsid w:val="1FF0173A"/>
    <w:rsid w:val="202C41BD"/>
    <w:rsid w:val="203D2BA3"/>
    <w:rsid w:val="205B0707"/>
    <w:rsid w:val="207A1985"/>
    <w:rsid w:val="20915ED7"/>
    <w:rsid w:val="20A0611A"/>
    <w:rsid w:val="20B16579"/>
    <w:rsid w:val="20E27B73"/>
    <w:rsid w:val="20F77E89"/>
    <w:rsid w:val="211762CF"/>
    <w:rsid w:val="21564CC5"/>
    <w:rsid w:val="21826735"/>
    <w:rsid w:val="218C669E"/>
    <w:rsid w:val="21937E35"/>
    <w:rsid w:val="21B74D67"/>
    <w:rsid w:val="21F4671D"/>
    <w:rsid w:val="21F678A6"/>
    <w:rsid w:val="222654FC"/>
    <w:rsid w:val="22351B45"/>
    <w:rsid w:val="22C5455D"/>
    <w:rsid w:val="22C62CF4"/>
    <w:rsid w:val="23451001"/>
    <w:rsid w:val="23A06120"/>
    <w:rsid w:val="241D2113"/>
    <w:rsid w:val="24667E33"/>
    <w:rsid w:val="247104F9"/>
    <w:rsid w:val="24782AD4"/>
    <w:rsid w:val="247B4A27"/>
    <w:rsid w:val="24816262"/>
    <w:rsid w:val="24DE1906"/>
    <w:rsid w:val="24F353B2"/>
    <w:rsid w:val="2559758D"/>
    <w:rsid w:val="259D70CC"/>
    <w:rsid w:val="25F4388F"/>
    <w:rsid w:val="260E093B"/>
    <w:rsid w:val="26A466F4"/>
    <w:rsid w:val="26D11723"/>
    <w:rsid w:val="26F21627"/>
    <w:rsid w:val="26F45411"/>
    <w:rsid w:val="27027B2E"/>
    <w:rsid w:val="27027FD4"/>
    <w:rsid w:val="27082C6B"/>
    <w:rsid w:val="275060F6"/>
    <w:rsid w:val="277D71B5"/>
    <w:rsid w:val="27952750"/>
    <w:rsid w:val="27CB3585"/>
    <w:rsid w:val="280E0D54"/>
    <w:rsid w:val="28207F86"/>
    <w:rsid w:val="283A6E54"/>
    <w:rsid w:val="286E02B3"/>
    <w:rsid w:val="28773C04"/>
    <w:rsid w:val="28AC24C6"/>
    <w:rsid w:val="28B27332"/>
    <w:rsid w:val="28C8735A"/>
    <w:rsid w:val="28CD7B64"/>
    <w:rsid w:val="28DA73F5"/>
    <w:rsid w:val="28ED11D6"/>
    <w:rsid w:val="292329C4"/>
    <w:rsid w:val="29272709"/>
    <w:rsid w:val="295705E1"/>
    <w:rsid w:val="29932000"/>
    <w:rsid w:val="29A712B9"/>
    <w:rsid w:val="29AE6B2F"/>
    <w:rsid w:val="29B449E4"/>
    <w:rsid w:val="29F55728"/>
    <w:rsid w:val="2A141CA3"/>
    <w:rsid w:val="2A286500"/>
    <w:rsid w:val="2A30050E"/>
    <w:rsid w:val="2A8E3487"/>
    <w:rsid w:val="2A9E4307"/>
    <w:rsid w:val="2AAE58D7"/>
    <w:rsid w:val="2ACD3FAF"/>
    <w:rsid w:val="2AF43C32"/>
    <w:rsid w:val="2AFE1A2C"/>
    <w:rsid w:val="2AFF56BB"/>
    <w:rsid w:val="2B015ADF"/>
    <w:rsid w:val="2B163BA8"/>
    <w:rsid w:val="2B4E2D46"/>
    <w:rsid w:val="2B5A21DE"/>
    <w:rsid w:val="2B7A0AA7"/>
    <w:rsid w:val="2BCF4385"/>
    <w:rsid w:val="2C025EDA"/>
    <w:rsid w:val="2C1D2D14"/>
    <w:rsid w:val="2C2B67A7"/>
    <w:rsid w:val="2C8A6F58"/>
    <w:rsid w:val="2CA46E84"/>
    <w:rsid w:val="2CFC2BFE"/>
    <w:rsid w:val="2D7357AD"/>
    <w:rsid w:val="2D742E08"/>
    <w:rsid w:val="2D855015"/>
    <w:rsid w:val="2DA90D03"/>
    <w:rsid w:val="2DE073F4"/>
    <w:rsid w:val="2DF13843"/>
    <w:rsid w:val="2DF225C7"/>
    <w:rsid w:val="2E12514F"/>
    <w:rsid w:val="2E421B72"/>
    <w:rsid w:val="2F195A15"/>
    <w:rsid w:val="2F642A08"/>
    <w:rsid w:val="2FC35462"/>
    <w:rsid w:val="2FC7487D"/>
    <w:rsid w:val="3091782D"/>
    <w:rsid w:val="30950EF3"/>
    <w:rsid w:val="30B17ECF"/>
    <w:rsid w:val="30CD2F5B"/>
    <w:rsid w:val="310240E7"/>
    <w:rsid w:val="312955B3"/>
    <w:rsid w:val="314D028A"/>
    <w:rsid w:val="321E77E6"/>
    <w:rsid w:val="32780CA4"/>
    <w:rsid w:val="32BC3287"/>
    <w:rsid w:val="32DD31FD"/>
    <w:rsid w:val="33095B3D"/>
    <w:rsid w:val="33233306"/>
    <w:rsid w:val="33722FF6"/>
    <w:rsid w:val="337E6C7F"/>
    <w:rsid w:val="339A2E9C"/>
    <w:rsid w:val="33BA151A"/>
    <w:rsid w:val="344A76B2"/>
    <w:rsid w:val="345F7433"/>
    <w:rsid w:val="349827A6"/>
    <w:rsid w:val="3505165F"/>
    <w:rsid w:val="352860EB"/>
    <w:rsid w:val="355530AA"/>
    <w:rsid w:val="358E07DF"/>
    <w:rsid w:val="35EB79DF"/>
    <w:rsid w:val="36383696"/>
    <w:rsid w:val="364631D7"/>
    <w:rsid w:val="36806379"/>
    <w:rsid w:val="368928C2"/>
    <w:rsid w:val="36E52680"/>
    <w:rsid w:val="371638DF"/>
    <w:rsid w:val="376A1FCD"/>
    <w:rsid w:val="37753A04"/>
    <w:rsid w:val="3776777C"/>
    <w:rsid w:val="377E4FAF"/>
    <w:rsid w:val="37850378"/>
    <w:rsid w:val="37BD420F"/>
    <w:rsid w:val="38F00B77"/>
    <w:rsid w:val="391F2D12"/>
    <w:rsid w:val="398345CC"/>
    <w:rsid w:val="39ED01CA"/>
    <w:rsid w:val="39FF1B87"/>
    <w:rsid w:val="3A040DC5"/>
    <w:rsid w:val="3A2D43ED"/>
    <w:rsid w:val="3A571AE7"/>
    <w:rsid w:val="3A5D7BD1"/>
    <w:rsid w:val="3A79380C"/>
    <w:rsid w:val="3AB84E03"/>
    <w:rsid w:val="3B1F29B6"/>
    <w:rsid w:val="3B8D45DF"/>
    <w:rsid w:val="3B940D0C"/>
    <w:rsid w:val="3BCA5C37"/>
    <w:rsid w:val="3C236D17"/>
    <w:rsid w:val="3C391219"/>
    <w:rsid w:val="3C5C711F"/>
    <w:rsid w:val="3C8A61A4"/>
    <w:rsid w:val="3C964B49"/>
    <w:rsid w:val="3C9943D8"/>
    <w:rsid w:val="3CAD798A"/>
    <w:rsid w:val="3CD66C98"/>
    <w:rsid w:val="3D0A0D1D"/>
    <w:rsid w:val="3D1D2A82"/>
    <w:rsid w:val="3D5F6075"/>
    <w:rsid w:val="3D734E8A"/>
    <w:rsid w:val="3D7D0975"/>
    <w:rsid w:val="3DD53747"/>
    <w:rsid w:val="3DF67891"/>
    <w:rsid w:val="3E18158D"/>
    <w:rsid w:val="3E1D38C4"/>
    <w:rsid w:val="3E5D51F2"/>
    <w:rsid w:val="3ECB49F2"/>
    <w:rsid w:val="3ED14C7B"/>
    <w:rsid w:val="3EDE6333"/>
    <w:rsid w:val="3F5B255F"/>
    <w:rsid w:val="3F6B1EDC"/>
    <w:rsid w:val="3FC217B1"/>
    <w:rsid w:val="3FFB43AD"/>
    <w:rsid w:val="40275AB8"/>
    <w:rsid w:val="402F5BFF"/>
    <w:rsid w:val="405829DE"/>
    <w:rsid w:val="40844CB8"/>
    <w:rsid w:val="408B24EB"/>
    <w:rsid w:val="40A36A84"/>
    <w:rsid w:val="40BA6F59"/>
    <w:rsid w:val="40DC5A18"/>
    <w:rsid w:val="41E559DD"/>
    <w:rsid w:val="423050F8"/>
    <w:rsid w:val="42385C98"/>
    <w:rsid w:val="428B16DD"/>
    <w:rsid w:val="42C7371B"/>
    <w:rsid w:val="42D02437"/>
    <w:rsid w:val="42F94AE0"/>
    <w:rsid w:val="434846C3"/>
    <w:rsid w:val="437377FC"/>
    <w:rsid w:val="4377703C"/>
    <w:rsid w:val="439A6EE9"/>
    <w:rsid w:val="43B50E83"/>
    <w:rsid w:val="43BC29BB"/>
    <w:rsid w:val="44202F4A"/>
    <w:rsid w:val="443D42EE"/>
    <w:rsid w:val="443F5D10"/>
    <w:rsid w:val="444B446B"/>
    <w:rsid w:val="44755AC2"/>
    <w:rsid w:val="44A50CAA"/>
    <w:rsid w:val="44D75CFE"/>
    <w:rsid w:val="45154A79"/>
    <w:rsid w:val="45231B23"/>
    <w:rsid w:val="45461087"/>
    <w:rsid w:val="454F6D22"/>
    <w:rsid w:val="455A248C"/>
    <w:rsid w:val="458A2D71"/>
    <w:rsid w:val="458E697F"/>
    <w:rsid w:val="459534C4"/>
    <w:rsid w:val="45A100BA"/>
    <w:rsid w:val="468C0D6B"/>
    <w:rsid w:val="47280A93"/>
    <w:rsid w:val="47337020"/>
    <w:rsid w:val="474D4056"/>
    <w:rsid w:val="476D6EF5"/>
    <w:rsid w:val="47926FE7"/>
    <w:rsid w:val="479C322F"/>
    <w:rsid w:val="47ED3A8B"/>
    <w:rsid w:val="482B7A7B"/>
    <w:rsid w:val="482D7A3B"/>
    <w:rsid w:val="48586940"/>
    <w:rsid w:val="48797941"/>
    <w:rsid w:val="488841DB"/>
    <w:rsid w:val="49291E66"/>
    <w:rsid w:val="493A7774"/>
    <w:rsid w:val="49873024"/>
    <w:rsid w:val="498D2E30"/>
    <w:rsid w:val="499C27B9"/>
    <w:rsid w:val="49A11F60"/>
    <w:rsid w:val="49CC7DFC"/>
    <w:rsid w:val="4A0155CC"/>
    <w:rsid w:val="4A335BCE"/>
    <w:rsid w:val="4A431F7F"/>
    <w:rsid w:val="4AD11442"/>
    <w:rsid w:val="4B2C3BA7"/>
    <w:rsid w:val="4B596751"/>
    <w:rsid w:val="4BAC4FAF"/>
    <w:rsid w:val="4BC8467F"/>
    <w:rsid w:val="4BEA27BB"/>
    <w:rsid w:val="4CFE53E3"/>
    <w:rsid w:val="4D5B7C89"/>
    <w:rsid w:val="4D6C37E5"/>
    <w:rsid w:val="4D91641A"/>
    <w:rsid w:val="4DA22388"/>
    <w:rsid w:val="4DB3043D"/>
    <w:rsid w:val="4DD70B1D"/>
    <w:rsid w:val="4E0D453F"/>
    <w:rsid w:val="4E110B88"/>
    <w:rsid w:val="4E1B4533"/>
    <w:rsid w:val="4E8F31A6"/>
    <w:rsid w:val="4ED96B17"/>
    <w:rsid w:val="4EE26052"/>
    <w:rsid w:val="4F04178B"/>
    <w:rsid w:val="4F0A4599"/>
    <w:rsid w:val="4F120203"/>
    <w:rsid w:val="4F9E636D"/>
    <w:rsid w:val="4FE63648"/>
    <w:rsid w:val="50142188"/>
    <w:rsid w:val="505F4453"/>
    <w:rsid w:val="50D30FD6"/>
    <w:rsid w:val="50D852D8"/>
    <w:rsid w:val="51905BB3"/>
    <w:rsid w:val="51EF5042"/>
    <w:rsid w:val="52075749"/>
    <w:rsid w:val="521C44FF"/>
    <w:rsid w:val="525A1D1D"/>
    <w:rsid w:val="52630BD1"/>
    <w:rsid w:val="52CA2E08"/>
    <w:rsid w:val="53021276"/>
    <w:rsid w:val="531E2D4A"/>
    <w:rsid w:val="53773B5B"/>
    <w:rsid w:val="53EC64A0"/>
    <w:rsid w:val="54096788"/>
    <w:rsid w:val="54877ACD"/>
    <w:rsid w:val="54C53DC5"/>
    <w:rsid w:val="54EA7388"/>
    <w:rsid w:val="54F06565"/>
    <w:rsid w:val="55031D82"/>
    <w:rsid w:val="554F0427"/>
    <w:rsid w:val="557312C2"/>
    <w:rsid w:val="55BF6A67"/>
    <w:rsid w:val="55D26341"/>
    <w:rsid w:val="55F25808"/>
    <w:rsid w:val="564203BE"/>
    <w:rsid w:val="566B274A"/>
    <w:rsid w:val="56B37004"/>
    <w:rsid w:val="56B91708"/>
    <w:rsid w:val="56C854A7"/>
    <w:rsid w:val="570D3802"/>
    <w:rsid w:val="572F5526"/>
    <w:rsid w:val="573F2EBF"/>
    <w:rsid w:val="57573E4D"/>
    <w:rsid w:val="57D50B5B"/>
    <w:rsid w:val="57D8796C"/>
    <w:rsid w:val="57E24C8E"/>
    <w:rsid w:val="580544D9"/>
    <w:rsid w:val="58104D51"/>
    <w:rsid w:val="581A4BFA"/>
    <w:rsid w:val="587F7924"/>
    <w:rsid w:val="588C0756"/>
    <w:rsid w:val="58BA6D2D"/>
    <w:rsid w:val="59013249"/>
    <w:rsid w:val="59017667"/>
    <w:rsid w:val="59185336"/>
    <w:rsid w:val="592409DF"/>
    <w:rsid w:val="59633BAD"/>
    <w:rsid w:val="599975CF"/>
    <w:rsid w:val="59D020A3"/>
    <w:rsid w:val="59FB128F"/>
    <w:rsid w:val="59FE7432"/>
    <w:rsid w:val="5A04713E"/>
    <w:rsid w:val="5A5F4810"/>
    <w:rsid w:val="5A725E6E"/>
    <w:rsid w:val="5AAF7B15"/>
    <w:rsid w:val="5B0E04AE"/>
    <w:rsid w:val="5B0E436F"/>
    <w:rsid w:val="5B0F11F3"/>
    <w:rsid w:val="5B286E5C"/>
    <w:rsid w:val="5B310151"/>
    <w:rsid w:val="5B3572FB"/>
    <w:rsid w:val="5B3B6561"/>
    <w:rsid w:val="5B4A50BF"/>
    <w:rsid w:val="5B9A03B8"/>
    <w:rsid w:val="5BE12FA3"/>
    <w:rsid w:val="5C4D6613"/>
    <w:rsid w:val="5C7659A5"/>
    <w:rsid w:val="5CA51665"/>
    <w:rsid w:val="5CD10E2D"/>
    <w:rsid w:val="5CFF3BED"/>
    <w:rsid w:val="5D320005"/>
    <w:rsid w:val="5D384590"/>
    <w:rsid w:val="5D8866EC"/>
    <w:rsid w:val="5D8B5480"/>
    <w:rsid w:val="5E221EA4"/>
    <w:rsid w:val="5E286051"/>
    <w:rsid w:val="5E5A7849"/>
    <w:rsid w:val="5E8C14B0"/>
    <w:rsid w:val="5EBD7CDF"/>
    <w:rsid w:val="5EBE258C"/>
    <w:rsid w:val="5EBF421E"/>
    <w:rsid w:val="5ED910CD"/>
    <w:rsid w:val="5EED2465"/>
    <w:rsid w:val="5EF42197"/>
    <w:rsid w:val="5F096FA4"/>
    <w:rsid w:val="5F4C0C3F"/>
    <w:rsid w:val="5F6146EB"/>
    <w:rsid w:val="5FCD3F3D"/>
    <w:rsid w:val="603A7008"/>
    <w:rsid w:val="607F262B"/>
    <w:rsid w:val="60B22ECB"/>
    <w:rsid w:val="61347A04"/>
    <w:rsid w:val="618D2305"/>
    <w:rsid w:val="61A42FB4"/>
    <w:rsid w:val="621E2D67"/>
    <w:rsid w:val="62373E29"/>
    <w:rsid w:val="62586279"/>
    <w:rsid w:val="62662018"/>
    <w:rsid w:val="626F5370"/>
    <w:rsid w:val="629848C7"/>
    <w:rsid w:val="62B13874"/>
    <w:rsid w:val="62C01E93"/>
    <w:rsid w:val="630C0E11"/>
    <w:rsid w:val="63672753"/>
    <w:rsid w:val="63972DD1"/>
    <w:rsid w:val="63C67212"/>
    <w:rsid w:val="63FA5FE0"/>
    <w:rsid w:val="646937B4"/>
    <w:rsid w:val="6493090D"/>
    <w:rsid w:val="649317EA"/>
    <w:rsid w:val="64BF74AD"/>
    <w:rsid w:val="64CE1249"/>
    <w:rsid w:val="651144BD"/>
    <w:rsid w:val="652274FC"/>
    <w:rsid w:val="6554084E"/>
    <w:rsid w:val="65B45DAE"/>
    <w:rsid w:val="65D21085"/>
    <w:rsid w:val="65D606DA"/>
    <w:rsid w:val="65E62E7A"/>
    <w:rsid w:val="666A3C9E"/>
    <w:rsid w:val="6672382D"/>
    <w:rsid w:val="66743F27"/>
    <w:rsid w:val="66C739CD"/>
    <w:rsid w:val="66DB09CF"/>
    <w:rsid w:val="66EC7F6C"/>
    <w:rsid w:val="66FD119D"/>
    <w:rsid w:val="67287B59"/>
    <w:rsid w:val="6761038C"/>
    <w:rsid w:val="6762507E"/>
    <w:rsid w:val="67B57CC9"/>
    <w:rsid w:val="67BB5990"/>
    <w:rsid w:val="682841B6"/>
    <w:rsid w:val="688357CB"/>
    <w:rsid w:val="68B27D65"/>
    <w:rsid w:val="69156FF4"/>
    <w:rsid w:val="69EF7EC9"/>
    <w:rsid w:val="69F452BC"/>
    <w:rsid w:val="6A37733C"/>
    <w:rsid w:val="6A6B466F"/>
    <w:rsid w:val="6AAD178D"/>
    <w:rsid w:val="6AD246EE"/>
    <w:rsid w:val="6B2A62D8"/>
    <w:rsid w:val="6B4F71B4"/>
    <w:rsid w:val="6BB40298"/>
    <w:rsid w:val="6BE627E7"/>
    <w:rsid w:val="6C2766C6"/>
    <w:rsid w:val="6C6A466A"/>
    <w:rsid w:val="6C7D68DC"/>
    <w:rsid w:val="6C946C78"/>
    <w:rsid w:val="6CC649E7"/>
    <w:rsid w:val="6CDA72B1"/>
    <w:rsid w:val="6CE40709"/>
    <w:rsid w:val="6CE626D3"/>
    <w:rsid w:val="6D06067F"/>
    <w:rsid w:val="6DA305C4"/>
    <w:rsid w:val="6DDA5CDD"/>
    <w:rsid w:val="6DDF2D8D"/>
    <w:rsid w:val="6E105C5A"/>
    <w:rsid w:val="6E124509"/>
    <w:rsid w:val="6E162B44"/>
    <w:rsid w:val="6E1F5E9D"/>
    <w:rsid w:val="6E612D84"/>
    <w:rsid w:val="6EC801D0"/>
    <w:rsid w:val="6EEC5A9B"/>
    <w:rsid w:val="6F0D03EB"/>
    <w:rsid w:val="6F1C5A92"/>
    <w:rsid w:val="6F5F71DE"/>
    <w:rsid w:val="6F896C18"/>
    <w:rsid w:val="6FBC4288"/>
    <w:rsid w:val="700806F4"/>
    <w:rsid w:val="70A217C3"/>
    <w:rsid w:val="70BC3E77"/>
    <w:rsid w:val="70D535C3"/>
    <w:rsid w:val="70DD61B2"/>
    <w:rsid w:val="70F34B3D"/>
    <w:rsid w:val="714E17AB"/>
    <w:rsid w:val="7151758B"/>
    <w:rsid w:val="71FF2F49"/>
    <w:rsid w:val="723637B5"/>
    <w:rsid w:val="729C445C"/>
    <w:rsid w:val="7318171D"/>
    <w:rsid w:val="736507F6"/>
    <w:rsid w:val="738F5872"/>
    <w:rsid w:val="73A47784"/>
    <w:rsid w:val="7420488D"/>
    <w:rsid w:val="74725D1D"/>
    <w:rsid w:val="74BF2945"/>
    <w:rsid w:val="74DD63C6"/>
    <w:rsid w:val="74F30F4B"/>
    <w:rsid w:val="74FD02DE"/>
    <w:rsid w:val="751D3132"/>
    <w:rsid w:val="75470E99"/>
    <w:rsid w:val="76095920"/>
    <w:rsid w:val="763767F1"/>
    <w:rsid w:val="764861AD"/>
    <w:rsid w:val="766E2F60"/>
    <w:rsid w:val="77281627"/>
    <w:rsid w:val="772A5792"/>
    <w:rsid w:val="776E1C43"/>
    <w:rsid w:val="77732DB5"/>
    <w:rsid w:val="77820FDB"/>
    <w:rsid w:val="77DF6972"/>
    <w:rsid w:val="781B45E8"/>
    <w:rsid w:val="78393FFF"/>
    <w:rsid w:val="7843527A"/>
    <w:rsid w:val="78BE0AD8"/>
    <w:rsid w:val="78CD2873"/>
    <w:rsid w:val="78D930EC"/>
    <w:rsid w:val="790D22C6"/>
    <w:rsid w:val="792C51C7"/>
    <w:rsid w:val="79346574"/>
    <w:rsid w:val="79BC3831"/>
    <w:rsid w:val="79E166FC"/>
    <w:rsid w:val="7A146AD1"/>
    <w:rsid w:val="7A1545F8"/>
    <w:rsid w:val="7A391FFA"/>
    <w:rsid w:val="7A4B0B98"/>
    <w:rsid w:val="7A6171B2"/>
    <w:rsid w:val="7A637111"/>
    <w:rsid w:val="7A910122"/>
    <w:rsid w:val="7AB76BC1"/>
    <w:rsid w:val="7AC73B44"/>
    <w:rsid w:val="7B1149A6"/>
    <w:rsid w:val="7B226FCC"/>
    <w:rsid w:val="7B4B6523"/>
    <w:rsid w:val="7C101A47"/>
    <w:rsid w:val="7C6D00B5"/>
    <w:rsid w:val="7C9C2DAE"/>
    <w:rsid w:val="7CBC0D5A"/>
    <w:rsid w:val="7CD67231"/>
    <w:rsid w:val="7CF32EBB"/>
    <w:rsid w:val="7D000522"/>
    <w:rsid w:val="7D630A43"/>
    <w:rsid w:val="7D637428"/>
    <w:rsid w:val="7D6457E7"/>
    <w:rsid w:val="7DBB7264"/>
    <w:rsid w:val="7E0E18F7"/>
    <w:rsid w:val="7E8848F2"/>
    <w:rsid w:val="7E9743BD"/>
    <w:rsid w:val="7EA52C7F"/>
    <w:rsid w:val="7ED14F91"/>
    <w:rsid w:val="7EE6351F"/>
    <w:rsid w:val="7EF46ED2"/>
    <w:rsid w:val="7F062F4C"/>
    <w:rsid w:val="7F2826D7"/>
    <w:rsid w:val="7F857B2A"/>
    <w:rsid w:val="7FAB3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51"/>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49"/>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45"/>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51"/>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33"/>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43"/>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4"/>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55"/>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56"/>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9"/>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First Indent"/>
    <w:basedOn w:val="2"/>
    <w:link w:val="202"/>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customStyle="1" w:styleId="10">
    <w:name w:val="模板正文"/>
    <w:basedOn w:val="1"/>
    <w:link w:val="95"/>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84"/>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17"/>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164"/>
    <w:unhideWhenUsed/>
    <w:qFormat/>
    <w:uiPriority w:val="99"/>
    <w:pPr>
      <w:jc w:val="left"/>
    </w:pPr>
  </w:style>
  <w:style w:type="paragraph" w:styleId="19">
    <w:name w:val="Body Text 3"/>
    <w:basedOn w:val="1"/>
    <w:link w:val="157"/>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0">
    <w:name w:val="Body Text Indent"/>
    <w:basedOn w:val="1"/>
    <w:next w:val="1"/>
    <w:link w:val="93"/>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101"/>
    <w:qFormat/>
    <w:uiPriority w:val="0"/>
    <w:rPr>
      <w:rFonts w:ascii="宋体" w:hAnsi="Courier New" w:eastAsia="宋体"/>
    </w:rPr>
  </w:style>
  <w:style w:type="paragraph" w:styleId="23">
    <w:name w:val="Date"/>
    <w:basedOn w:val="1"/>
    <w:next w:val="1"/>
    <w:link w:val="109"/>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2"/>
    <w:qFormat/>
    <w:uiPriority w:val="0"/>
    <w:pPr>
      <w:tabs>
        <w:tab w:val="left" w:pos="8640"/>
      </w:tabs>
      <w:ind w:left="1260"/>
    </w:pPr>
    <w:rPr>
      <w:rFonts w:ascii="宋体" w:hAnsi="Times New Roman" w:eastAsia="宋体" w:cs="Times New Roman"/>
      <w:szCs w:val="20"/>
    </w:rPr>
  </w:style>
  <w:style w:type="paragraph" w:styleId="25">
    <w:name w:val="Balloon Text"/>
    <w:basedOn w:val="1"/>
    <w:link w:val="75"/>
    <w:qFormat/>
    <w:uiPriority w:val="0"/>
    <w:rPr>
      <w:rFonts w:ascii="Times New Roman" w:hAnsi="Times New Roman" w:eastAsia="宋体" w:cs="Times New Roman"/>
      <w:sz w:val="18"/>
      <w:szCs w:val="18"/>
    </w:rPr>
  </w:style>
  <w:style w:type="paragraph" w:styleId="26">
    <w:name w:val="footer"/>
    <w:basedOn w:val="1"/>
    <w:link w:val="79"/>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1"/>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5"/>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unhideWhenUsed/>
    <w:qFormat/>
    <w:uiPriority w:val="39"/>
    <w:pPr>
      <w:ind w:left="420" w:leftChars="200"/>
    </w:pPr>
  </w:style>
  <w:style w:type="paragraph" w:styleId="32">
    <w:name w:val="Body Text 2"/>
    <w:basedOn w:val="1"/>
    <w:link w:val="144"/>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4"/>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9"/>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8"/>
    <w:next w:val="18"/>
    <w:link w:val="111"/>
    <w:qFormat/>
    <w:uiPriority w:val="99"/>
    <w:pPr>
      <w:autoSpaceDE w:val="0"/>
      <w:autoSpaceDN w:val="0"/>
      <w:adjustRightInd w:val="0"/>
    </w:pPr>
    <w:rPr>
      <w:rFonts w:ascii="宋体" w:hAnsi="Times New Roman" w:eastAsia="宋体" w:cs="Times New Roman"/>
      <w:b/>
      <w:bCs/>
      <w:kern w:val="0"/>
      <w:sz w:val="24"/>
      <w:szCs w:val="24"/>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FollowedHyperlink"/>
    <w:unhideWhenUsed/>
    <w:qFormat/>
    <w:uiPriority w:val="99"/>
    <w:rPr>
      <w:color w:val="954F72"/>
      <w:u w:val="single"/>
    </w:rPr>
  </w:style>
  <w:style w:type="character" w:styleId="43">
    <w:name w:val="Emphasis"/>
    <w:qFormat/>
    <w:uiPriority w:val="0"/>
    <w:rPr>
      <w:i/>
      <w:iCs/>
    </w:rPr>
  </w:style>
  <w:style w:type="character" w:styleId="44">
    <w:name w:val="Hyperlink"/>
    <w:qFormat/>
    <w:uiPriority w:val="99"/>
    <w:rPr>
      <w:rFonts w:hint="default" w:ascii="Arial" w:hAnsi="Arial" w:cs="Arial"/>
      <w:color w:val="000000"/>
      <w:sz w:val="20"/>
      <w:szCs w:val="20"/>
      <w:u w:val="none"/>
    </w:rPr>
  </w:style>
  <w:style w:type="character" w:styleId="45">
    <w:name w:val="annotation reference"/>
    <w:basedOn w:val="39"/>
    <w:qFormat/>
    <w:uiPriority w:val="99"/>
    <w:rPr>
      <w:sz w:val="21"/>
      <w:szCs w:val="21"/>
    </w:rPr>
  </w:style>
  <w:style w:type="paragraph" w:customStyle="1" w:styleId="46">
    <w:name w:val="文档正文"/>
    <w:basedOn w:val="1"/>
    <w:qFormat/>
    <w:uiPriority w:val="0"/>
    <w:pPr>
      <w:spacing w:line="360" w:lineRule="auto"/>
    </w:pPr>
    <w:rPr>
      <w:rFonts w:ascii="宋体" w:cs="Arial"/>
      <w:bCs/>
    </w:rPr>
  </w:style>
  <w:style w:type="paragraph" w:customStyle="1" w:styleId="47">
    <w:name w:val="首行缩进"/>
    <w:basedOn w:val="1"/>
    <w:qFormat/>
    <w:uiPriority w:val="0"/>
    <w:pPr>
      <w:ind w:firstLine="480" w:firstLineChars="200"/>
    </w:pPr>
    <w:rPr>
      <w:lang w:val="zh-CN"/>
    </w:rPr>
  </w:style>
  <w:style w:type="character" w:customStyle="1" w:styleId="48">
    <w:name w:val="标题 1 字符"/>
    <w:basedOn w:val="39"/>
    <w:qFormat/>
    <w:uiPriority w:val="0"/>
    <w:rPr>
      <w:b/>
      <w:bCs/>
      <w:kern w:val="44"/>
      <w:sz w:val="44"/>
      <w:szCs w:val="44"/>
    </w:rPr>
  </w:style>
  <w:style w:type="character" w:customStyle="1" w:styleId="49">
    <w:name w:val="标题 2 Char"/>
    <w:basedOn w:val="39"/>
    <w:link w:val="5"/>
    <w:qFormat/>
    <w:uiPriority w:val="0"/>
    <w:rPr>
      <w:rFonts w:ascii="宋体" w:hAnsi="Calibri" w:eastAsia="宋体" w:cs="Times New Roman"/>
      <w:kern w:val="0"/>
      <w:sz w:val="24"/>
      <w:szCs w:val="24"/>
    </w:rPr>
  </w:style>
  <w:style w:type="character" w:customStyle="1" w:styleId="50">
    <w:name w:val="标题 3 字符"/>
    <w:basedOn w:val="39"/>
    <w:qFormat/>
    <w:uiPriority w:val="0"/>
    <w:rPr>
      <w:b/>
      <w:bCs/>
      <w:sz w:val="32"/>
      <w:szCs w:val="32"/>
    </w:rPr>
  </w:style>
  <w:style w:type="character" w:customStyle="1" w:styleId="51">
    <w:name w:val="标题 4 Char1"/>
    <w:basedOn w:val="39"/>
    <w:link w:val="7"/>
    <w:qFormat/>
    <w:uiPriority w:val="9"/>
    <w:rPr>
      <w:rFonts w:ascii="Arial" w:hAnsi="Arial" w:eastAsia="黑体" w:cs="Times New Roman"/>
      <w:b/>
      <w:bCs/>
      <w:kern w:val="0"/>
      <w:sz w:val="28"/>
      <w:szCs w:val="28"/>
    </w:rPr>
  </w:style>
  <w:style w:type="character" w:customStyle="1" w:styleId="52">
    <w:name w:val="标题 5 字符"/>
    <w:basedOn w:val="39"/>
    <w:qFormat/>
    <w:uiPriority w:val="9"/>
    <w:rPr>
      <w:b/>
      <w:bCs/>
      <w:sz w:val="28"/>
      <w:szCs w:val="28"/>
    </w:rPr>
  </w:style>
  <w:style w:type="character" w:customStyle="1" w:styleId="53">
    <w:name w:val="标题 6 字符"/>
    <w:basedOn w:val="39"/>
    <w:qFormat/>
    <w:uiPriority w:val="0"/>
    <w:rPr>
      <w:rFonts w:asciiTheme="majorHAnsi" w:hAnsiTheme="majorHAnsi" w:eastAsiaTheme="majorEastAsia" w:cstheme="majorBidi"/>
      <w:b/>
      <w:bCs/>
      <w:sz w:val="24"/>
      <w:szCs w:val="24"/>
    </w:rPr>
  </w:style>
  <w:style w:type="character" w:customStyle="1" w:styleId="54">
    <w:name w:val="标题 7 Char"/>
    <w:basedOn w:val="39"/>
    <w:link w:val="11"/>
    <w:qFormat/>
    <w:uiPriority w:val="9"/>
    <w:rPr>
      <w:rFonts w:ascii="Times New Roman" w:hAnsi="Calibri" w:eastAsia="黑体" w:cs="Times New Roman"/>
      <w:b/>
      <w:bCs/>
      <w:kern w:val="0"/>
      <w:sz w:val="28"/>
      <w:szCs w:val="24"/>
    </w:rPr>
  </w:style>
  <w:style w:type="character" w:customStyle="1" w:styleId="55">
    <w:name w:val="标题 8 Char"/>
    <w:basedOn w:val="39"/>
    <w:link w:val="12"/>
    <w:qFormat/>
    <w:uiPriority w:val="9"/>
    <w:rPr>
      <w:rFonts w:ascii="Times New Roman" w:hAnsi="Calibri" w:eastAsia="黑体" w:cs="Times New Roman"/>
      <w:b/>
      <w:kern w:val="0"/>
      <w:sz w:val="28"/>
      <w:szCs w:val="24"/>
    </w:rPr>
  </w:style>
  <w:style w:type="character" w:customStyle="1" w:styleId="56">
    <w:name w:val="标题 9 Char"/>
    <w:basedOn w:val="39"/>
    <w:link w:val="13"/>
    <w:qFormat/>
    <w:uiPriority w:val="9"/>
    <w:rPr>
      <w:rFonts w:ascii="Times New Roman" w:hAnsi="Calibri" w:eastAsia="黑体" w:cs="Times New Roman"/>
      <w:b/>
      <w:kern w:val="0"/>
      <w:sz w:val="28"/>
      <w:szCs w:val="24"/>
    </w:rPr>
  </w:style>
  <w:style w:type="character" w:customStyle="1" w:styleId="57">
    <w:name w:val="正文文本缩进 字符"/>
    <w:qFormat/>
    <w:uiPriority w:val="0"/>
    <w:rPr>
      <w:rFonts w:ascii="Times New Roman" w:hAnsi="Times New Roman" w:eastAsia="宋体" w:cs="Times New Roman"/>
      <w:szCs w:val="20"/>
    </w:rPr>
  </w:style>
  <w:style w:type="character" w:customStyle="1" w:styleId="58">
    <w:name w:val="普通(网站) Char"/>
    <w:qFormat/>
    <w:locked/>
    <w:uiPriority w:val="0"/>
    <w:rPr>
      <w:rFonts w:ascii="宋体" w:hAnsi="宋体"/>
      <w:sz w:val="15"/>
      <w:szCs w:val="15"/>
    </w:rPr>
  </w:style>
  <w:style w:type="character" w:customStyle="1" w:styleId="59">
    <w:name w:val="标题 Char"/>
    <w:link w:val="35"/>
    <w:qFormat/>
    <w:uiPriority w:val="10"/>
    <w:rPr>
      <w:rFonts w:ascii="等线 Light" w:hAnsi="等线 Light" w:eastAsia="仿宋"/>
      <w:b/>
      <w:bCs/>
      <w:sz w:val="28"/>
      <w:szCs w:val="32"/>
    </w:rPr>
  </w:style>
  <w:style w:type="character" w:customStyle="1" w:styleId="60">
    <w:name w:val="日期 Char"/>
    <w:semiHidden/>
    <w:qFormat/>
    <w:uiPriority w:val="99"/>
    <w:rPr>
      <w:kern w:val="2"/>
      <w:sz w:val="21"/>
    </w:rPr>
  </w:style>
  <w:style w:type="character" w:customStyle="1" w:styleId="61">
    <w:name w:val="文档结构图 字符1"/>
    <w:semiHidden/>
    <w:qFormat/>
    <w:uiPriority w:val="99"/>
    <w:rPr>
      <w:rFonts w:ascii="Microsoft YaHei UI" w:hAnsi="Calibri" w:eastAsia="Microsoft YaHei UI" w:cs="Times New Roman"/>
      <w:kern w:val="0"/>
      <w:sz w:val="18"/>
      <w:szCs w:val="18"/>
    </w:rPr>
  </w:style>
  <w:style w:type="character" w:customStyle="1" w:styleId="62">
    <w:name w:val="批注文字 Char"/>
    <w:semiHidden/>
    <w:qFormat/>
    <w:uiPriority w:val="99"/>
    <w:rPr>
      <w:kern w:val="2"/>
      <w:sz w:val="21"/>
    </w:rPr>
  </w:style>
  <w:style w:type="character" w:customStyle="1" w:styleId="63">
    <w:name w:val="正文缩进2格 Char"/>
    <w:link w:val="64"/>
    <w:qFormat/>
    <w:uiPriority w:val="0"/>
    <w:rPr>
      <w:rFonts w:ascii="仿宋_GB2312" w:hAnsi="宋体" w:eastAsia="仿宋_GB2312"/>
      <w:sz w:val="31"/>
      <w:szCs w:val="28"/>
    </w:rPr>
  </w:style>
  <w:style w:type="paragraph" w:customStyle="1" w:styleId="64">
    <w:name w:val="正文缩进2格"/>
    <w:basedOn w:val="1"/>
    <w:link w:val="63"/>
    <w:qFormat/>
    <w:uiPriority w:val="0"/>
    <w:pPr>
      <w:spacing w:line="600" w:lineRule="exact"/>
      <w:ind w:firstLine="639" w:firstLineChars="206"/>
    </w:pPr>
    <w:rPr>
      <w:rFonts w:ascii="仿宋_GB2312" w:hAnsi="宋体" w:eastAsia="仿宋_GB2312"/>
      <w:sz w:val="31"/>
      <w:szCs w:val="28"/>
    </w:rPr>
  </w:style>
  <w:style w:type="character" w:customStyle="1" w:styleId="65">
    <w:name w:val="批注文字 字符"/>
    <w:semiHidden/>
    <w:qFormat/>
    <w:uiPriority w:val="99"/>
    <w:rPr>
      <w:rFonts w:ascii="Times New Roman" w:hAnsi="Times New Roman"/>
      <w:kern w:val="2"/>
      <w:sz w:val="24"/>
      <w:szCs w:val="24"/>
    </w:rPr>
  </w:style>
  <w:style w:type="character" w:customStyle="1" w:styleId="66">
    <w:name w:val="正文文本缩进 Char"/>
    <w:qFormat/>
    <w:uiPriority w:val="0"/>
    <w:rPr>
      <w:rFonts w:ascii="Times New Roman" w:hAnsi="Times New Roman" w:eastAsia="宋体" w:cs="Times New Roman"/>
      <w:szCs w:val="20"/>
      <w:lang w:val="en-US" w:eastAsia="zh-CN"/>
    </w:rPr>
  </w:style>
  <w:style w:type="character" w:customStyle="1" w:styleId="67">
    <w:name w:val="批注框文本 字符1"/>
    <w:semiHidden/>
    <w:qFormat/>
    <w:uiPriority w:val="99"/>
    <w:rPr>
      <w:rFonts w:ascii="宋体" w:hAnsi="Calibri" w:eastAsia="宋体" w:cs="Times New Roman"/>
      <w:kern w:val="0"/>
      <w:sz w:val="18"/>
      <w:szCs w:val="18"/>
    </w:rPr>
  </w:style>
  <w:style w:type="character" w:customStyle="1" w:styleId="68">
    <w:name w:val="List Paragraph Char"/>
    <w:link w:val="69"/>
    <w:qFormat/>
    <w:uiPriority w:val="34"/>
    <w:rPr>
      <w:rFonts w:ascii="Calibri" w:hAnsi="Calibri"/>
    </w:rPr>
  </w:style>
  <w:style w:type="paragraph" w:customStyle="1" w:styleId="69">
    <w:name w:val="列出段落1"/>
    <w:basedOn w:val="1"/>
    <w:link w:val="68"/>
    <w:qFormat/>
    <w:uiPriority w:val="34"/>
    <w:pPr>
      <w:ind w:firstLine="420" w:firstLineChars="200"/>
    </w:pPr>
    <w:rPr>
      <w:rFonts w:ascii="Calibri" w:hAnsi="Calibri"/>
    </w:rPr>
  </w:style>
  <w:style w:type="character" w:customStyle="1" w:styleId="70">
    <w:name w:val="标书正文 字符"/>
    <w:link w:val="71"/>
    <w:qFormat/>
    <w:uiPriority w:val="0"/>
    <w:rPr>
      <w:rFonts w:ascii="Calibri" w:hAnsi="Calibri" w:eastAsia="仿宋"/>
      <w:sz w:val="24"/>
      <w:szCs w:val="21"/>
    </w:rPr>
  </w:style>
  <w:style w:type="paragraph" w:customStyle="1" w:styleId="71">
    <w:name w:val="标书正文"/>
    <w:basedOn w:val="1"/>
    <w:link w:val="70"/>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2">
    <w:name w:val="正文文本 字符"/>
    <w:semiHidden/>
    <w:qFormat/>
    <w:uiPriority w:val="99"/>
    <w:rPr>
      <w:rFonts w:ascii="Times New Roman" w:hAnsi="Times New Roman"/>
      <w:kern w:val="2"/>
      <w:sz w:val="24"/>
      <w:szCs w:val="24"/>
    </w:rPr>
  </w:style>
  <w:style w:type="character" w:customStyle="1" w:styleId="73">
    <w:name w:val="页脚 Char"/>
    <w:qFormat/>
    <w:uiPriority w:val="0"/>
    <w:rPr>
      <w:kern w:val="2"/>
      <w:sz w:val="18"/>
      <w:szCs w:val="18"/>
    </w:rPr>
  </w:style>
  <w:style w:type="character" w:customStyle="1" w:styleId="74">
    <w:name w:val="neir1"/>
    <w:qFormat/>
    <w:uiPriority w:val="0"/>
    <w:rPr>
      <w:rFonts w:hint="default" w:ascii="ˎ̥" w:hAnsi="ˎ̥"/>
      <w:color w:val="333333"/>
      <w:sz w:val="21"/>
      <w:szCs w:val="21"/>
      <w:u w:val="none"/>
    </w:rPr>
  </w:style>
  <w:style w:type="character" w:customStyle="1" w:styleId="75">
    <w:name w:val="批注框文本 Char1"/>
    <w:link w:val="25"/>
    <w:qFormat/>
    <w:uiPriority w:val="0"/>
    <w:rPr>
      <w:rFonts w:ascii="Times New Roman" w:hAnsi="Times New Roman" w:eastAsia="宋体" w:cs="Times New Roman"/>
      <w:sz w:val="18"/>
      <w:szCs w:val="18"/>
    </w:rPr>
  </w:style>
  <w:style w:type="character" w:customStyle="1" w:styleId="76">
    <w:name w:val="正文文本 3 字符1"/>
    <w:semiHidden/>
    <w:qFormat/>
    <w:uiPriority w:val="99"/>
    <w:rPr>
      <w:rFonts w:ascii="宋体" w:hAnsi="Calibri" w:eastAsia="宋体" w:cs="Times New Roman"/>
      <w:kern w:val="0"/>
      <w:sz w:val="16"/>
      <w:szCs w:val="16"/>
    </w:rPr>
  </w:style>
  <w:style w:type="character" w:customStyle="1" w:styleId="77">
    <w:name w:val="正文文本 字符3"/>
    <w:semiHidden/>
    <w:qFormat/>
    <w:uiPriority w:val="99"/>
    <w:rPr>
      <w:rFonts w:ascii="宋体" w:hAnsi="Calibri" w:eastAsia="宋体" w:cs="Times New Roman"/>
      <w:kern w:val="0"/>
      <w:sz w:val="24"/>
      <w:szCs w:val="24"/>
    </w:rPr>
  </w:style>
  <w:style w:type="character" w:customStyle="1" w:styleId="78">
    <w:name w:val="日期 字符1"/>
    <w:semiHidden/>
    <w:qFormat/>
    <w:uiPriority w:val="99"/>
    <w:rPr>
      <w:rFonts w:ascii="宋体" w:hAnsi="Calibri" w:eastAsia="宋体" w:cs="Times New Roman"/>
      <w:kern w:val="0"/>
      <w:sz w:val="24"/>
      <w:szCs w:val="24"/>
    </w:rPr>
  </w:style>
  <w:style w:type="character" w:customStyle="1" w:styleId="79">
    <w:name w:val="页脚 Char2"/>
    <w:link w:val="26"/>
    <w:qFormat/>
    <w:uiPriority w:val="99"/>
    <w:rPr>
      <w:rFonts w:ascii="宋体" w:eastAsia="宋体"/>
      <w:sz w:val="18"/>
      <w:szCs w:val="18"/>
    </w:rPr>
  </w:style>
  <w:style w:type="character" w:customStyle="1" w:styleId="80">
    <w:name w:val="吉奥正文 Char"/>
    <w:link w:val="81"/>
    <w:qFormat/>
    <w:locked/>
    <w:uiPriority w:val="0"/>
    <w:rPr>
      <w:rFonts w:eastAsia="仿宋_GB2312"/>
      <w:sz w:val="28"/>
    </w:rPr>
  </w:style>
  <w:style w:type="paragraph" w:customStyle="1" w:styleId="81">
    <w:name w:val="吉奥正文"/>
    <w:basedOn w:val="1"/>
    <w:link w:val="80"/>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2">
    <w:name w:val="页脚 Char1"/>
    <w:qFormat/>
    <w:uiPriority w:val="99"/>
    <w:rPr>
      <w:rFonts w:ascii="宋体" w:hAnsi="Times New Roman" w:eastAsia="宋体" w:cs="Times New Roman"/>
      <w:kern w:val="0"/>
      <w:sz w:val="18"/>
      <w:szCs w:val="18"/>
    </w:rPr>
  </w:style>
  <w:style w:type="character" w:customStyle="1" w:styleId="83">
    <w:name w:val="标题 字符"/>
    <w:qFormat/>
    <w:uiPriority w:val="10"/>
    <w:rPr>
      <w:rFonts w:ascii="Cambria" w:hAnsi="Cambria" w:eastAsia="宋体" w:cs="Times New Roman"/>
      <w:b/>
      <w:bCs/>
      <w:kern w:val="0"/>
      <w:sz w:val="32"/>
      <w:szCs w:val="32"/>
      <w:lang w:val="en-US" w:eastAsia="zh-CN"/>
    </w:rPr>
  </w:style>
  <w:style w:type="character" w:customStyle="1" w:styleId="84">
    <w:name w:val="题注 Char"/>
    <w:link w:val="15"/>
    <w:qFormat/>
    <w:uiPriority w:val="0"/>
    <w:rPr>
      <w:rFonts w:ascii="Arial" w:hAnsi="Arial" w:eastAsia="黑体" w:cs="Arial"/>
    </w:rPr>
  </w:style>
  <w:style w:type="character" w:customStyle="1" w:styleId="85">
    <w:name w:val="批注文字 字符2"/>
    <w:qFormat/>
    <w:uiPriority w:val="99"/>
    <w:rPr>
      <w:rFonts w:ascii="宋体" w:hAnsi="Times New Roman" w:eastAsia="宋体" w:cs="Times New Roman"/>
      <w:kern w:val="0"/>
      <w:sz w:val="24"/>
      <w:szCs w:val="24"/>
    </w:rPr>
  </w:style>
  <w:style w:type="character" w:customStyle="1" w:styleId="86">
    <w:name w:val="批注主题 字符1"/>
    <w:semiHidden/>
    <w:qFormat/>
    <w:uiPriority w:val="99"/>
    <w:rPr>
      <w:rFonts w:ascii="宋体" w:hAnsi="Calibri" w:eastAsia="宋体" w:cs="Times New Roman"/>
      <w:b/>
      <w:bCs/>
      <w:kern w:val="0"/>
      <w:sz w:val="24"/>
      <w:szCs w:val="24"/>
    </w:rPr>
  </w:style>
  <w:style w:type="character" w:customStyle="1" w:styleId="87">
    <w:name w:val="HTML 预设格式 Char"/>
    <w:link w:val="33"/>
    <w:qFormat/>
    <w:uiPriority w:val="99"/>
    <w:rPr>
      <w:rFonts w:ascii="Arial" w:hAnsi="Arial" w:eastAsia="宋体" w:cs="Arial"/>
      <w:szCs w:val="21"/>
    </w:rPr>
  </w:style>
  <w:style w:type="character" w:customStyle="1" w:styleId="88">
    <w:name w:val="标题 3.1 Char"/>
    <w:link w:val="89"/>
    <w:qFormat/>
    <w:uiPriority w:val="0"/>
    <w:rPr>
      <w:rFonts w:ascii="宋体" w:hAnsi="宋体"/>
      <w:b/>
      <w:bCs/>
      <w:sz w:val="32"/>
      <w:szCs w:val="32"/>
    </w:rPr>
  </w:style>
  <w:style w:type="paragraph" w:customStyle="1" w:styleId="89">
    <w:name w:val="标题 3.1"/>
    <w:basedOn w:val="6"/>
    <w:link w:val="88"/>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0">
    <w:name w:val="HTML 预设格式 Char1"/>
    <w:semiHidden/>
    <w:qFormat/>
    <w:uiPriority w:val="99"/>
    <w:rPr>
      <w:rFonts w:ascii="Courier New" w:hAnsi="Courier New" w:eastAsia="宋体" w:cs="Courier New"/>
      <w:kern w:val="0"/>
      <w:sz w:val="20"/>
      <w:szCs w:val="20"/>
    </w:rPr>
  </w:style>
  <w:style w:type="character" w:customStyle="1" w:styleId="91">
    <w:name w:val="批注文字 字符1"/>
    <w:qFormat/>
    <w:uiPriority w:val="0"/>
    <w:rPr>
      <w:rFonts w:eastAsia="宋体"/>
      <w:kern w:val="2"/>
      <w:sz w:val="24"/>
      <w:szCs w:val="24"/>
      <w:lang w:val="en-US" w:eastAsia="zh-CN" w:bidi="ar-SA"/>
    </w:rPr>
  </w:style>
  <w:style w:type="character" w:customStyle="1" w:styleId="92">
    <w:name w:val="正文文本缩进 字符2"/>
    <w:semiHidden/>
    <w:qFormat/>
    <w:uiPriority w:val="99"/>
    <w:rPr>
      <w:rFonts w:ascii="宋体" w:hAnsi="Calibri" w:eastAsia="宋体" w:cs="Times New Roman"/>
      <w:kern w:val="0"/>
      <w:sz w:val="24"/>
      <w:szCs w:val="24"/>
    </w:rPr>
  </w:style>
  <w:style w:type="character" w:customStyle="1" w:styleId="93">
    <w:name w:val="正文文本缩进 Char1"/>
    <w:link w:val="20"/>
    <w:qFormat/>
    <w:uiPriority w:val="0"/>
    <w:rPr>
      <w:rFonts w:ascii="Times New Roman" w:hAnsi="Times New Roman" w:eastAsia="宋体" w:cs="Times New Roman"/>
      <w:szCs w:val="20"/>
    </w:rPr>
  </w:style>
  <w:style w:type="character" w:customStyle="1" w:styleId="94">
    <w:name w:val="普通(网站) Char1"/>
    <w:link w:val="34"/>
    <w:qFormat/>
    <w:locked/>
    <w:uiPriority w:val="0"/>
    <w:rPr>
      <w:rFonts w:ascii="宋体" w:hAnsi="宋体"/>
      <w:sz w:val="15"/>
      <w:szCs w:val="15"/>
    </w:rPr>
  </w:style>
  <w:style w:type="character" w:customStyle="1" w:styleId="95">
    <w:name w:val="模板正文 Char"/>
    <w:link w:val="10"/>
    <w:qFormat/>
    <w:uiPriority w:val="0"/>
    <w:rPr>
      <w:rFonts w:ascii="宋体" w:eastAsia="仿宋"/>
      <w:sz w:val="24"/>
      <w:szCs w:val="21"/>
    </w:rPr>
  </w:style>
  <w:style w:type="character" w:customStyle="1" w:styleId="96">
    <w:name w:val="批注主题 Char"/>
    <w:semiHidden/>
    <w:qFormat/>
    <w:uiPriority w:val="99"/>
    <w:rPr>
      <w:b/>
      <w:bCs/>
      <w:kern w:val="2"/>
      <w:sz w:val="21"/>
    </w:rPr>
  </w:style>
  <w:style w:type="character" w:customStyle="1" w:styleId="97">
    <w:name w:val="正文文本 Char1"/>
    <w:qFormat/>
    <w:uiPriority w:val="0"/>
    <w:rPr>
      <w:rFonts w:ascii="宋体" w:hAnsi="Times New Roman" w:eastAsia="宋体" w:cs="Times New Roman"/>
      <w:kern w:val="0"/>
      <w:sz w:val="24"/>
      <w:szCs w:val="24"/>
    </w:rPr>
  </w:style>
  <w:style w:type="character" w:customStyle="1" w:styleId="98">
    <w:name w:val="正文文本 字符1"/>
    <w:qFormat/>
    <w:uiPriority w:val="99"/>
    <w:rPr>
      <w:rFonts w:ascii="宋体" w:eastAsia="宋体"/>
      <w:b/>
      <w:bCs/>
      <w:sz w:val="84"/>
      <w:szCs w:val="84"/>
      <w:lang w:val="zh-CN"/>
    </w:rPr>
  </w:style>
  <w:style w:type="character" w:customStyle="1" w:styleId="99">
    <w:name w:val="标题 1 Char"/>
    <w:qFormat/>
    <w:uiPriority w:val="9"/>
    <w:rPr>
      <w:rFonts w:ascii="宋体" w:hAnsi="Times New Roman" w:eastAsia="宋体" w:cs="Times New Roman"/>
      <w:kern w:val="0"/>
      <w:sz w:val="24"/>
      <w:szCs w:val="24"/>
    </w:rPr>
  </w:style>
  <w:style w:type="character" w:customStyle="1" w:styleId="100">
    <w:name w:val="正文文本 Char2"/>
    <w:qFormat/>
    <w:uiPriority w:val="99"/>
    <w:rPr>
      <w:rFonts w:ascii="宋体" w:eastAsia="宋体"/>
      <w:b/>
      <w:bCs/>
      <w:sz w:val="84"/>
      <w:szCs w:val="84"/>
      <w:lang w:val="zh-CN"/>
    </w:rPr>
  </w:style>
  <w:style w:type="character" w:customStyle="1" w:styleId="101">
    <w:name w:val="纯文本 Char2"/>
    <w:link w:val="22"/>
    <w:qFormat/>
    <w:uiPriority w:val="0"/>
    <w:rPr>
      <w:rFonts w:ascii="宋体" w:hAnsi="Courier New" w:eastAsia="宋体"/>
    </w:rPr>
  </w:style>
  <w:style w:type="character" w:customStyle="1" w:styleId="102">
    <w:name w:val="正文文本缩进 2 Char"/>
    <w:link w:val="24"/>
    <w:qFormat/>
    <w:uiPriority w:val="0"/>
    <w:rPr>
      <w:rFonts w:ascii="宋体" w:hAnsi="Times New Roman" w:eastAsia="宋体" w:cs="Times New Roman"/>
      <w:szCs w:val="20"/>
    </w:rPr>
  </w:style>
  <w:style w:type="character" w:customStyle="1" w:styleId="103">
    <w:name w:val="HTML Markup"/>
    <w:qFormat/>
    <w:uiPriority w:val="0"/>
    <w:rPr>
      <w:vanish/>
      <w:color w:val="FF0000"/>
    </w:rPr>
  </w:style>
  <w:style w:type="character" w:customStyle="1" w:styleId="104">
    <w:name w:val="页眉 Char1"/>
    <w:qFormat/>
    <w:uiPriority w:val="0"/>
    <w:rPr>
      <w:rFonts w:ascii="宋体" w:hAnsi="Times New Roman" w:eastAsia="宋体" w:cs="Times New Roman"/>
      <w:kern w:val="0"/>
      <w:sz w:val="18"/>
      <w:szCs w:val="18"/>
    </w:rPr>
  </w:style>
  <w:style w:type="character" w:customStyle="1" w:styleId="105">
    <w:name w:val="font11"/>
    <w:qFormat/>
    <w:uiPriority w:val="0"/>
    <w:rPr>
      <w:rFonts w:hint="eastAsia" w:ascii="宋体" w:hAnsi="宋体" w:eastAsia="宋体" w:cs="宋体"/>
      <w:color w:val="FF0000"/>
      <w:sz w:val="22"/>
      <w:szCs w:val="22"/>
      <w:u w:val="none"/>
    </w:rPr>
  </w:style>
  <w:style w:type="character" w:customStyle="1" w:styleId="106">
    <w:name w:val="style61"/>
    <w:qFormat/>
    <w:uiPriority w:val="0"/>
    <w:rPr>
      <w:b/>
      <w:bCs/>
    </w:rPr>
  </w:style>
  <w:style w:type="character" w:customStyle="1" w:styleId="107">
    <w:name w:val="表头文字 Char"/>
    <w:link w:val="108"/>
    <w:qFormat/>
    <w:uiPriority w:val="0"/>
    <w:rPr>
      <w:rFonts w:eastAsia="仿宋_GB2312"/>
      <w:b/>
      <w:sz w:val="28"/>
      <w:szCs w:val="21"/>
    </w:rPr>
  </w:style>
  <w:style w:type="paragraph" w:customStyle="1" w:styleId="108">
    <w:name w:val="表头文字"/>
    <w:basedOn w:val="1"/>
    <w:link w:val="107"/>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9">
    <w:name w:val="日期 Char1"/>
    <w:link w:val="23"/>
    <w:qFormat/>
    <w:uiPriority w:val="99"/>
    <w:rPr>
      <w:rFonts w:ascii="宋体" w:hAnsi="Times New Roman" w:eastAsia="宋体" w:cs="Times New Roman"/>
      <w:b/>
      <w:bCs/>
      <w:szCs w:val="21"/>
      <w:lang w:val="zh-CN"/>
    </w:rPr>
  </w:style>
  <w:style w:type="character" w:customStyle="1" w:styleId="110">
    <w:name w:val="纯文本 Char1"/>
    <w:qFormat/>
    <w:uiPriority w:val="0"/>
    <w:rPr>
      <w:rFonts w:ascii="宋体" w:hAnsi="Courier New" w:eastAsia="宋体" w:cs="Courier New"/>
      <w:kern w:val="0"/>
      <w:szCs w:val="21"/>
    </w:rPr>
  </w:style>
  <w:style w:type="character" w:customStyle="1" w:styleId="111">
    <w:name w:val="批注主题 Char1"/>
    <w:link w:val="36"/>
    <w:qFormat/>
    <w:uiPriority w:val="99"/>
    <w:rPr>
      <w:rFonts w:ascii="宋体" w:hAnsi="Times New Roman" w:eastAsia="宋体" w:cs="Times New Roman"/>
      <w:b/>
      <w:bCs/>
      <w:kern w:val="0"/>
      <w:sz w:val="24"/>
      <w:szCs w:val="24"/>
    </w:rPr>
  </w:style>
  <w:style w:type="character" w:customStyle="1" w:styleId="112">
    <w:name w:val="纯文本 字符"/>
    <w:qFormat/>
    <w:uiPriority w:val="99"/>
    <w:rPr>
      <w:rFonts w:ascii="宋体" w:hAnsi="Courier New" w:eastAsia="宋体" w:cs="Times New Roman"/>
      <w:szCs w:val="20"/>
      <w:lang w:val="en-US" w:eastAsia="zh-CN"/>
    </w:rPr>
  </w:style>
  <w:style w:type="character" w:customStyle="1" w:styleId="113">
    <w:name w:val="font71"/>
    <w:qFormat/>
    <w:uiPriority w:val="0"/>
    <w:rPr>
      <w:rFonts w:hint="eastAsia" w:ascii="宋体" w:hAnsi="宋体" w:eastAsia="宋体" w:cs="宋体"/>
      <w:color w:val="FF0000"/>
      <w:sz w:val="18"/>
      <w:szCs w:val="18"/>
      <w:u w:val="none"/>
    </w:rPr>
  </w:style>
  <w:style w:type="character" w:customStyle="1" w:styleId="114">
    <w:name w:val="font21"/>
    <w:qFormat/>
    <w:uiPriority w:val="0"/>
    <w:rPr>
      <w:rFonts w:hint="eastAsia" w:ascii="宋体" w:hAnsi="宋体" w:eastAsia="宋体" w:cs="宋体"/>
      <w:b/>
      <w:color w:val="000000"/>
      <w:sz w:val="21"/>
      <w:szCs w:val="21"/>
      <w:u w:val="none"/>
    </w:rPr>
  </w:style>
  <w:style w:type="character" w:customStyle="1" w:styleId="115">
    <w:name w:val="纯文本 字符3"/>
    <w:semiHidden/>
    <w:qFormat/>
    <w:uiPriority w:val="99"/>
    <w:rPr>
      <w:rFonts w:ascii="等线" w:hAnsi="Courier New" w:cs="Courier New"/>
      <w:kern w:val="0"/>
      <w:sz w:val="24"/>
      <w:szCs w:val="24"/>
    </w:rPr>
  </w:style>
  <w:style w:type="character" w:customStyle="1" w:styleId="116">
    <w:name w:val="font31"/>
    <w:qFormat/>
    <w:uiPriority w:val="0"/>
    <w:rPr>
      <w:rFonts w:hint="eastAsia" w:ascii="宋体" w:hAnsi="宋体" w:eastAsia="宋体" w:cs="宋体"/>
      <w:color w:val="000000"/>
      <w:sz w:val="18"/>
      <w:szCs w:val="18"/>
      <w:u w:val="none"/>
    </w:rPr>
  </w:style>
  <w:style w:type="character" w:customStyle="1" w:styleId="117">
    <w:name w:val="文档结构图 Char"/>
    <w:link w:val="16"/>
    <w:semiHidden/>
    <w:qFormat/>
    <w:uiPriority w:val="99"/>
    <w:rPr>
      <w:rFonts w:ascii="宋体" w:hAnsi="Times New Roman" w:eastAsia="宋体" w:cs="Times New Roman"/>
      <w:kern w:val="0"/>
      <w:sz w:val="24"/>
      <w:szCs w:val="24"/>
      <w:shd w:val="clear" w:color="auto" w:fill="000080"/>
    </w:rPr>
  </w:style>
  <w:style w:type="character" w:customStyle="1" w:styleId="118">
    <w:name w:val="普通(网站) 字符1"/>
    <w:qFormat/>
    <w:locked/>
    <w:uiPriority w:val="0"/>
    <w:rPr>
      <w:rFonts w:ascii="宋体" w:hAnsi="宋体"/>
      <w:sz w:val="15"/>
      <w:szCs w:val="15"/>
    </w:rPr>
  </w:style>
  <w:style w:type="character" w:customStyle="1" w:styleId="119">
    <w:name w:val="正文文本 Char3"/>
    <w:link w:val="2"/>
    <w:qFormat/>
    <w:uiPriority w:val="99"/>
    <w:rPr>
      <w:rFonts w:ascii="宋体" w:eastAsia="宋体"/>
      <w:b/>
      <w:bCs/>
      <w:sz w:val="84"/>
      <w:szCs w:val="84"/>
      <w:lang w:val="zh-CN"/>
    </w:rPr>
  </w:style>
  <w:style w:type="character" w:customStyle="1" w:styleId="120">
    <w:name w:val="标题 5 Char"/>
    <w:semiHidden/>
    <w:qFormat/>
    <w:uiPriority w:val="9"/>
    <w:rPr>
      <w:b/>
      <w:bCs/>
      <w:kern w:val="2"/>
      <w:sz w:val="28"/>
      <w:szCs w:val="28"/>
    </w:rPr>
  </w:style>
  <w:style w:type="character" w:customStyle="1" w:styleId="121">
    <w:name w:val="页眉 Char2"/>
    <w:link w:val="27"/>
    <w:qFormat/>
    <w:uiPriority w:val="99"/>
    <w:rPr>
      <w:rFonts w:ascii="宋体" w:eastAsia="宋体"/>
      <w:sz w:val="18"/>
      <w:szCs w:val="18"/>
    </w:rPr>
  </w:style>
  <w:style w:type="character" w:customStyle="1" w:styleId="122">
    <w:name w:val="表格文字 Char"/>
    <w:link w:val="123"/>
    <w:qFormat/>
    <w:uiPriority w:val="0"/>
    <w:rPr>
      <w:rFonts w:eastAsia="仿宋_GB2312"/>
      <w:sz w:val="28"/>
      <w:szCs w:val="24"/>
    </w:rPr>
  </w:style>
  <w:style w:type="paragraph" w:customStyle="1" w:styleId="123">
    <w:name w:val="表格文字"/>
    <w:basedOn w:val="1"/>
    <w:link w:val="122"/>
    <w:qFormat/>
    <w:uiPriority w:val="0"/>
    <w:rPr>
      <w:rFonts w:eastAsia="仿宋_GB2312"/>
      <w:sz w:val="28"/>
      <w:szCs w:val="24"/>
    </w:rPr>
  </w:style>
  <w:style w:type="character" w:customStyle="1" w:styleId="124">
    <w:name w:val="标题 字符2"/>
    <w:qFormat/>
    <w:uiPriority w:val="10"/>
    <w:rPr>
      <w:rFonts w:ascii="等线 Light" w:hAnsi="等线 Light" w:eastAsia="等线 Light" w:cs="Times New Roman"/>
      <w:b/>
      <w:bCs/>
      <w:kern w:val="0"/>
      <w:sz w:val="32"/>
      <w:szCs w:val="32"/>
    </w:rPr>
  </w:style>
  <w:style w:type="character" w:customStyle="1" w:styleId="125">
    <w:name w:val="正文缩进2格 Char Char"/>
    <w:qFormat/>
    <w:uiPriority w:val="0"/>
    <w:rPr>
      <w:rFonts w:ascii="仿宋_GB2312" w:hAnsi="宋体" w:eastAsia="仿宋_GB2312"/>
      <w:kern w:val="2"/>
      <w:sz w:val="31"/>
      <w:szCs w:val="28"/>
      <w:lang w:val="en-US" w:eastAsia="zh-CN" w:bidi="ar-SA"/>
    </w:rPr>
  </w:style>
  <w:style w:type="character" w:customStyle="1" w:styleId="126">
    <w:name w:val="小 Char"/>
    <w:qFormat/>
    <w:uiPriority w:val="0"/>
    <w:rPr>
      <w:rFonts w:ascii="宋体" w:hAnsi="Courier New" w:eastAsia="宋体"/>
      <w:kern w:val="2"/>
      <w:sz w:val="21"/>
      <w:lang w:val="en-US" w:eastAsia="zh-CN" w:bidi="ar-SA"/>
    </w:rPr>
  </w:style>
  <w:style w:type="character" w:customStyle="1" w:styleId="127">
    <w:name w:val="themebody1"/>
    <w:qFormat/>
    <w:uiPriority w:val="0"/>
    <w:rPr>
      <w:color w:val="FFFFFF"/>
    </w:rPr>
  </w:style>
  <w:style w:type="character" w:customStyle="1" w:styleId="128">
    <w:name w:val="页脚 字符1"/>
    <w:semiHidden/>
    <w:qFormat/>
    <w:uiPriority w:val="99"/>
    <w:rPr>
      <w:rFonts w:ascii="宋体" w:hAnsi="Calibri" w:eastAsia="宋体" w:cs="Times New Roman"/>
      <w:kern w:val="0"/>
      <w:sz w:val="18"/>
      <w:szCs w:val="18"/>
    </w:rPr>
  </w:style>
  <w:style w:type="character" w:customStyle="1" w:styleId="129">
    <w:name w:val="列出段落 Char"/>
    <w:link w:val="130"/>
    <w:qFormat/>
    <w:uiPriority w:val="34"/>
    <w:rPr>
      <w:kern w:val="2"/>
      <w:sz w:val="21"/>
      <w:szCs w:val="22"/>
    </w:rPr>
  </w:style>
  <w:style w:type="paragraph" w:styleId="130">
    <w:name w:val="List Paragraph"/>
    <w:basedOn w:val="1"/>
    <w:link w:val="129"/>
    <w:qFormat/>
    <w:uiPriority w:val="34"/>
    <w:pPr>
      <w:ind w:firstLine="420" w:firstLineChars="200"/>
    </w:pPr>
  </w:style>
  <w:style w:type="character" w:customStyle="1" w:styleId="131">
    <w:name w:val="正文文本 Char"/>
    <w:qFormat/>
    <w:uiPriority w:val="99"/>
    <w:rPr>
      <w:rFonts w:ascii="宋体" w:eastAsia="宋体"/>
      <w:b/>
      <w:bCs/>
      <w:sz w:val="84"/>
      <w:szCs w:val="84"/>
      <w:lang w:val="zh-CN"/>
    </w:rPr>
  </w:style>
  <w:style w:type="character" w:customStyle="1" w:styleId="132">
    <w:name w:val="页眉 字符1"/>
    <w:semiHidden/>
    <w:qFormat/>
    <w:uiPriority w:val="99"/>
    <w:rPr>
      <w:rFonts w:ascii="宋体" w:hAnsi="Calibri" w:eastAsia="宋体" w:cs="Times New Roman"/>
      <w:kern w:val="0"/>
      <w:sz w:val="18"/>
      <w:szCs w:val="18"/>
    </w:rPr>
  </w:style>
  <w:style w:type="character" w:customStyle="1" w:styleId="133">
    <w:name w:val="标题 5 Char1"/>
    <w:link w:val="8"/>
    <w:qFormat/>
    <w:uiPriority w:val="9"/>
    <w:rPr>
      <w:rFonts w:ascii="宋体" w:hAnsi="Calibri" w:eastAsia="宋体" w:cs="Times New Roman"/>
      <w:b/>
      <w:bCs/>
      <w:kern w:val="0"/>
      <w:sz w:val="28"/>
      <w:szCs w:val="28"/>
    </w:rPr>
  </w:style>
  <w:style w:type="character" w:customStyle="1" w:styleId="134">
    <w:name w:val="keyfeatures1"/>
    <w:qFormat/>
    <w:uiPriority w:val="0"/>
    <w:rPr>
      <w:rFonts w:hint="default" w:ascii="Arial" w:hAnsi="Arial" w:cs="Arial"/>
      <w:color w:val="003366"/>
      <w:sz w:val="17"/>
      <w:szCs w:val="17"/>
      <w:u w:val="none"/>
    </w:rPr>
  </w:style>
  <w:style w:type="character" w:customStyle="1" w:styleId="135">
    <w:name w:val="题注 字符"/>
    <w:qFormat/>
    <w:uiPriority w:val="0"/>
    <w:rPr>
      <w:rFonts w:ascii="宋体" w:hAnsi="宋体" w:eastAsia="黑体" w:cs="Times New Roman"/>
      <w:b/>
      <w:szCs w:val="21"/>
    </w:rPr>
  </w:style>
  <w:style w:type="character" w:customStyle="1" w:styleId="136">
    <w:name w:val="标题 4 Char"/>
    <w:qFormat/>
    <w:uiPriority w:val="0"/>
    <w:rPr>
      <w:rFonts w:ascii="宋体" w:hAnsi="宋体" w:eastAsia="宋体"/>
      <w:b/>
      <w:kern w:val="2"/>
      <w:sz w:val="21"/>
      <w:szCs w:val="24"/>
      <w:lang w:val="en-US" w:eastAsia="zh-CN" w:bidi="ar-SA"/>
    </w:rPr>
  </w:style>
  <w:style w:type="character" w:customStyle="1" w:styleId="137">
    <w:name w:val="批注文字 字符3"/>
    <w:semiHidden/>
    <w:qFormat/>
    <w:uiPriority w:val="99"/>
    <w:rPr>
      <w:rFonts w:ascii="宋体" w:hAnsi="Calibri" w:eastAsia="宋体" w:cs="Times New Roman"/>
      <w:kern w:val="0"/>
      <w:sz w:val="24"/>
      <w:szCs w:val="24"/>
    </w:rPr>
  </w:style>
  <w:style w:type="character" w:customStyle="1" w:styleId="138">
    <w:name w:val="纯文本 字符1"/>
    <w:qFormat/>
    <w:uiPriority w:val="0"/>
    <w:rPr>
      <w:rFonts w:ascii="宋体" w:hAnsi="Courier New" w:eastAsia="宋体"/>
      <w:kern w:val="2"/>
      <w:sz w:val="21"/>
      <w:szCs w:val="24"/>
      <w:lang w:val="en-US" w:eastAsia="zh-CN" w:bidi="ar-SA"/>
    </w:rPr>
  </w:style>
  <w:style w:type="character" w:customStyle="1" w:styleId="139">
    <w:name w:val="列出段落 Char1"/>
    <w:qFormat/>
    <w:uiPriority w:val="34"/>
    <w:rPr>
      <w:rFonts w:ascii="宋体"/>
      <w:sz w:val="24"/>
      <w:szCs w:val="24"/>
    </w:rPr>
  </w:style>
  <w:style w:type="character" w:customStyle="1" w:styleId="140">
    <w:name w:val="彩色列表 - 着色 1 字符"/>
    <w:link w:val="141"/>
    <w:qFormat/>
    <w:uiPriority w:val="0"/>
    <w:rPr>
      <w:rFonts w:ascii="Calibri" w:hAnsi="Calibri"/>
    </w:rPr>
  </w:style>
  <w:style w:type="paragraph" w:customStyle="1" w:styleId="141">
    <w:name w:val="彩色列表 - 着色 11"/>
    <w:basedOn w:val="1"/>
    <w:link w:val="140"/>
    <w:qFormat/>
    <w:uiPriority w:val="0"/>
    <w:pPr>
      <w:ind w:firstLine="420" w:firstLineChars="200"/>
    </w:pPr>
    <w:rPr>
      <w:rFonts w:ascii="Calibri" w:hAnsi="Calibri"/>
    </w:rPr>
  </w:style>
  <w:style w:type="character" w:customStyle="1" w:styleId="142">
    <w:name w:val="纯文本 Char"/>
    <w:qFormat/>
    <w:uiPriority w:val="0"/>
    <w:rPr>
      <w:rFonts w:ascii="宋体" w:hAnsi="Courier New" w:eastAsia="宋体" w:cs="Times New Roman"/>
      <w:szCs w:val="20"/>
    </w:rPr>
  </w:style>
  <w:style w:type="character" w:customStyle="1" w:styleId="143">
    <w:name w:val="标题 6 Char"/>
    <w:link w:val="9"/>
    <w:qFormat/>
    <w:uiPriority w:val="9"/>
    <w:rPr>
      <w:rFonts w:ascii="Times New Roman" w:hAnsi="Calibri" w:eastAsia="黑体" w:cs="Times New Roman"/>
      <w:b/>
      <w:bCs/>
      <w:kern w:val="0"/>
      <w:sz w:val="28"/>
      <w:szCs w:val="24"/>
    </w:rPr>
  </w:style>
  <w:style w:type="character" w:customStyle="1" w:styleId="144">
    <w:name w:val="正文文本 2 Char"/>
    <w:link w:val="32"/>
    <w:qFormat/>
    <w:uiPriority w:val="0"/>
    <w:rPr>
      <w:rFonts w:ascii="Arial" w:hAnsi="Arial" w:eastAsia="宋体" w:cs="Times New Roman"/>
      <w:color w:val="000000"/>
      <w:szCs w:val="24"/>
    </w:rPr>
  </w:style>
  <w:style w:type="character" w:customStyle="1" w:styleId="145">
    <w:name w:val="标题 3 Char"/>
    <w:link w:val="6"/>
    <w:qFormat/>
    <w:uiPriority w:val="0"/>
    <w:rPr>
      <w:rFonts w:ascii="宋体" w:hAnsi="Calibri" w:eastAsia="宋体" w:cs="Times New Roman"/>
      <w:kern w:val="0"/>
      <w:sz w:val="24"/>
      <w:szCs w:val="24"/>
    </w:rPr>
  </w:style>
  <w:style w:type="character" w:customStyle="1" w:styleId="146">
    <w:name w:val="正文文本缩进 2 字符1"/>
    <w:semiHidden/>
    <w:qFormat/>
    <w:uiPriority w:val="99"/>
    <w:rPr>
      <w:rFonts w:ascii="宋体" w:hAnsi="Calibri" w:eastAsia="宋体" w:cs="Times New Roman"/>
      <w:kern w:val="0"/>
      <w:sz w:val="24"/>
      <w:szCs w:val="24"/>
    </w:rPr>
  </w:style>
  <w:style w:type="character" w:customStyle="1" w:styleId="147">
    <w:name w:val="正文文本缩进 3 字符1"/>
    <w:semiHidden/>
    <w:qFormat/>
    <w:uiPriority w:val="99"/>
    <w:rPr>
      <w:rFonts w:ascii="宋体" w:hAnsi="Calibri" w:eastAsia="宋体" w:cs="Times New Roman"/>
      <w:kern w:val="0"/>
      <w:sz w:val="16"/>
      <w:szCs w:val="16"/>
    </w:rPr>
  </w:style>
  <w:style w:type="character" w:customStyle="1" w:styleId="148">
    <w:name w:val="正文文本 2 字符1"/>
    <w:semiHidden/>
    <w:qFormat/>
    <w:uiPriority w:val="99"/>
    <w:rPr>
      <w:rFonts w:ascii="宋体" w:hAnsi="Calibri" w:eastAsia="宋体" w:cs="Times New Roman"/>
      <w:kern w:val="0"/>
      <w:sz w:val="24"/>
      <w:szCs w:val="24"/>
    </w:rPr>
  </w:style>
  <w:style w:type="character" w:customStyle="1" w:styleId="149">
    <w:name w:val="eschoolnr"/>
    <w:qFormat/>
    <w:uiPriority w:val="0"/>
    <w:rPr>
      <w:sz w:val="23"/>
      <w:szCs w:val="23"/>
    </w:rPr>
  </w:style>
  <w:style w:type="character" w:customStyle="1" w:styleId="150">
    <w:name w:val="访问过的超链接1"/>
    <w:qFormat/>
    <w:uiPriority w:val="0"/>
    <w:rPr>
      <w:rFonts w:ascii="Arial" w:hAnsi="Arial" w:cs="Arial"/>
      <w:color w:val="000000"/>
      <w:sz w:val="20"/>
      <w:szCs w:val="20"/>
      <w:u w:val="none"/>
    </w:rPr>
  </w:style>
  <w:style w:type="character" w:customStyle="1" w:styleId="151">
    <w:name w:val="标题 1 Char1"/>
    <w:link w:val="4"/>
    <w:qFormat/>
    <w:uiPriority w:val="0"/>
    <w:rPr>
      <w:rFonts w:ascii="宋体" w:hAnsi="Calibri" w:eastAsia="宋体" w:cs="Times New Roman"/>
      <w:kern w:val="0"/>
      <w:sz w:val="24"/>
      <w:szCs w:val="24"/>
    </w:rPr>
  </w:style>
  <w:style w:type="character" w:customStyle="1" w:styleId="152">
    <w:name w:val="批注文字 Char1"/>
    <w:qFormat/>
    <w:uiPriority w:val="0"/>
    <w:rPr>
      <w:kern w:val="2"/>
      <w:sz w:val="21"/>
      <w:szCs w:val="24"/>
    </w:rPr>
  </w:style>
  <w:style w:type="character" w:customStyle="1" w:styleId="153">
    <w:name w:val="批注框文本 Char"/>
    <w:semiHidden/>
    <w:qFormat/>
    <w:uiPriority w:val="99"/>
    <w:rPr>
      <w:kern w:val="2"/>
      <w:sz w:val="18"/>
      <w:szCs w:val="18"/>
    </w:rPr>
  </w:style>
  <w:style w:type="character" w:customStyle="1" w:styleId="154">
    <w:name w:val="DAS正文 Char"/>
    <w:qFormat/>
    <w:uiPriority w:val="0"/>
    <w:rPr>
      <w:rFonts w:ascii="Verdana" w:hAnsi="Verdana" w:eastAsia="宋体"/>
      <w:kern w:val="2"/>
      <w:sz w:val="21"/>
      <w:szCs w:val="21"/>
      <w:lang w:val="en-US" w:eastAsia="zh-CN" w:bidi="ar-SA"/>
    </w:rPr>
  </w:style>
  <w:style w:type="character" w:customStyle="1" w:styleId="155">
    <w:name w:val="正文文本缩进 3 Char"/>
    <w:link w:val="30"/>
    <w:qFormat/>
    <w:uiPriority w:val="0"/>
    <w:rPr>
      <w:rFonts w:ascii="宋体" w:hAnsi="Times New Roman" w:eastAsia="宋体" w:cs="Times New Roman"/>
      <w:kern w:val="0"/>
      <w:sz w:val="24"/>
      <w:szCs w:val="24"/>
    </w:rPr>
  </w:style>
  <w:style w:type="character" w:customStyle="1" w:styleId="156">
    <w:name w:val="页眉 Char"/>
    <w:qFormat/>
    <w:uiPriority w:val="99"/>
    <w:rPr>
      <w:kern w:val="2"/>
      <w:sz w:val="18"/>
      <w:szCs w:val="18"/>
    </w:rPr>
  </w:style>
  <w:style w:type="character" w:customStyle="1" w:styleId="157">
    <w:name w:val="正文文本 3 Char"/>
    <w:link w:val="19"/>
    <w:qFormat/>
    <w:uiPriority w:val="0"/>
    <w:rPr>
      <w:rFonts w:ascii="宋体" w:hAnsi="Times New Roman" w:eastAsia="宋体" w:cs="Times New Roman"/>
      <w:b/>
      <w:bCs/>
      <w:color w:val="3366FF"/>
      <w:sz w:val="52"/>
      <w:szCs w:val="52"/>
      <w:lang w:val="zh-CN"/>
    </w:rPr>
  </w:style>
  <w:style w:type="character" w:customStyle="1" w:styleId="158">
    <w:name w:val="HTML 预设格式 字符1"/>
    <w:semiHidden/>
    <w:qFormat/>
    <w:uiPriority w:val="99"/>
    <w:rPr>
      <w:rFonts w:ascii="Courier New" w:hAnsi="Courier New" w:eastAsia="宋体" w:cs="Courier New"/>
      <w:kern w:val="0"/>
      <w:sz w:val="20"/>
      <w:szCs w:val="20"/>
    </w:rPr>
  </w:style>
  <w:style w:type="character" w:customStyle="1" w:styleId="159">
    <w:name w:val="彩色列表 - 强调文字颜色 1 Char"/>
    <w:link w:val="160"/>
    <w:qFormat/>
    <w:uiPriority w:val="0"/>
    <w:rPr>
      <w:rFonts w:ascii="宋体"/>
      <w:sz w:val="24"/>
      <w:szCs w:val="24"/>
    </w:rPr>
  </w:style>
  <w:style w:type="paragraph" w:customStyle="1" w:styleId="160">
    <w:name w:val="彩色列表 - 强调文字颜色 11"/>
    <w:basedOn w:val="1"/>
    <w:link w:val="159"/>
    <w:qFormat/>
    <w:uiPriority w:val="0"/>
    <w:pPr>
      <w:autoSpaceDE w:val="0"/>
      <w:autoSpaceDN w:val="0"/>
      <w:adjustRightInd w:val="0"/>
      <w:ind w:firstLine="420" w:firstLineChars="200"/>
      <w:jc w:val="left"/>
    </w:pPr>
    <w:rPr>
      <w:rFonts w:ascii="宋体"/>
      <w:sz w:val="24"/>
      <w:szCs w:val="24"/>
    </w:rPr>
  </w:style>
  <w:style w:type="character" w:customStyle="1" w:styleId="161">
    <w:name w:val="普通(网站) 字符"/>
    <w:qFormat/>
    <w:locked/>
    <w:uiPriority w:val="99"/>
    <w:rPr>
      <w:rFonts w:ascii="宋体" w:hAnsi="宋体" w:eastAsia="宋体" w:cs="Times New Roman"/>
      <w:kern w:val="0"/>
      <w:sz w:val="15"/>
      <w:szCs w:val="15"/>
      <w:lang w:val="en-US" w:eastAsia="zh-CN"/>
    </w:rPr>
  </w:style>
  <w:style w:type="paragraph" w:customStyle="1" w:styleId="162">
    <w:name w:val="_Style 123"/>
    <w:basedOn w:val="1"/>
    <w:next w:val="130"/>
    <w:qFormat/>
    <w:uiPriority w:val="34"/>
    <w:pPr>
      <w:spacing w:line="360" w:lineRule="auto"/>
      <w:ind w:firstLine="420" w:firstLineChars="200"/>
    </w:pPr>
    <w:rPr>
      <w:rFonts w:ascii="Calibri" w:hAnsi="Calibri" w:eastAsia="宋体" w:cs="Times New Roman"/>
    </w:rPr>
  </w:style>
  <w:style w:type="character" w:customStyle="1" w:styleId="163">
    <w:name w:val="纯文本 字符4"/>
    <w:basedOn w:val="39"/>
    <w:semiHidden/>
    <w:qFormat/>
    <w:uiPriority w:val="99"/>
    <w:rPr>
      <w:rFonts w:hAnsi="Courier New" w:cs="Courier New" w:asciiTheme="minorEastAsia"/>
    </w:rPr>
  </w:style>
  <w:style w:type="character" w:customStyle="1" w:styleId="164">
    <w:name w:val="批注文字 Char2"/>
    <w:basedOn w:val="39"/>
    <w:link w:val="18"/>
    <w:semiHidden/>
    <w:qFormat/>
    <w:uiPriority w:val="99"/>
  </w:style>
  <w:style w:type="character" w:customStyle="1" w:styleId="165">
    <w:name w:val="批注主题 字符2"/>
    <w:basedOn w:val="164"/>
    <w:semiHidden/>
    <w:qFormat/>
    <w:uiPriority w:val="99"/>
    <w:rPr>
      <w:b/>
      <w:bCs/>
    </w:rPr>
  </w:style>
  <w:style w:type="character" w:customStyle="1" w:styleId="166">
    <w:name w:val="标题 字符3"/>
    <w:basedOn w:val="39"/>
    <w:qFormat/>
    <w:uiPriority w:val="10"/>
    <w:rPr>
      <w:rFonts w:asciiTheme="majorHAnsi" w:hAnsiTheme="majorHAnsi" w:eastAsiaTheme="majorEastAsia" w:cstheme="majorBidi"/>
      <w:b/>
      <w:bCs/>
      <w:sz w:val="32"/>
      <w:szCs w:val="32"/>
    </w:rPr>
  </w:style>
  <w:style w:type="character" w:customStyle="1" w:styleId="167">
    <w:name w:val="正文文本缩进 字符3"/>
    <w:basedOn w:val="39"/>
    <w:semiHidden/>
    <w:qFormat/>
    <w:uiPriority w:val="99"/>
  </w:style>
  <w:style w:type="character" w:customStyle="1" w:styleId="168">
    <w:name w:val="正文文本 字符4"/>
    <w:basedOn w:val="39"/>
    <w:semiHidden/>
    <w:qFormat/>
    <w:uiPriority w:val="99"/>
  </w:style>
  <w:style w:type="character" w:customStyle="1" w:styleId="169">
    <w:name w:val="正文文本缩进 3 字符2"/>
    <w:basedOn w:val="39"/>
    <w:semiHidden/>
    <w:qFormat/>
    <w:uiPriority w:val="99"/>
    <w:rPr>
      <w:sz w:val="16"/>
      <w:szCs w:val="16"/>
    </w:rPr>
  </w:style>
  <w:style w:type="character" w:customStyle="1" w:styleId="170">
    <w:name w:val="页眉 字符2"/>
    <w:basedOn w:val="39"/>
    <w:semiHidden/>
    <w:qFormat/>
    <w:uiPriority w:val="99"/>
    <w:rPr>
      <w:sz w:val="18"/>
      <w:szCs w:val="18"/>
    </w:rPr>
  </w:style>
  <w:style w:type="character" w:customStyle="1" w:styleId="171">
    <w:name w:val="批注框文本 字符2"/>
    <w:basedOn w:val="39"/>
    <w:semiHidden/>
    <w:qFormat/>
    <w:uiPriority w:val="99"/>
    <w:rPr>
      <w:sz w:val="18"/>
      <w:szCs w:val="18"/>
    </w:rPr>
  </w:style>
  <w:style w:type="character" w:customStyle="1" w:styleId="172">
    <w:name w:val="HTML 预设格式 字符2"/>
    <w:basedOn w:val="39"/>
    <w:semiHidden/>
    <w:qFormat/>
    <w:uiPriority w:val="99"/>
    <w:rPr>
      <w:rFonts w:ascii="Courier New" w:hAnsi="Courier New" w:cs="Courier New"/>
      <w:sz w:val="20"/>
      <w:szCs w:val="20"/>
    </w:rPr>
  </w:style>
  <w:style w:type="character" w:customStyle="1" w:styleId="173">
    <w:name w:val="页脚 字符2"/>
    <w:basedOn w:val="39"/>
    <w:semiHidden/>
    <w:qFormat/>
    <w:uiPriority w:val="99"/>
    <w:rPr>
      <w:sz w:val="18"/>
      <w:szCs w:val="18"/>
    </w:rPr>
  </w:style>
  <w:style w:type="character" w:customStyle="1" w:styleId="174">
    <w:name w:val="正文文本缩进 2 字符2"/>
    <w:basedOn w:val="39"/>
    <w:semiHidden/>
    <w:qFormat/>
    <w:uiPriority w:val="99"/>
  </w:style>
  <w:style w:type="character" w:customStyle="1" w:styleId="175">
    <w:name w:val="正文文本 3 字符2"/>
    <w:basedOn w:val="39"/>
    <w:semiHidden/>
    <w:qFormat/>
    <w:uiPriority w:val="99"/>
    <w:rPr>
      <w:sz w:val="16"/>
      <w:szCs w:val="16"/>
    </w:rPr>
  </w:style>
  <w:style w:type="character" w:customStyle="1" w:styleId="176">
    <w:name w:val="正文文本 2 字符2"/>
    <w:basedOn w:val="39"/>
    <w:semiHidden/>
    <w:qFormat/>
    <w:uiPriority w:val="99"/>
  </w:style>
  <w:style w:type="paragraph" w:customStyle="1" w:styleId="177">
    <w:name w:val="WPSOffice手动目录 3"/>
    <w:qFormat/>
    <w:uiPriority w:val="0"/>
    <w:pPr>
      <w:ind w:left="400" w:leftChars="400"/>
    </w:pPr>
    <w:rPr>
      <w:rFonts w:ascii="Calibri" w:hAnsi="Calibri" w:eastAsia="宋体" w:cs="Times New Roman"/>
      <w:lang w:val="en-US" w:eastAsia="zh-CN" w:bidi="ar-SA"/>
    </w:rPr>
  </w:style>
  <w:style w:type="paragraph" w:customStyle="1" w:styleId="178">
    <w:name w:val="列表段落1"/>
    <w:basedOn w:val="1"/>
    <w:qFormat/>
    <w:uiPriority w:val="0"/>
    <w:pPr>
      <w:ind w:firstLine="420" w:firstLineChars="200"/>
    </w:pPr>
    <w:rPr>
      <w:rFonts w:ascii="Times New Roman" w:hAnsi="Times New Roman" w:eastAsia="宋体" w:cs="Times New Roman"/>
      <w:szCs w:val="20"/>
    </w:rPr>
  </w:style>
  <w:style w:type="character" w:customStyle="1" w:styleId="179">
    <w:name w:val="文档结构图 字符2"/>
    <w:basedOn w:val="39"/>
    <w:semiHidden/>
    <w:qFormat/>
    <w:uiPriority w:val="99"/>
    <w:rPr>
      <w:rFonts w:ascii="Microsoft YaHei UI" w:eastAsia="Microsoft YaHei UI"/>
      <w:sz w:val="18"/>
      <w:szCs w:val="18"/>
    </w:rPr>
  </w:style>
  <w:style w:type="character" w:customStyle="1" w:styleId="180">
    <w:name w:val="日期 字符2"/>
    <w:basedOn w:val="39"/>
    <w:semiHidden/>
    <w:qFormat/>
    <w:uiPriority w:val="99"/>
  </w:style>
  <w:style w:type="paragraph" w:customStyle="1" w:styleId="181">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2">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3">
    <w:name w:val="修订1"/>
    <w:semiHidden/>
    <w:qFormat/>
    <w:uiPriority w:val="99"/>
    <w:rPr>
      <w:rFonts w:ascii="宋体" w:hAnsi="Calibri" w:eastAsia="宋体" w:cs="Times New Roman"/>
      <w:sz w:val="24"/>
      <w:szCs w:val="24"/>
      <w:lang w:val="en-US" w:eastAsia="zh-CN" w:bidi="ar-SA"/>
    </w:rPr>
  </w:style>
  <w:style w:type="paragraph" w:customStyle="1" w:styleId="184">
    <w:name w:val="图/图注"/>
    <w:basedOn w:val="10"/>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6">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7">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8">
    <w:name w:val="p0"/>
    <w:basedOn w:val="1"/>
    <w:qFormat/>
    <w:uiPriority w:val="0"/>
    <w:pPr>
      <w:widowControl/>
    </w:pPr>
    <w:rPr>
      <w:rFonts w:ascii="Times New Roman" w:hAnsi="Calibri" w:eastAsia="宋体" w:cs="Times New Roman"/>
      <w:kern w:val="0"/>
      <w:szCs w:val="20"/>
    </w:rPr>
  </w:style>
  <w:style w:type="paragraph" w:customStyle="1" w:styleId="189">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1">
    <w:name w:val="网格表 32"/>
    <w:basedOn w:val="4"/>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2">
    <w:name w:val="WPSOffice手动目录 1"/>
    <w:qFormat/>
    <w:uiPriority w:val="0"/>
    <w:rPr>
      <w:rFonts w:ascii="Calibri" w:hAnsi="Calibri" w:eastAsia="宋体" w:cs="Times New Roman"/>
      <w:lang w:val="en-US" w:eastAsia="zh-CN" w:bidi="ar-SA"/>
    </w:rPr>
  </w:style>
  <w:style w:type="paragraph" w:customStyle="1" w:styleId="193">
    <w:name w:val="_Style 69"/>
    <w:basedOn w:val="1"/>
    <w:next w:val="130"/>
    <w:qFormat/>
    <w:uiPriority w:val="34"/>
    <w:pPr>
      <w:spacing w:line="360" w:lineRule="auto"/>
      <w:ind w:firstLine="420" w:firstLineChars="200"/>
    </w:pPr>
    <w:rPr>
      <w:rFonts w:ascii="Calibri" w:hAnsi="Calibri" w:eastAsia="宋体" w:cs="Times New Roman"/>
    </w:rPr>
  </w:style>
  <w:style w:type="paragraph" w:customStyle="1" w:styleId="19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5">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6">
    <w:name w:val="彩色底纹 - 着色 11"/>
    <w:semiHidden/>
    <w:qFormat/>
    <w:uiPriority w:val="99"/>
    <w:rPr>
      <w:rFonts w:ascii="宋体" w:hAnsi="Calibri" w:eastAsia="宋体" w:cs="Times New Roman"/>
      <w:sz w:val="24"/>
      <w:szCs w:val="24"/>
      <w:lang w:val="en-US" w:eastAsia="zh-CN" w:bidi="ar-SA"/>
    </w:rPr>
  </w:style>
  <w:style w:type="paragraph" w:customStyle="1" w:styleId="197">
    <w:name w:val="WPSOffice手动目录 2"/>
    <w:qFormat/>
    <w:uiPriority w:val="0"/>
    <w:pPr>
      <w:ind w:left="200" w:leftChars="200"/>
    </w:pPr>
    <w:rPr>
      <w:rFonts w:ascii="Calibri" w:hAnsi="Calibri" w:eastAsia="宋体" w:cs="Times New Roman"/>
      <w:lang w:val="en-US" w:eastAsia="zh-CN" w:bidi="ar-SA"/>
    </w:rPr>
  </w:style>
  <w:style w:type="paragraph" w:customStyle="1" w:styleId="198">
    <w:name w:val="网格表 31"/>
    <w:basedOn w:val="4"/>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表格文字居中"/>
    <w:basedOn w:val="123"/>
    <w:qFormat/>
    <w:uiPriority w:val="0"/>
    <w:pPr>
      <w:jc w:val="center"/>
    </w:pPr>
    <w:rPr>
      <w:rFonts w:cs="宋体"/>
      <w:szCs w:val="20"/>
    </w:rPr>
  </w:style>
  <w:style w:type="paragraph" w:customStyle="1" w:styleId="200">
    <w:name w:val="正文缩进4格"/>
    <w:basedOn w:val="64"/>
    <w:qFormat/>
    <w:uiPriority w:val="0"/>
    <w:pPr>
      <w:spacing w:line="360" w:lineRule="auto"/>
      <w:ind w:left="964" w:leftChars="314" w:hanging="210" w:hangingChars="100"/>
    </w:pPr>
    <w:rPr>
      <w:rFonts w:ascii="宋体" w:eastAsia="宋体"/>
      <w:sz w:val="21"/>
      <w:szCs w:val="21"/>
      <w:lang w:val="zh-CN"/>
    </w:rPr>
  </w:style>
  <w:style w:type="paragraph" w:customStyle="1" w:styleId="201">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2">
    <w:name w:val="正文首行缩进 Char"/>
    <w:basedOn w:val="119"/>
    <w:link w:val="3"/>
    <w:semiHidden/>
    <w:qFormat/>
    <w:uiPriority w:val="99"/>
    <w:rPr>
      <w:rFonts w:ascii="宋体" w:eastAsia="宋体"/>
      <w:b w:val="0"/>
      <w:bCs w:val="0"/>
      <w:sz w:val="84"/>
      <w:szCs w:val="84"/>
      <w:lang w:val="zh-CN"/>
    </w:rPr>
  </w:style>
  <w:style w:type="paragraph" w:customStyle="1" w:styleId="20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4">
    <w:name w:val="样式 宋体 行距: 1.5 倍行距"/>
    <w:basedOn w:val="1"/>
    <w:qFormat/>
    <w:uiPriority w:val="0"/>
    <w:pPr>
      <w:autoSpaceDE w:val="0"/>
      <w:autoSpaceDN w:val="0"/>
      <w:adjustRightInd w:val="0"/>
      <w:jc w:val="center"/>
    </w:pPr>
    <w:rPr>
      <w:rFonts w:ascii="Times New Roman" w:hAnsi="Times New Roman" w:eastAsia="宋体" w:cs="Times New Roman"/>
      <w:b/>
      <w:kern w:val="0"/>
      <w:sz w:val="24"/>
      <w:szCs w:val="24"/>
    </w:rPr>
  </w:style>
  <w:style w:type="paragraph" w:customStyle="1" w:styleId="205">
    <w:name w:val="修订3"/>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123</Pages>
  <Words>14833</Words>
  <Characters>15807</Characters>
  <Lines>588</Lines>
  <Paragraphs>165</Paragraphs>
  <TotalTime>12</TotalTime>
  <ScaleCrop>false</ScaleCrop>
  <LinksUpToDate>false</LinksUpToDate>
  <CharactersWithSpaces>16139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Administrator</cp:lastModifiedBy>
  <cp:lastPrinted>2025-11-28T03:29:00Z</cp:lastPrinted>
  <dcterms:modified xsi:type="dcterms:W3CDTF">2026-03-05T08:10:06Z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511C9A66F26C434AA19156924220CB56_13</vt:lpwstr>
  </property>
  <property fmtid="{D5CDD505-2E9C-101B-9397-08002B2CF9AE}" pid="4" name="KSOTemplateDocerSaveRecord">
    <vt:lpwstr>eyJoZGlkIjoiNjAyOTUxOTRmYmI1ZDJkZWQwYzhkNDJkZWQ1MzFiMmEifQ==</vt:lpwstr>
  </property>
</Properties>
</file>