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0CAF1">
      <w:pPr>
        <w:rPr>
          <w:rFonts w:ascii="宋体" w:hAnsi="宋体"/>
          <w:color w:val="auto"/>
          <w:highlight w:val="none"/>
        </w:rPr>
      </w:pPr>
    </w:p>
    <w:p w14:paraId="5AA0EC2F">
      <w:pPr>
        <w:jc w:val="center"/>
        <w:rPr>
          <w:rFonts w:hint="eastAsia" w:ascii="宋体" w:hAnsi="宋体"/>
          <w:b/>
          <w:color w:val="auto"/>
          <w:sz w:val="44"/>
          <w:szCs w:val="44"/>
          <w:highlight w:val="none"/>
          <w:lang w:eastAsia="zh-CN"/>
        </w:rPr>
      </w:pPr>
    </w:p>
    <w:p w14:paraId="44CBEBFF">
      <w:pPr>
        <w:jc w:val="center"/>
        <w:rPr>
          <w:rFonts w:hint="eastAsia" w:ascii="宋体" w:hAnsi="宋体"/>
          <w:b/>
          <w:color w:val="auto"/>
          <w:sz w:val="44"/>
          <w:szCs w:val="44"/>
          <w:highlight w:val="none"/>
          <w:lang w:eastAsia="zh-CN"/>
        </w:rPr>
      </w:pPr>
    </w:p>
    <w:p w14:paraId="1B196D6E">
      <w:pPr>
        <w:spacing w:line="360" w:lineRule="auto"/>
        <w:ind w:firstLine="782" w:firstLineChars="177"/>
        <w:jc w:val="center"/>
        <w:rPr>
          <w:rFonts w:hint="eastAsia" w:ascii="宋体" w:hAnsi="宋体" w:eastAsia="宋体" w:cs="Times New Roman"/>
          <w:b/>
          <w:bCs w:val="0"/>
          <w:color w:val="auto"/>
          <w:sz w:val="44"/>
          <w:szCs w:val="44"/>
          <w:highlight w:val="none"/>
          <w:u w:val="none"/>
        </w:rPr>
      </w:pPr>
      <w:bookmarkStart w:id="0" w:name="OLE_LINK4"/>
      <w:r>
        <w:rPr>
          <w:rFonts w:hint="eastAsia" w:ascii="宋体" w:hAnsi="宋体" w:eastAsia="宋体" w:cs="Times New Roman"/>
          <w:b/>
          <w:bCs w:val="0"/>
          <w:color w:val="auto"/>
          <w:sz w:val="44"/>
          <w:szCs w:val="44"/>
          <w:highlight w:val="none"/>
          <w:u w:val="none"/>
        </w:rPr>
        <w:t>东莞市</w:t>
      </w:r>
      <w:r>
        <w:rPr>
          <w:rFonts w:hint="eastAsia" w:ascii="宋体" w:hAnsi="宋体" w:eastAsia="宋体" w:cs="Times New Roman"/>
          <w:b/>
          <w:bCs w:val="0"/>
          <w:color w:val="auto"/>
          <w:sz w:val="44"/>
          <w:szCs w:val="44"/>
          <w:highlight w:val="none"/>
          <w:u w:val="none"/>
          <w:lang w:val="en-US" w:eastAsia="zh-CN"/>
        </w:rPr>
        <w:t>福地饮用水</w:t>
      </w:r>
      <w:r>
        <w:rPr>
          <w:rFonts w:hint="eastAsia" w:ascii="宋体" w:hAnsi="宋体" w:eastAsia="宋体" w:cs="Times New Roman"/>
          <w:b/>
          <w:bCs w:val="0"/>
          <w:color w:val="auto"/>
          <w:sz w:val="44"/>
          <w:szCs w:val="44"/>
          <w:highlight w:val="none"/>
          <w:u w:val="none"/>
        </w:rPr>
        <w:t>有限公司</w:t>
      </w:r>
    </w:p>
    <w:p w14:paraId="4DD612EA">
      <w:pPr>
        <w:spacing w:line="360" w:lineRule="auto"/>
        <w:ind w:firstLine="782" w:firstLineChars="177"/>
        <w:jc w:val="center"/>
        <w:rPr>
          <w:rFonts w:hint="eastAsia" w:ascii="宋体" w:hAnsi="宋体" w:eastAsia="宋体" w:cs="Times New Roman"/>
          <w:b/>
          <w:color w:val="auto"/>
          <w:sz w:val="44"/>
          <w:szCs w:val="44"/>
          <w:highlight w:val="none"/>
          <w:lang w:eastAsia="zh-CN"/>
        </w:rPr>
      </w:pPr>
      <w:r>
        <w:rPr>
          <w:rFonts w:hint="eastAsia" w:ascii="宋体" w:hAnsi="宋体" w:eastAsia="宋体" w:cs="Times New Roman"/>
          <w:b/>
          <w:bCs w:val="0"/>
          <w:color w:val="auto"/>
          <w:sz w:val="44"/>
          <w:szCs w:val="44"/>
          <w:highlight w:val="none"/>
          <w:u w:val="none"/>
          <w:lang w:val="en-US" w:eastAsia="zh-CN"/>
        </w:rPr>
        <w:t>202</w:t>
      </w:r>
      <w:r>
        <w:rPr>
          <w:rFonts w:hint="eastAsia" w:ascii="宋体" w:hAnsi="宋体" w:cs="Times New Roman"/>
          <w:b/>
          <w:bCs w:val="0"/>
          <w:color w:val="auto"/>
          <w:sz w:val="44"/>
          <w:szCs w:val="44"/>
          <w:highlight w:val="none"/>
          <w:u w:val="none"/>
          <w:lang w:val="en-US" w:eastAsia="zh-CN"/>
        </w:rPr>
        <w:t>6</w:t>
      </w:r>
      <w:r>
        <w:rPr>
          <w:rFonts w:hint="eastAsia" w:ascii="宋体" w:hAnsi="宋体" w:eastAsia="宋体" w:cs="Times New Roman"/>
          <w:b/>
          <w:bCs w:val="0"/>
          <w:color w:val="auto"/>
          <w:sz w:val="44"/>
          <w:szCs w:val="44"/>
          <w:highlight w:val="none"/>
          <w:u w:val="none"/>
          <w:lang w:val="en-US" w:eastAsia="zh-CN"/>
        </w:rPr>
        <w:t>年包装水物流配送服务项目</w:t>
      </w:r>
      <w:bookmarkEnd w:id="0"/>
    </w:p>
    <w:p w14:paraId="3B29C680">
      <w:pPr>
        <w:jc w:val="center"/>
        <w:rPr>
          <w:rFonts w:hint="eastAsia" w:ascii="宋体" w:hAnsi="宋体" w:eastAsia="宋体"/>
          <w:color w:val="auto"/>
          <w:highlight w:val="none"/>
          <w:lang w:eastAsia="zh-CN"/>
        </w:rPr>
      </w:pPr>
    </w:p>
    <w:p w14:paraId="6E15A329">
      <w:pPr>
        <w:rPr>
          <w:rFonts w:ascii="宋体" w:hAnsi="宋体"/>
          <w:color w:val="auto"/>
          <w:highlight w:val="none"/>
        </w:rPr>
      </w:pPr>
    </w:p>
    <w:p w14:paraId="69678C16">
      <w:pPr>
        <w:rPr>
          <w:rFonts w:ascii="宋体" w:hAnsi="宋体"/>
          <w:color w:val="auto"/>
          <w:highlight w:val="none"/>
        </w:rPr>
      </w:pPr>
    </w:p>
    <w:p w14:paraId="429318BB">
      <w:pPr>
        <w:rPr>
          <w:rFonts w:ascii="宋体" w:hAnsi="宋体"/>
          <w:color w:val="auto"/>
          <w:highlight w:val="none"/>
        </w:rPr>
      </w:pPr>
    </w:p>
    <w:p w14:paraId="02843087">
      <w:pPr>
        <w:rPr>
          <w:rFonts w:ascii="宋体" w:hAnsi="宋体"/>
          <w:color w:val="auto"/>
          <w:highlight w:val="none"/>
        </w:rPr>
      </w:pPr>
    </w:p>
    <w:p w14:paraId="15DEAB5A">
      <w:pPr>
        <w:rPr>
          <w:rFonts w:ascii="宋体" w:hAnsi="宋体"/>
          <w:color w:val="auto"/>
          <w:highlight w:val="none"/>
        </w:rPr>
      </w:pPr>
    </w:p>
    <w:p w14:paraId="70020247">
      <w:pPr>
        <w:jc w:val="center"/>
        <w:rPr>
          <w:rFonts w:ascii="宋体" w:hAnsi="宋体"/>
          <w:b/>
          <w:color w:val="auto"/>
          <w:sz w:val="72"/>
          <w:szCs w:val="72"/>
          <w:highlight w:val="none"/>
        </w:rPr>
      </w:pPr>
      <w:r>
        <w:rPr>
          <w:rFonts w:hint="eastAsia" w:ascii="宋体" w:hAnsi="宋体"/>
          <w:b/>
          <w:color w:val="auto"/>
          <w:sz w:val="72"/>
          <w:szCs w:val="72"/>
          <w:highlight w:val="none"/>
        </w:rPr>
        <w:t>询 价 文 件</w:t>
      </w:r>
    </w:p>
    <w:p w14:paraId="7D85E88D">
      <w:pPr>
        <w:spacing w:line="700" w:lineRule="exact"/>
        <w:ind w:right="-28" w:hanging="482"/>
        <w:jc w:val="center"/>
        <w:rPr>
          <w:rFonts w:ascii="宋体" w:hAnsi="宋体"/>
          <w:b/>
          <w:bCs/>
          <w:color w:val="auto"/>
          <w:sz w:val="32"/>
          <w:szCs w:val="32"/>
          <w:highlight w:val="none"/>
          <w:lang w:val="zh-CN"/>
        </w:rPr>
      </w:pPr>
      <w:r>
        <w:rPr>
          <w:rFonts w:hint="eastAsia" w:ascii="宋体" w:hAnsi="宋体"/>
          <w:b/>
          <w:bCs/>
          <w:color w:val="auto"/>
          <w:sz w:val="32"/>
          <w:szCs w:val="32"/>
          <w:highlight w:val="none"/>
          <w:lang w:val="en-US" w:eastAsia="zh-CN"/>
        </w:rPr>
        <w:t xml:space="preserve"> </w:t>
      </w:r>
      <w:r>
        <w:rPr>
          <w:rFonts w:hint="eastAsia" w:ascii="宋体" w:hAnsi="宋体"/>
          <w:b/>
          <w:bCs/>
          <w:color w:val="auto"/>
          <w:sz w:val="32"/>
          <w:szCs w:val="32"/>
          <w:highlight w:val="none"/>
          <w:lang w:val="zh-CN"/>
        </w:rPr>
        <w:t>（自行采购）</w:t>
      </w:r>
    </w:p>
    <w:p w14:paraId="6920C27C">
      <w:pPr>
        <w:rPr>
          <w:rFonts w:ascii="宋体" w:hAnsi="宋体"/>
          <w:color w:val="auto"/>
          <w:sz w:val="52"/>
          <w:highlight w:val="none"/>
        </w:rPr>
      </w:pPr>
    </w:p>
    <w:p w14:paraId="6731AFC1">
      <w:pPr>
        <w:rPr>
          <w:rFonts w:ascii="宋体" w:hAnsi="宋体"/>
          <w:color w:val="auto"/>
          <w:sz w:val="52"/>
          <w:highlight w:val="none"/>
        </w:rPr>
      </w:pPr>
    </w:p>
    <w:p w14:paraId="3863978D">
      <w:pPr>
        <w:tabs>
          <w:tab w:val="left" w:pos="1620"/>
          <w:tab w:val="left" w:pos="1800"/>
        </w:tabs>
        <w:spacing w:line="740" w:lineRule="exact"/>
        <w:rPr>
          <w:rFonts w:ascii="宋体" w:hAnsi="宋体"/>
          <w:b/>
          <w:bCs/>
          <w:color w:val="auto"/>
          <w:sz w:val="32"/>
          <w:szCs w:val="32"/>
          <w:highlight w:val="none"/>
        </w:rPr>
      </w:pPr>
    </w:p>
    <w:p w14:paraId="1B624E45">
      <w:pPr>
        <w:tabs>
          <w:tab w:val="left" w:pos="1620"/>
          <w:tab w:val="left" w:pos="1800"/>
        </w:tabs>
        <w:spacing w:line="740" w:lineRule="exact"/>
        <w:rPr>
          <w:rFonts w:ascii="宋体" w:hAnsi="宋体"/>
          <w:b/>
          <w:bCs/>
          <w:color w:val="auto"/>
          <w:sz w:val="32"/>
          <w:szCs w:val="32"/>
          <w:highlight w:val="none"/>
        </w:rPr>
      </w:pPr>
    </w:p>
    <w:p w14:paraId="35250927">
      <w:pPr>
        <w:tabs>
          <w:tab w:val="left" w:pos="1620"/>
          <w:tab w:val="left" w:pos="1800"/>
          <w:tab w:val="left" w:pos="8460"/>
        </w:tabs>
        <w:spacing w:line="740" w:lineRule="exact"/>
        <w:rPr>
          <w:rFonts w:ascii="宋体" w:hAnsi="宋体"/>
          <w:b/>
          <w:bCs/>
          <w:color w:val="auto"/>
          <w:sz w:val="32"/>
          <w:szCs w:val="32"/>
          <w:highlight w:val="none"/>
        </w:rPr>
      </w:pPr>
    </w:p>
    <w:p w14:paraId="19627F0D">
      <w:pPr>
        <w:tabs>
          <w:tab w:val="left" w:pos="1620"/>
          <w:tab w:val="left" w:pos="1800"/>
          <w:tab w:val="left" w:pos="8460"/>
        </w:tabs>
        <w:spacing w:line="740" w:lineRule="exact"/>
        <w:ind w:left="897" w:leftChars="135" w:hanging="614" w:hangingChars="191"/>
        <w:rPr>
          <w:rFonts w:ascii="宋体" w:hAnsi="宋体"/>
          <w:b/>
          <w:bCs/>
          <w:color w:val="auto"/>
          <w:sz w:val="32"/>
          <w:szCs w:val="32"/>
          <w:highlight w:val="none"/>
          <w:u w:val="single"/>
        </w:rPr>
      </w:pPr>
      <w:r>
        <w:rPr>
          <w:rFonts w:hint="eastAsia" w:ascii="宋体" w:hAnsi="宋体"/>
          <w:b/>
          <w:bCs/>
          <w:color w:val="auto"/>
          <w:sz w:val="32"/>
          <w:szCs w:val="32"/>
          <w:highlight w:val="none"/>
        </w:rPr>
        <w:t>项目编号：</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r>
        <w:rPr>
          <w:rFonts w:hint="eastAsia" w:ascii="宋体" w:hAnsi="宋体"/>
          <w:b/>
          <w:bCs/>
          <w:color w:val="auto"/>
          <w:sz w:val="32"/>
          <w:szCs w:val="32"/>
          <w:highlight w:val="none"/>
          <w:u w:val="single"/>
          <w:lang w:val="en-US" w:eastAsia="zh-CN"/>
        </w:rPr>
        <w:t xml:space="preserve"> FDCG20260006         </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p>
    <w:p w14:paraId="146E36A5">
      <w:pPr>
        <w:spacing w:line="740" w:lineRule="exact"/>
        <w:ind w:left="1906" w:leftChars="132" w:hanging="1629" w:hangingChars="507"/>
        <w:rPr>
          <w:rFonts w:hint="default" w:ascii="宋体" w:hAnsi="宋体"/>
          <w:b/>
          <w:bCs/>
          <w:color w:val="auto"/>
          <w:sz w:val="32"/>
          <w:szCs w:val="32"/>
          <w:highlight w:val="none"/>
          <w:lang w:val="en-US"/>
        </w:rPr>
      </w:pPr>
      <w:r>
        <w:rPr>
          <w:rFonts w:hint="eastAsia" w:ascii="宋体" w:hAnsi="宋体"/>
          <w:b/>
          <w:bCs/>
          <w:color w:val="auto"/>
          <w:sz w:val="32"/>
          <w:szCs w:val="32"/>
          <w:highlight w:val="none"/>
        </w:rPr>
        <w:t>采 购 人：</w:t>
      </w:r>
      <w:r>
        <w:rPr>
          <w:rFonts w:hint="eastAsia" w:ascii="宋体" w:hAnsi="宋体"/>
          <w:b/>
          <w:bCs/>
          <w:color w:val="auto"/>
          <w:spacing w:val="28"/>
          <w:sz w:val="32"/>
          <w:szCs w:val="32"/>
          <w:highlight w:val="none"/>
          <w:u w:val="single"/>
          <w:lang w:val="en-US" w:eastAsia="zh-CN"/>
        </w:rPr>
        <w:t xml:space="preserve">     东</w:t>
      </w:r>
      <w:r>
        <w:rPr>
          <w:rFonts w:hint="eastAsia" w:ascii="宋体" w:hAnsi="宋体"/>
          <w:b/>
          <w:bCs/>
          <w:color w:val="auto"/>
          <w:spacing w:val="28"/>
          <w:sz w:val="32"/>
          <w:szCs w:val="32"/>
          <w:highlight w:val="none"/>
          <w:u w:val="single"/>
          <w:lang w:eastAsia="zh-CN"/>
        </w:rPr>
        <w:t>莞市</w:t>
      </w:r>
      <w:r>
        <w:rPr>
          <w:rFonts w:hint="eastAsia" w:ascii="宋体" w:hAnsi="宋体"/>
          <w:b/>
          <w:bCs/>
          <w:color w:val="auto"/>
          <w:spacing w:val="28"/>
          <w:sz w:val="32"/>
          <w:szCs w:val="32"/>
          <w:highlight w:val="none"/>
          <w:u w:val="single"/>
          <w:lang w:val="en-US" w:eastAsia="zh-CN"/>
        </w:rPr>
        <w:t xml:space="preserve">福地饮用水有限公司      </w:t>
      </w:r>
    </w:p>
    <w:p w14:paraId="3D10E6C2">
      <w:pPr>
        <w:spacing w:line="700" w:lineRule="exact"/>
        <w:ind w:right="-28" w:hanging="482"/>
        <w:jc w:val="center"/>
        <w:rPr>
          <w:rFonts w:ascii="宋体" w:hAnsi="宋体"/>
          <w:b/>
          <w:bCs/>
          <w:color w:val="auto"/>
          <w:sz w:val="32"/>
          <w:szCs w:val="32"/>
          <w:highlight w:val="none"/>
          <w:lang w:val="zh-CN"/>
        </w:rPr>
      </w:pPr>
    </w:p>
    <w:p w14:paraId="3D352870">
      <w:pPr>
        <w:spacing w:line="700" w:lineRule="exact"/>
        <w:ind w:right="-28" w:hanging="482"/>
        <w:jc w:val="center"/>
        <w:rPr>
          <w:rFonts w:hint="eastAsia" w:ascii="宋体" w:hAnsi="宋体"/>
          <w:b/>
          <w:bCs/>
          <w:color w:val="auto"/>
          <w:sz w:val="32"/>
          <w:szCs w:val="32"/>
          <w:highlight w:val="none"/>
          <w:lang w:val="zh-CN"/>
        </w:rPr>
      </w:pPr>
      <w:r>
        <w:rPr>
          <w:rFonts w:hint="eastAsia" w:ascii="宋体" w:hAnsi="宋体"/>
          <w:b/>
          <w:bCs/>
          <w:color w:val="auto"/>
          <w:sz w:val="32"/>
          <w:szCs w:val="32"/>
          <w:highlight w:val="none"/>
          <w:lang w:val="en-US" w:eastAsia="zh-CN"/>
        </w:rPr>
        <w:t xml:space="preserve"> 2026</w:t>
      </w:r>
      <w:r>
        <w:rPr>
          <w:rFonts w:ascii="宋体" w:hAnsi="宋体"/>
          <w:b/>
          <w:bCs/>
          <w:color w:val="auto"/>
          <w:sz w:val="32"/>
          <w:szCs w:val="32"/>
          <w:highlight w:val="none"/>
          <w:lang w:val="zh-CN"/>
        </w:rPr>
        <w:t>年</w:t>
      </w:r>
      <w:r>
        <w:rPr>
          <w:rFonts w:hint="eastAsia" w:ascii="宋体" w:hAnsi="宋体"/>
          <w:b/>
          <w:bCs/>
          <w:color w:val="auto"/>
          <w:sz w:val="32"/>
          <w:szCs w:val="32"/>
          <w:highlight w:val="none"/>
          <w:lang w:val="en-US" w:eastAsia="zh-CN"/>
        </w:rPr>
        <w:t>2</w:t>
      </w:r>
      <w:r>
        <w:rPr>
          <w:rFonts w:hint="eastAsia" w:ascii="宋体" w:hAnsi="宋体"/>
          <w:b/>
          <w:bCs/>
          <w:color w:val="auto"/>
          <w:sz w:val="32"/>
          <w:szCs w:val="32"/>
          <w:highlight w:val="none"/>
          <w:lang w:val="zh-CN"/>
        </w:rPr>
        <w:t>月</w:t>
      </w:r>
      <w:r>
        <w:rPr>
          <w:rFonts w:hint="eastAsia" w:ascii="宋体" w:hAnsi="宋体"/>
          <w:b/>
          <w:bCs/>
          <w:color w:val="auto"/>
          <w:sz w:val="32"/>
          <w:szCs w:val="32"/>
          <w:highlight w:val="none"/>
          <w:lang w:val="en-US" w:eastAsia="zh-CN"/>
        </w:rPr>
        <w:t>8</w:t>
      </w:r>
      <w:r>
        <w:rPr>
          <w:rFonts w:hint="eastAsia" w:ascii="宋体" w:hAnsi="宋体"/>
          <w:b/>
          <w:bCs/>
          <w:color w:val="auto"/>
          <w:sz w:val="32"/>
          <w:szCs w:val="32"/>
          <w:highlight w:val="none"/>
          <w:lang w:val="zh-CN"/>
        </w:rPr>
        <w:t>日</w:t>
      </w:r>
    </w:p>
    <w:p w14:paraId="28AAA1E5">
      <w:pPr>
        <w:rPr>
          <w:lang w:val="zh-CN"/>
        </w:rPr>
      </w:pPr>
      <w:r>
        <w:rPr>
          <w:lang w:val="zh-CN"/>
        </w:rPr>
        <w:br w:type="page"/>
      </w:r>
    </w:p>
    <w:sdt>
      <w:sdtPr>
        <w:rPr>
          <w:rFonts w:ascii="宋体" w:hAnsi="宋体" w:eastAsia="宋体" w:cs="Times New Roman"/>
          <w:sz w:val="21"/>
          <w:szCs w:val="24"/>
          <w:lang w:val="en-US" w:eastAsia="zh-CN" w:bidi="ar-SA"/>
        </w:rPr>
        <w:id w:val="147451138"/>
        <w15:color w:val="DBDBDB"/>
        <w:docPartObj>
          <w:docPartGallery w:val="Table of Contents"/>
          <w:docPartUnique/>
        </w:docPartObj>
      </w:sdtPr>
      <w:sdtEndPr>
        <w:rPr>
          <w:rFonts w:hint="default" w:ascii="Times New Roman" w:hAnsi="Times New Roman" w:eastAsia="宋体" w:cs="Times New Roman"/>
          <w:sz w:val="24"/>
          <w:szCs w:val="32"/>
          <w:highlight w:val="none"/>
          <w:lang w:val="en-US" w:eastAsia="zh-CN" w:bidi="ar-SA"/>
        </w:rPr>
      </w:sdtEndPr>
      <w:sdtContent>
        <w:p w14:paraId="4BB31D6A">
          <w:pPr>
            <w:spacing w:before="0" w:beforeLines="0" w:after="0" w:afterLines="0" w:line="240" w:lineRule="auto"/>
            <w:ind w:left="0" w:leftChars="0" w:right="0" w:rightChars="0" w:firstLine="0" w:firstLineChars="0"/>
            <w:jc w:val="center"/>
            <w:rPr>
              <w:rFonts w:hint="eastAsia" w:ascii="宋体" w:hAnsi="宋体" w:eastAsia="宋体" w:cs="宋体"/>
              <w:sz w:val="30"/>
              <w:szCs w:val="30"/>
            </w:rPr>
          </w:pPr>
          <w:r>
            <w:rPr>
              <w:rFonts w:hint="eastAsia" w:ascii="宋体" w:hAnsi="宋体" w:eastAsia="宋体" w:cs="宋体"/>
              <w:sz w:val="30"/>
              <w:szCs w:val="30"/>
            </w:rPr>
            <w:t>目录</w:t>
          </w:r>
        </w:p>
        <w:p w14:paraId="173E1C32">
          <w:pPr>
            <w:pStyle w:val="56"/>
            <w:tabs>
              <w:tab w:val="right" w:leader="dot" w:pos="8306"/>
            </w:tabs>
            <w:spacing w:line="720" w:lineRule="auto"/>
            <w:rPr>
              <w:rFonts w:hint="eastAsia" w:ascii="宋体" w:hAnsi="宋体" w:eastAsia="宋体" w:cs="宋体"/>
              <w:sz w:val="30"/>
              <w:szCs w:val="30"/>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TOC \o "1-1" \h \u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_Toc32384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第一</w:t>
          </w:r>
          <w:r>
            <w:rPr>
              <w:rFonts w:hint="eastAsia" w:ascii="宋体" w:hAnsi="宋体" w:cs="宋体"/>
              <w:sz w:val="30"/>
              <w:szCs w:val="30"/>
              <w:highlight w:val="none"/>
              <w:lang w:val="en-US" w:eastAsia="zh-CN"/>
            </w:rPr>
            <w:t>篇</w:t>
          </w:r>
          <w:r>
            <w:rPr>
              <w:rFonts w:hint="eastAsia" w:ascii="宋体" w:hAnsi="宋体" w:eastAsia="宋体" w:cs="宋体"/>
              <w:sz w:val="30"/>
              <w:szCs w:val="30"/>
              <w:highlight w:val="none"/>
            </w:rPr>
            <w:t xml:space="preserve"> </w:t>
          </w:r>
          <w:r>
            <w:rPr>
              <w:rFonts w:hint="eastAsia" w:ascii="宋体" w:hAnsi="宋体"/>
              <w:color w:val="auto"/>
              <w:sz w:val="30"/>
              <w:szCs w:val="30"/>
              <w:highlight w:val="none"/>
              <w:lang w:val="zh-CN"/>
            </w:rPr>
            <w:t>报价邀请函</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_Toc32384 \h </w:instrText>
          </w:r>
          <w:r>
            <w:rPr>
              <w:rFonts w:hint="eastAsia" w:ascii="宋体" w:hAnsi="宋体" w:eastAsia="宋体" w:cs="宋体"/>
              <w:sz w:val="30"/>
              <w:szCs w:val="30"/>
            </w:rPr>
            <w:fldChar w:fldCharType="separate"/>
          </w:r>
          <w:r>
            <w:rPr>
              <w:rFonts w:hint="eastAsia" w:ascii="宋体" w:hAnsi="宋体" w:eastAsia="宋体" w:cs="宋体"/>
              <w:sz w:val="30"/>
              <w:szCs w:val="30"/>
            </w:rPr>
            <w:t>3</w:t>
          </w:r>
          <w:r>
            <w:rPr>
              <w:rFonts w:hint="eastAsia" w:ascii="宋体" w:hAnsi="宋体" w:eastAsia="宋体" w:cs="宋体"/>
              <w:sz w:val="30"/>
              <w:szCs w:val="30"/>
            </w:rPr>
            <w:fldChar w:fldCharType="end"/>
          </w:r>
          <w:r>
            <w:rPr>
              <w:rFonts w:hint="eastAsia" w:ascii="宋体" w:hAnsi="宋体" w:eastAsia="宋体" w:cs="宋体"/>
              <w:sz w:val="30"/>
              <w:szCs w:val="30"/>
              <w:highlight w:val="none"/>
            </w:rPr>
            <w:fldChar w:fldCharType="end"/>
          </w:r>
        </w:p>
        <w:p w14:paraId="1FA7294C">
          <w:pPr>
            <w:pStyle w:val="56"/>
            <w:tabs>
              <w:tab w:val="right" w:leader="dot" w:pos="8306"/>
            </w:tabs>
            <w:spacing w:line="720" w:lineRule="auto"/>
            <w:rPr>
              <w:rFonts w:hint="default" w:ascii="宋体" w:hAnsi="宋体" w:eastAsia="宋体" w:cs="宋体"/>
              <w:sz w:val="30"/>
              <w:szCs w:val="30"/>
              <w:highlight w:val="none"/>
              <w:lang w:val="en-US" w:eastAsia="zh-CN"/>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_Toc32511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第二</w:t>
          </w:r>
          <w:r>
            <w:rPr>
              <w:rFonts w:hint="eastAsia" w:ascii="宋体" w:hAnsi="宋体" w:cs="宋体"/>
              <w:sz w:val="30"/>
              <w:szCs w:val="30"/>
              <w:highlight w:val="none"/>
              <w:lang w:val="en-US" w:eastAsia="zh-CN"/>
            </w:rPr>
            <w:t>篇</w:t>
          </w:r>
          <w:r>
            <w:rPr>
              <w:rFonts w:hint="eastAsia" w:ascii="宋体" w:hAnsi="宋体" w:eastAsia="宋体" w:cs="宋体"/>
              <w:sz w:val="30"/>
              <w:szCs w:val="30"/>
              <w:highlight w:val="none"/>
            </w:rPr>
            <w:t xml:space="preserve"> </w:t>
          </w:r>
          <w:r>
            <w:rPr>
              <w:rFonts w:hint="eastAsia" w:ascii="宋体" w:hAnsi="宋体" w:cs="宋体"/>
              <w:sz w:val="30"/>
              <w:szCs w:val="30"/>
              <w:highlight w:val="none"/>
              <w:lang w:val="en-US" w:eastAsia="zh-CN"/>
            </w:rPr>
            <w:t>报价须知</w:t>
          </w:r>
          <w:r>
            <w:rPr>
              <w:rFonts w:hint="eastAsia" w:ascii="宋体" w:hAnsi="宋体" w:eastAsia="宋体" w:cs="宋体"/>
              <w:sz w:val="30"/>
              <w:szCs w:val="30"/>
            </w:rPr>
            <w:tab/>
          </w:r>
          <w:r>
            <w:rPr>
              <w:rFonts w:hint="eastAsia" w:ascii="宋体" w:hAnsi="宋体" w:cs="宋体"/>
              <w:sz w:val="30"/>
              <w:szCs w:val="30"/>
              <w:highlight w:val="none"/>
              <w:lang w:val="en-US" w:eastAsia="zh-CN"/>
            </w:rPr>
            <w:t>4</w:t>
          </w:r>
        </w:p>
        <w:p w14:paraId="7BFF4170">
          <w:pPr>
            <w:pStyle w:val="56"/>
            <w:tabs>
              <w:tab w:val="right" w:leader="dot" w:pos="8306"/>
            </w:tabs>
            <w:spacing w:line="720" w:lineRule="auto"/>
            <w:rPr>
              <w:rFonts w:hint="eastAsia" w:ascii="宋体" w:hAnsi="宋体" w:eastAsia="宋体" w:cs="宋体"/>
              <w:sz w:val="30"/>
              <w:szCs w:val="30"/>
            </w:rPr>
          </w:pPr>
          <w:r>
            <w:rPr>
              <w:rFonts w:hint="eastAsia" w:ascii="宋体" w:hAnsi="宋体" w:cs="宋体"/>
              <w:sz w:val="30"/>
              <w:szCs w:val="30"/>
              <w:highlight w:val="none"/>
              <w:lang w:val="en-US" w:eastAsia="zh-CN"/>
            </w:rPr>
            <w:t xml:space="preserve">第三篇 </w:t>
          </w:r>
          <w:r>
            <w:rPr>
              <w:rFonts w:hint="eastAsia" w:ascii="宋体" w:hAnsi="宋体" w:eastAsia="宋体" w:cs="宋体"/>
              <w:sz w:val="30"/>
              <w:szCs w:val="30"/>
              <w:highlight w:val="none"/>
            </w:rPr>
            <w:t>用户需求</w:t>
          </w:r>
          <w:r>
            <w:rPr>
              <w:rFonts w:hint="eastAsia" w:ascii="宋体" w:hAnsi="宋体" w:eastAsia="宋体" w:cs="宋体"/>
              <w:sz w:val="30"/>
              <w:szCs w:val="30"/>
            </w:rPr>
            <w:tab/>
          </w:r>
          <w:r>
            <w:rPr>
              <w:rFonts w:hint="eastAsia" w:ascii="宋体" w:hAnsi="宋体" w:cs="宋体"/>
              <w:sz w:val="30"/>
              <w:szCs w:val="30"/>
              <w:lang w:val="en-US" w:eastAsia="zh-CN"/>
            </w:rPr>
            <w:t>5</w:t>
          </w:r>
          <w:r>
            <w:rPr>
              <w:rFonts w:hint="eastAsia" w:ascii="宋体" w:hAnsi="宋体" w:eastAsia="宋体" w:cs="宋体"/>
              <w:sz w:val="30"/>
              <w:szCs w:val="30"/>
              <w:highlight w:val="none"/>
            </w:rPr>
            <w:fldChar w:fldCharType="end"/>
          </w:r>
        </w:p>
        <w:p w14:paraId="4875EC68">
          <w:pPr>
            <w:pStyle w:val="56"/>
            <w:tabs>
              <w:tab w:val="right" w:leader="dot" w:pos="8306"/>
            </w:tabs>
            <w:spacing w:line="720" w:lineRule="auto"/>
            <w:rPr>
              <w:rFonts w:hint="eastAsia" w:ascii="宋体" w:hAnsi="宋体" w:eastAsia="宋体" w:cs="宋体"/>
              <w:sz w:val="30"/>
              <w:szCs w:val="30"/>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_Toc10170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w:t>
          </w:r>
          <w:r>
            <w:rPr>
              <w:rFonts w:hint="eastAsia" w:ascii="宋体" w:hAnsi="宋体" w:cs="宋体"/>
              <w:sz w:val="30"/>
              <w:szCs w:val="30"/>
              <w:highlight w:val="none"/>
              <w:lang w:val="en-US" w:eastAsia="zh-CN"/>
            </w:rPr>
            <w:t>四篇</w:t>
          </w:r>
          <w:r>
            <w:rPr>
              <w:rFonts w:hint="eastAsia" w:ascii="宋体" w:hAnsi="宋体" w:eastAsia="宋体" w:cs="宋体"/>
              <w:sz w:val="30"/>
              <w:szCs w:val="30"/>
              <w:highlight w:val="none"/>
            </w:rPr>
            <w:t xml:space="preserve"> 合同条款</w:t>
          </w:r>
          <w:r>
            <w:rPr>
              <w:rFonts w:hint="eastAsia" w:ascii="宋体" w:hAnsi="宋体" w:eastAsia="宋体" w:cs="宋体"/>
              <w:sz w:val="30"/>
              <w:szCs w:val="30"/>
            </w:rPr>
            <w:tab/>
          </w:r>
          <w:r>
            <w:rPr>
              <w:rFonts w:hint="eastAsia" w:ascii="宋体" w:hAnsi="宋体" w:cs="宋体"/>
              <w:sz w:val="30"/>
              <w:szCs w:val="30"/>
              <w:lang w:val="en-US" w:eastAsia="zh-CN"/>
            </w:rPr>
            <w:t>7</w:t>
          </w:r>
          <w:r>
            <w:rPr>
              <w:rFonts w:hint="eastAsia" w:ascii="宋体" w:hAnsi="宋体" w:eastAsia="宋体" w:cs="宋体"/>
              <w:sz w:val="30"/>
              <w:szCs w:val="30"/>
              <w:highlight w:val="none"/>
            </w:rPr>
            <w:fldChar w:fldCharType="end"/>
          </w:r>
        </w:p>
        <w:p w14:paraId="11199FBC">
          <w:pPr>
            <w:pStyle w:val="56"/>
            <w:tabs>
              <w:tab w:val="right" w:leader="dot" w:pos="8306"/>
            </w:tabs>
            <w:spacing w:line="720" w:lineRule="auto"/>
            <w:rPr>
              <w:rFonts w:hint="eastAsia" w:ascii="宋体" w:hAnsi="宋体" w:eastAsia="宋体" w:cs="宋体"/>
              <w:sz w:val="30"/>
              <w:szCs w:val="30"/>
              <w:lang w:val="en-US" w:eastAsia="zh-CN"/>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_Toc10703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第五</w:t>
          </w:r>
          <w:r>
            <w:rPr>
              <w:rFonts w:hint="eastAsia" w:ascii="宋体" w:hAnsi="宋体" w:cs="宋体"/>
              <w:sz w:val="30"/>
              <w:szCs w:val="30"/>
              <w:highlight w:val="none"/>
              <w:lang w:val="en-US" w:eastAsia="zh-CN"/>
            </w:rPr>
            <w:t>篇</w:t>
          </w:r>
          <w:r>
            <w:rPr>
              <w:rFonts w:hint="eastAsia" w:ascii="宋体" w:hAnsi="宋体" w:eastAsia="宋体" w:cs="宋体"/>
              <w:sz w:val="30"/>
              <w:szCs w:val="30"/>
              <w:highlight w:val="none"/>
            </w:rPr>
            <w:t xml:space="preserve"> 报价文件（格式）</w:t>
          </w:r>
          <w:r>
            <w:rPr>
              <w:rFonts w:hint="eastAsia" w:ascii="宋体" w:hAnsi="宋体" w:eastAsia="宋体" w:cs="宋体"/>
              <w:sz w:val="30"/>
              <w:szCs w:val="30"/>
            </w:rPr>
            <w:tab/>
          </w:r>
          <w:r>
            <w:rPr>
              <w:rFonts w:hint="eastAsia" w:ascii="宋体" w:hAnsi="宋体" w:cs="宋体"/>
              <w:sz w:val="30"/>
              <w:szCs w:val="30"/>
              <w:lang w:val="en-US" w:eastAsia="zh-CN"/>
            </w:rPr>
            <w:t>1</w:t>
          </w:r>
          <w:r>
            <w:rPr>
              <w:rFonts w:hint="eastAsia" w:ascii="宋体" w:hAnsi="宋体" w:eastAsia="宋体" w:cs="宋体"/>
              <w:sz w:val="30"/>
              <w:szCs w:val="30"/>
              <w:highlight w:val="none"/>
            </w:rPr>
            <w:fldChar w:fldCharType="end"/>
          </w:r>
          <w:r>
            <w:rPr>
              <w:rFonts w:hint="eastAsia" w:ascii="宋体" w:hAnsi="宋体" w:cs="宋体"/>
              <w:sz w:val="30"/>
              <w:szCs w:val="30"/>
              <w:highlight w:val="none"/>
              <w:lang w:val="en-US" w:eastAsia="zh-CN"/>
            </w:rPr>
            <w:t>3</w:t>
          </w:r>
        </w:p>
        <w:p w14:paraId="05905E16">
          <w:pPr>
            <w:pStyle w:val="3"/>
            <w:spacing w:line="720" w:lineRule="auto"/>
            <w:rPr>
              <w:rFonts w:hint="default" w:ascii="Times New Roman" w:hAnsi="Times New Roman" w:eastAsia="宋体" w:cs="Times New Roman"/>
              <w:sz w:val="24"/>
              <w:szCs w:val="32"/>
              <w:highlight w:val="none"/>
              <w:lang w:val="en-US" w:eastAsia="zh-CN" w:bidi="ar-SA"/>
            </w:rPr>
          </w:pPr>
          <w:r>
            <w:rPr>
              <w:rFonts w:hint="eastAsia" w:ascii="宋体" w:hAnsi="宋体" w:eastAsia="宋体" w:cs="宋体"/>
              <w:sz w:val="30"/>
              <w:szCs w:val="30"/>
              <w:highlight w:val="none"/>
            </w:rPr>
            <w:fldChar w:fldCharType="end"/>
          </w:r>
        </w:p>
      </w:sdtContent>
    </w:sdt>
    <w:p w14:paraId="06D890AE">
      <w:pPr>
        <w:pStyle w:val="3"/>
        <w:rPr>
          <w:rFonts w:hint="default" w:ascii="Times New Roman" w:hAnsi="Times New Roman" w:eastAsia="宋体" w:cs="Times New Roman"/>
          <w:sz w:val="24"/>
          <w:szCs w:val="32"/>
          <w:highlight w:val="none"/>
          <w:lang w:val="zh-CN" w:eastAsia="zh-CN" w:bidi="ar-SA"/>
        </w:rPr>
      </w:pPr>
    </w:p>
    <w:p w14:paraId="7C6D3429">
      <w:pPr>
        <w:pStyle w:val="15"/>
        <w:spacing w:before="0" w:after="0" w:line="312" w:lineRule="auto"/>
        <w:ind w:left="158"/>
        <w:rPr>
          <w:rFonts w:asciiTheme="minorEastAsia" w:hAnsiTheme="minorEastAsia" w:eastAsiaTheme="minorEastAsia"/>
          <w:bCs/>
          <w:color w:val="auto"/>
          <w:szCs w:val="21"/>
          <w:highlight w:val="none"/>
          <w:lang w:val="zh-CN"/>
        </w:rPr>
      </w:pPr>
    </w:p>
    <w:p w14:paraId="6770E0A1">
      <w:pPr>
        <w:rPr>
          <w:rFonts w:asciiTheme="minorEastAsia" w:hAnsiTheme="minorEastAsia" w:eastAsiaTheme="minorEastAsia"/>
          <w:bCs/>
          <w:color w:val="auto"/>
          <w:szCs w:val="21"/>
          <w:highlight w:val="none"/>
          <w:lang w:val="zh-CN"/>
        </w:rPr>
      </w:pPr>
    </w:p>
    <w:p w14:paraId="07689457">
      <w:pPr>
        <w:pStyle w:val="2"/>
        <w:rPr>
          <w:rFonts w:hint="eastAsia"/>
          <w:lang w:val="zh-CN"/>
        </w:rPr>
      </w:pPr>
    </w:p>
    <w:p w14:paraId="5FEDB421">
      <w:pPr>
        <w:rPr>
          <w:rFonts w:hint="eastAsia" w:ascii="宋体" w:hAnsi="宋体"/>
          <w:color w:val="auto"/>
          <w:sz w:val="30"/>
          <w:szCs w:val="30"/>
          <w:highlight w:val="none"/>
          <w:lang w:val="zh-CN"/>
        </w:rPr>
      </w:pPr>
      <w:bookmarkStart w:id="1" w:name="_Toc2241"/>
      <w:r>
        <w:rPr>
          <w:rFonts w:hint="eastAsia" w:ascii="宋体" w:hAnsi="宋体"/>
          <w:color w:val="auto"/>
          <w:sz w:val="30"/>
          <w:szCs w:val="30"/>
          <w:highlight w:val="none"/>
          <w:lang w:val="zh-CN"/>
        </w:rPr>
        <w:br w:type="page"/>
      </w:r>
    </w:p>
    <w:p w14:paraId="578371B4">
      <w:pPr>
        <w:pStyle w:val="17"/>
        <w:spacing w:before="0" w:after="0" w:line="360" w:lineRule="auto"/>
        <w:rPr>
          <w:rFonts w:ascii="宋体" w:hAnsi="宋体"/>
          <w:color w:val="auto"/>
          <w:highlight w:val="none"/>
          <w:lang w:val="zh-CN"/>
        </w:rPr>
      </w:pPr>
      <w:r>
        <w:rPr>
          <w:rFonts w:hint="eastAsia" w:ascii="宋体" w:hAnsi="宋体"/>
          <w:color w:val="auto"/>
          <w:sz w:val="30"/>
          <w:szCs w:val="30"/>
          <w:highlight w:val="none"/>
          <w:lang w:val="zh-CN"/>
        </w:rPr>
        <w:t>第一篇 报价邀请函</w:t>
      </w:r>
      <w:bookmarkEnd w:id="1"/>
    </w:p>
    <w:p w14:paraId="13B5F488">
      <w:pPr>
        <w:spacing w:line="360" w:lineRule="auto"/>
        <w:rPr>
          <w:rFonts w:hint="default" w:ascii="Times New Roman" w:hAnsi="Times New Roman" w:cs="Times New Roman"/>
          <w:highlight w:val="none"/>
        </w:rPr>
      </w:pPr>
      <w:r>
        <w:rPr>
          <w:rFonts w:hint="default" w:ascii="Times New Roman" w:hAnsi="Times New Roman" w:cs="Times New Roman"/>
          <w:highlight w:val="none"/>
        </w:rPr>
        <w:t>各供应商：</w:t>
      </w:r>
    </w:p>
    <w:p w14:paraId="34F1BDD7">
      <w:pPr>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highlight w:val="none"/>
        </w:rPr>
        <w:t>我公司的</w:t>
      </w:r>
      <w:r>
        <w:rPr>
          <w:rFonts w:hint="default" w:ascii="Times New Roman" w:hAnsi="Times New Roman" w:cs="Times New Roman"/>
          <w:highlight w:val="none"/>
          <w:u w:val="single"/>
        </w:rPr>
        <w:t>“</w:t>
      </w:r>
      <w:bookmarkStart w:id="2" w:name="OLE_LINK5"/>
      <w:r>
        <w:rPr>
          <w:rFonts w:hint="eastAsia"/>
          <w:highlight w:val="none"/>
          <w:u w:val="single"/>
        </w:rPr>
        <w:t>东莞市福地饮用水有限公司202</w:t>
      </w:r>
      <w:r>
        <w:rPr>
          <w:rFonts w:hint="eastAsia"/>
          <w:highlight w:val="none"/>
          <w:u w:val="single"/>
          <w:lang w:val="en-US" w:eastAsia="zh-CN"/>
        </w:rPr>
        <w:t>6</w:t>
      </w:r>
      <w:r>
        <w:rPr>
          <w:rFonts w:hint="eastAsia"/>
          <w:highlight w:val="none"/>
          <w:u w:val="single"/>
        </w:rPr>
        <w:t>年包装水物流配送服务</w:t>
      </w:r>
      <w:r>
        <w:rPr>
          <w:rFonts w:hint="eastAsia"/>
          <w:highlight w:val="none"/>
          <w:u w:val="single"/>
          <w:lang w:val="en-US" w:eastAsia="zh-CN"/>
        </w:rPr>
        <w:t>采购</w:t>
      </w:r>
      <w:r>
        <w:rPr>
          <w:rFonts w:hint="eastAsia"/>
          <w:highlight w:val="none"/>
          <w:u w:val="single"/>
        </w:rPr>
        <w:t>项目</w:t>
      </w:r>
      <w:bookmarkEnd w:id="2"/>
      <w:r>
        <w:rPr>
          <w:rFonts w:hint="default" w:ascii="Times New Roman" w:hAnsi="Times New Roman" w:cs="Times New Roman"/>
          <w:highlight w:val="none"/>
          <w:u w:val="single"/>
        </w:rPr>
        <w:t>”</w:t>
      </w:r>
      <w:r>
        <w:rPr>
          <w:rFonts w:hint="default" w:ascii="Times New Roman" w:hAnsi="Times New Roman" w:cs="Times New Roman"/>
          <w:highlight w:val="none"/>
        </w:rPr>
        <w:t>正式开展，现邀请贵司参与本项目的询价采购。具体采购信息如下：</w:t>
      </w:r>
    </w:p>
    <w:p w14:paraId="35FE5478">
      <w:pPr>
        <w:spacing w:line="360" w:lineRule="auto"/>
        <w:ind w:firstLine="371" w:firstLineChars="177"/>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一、采购项目编号</w:t>
      </w:r>
      <w:r>
        <w:rPr>
          <w:rFonts w:hint="default" w:ascii="Times New Roman" w:hAnsi="Times New Roman" w:cs="Times New Roman"/>
          <w:color w:val="000000" w:themeColor="text1"/>
          <w:highlight w:val="none"/>
          <w14:textFill>
            <w14:solidFill>
              <w14:schemeClr w14:val="tx1"/>
            </w14:solidFill>
          </w14:textFill>
        </w:rPr>
        <w:t>：FDCG20260006</w:t>
      </w:r>
      <w:r>
        <w:rPr>
          <w:rFonts w:hint="eastAsia" w:cs="Times New Roman"/>
          <w:color w:val="000000" w:themeColor="text1"/>
          <w:highlight w:val="none"/>
          <w:lang w:val="en-US" w:eastAsia="zh-CN"/>
          <w14:textFill>
            <w14:solidFill>
              <w14:schemeClr w14:val="tx1"/>
            </w14:solidFill>
          </w14:textFill>
        </w:rPr>
        <w:t xml:space="preserve">             </w:t>
      </w:r>
    </w:p>
    <w:p w14:paraId="17A5E6C4">
      <w:pPr>
        <w:spacing w:line="360" w:lineRule="auto"/>
        <w:ind w:firstLine="371" w:firstLineChars="177"/>
        <w:rPr>
          <w:rFonts w:hint="eastAsia" w:ascii="Times New Roman"/>
          <w:lang w:val="en-US" w:eastAsia="zh-CN"/>
        </w:rPr>
      </w:pPr>
      <w:r>
        <w:rPr>
          <w:rFonts w:hint="default" w:ascii="Times New Roman" w:hAnsi="Times New Roman" w:cs="Times New Roman"/>
          <w:highlight w:val="none"/>
        </w:rPr>
        <w:t>二、采购项目名称：</w:t>
      </w:r>
      <w:r>
        <w:rPr>
          <w:rFonts w:hint="default" w:ascii="Times New Roman" w:hAnsi="Times New Roman" w:eastAsia="宋体" w:cs="Times New Roman"/>
          <w:b w:val="0"/>
          <w:bCs w:val="0"/>
          <w:sz w:val="21"/>
          <w:szCs w:val="24"/>
          <w:highlight w:val="none"/>
          <w:u w:val="none"/>
        </w:rPr>
        <w:t>东莞市福地饮用水有限公司202</w:t>
      </w:r>
      <w:r>
        <w:rPr>
          <w:rFonts w:hint="eastAsia" w:cs="Times New Roman"/>
          <w:b w:val="0"/>
          <w:bCs w:val="0"/>
          <w:sz w:val="21"/>
          <w:szCs w:val="24"/>
          <w:highlight w:val="none"/>
          <w:u w:val="none"/>
          <w:lang w:val="en-US" w:eastAsia="zh-CN"/>
        </w:rPr>
        <w:t>6</w:t>
      </w:r>
      <w:r>
        <w:rPr>
          <w:rFonts w:hint="default" w:ascii="Times New Roman" w:hAnsi="Times New Roman" w:eastAsia="宋体" w:cs="Times New Roman"/>
          <w:b w:val="0"/>
          <w:bCs w:val="0"/>
          <w:sz w:val="21"/>
          <w:szCs w:val="24"/>
          <w:highlight w:val="none"/>
          <w:u w:val="none"/>
        </w:rPr>
        <w:t>年包装水物流配送服务采购项目</w:t>
      </w:r>
    </w:p>
    <w:p w14:paraId="1B379737">
      <w:pPr>
        <w:spacing w:line="360" w:lineRule="auto"/>
        <w:ind w:firstLine="371" w:firstLineChars="177"/>
        <w:rPr>
          <w:rFonts w:hint="default"/>
          <w:lang w:eastAsia="zh-CN"/>
        </w:rPr>
      </w:pPr>
      <w:r>
        <w:rPr>
          <w:rFonts w:hint="eastAsia" w:ascii="Times New Roman"/>
          <w:lang w:val="en-US" w:eastAsia="zh-CN"/>
        </w:rPr>
        <w:t>三</w:t>
      </w:r>
      <w:r>
        <w:rPr>
          <w:rFonts w:ascii="Times New Roman"/>
        </w:rPr>
        <w:t>、采购预算：</w:t>
      </w:r>
      <w:bookmarkStart w:id="3" w:name="_Hlk40436243"/>
      <w:r>
        <w:rPr>
          <w:rFonts w:ascii="Times New Roman"/>
          <w:b/>
          <w:bCs/>
          <w:color w:val="FF0000"/>
        </w:rPr>
        <w:t>不含税</w:t>
      </w:r>
      <w:r>
        <w:rPr>
          <w:rFonts w:hint="eastAsia" w:ascii="Times New Roman"/>
          <w:b/>
          <w:bCs/>
          <w:color w:val="FF0000"/>
        </w:rPr>
        <w:t>预算单价为</w:t>
      </w:r>
      <w:r>
        <w:rPr>
          <w:rFonts w:hint="eastAsia"/>
          <w:b/>
          <w:bCs/>
          <w:color w:val="FF0000"/>
          <w:lang w:val="en-US" w:eastAsia="zh-CN"/>
        </w:rPr>
        <w:t>4.54</w:t>
      </w:r>
      <w:r>
        <w:rPr>
          <w:rFonts w:hint="eastAsia" w:ascii="Times New Roman" w:hAnsi="Times New Roman" w:eastAsia="宋体" w:cs="Times New Roman"/>
          <w:b/>
          <w:bCs/>
          <w:color w:val="FF0000"/>
          <w:szCs w:val="24"/>
          <w:u w:val="none"/>
          <w:shd w:val="clear"/>
          <w:lang w:val="en-US" w:eastAsia="zh-CN"/>
        </w:rPr>
        <w:t>元/件</w:t>
      </w:r>
      <w:r>
        <w:rPr>
          <w:rFonts w:hint="eastAsia" w:ascii="Times New Roman"/>
          <w:b/>
          <w:bCs/>
          <w:color w:val="FF0000"/>
        </w:rPr>
        <w:t>（大写</w:t>
      </w:r>
      <w:r>
        <w:rPr>
          <w:rFonts w:hint="eastAsia"/>
          <w:b/>
          <w:bCs/>
          <w:color w:val="FF0000"/>
          <w:lang w:val="en-US" w:eastAsia="zh-CN"/>
        </w:rPr>
        <w:t>肆元伍角肆分</w:t>
      </w:r>
      <w:r>
        <w:rPr>
          <w:rFonts w:hint="eastAsia" w:ascii="Times New Roman"/>
          <w:b/>
          <w:bCs/>
          <w:color w:val="FF0000"/>
        </w:rPr>
        <w:t>）</w:t>
      </w:r>
      <w:r>
        <w:rPr>
          <w:rFonts w:ascii="Times New Roman"/>
          <w:b/>
          <w:bCs/>
          <w:color w:val="FF0000"/>
        </w:rPr>
        <w:t>。</w:t>
      </w:r>
      <w:bookmarkEnd w:id="3"/>
    </w:p>
    <w:p w14:paraId="04C15A9E">
      <w:pPr>
        <w:spacing w:line="360" w:lineRule="auto"/>
        <w:ind w:firstLine="371" w:firstLineChars="177"/>
        <w:rPr>
          <w:rFonts w:hint="default" w:ascii="Times New Roman" w:hAnsi="Times New Roman" w:cs="Times New Roman"/>
          <w:highlight w:val="none"/>
        </w:rPr>
      </w:pPr>
      <w:r>
        <w:rPr>
          <w:rFonts w:hint="eastAsia" w:ascii="Times New Roman" w:cs="Times New Roman"/>
          <w:highlight w:val="none"/>
          <w:lang w:val="en-US" w:eastAsia="zh-CN"/>
        </w:rPr>
        <w:t>四</w:t>
      </w:r>
      <w:r>
        <w:rPr>
          <w:rFonts w:hint="default" w:ascii="Times New Roman" w:hAnsi="Times New Roman" w:cs="Times New Roman"/>
          <w:highlight w:val="none"/>
        </w:rPr>
        <w:t>、采购内容：</w:t>
      </w:r>
      <w:r>
        <w:rPr>
          <w:rFonts w:hint="eastAsia" w:ascii="Times New Roman" w:cs="Times New Roman"/>
          <w:highlight w:val="none"/>
          <w:u w:val="single"/>
          <w:lang w:eastAsia="zh-CN"/>
        </w:rPr>
        <w:t>物流配送服务</w:t>
      </w:r>
      <w:r>
        <w:rPr>
          <w:rFonts w:hint="default" w:ascii="Times New Roman" w:hAnsi="Times New Roman" w:cs="Times New Roman"/>
          <w:highlight w:val="none"/>
        </w:rPr>
        <w:t>（具体详见用户需求书）。</w:t>
      </w:r>
    </w:p>
    <w:p w14:paraId="104BF417">
      <w:pPr>
        <w:spacing w:line="360" w:lineRule="auto"/>
        <w:ind w:firstLine="371" w:firstLineChars="177"/>
        <w:rPr>
          <w:rFonts w:hint="eastAsia" w:ascii="Times New Roman" w:hAnsi="Times New Roman" w:eastAsia="宋体" w:cs="Times New Roman"/>
          <w:highlight w:val="none"/>
          <w:lang w:eastAsia="zh-CN"/>
        </w:rPr>
      </w:pPr>
      <w:r>
        <w:rPr>
          <w:rFonts w:hint="eastAsia" w:ascii="Times New Roman" w:cs="Times New Roman"/>
          <w:highlight w:val="none"/>
          <w:lang w:val="en-US" w:eastAsia="zh-CN"/>
        </w:rPr>
        <w:t>五</w:t>
      </w:r>
      <w:r>
        <w:rPr>
          <w:rFonts w:hint="default" w:ascii="Times New Roman" w:hAnsi="Times New Roman" w:cs="Times New Roman"/>
          <w:highlight w:val="none"/>
        </w:rPr>
        <w:t>、成交原则：本项目采用阶梯式报价，</w:t>
      </w:r>
      <w:r>
        <w:rPr>
          <w:rFonts w:hint="eastAsia" w:cs="Times New Roman"/>
          <w:highlight w:val="none"/>
          <w:lang w:val="en-US" w:eastAsia="zh-CN"/>
        </w:rPr>
        <w:t>各梯度</w:t>
      </w:r>
      <w:r>
        <w:rPr>
          <w:rFonts w:hint="default" w:ascii="Times New Roman" w:hAnsi="Times New Roman" w:cs="Times New Roman"/>
          <w:highlight w:val="none"/>
        </w:rPr>
        <w:t>报价最高限价为</w:t>
      </w:r>
      <w:r>
        <w:rPr>
          <w:rFonts w:hint="eastAsia" w:cs="Times New Roman"/>
          <w:highlight w:val="none"/>
          <w:lang w:val="en-US" w:eastAsia="zh-CN"/>
        </w:rPr>
        <w:t>4.54元/件</w:t>
      </w:r>
      <w:r>
        <w:rPr>
          <w:rFonts w:hint="default" w:ascii="Times New Roman" w:hAnsi="Times New Roman" w:cs="Times New Roman"/>
          <w:highlight w:val="none"/>
        </w:rPr>
        <w:t>，从实质性满足采购需求的供应商中，根据预估业务占比，按加权平均法不含税报价排序，报价最低</w:t>
      </w:r>
      <w:r>
        <w:rPr>
          <w:rFonts w:hint="eastAsia" w:cs="Times New Roman"/>
          <w:highlight w:val="none"/>
          <w:lang w:val="en-US" w:eastAsia="zh-CN"/>
        </w:rPr>
        <w:t>的</w:t>
      </w:r>
      <w:r>
        <w:rPr>
          <w:rFonts w:hint="default" w:ascii="Times New Roman" w:hAnsi="Times New Roman" w:cs="Times New Roman"/>
          <w:highlight w:val="none"/>
        </w:rPr>
        <w:t>供应商确定为本项目成交供应商</w:t>
      </w:r>
      <w:r>
        <w:rPr>
          <w:rFonts w:hint="eastAsia" w:cs="Times New Roman"/>
          <w:highlight w:val="none"/>
          <w:lang w:eastAsia="zh-CN"/>
        </w:rPr>
        <w:t>；</w:t>
      </w:r>
      <w:r>
        <w:rPr>
          <w:rFonts w:hint="default" w:ascii="Times New Roman" w:hAnsi="Times New Roman" w:cs="Times New Roman"/>
          <w:highlight w:val="none"/>
        </w:rPr>
        <w:t>若加权平均不含税报价相同，按预估业务占比从高到低的梯度依次比对报价，以对应梯度报价更低者确定</w:t>
      </w:r>
      <w:r>
        <w:rPr>
          <w:rFonts w:hint="eastAsia" w:cs="Times New Roman"/>
          <w:highlight w:val="none"/>
          <w:lang w:val="en-US" w:eastAsia="zh-CN"/>
        </w:rPr>
        <w:t>为</w:t>
      </w:r>
      <w:r>
        <w:rPr>
          <w:rFonts w:hint="default" w:ascii="Times New Roman" w:hAnsi="Times New Roman" w:cs="Times New Roman"/>
          <w:highlight w:val="none"/>
        </w:rPr>
        <w:t>成交供应商</w:t>
      </w:r>
      <w:r>
        <w:rPr>
          <w:rFonts w:hint="eastAsia" w:cs="Times New Roman"/>
          <w:highlight w:val="none"/>
          <w:lang w:eastAsia="zh-CN"/>
        </w:rPr>
        <w:t>。</w:t>
      </w:r>
    </w:p>
    <w:p w14:paraId="555601DA">
      <w:pPr>
        <w:spacing w:line="360" w:lineRule="auto"/>
        <w:ind w:firstLine="371" w:firstLineChars="177"/>
        <w:rPr>
          <w:rFonts w:hint="eastAsia" w:ascii="宋体" w:hAnsi="宋体" w:eastAsia="宋体" w:cs="宋体"/>
          <w:b w:val="0"/>
          <w:bCs w:val="0"/>
          <w:color w:val="000000" w:themeColor="text1"/>
          <w:highlight w:val="none"/>
          <w14:textFill>
            <w14:solidFill>
              <w14:schemeClr w14:val="tx1"/>
            </w14:solidFill>
          </w14:textFill>
        </w:rPr>
      </w:pPr>
      <w:r>
        <w:rPr>
          <w:rFonts w:hint="eastAsia" w:hAnsi="宋体" w:cs="宋体"/>
          <w:b w:val="0"/>
          <w:bCs w:val="0"/>
          <w:color w:val="000000" w:themeColor="text1"/>
          <w:highlight w:val="none"/>
          <w:lang w:val="en-US" w:eastAsia="zh-CN"/>
          <w14:textFill>
            <w14:solidFill>
              <w14:schemeClr w14:val="tx1"/>
            </w14:solidFill>
          </w14:textFill>
        </w:rPr>
        <w:t>六</w:t>
      </w:r>
      <w:r>
        <w:rPr>
          <w:rFonts w:hint="eastAsia" w:ascii="宋体" w:hAnsi="宋体" w:eastAsia="宋体" w:cs="宋体"/>
          <w:b w:val="0"/>
          <w:bCs w:val="0"/>
          <w:color w:val="000000" w:themeColor="text1"/>
          <w:highlight w:val="none"/>
          <w14:textFill>
            <w14:solidFill>
              <w14:schemeClr w14:val="tx1"/>
            </w14:solidFill>
          </w14:textFill>
        </w:rPr>
        <w:t>、成交供应商的合作角色按以下规则确定：</w:t>
      </w:r>
    </w:p>
    <w:p w14:paraId="2DF0D338">
      <w:pPr>
        <w:spacing w:line="360" w:lineRule="auto"/>
        <w:ind w:firstLine="371" w:firstLineChars="177"/>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（1）若成交供应商加权平均不含税报价低于</w:t>
      </w:r>
      <w:r>
        <w:rPr>
          <w:rFonts w:hint="eastAsia" w:ascii="宋体" w:hAnsi="宋体" w:cs="宋体"/>
          <w:b w:val="0"/>
          <w:bCs w:val="0"/>
          <w:color w:val="000000" w:themeColor="text1"/>
          <w:highlight w:val="none"/>
          <w:lang w:val="en-US" w:eastAsia="zh-CN"/>
          <w14:textFill>
            <w14:solidFill>
              <w14:schemeClr w14:val="tx1"/>
            </w14:solidFill>
          </w14:textFill>
        </w:rPr>
        <w:t>我司现有</w:t>
      </w:r>
      <w:r>
        <w:rPr>
          <w:rFonts w:hint="eastAsia" w:ascii="宋体" w:hAnsi="宋体" w:eastAsia="宋体" w:cs="宋体"/>
          <w:b w:val="0"/>
          <w:bCs w:val="0"/>
          <w:color w:val="000000" w:themeColor="text1"/>
          <w:highlight w:val="none"/>
          <w14:textFill>
            <w14:solidFill>
              <w14:schemeClr w14:val="tx1"/>
            </w14:solidFill>
          </w14:textFill>
        </w:rPr>
        <w:t>核心物流商报价，且服务能力满足项目履约要求，确定为本项目核心物流商，与</w:t>
      </w:r>
      <w:r>
        <w:rPr>
          <w:rFonts w:hint="eastAsia" w:ascii="宋体" w:hAnsi="宋体" w:cs="宋体"/>
          <w:b w:val="0"/>
          <w:bCs w:val="0"/>
          <w:color w:val="000000" w:themeColor="text1"/>
          <w:highlight w:val="none"/>
          <w:lang w:val="en-US" w:eastAsia="zh-CN"/>
          <w14:textFill>
            <w14:solidFill>
              <w14:schemeClr w14:val="tx1"/>
            </w14:solidFill>
          </w14:textFill>
        </w:rPr>
        <w:t>我司</w:t>
      </w:r>
      <w:r>
        <w:rPr>
          <w:rFonts w:hint="eastAsia" w:ascii="宋体" w:hAnsi="宋体" w:eastAsia="宋体" w:cs="宋体"/>
          <w:b w:val="0"/>
          <w:bCs w:val="0"/>
          <w:color w:val="000000" w:themeColor="text1"/>
          <w:highlight w:val="none"/>
          <w14:textFill>
            <w14:solidFill>
              <w14:schemeClr w14:val="tx1"/>
            </w14:solidFill>
          </w14:textFill>
        </w:rPr>
        <w:t>形成核心服务合作模式；</w:t>
      </w:r>
    </w:p>
    <w:p w14:paraId="11BA8CB0">
      <w:pPr>
        <w:spacing w:line="360" w:lineRule="auto"/>
        <w:ind w:firstLine="371" w:firstLineChars="177"/>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（2）若成交供应商加权平均不含税报价不低于</w:t>
      </w:r>
      <w:r>
        <w:rPr>
          <w:rFonts w:hint="eastAsia" w:ascii="宋体" w:hAnsi="宋体" w:cs="宋体"/>
          <w:b w:val="0"/>
          <w:bCs w:val="0"/>
          <w:color w:val="000000" w:themeColor="text1"/>
          <w:highlight w:val="none"/>
          <w:lang w:val="en-US" w:eastAsia="zh-CN"/>
          <w14:textFill>
            <w14:solidFill>
              <w14:schemeClr w14:val="tx1"/>
            </w14:solidFill>
          </w14:textFill>
        </w:rPr>
        <w:t>我司</w:t>
      </w:r>
      <w:r>
        <w:rPr>
          <w:rFonts w:hint="eastAsia" w:ascii="宋体" w:hAnsi="宋体" w:eastAsia="宋体" w:cs="宋体"/>
          <w:b w:val="0"/>
          <w:bCs w:val="0"/>
          <w:color w:val="000000" w:themeColor="text1"/>
          <w:highlight w:val="none"/>
          <w14:textFill>
            <w14:solidFill>
              <w14:schemeClr w14:val="tx1"/>
            </w14:solidFill>
          </w14:textFill>
        </w:rPr>
        <w:t>现有核心物流商报价，确定为本项目备用物流商，与现有核心物流商形成“核心+备用”双供应商协作模式；</w:t>
      </w:r>
    </w:p>
    <w:p w14:paraId="51E50CE3">
      <w:pPr>
        <w:spacing w:line="360" w:lineRule="auto"/>
        <w:ind w:firstLine="371" w:firstLineChars="177"/>
        <w:rPr>
          <w:rFonts w:hint="eastAsia" w:ascii="宋体" w:hAnsi="宋体" w:eastAsia="宋体" w:cs="宋体"/>
          <w:b w:val="0"/>
          <w:bCs w:val="0"/>
          <w:color w:val="000000" w:themeColor="text1"/>
          <w:highlight w:val="none"/>
          <w:lang w:eastAsia="zh-CN"/>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（3）</w:t>
      </w:r>
      <w:r>
        <w:rPr>
          <w:rFonts w:hint="eastAsia" w:ascii="宋体" w:hAnsi="宋体" w:cs="宋体"/>
          <w:b w:val="0"/>
          <w:bCs w:val="0"/>
          <w:color w:val="000000" w:themeColor="text1"/>
          <w:highlight w:val="none"/>
          <w:lang w:val="en-US" w:eastAsia="zh-CN"/>
          <w14:textFill>
            <w14:solidFill>
              <w14:schemeClr w14:val="tx1"/>
            </w14:solidFill>
          </w14:textFill>
        </w:rPr>
        <w:t>我司</w:t>
      </w:r>
      <w:r>
        <w:rPr>
          <w:rFonts w:hint="eastAsia" w:ascii="宋体" w:hAnsi="宋体" w:eastAsia="宋体" w:cs="宋体"/>
          <w:b w:val="0"/>
          <w:bCs w:val="0"/>
          <w:color w:val="000000" w:themeColor="text1"/>
          <w:highlight w:val="none"/>
          <w14:textFill>
            <w14:solidFill>
              <w14:schemeClr w14:val="tx1"/>
            </w14:solidFill>
          </w14:textFill>
        </w:rPr>
        <w:t>可根据实际需求及供应商综合能力</w:t>
      </w:r>
      <w:r>
        <w:rPr>
          <w:rFonts w:hint="eastAsia" w:ascii="宋体" w:hAnsi="宋体" w:cs="宋体"/>
          <w:b w:val="0"/>
          <w:bCs w:val="0"/>
          <w:color w:val="000000" w:themeColor="text1"/>
          <w:highlight w:val="none"/>
          <w:lang w:val="en-US" w:eastAsia="zh-CN"/>
          <w14:textFill>
            <w14:solidFill>
              <w14:schemeClr w14:val="tx1"/>
            </w14:solidFill>
          </w14:textFill>
        </w:rPr>
        <w:t>与服务水平</w:t>
      </w:r>
      <w:r>
        <w:rPr>
          <w:rFonts w:hint="eastAsia" w:ascii="宋体" w:hAnsi="宋体" w:eastAsia="宋体" w:cs="宋体"/>
          <w:b w:val="0"/>
          <w:bCs w:val="0"/>
          <w:color w:val="000000" w:themeColor="text1"/>
          <w:highlight w:val="none"/>
          <w14:textFill>
            <w14:solidFill>
              <w14:schemeClr w14:val="tx1"/>
            </w14:solidFill>
          </w14:textFill>
        </w:rPr>
        <w:t>，确定是否形成双核心物流商合作模式</w:t>
      </w:r>
      <w:r>
        <w:rPr>
          <w:rFonts w:hint="eastAsia" w:ascii="宋体" w:hAnsi="宋体" w:cs="宋体"/>
          <w:b w:val="0"/>
          <w:bCs w:val="0"/>
          <w:color w:val="000000" w:themeColor="text1"/>
          <w:highlight w:val="none"/>
          <w:lang w:eastAsia="zh-CN"/>
          <w14:textFill>
            <w14:solidFill>
              <w14:schemeClr w14:val="tx1"/>
            </w14:solidFill>
          </w14:textFill>
        </w:rPr>
        <w:t>。</w:t>
      </w:r>
    </w:p>
    <w:p w14:paraId="03876A90">
      <w:pPr>
        <w:spacing w:line="360" w:lineRule="auto"/>
        <w:ind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、报价文件递交截止时间：</w:t>
      </w:r>
      <w:r>
        <w:rPr>
          <w:rFonts w:hint="eastAsia" w:ascii="宋体" w:hAnsi="宋体" w:eastAsia="宋体" w:cs="宋体"/>
          <w:color w:val="000000" w:themeColor="text1"/>
          <w:highlight w:val="none"/>
          <w:lang w:eastAsia="zh-CN"/>
          <w14:textFill>
            <w14:solidFill>
              <w14:schemeClr w14:val="tx1"/>
            </w14:solidFill>
          </w14:textFill>
        </w:rPr>
        <w:t>202</w:t>
      </w:r>
      <w:r>
        <w:rPr>
          <w:rFonts w:hint="eastAsia"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2</w:t>
      </w:r>
      <w:r>
        <w:rPr>
          <w:rFonts w:hint="eastAsia" w:hAnsi="宋体" w:cs="宋体"/>
          <w:color w:val="000000" w:themeColor="text1"/>
          <w:highlight w:val="none"/>
          <w:lang w:val="en-US" w:eastAsia="zh-CN"/>
          <w14:textFill>
            <w14:solidFill>
              <w14:schemeClr w14:val="tx1"/>
            </w14:solidFill>
          </w14:textFill>
        </w:rPr>
        <w:t>月12日9</w:t>
      </w:r>
      <w:r>
        <w:rPr>
          <w:rFonts w:hint="eastAsia" w:ascii="宋体" w:hAnsi="宋体" w:eastAsia="宋体" w:cs="宋体"/>
          <w:color w:val="000000" w:themeColor="text1"/>
          <w:highlight w:val="none"/>
          <w14:textFill>
            <w14:solidFill>
              <w14:schemeClr w14:val="tx1"/>
            </w14:solidFill>
          </w14:textFill>
        </w:rPr>
        <w:t>时</w:t>
      </w:r>
      <w:r>
        <w:rPr>
          <w:rFonts w:hint="eastAsia" w:hAnsi="宋体" w:cs="宋体"/>
          <w:color w:val="000000" w:themeColor="text1"/>
          <w:highlight w:val="none"/>
          <w:lang w:val="en-US" w:eastAsia="zh-CN"/>
          <w14:textFill>
            <w14:solidFill>
              <w14:schemeClr w14:val="tx1"/>
            </w14:solidFill>
          </w14:textFill>
        </w:rPr>
        <w:t>00分</w:t>
      </w:r>
      <w:r>
        <w:rPr>
          <w:rFonts w:hint="eastAsia" w:ascii="宋体" w:hAnsi="宋体" w:eastAsia="宋体" w:cs="宋体"/>
          <w:color w:val="000000" w:themeColor="text1"/>
          <w:highlight w:val="none"/>
          <w14:textFill>
            <w14:solidFill>
              <w14:schemeClr w14:val="tx1"/>
            </w14:solidFill>
          </w14:textFill>
        </w:rPr>
        <w:t>。</w:t>
      </w:r>
    </w:p>
    <w:p w14:paraId="20F29D48">
      <w:pPr>
        <w:spacing w:line="360" w:lineRule="auto"/>
        <w:ind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八</w:t>
      </w:r>
      <w:r>
        <w:rPr>
          <w:rFonts w:hint="eastAsia" w:ascii="宋体" w:hAnsi="宋体" w:eastAsia="宋体" w:cs="宋体"/>
          <w:color w:val="000000" w:themeColor="text1"/>
          <w:highlight w:val="none"/>
          <w14:textFill>
            <w14:solidFill>
              <w14:schemeClr w14:val="tx1"/>
            </w14:solidFill>
          </w14:textFill>
        </w:rPr>
        <w:t>、报价文件递交地点：</w:t>
      </w:r>
      <w:r>
        <w:rPr>
          <w:rFonts w:hint="eastAsia" w:ascii="宋体" w:hAnsi="宋体" w:eastAsia="宋体" w:cs="宋体"/>
          <w:color w:val="000000" w:themeColor="text1"/>
          <w:highlight w:val="none"/>
          <w:lang w:eastAsia="zh-CN"/>
          <w14:textFill>
            <w14:solidFill>
              <w14:schemeClr w14:val="tx1"/>
            </w14:solidFill>
          </w14:textFill>
        </w:rPr>
        <w:t>东莞市福地饮用水有限公司</w:t>
      </w:r>
      <w:r>
        <w:rPr>
          <w:rFonts w:hint="eastAsia" w:ascii="宋体" w:hAnsi="宋体" w:eastAsia="宋体" w:cs="宋体"/>
          <w:color w:val="000000" w:themeColor="text1"/>
          <w:highlight w:val="none"/>
          <w:lang w:val="en-US" w:eastAsia="zh-CN"/>
          <w14:textFill>
            <w14:solidFill>
              <w14:schemeClr w14:val="tx1"/>
            </w14:solidFill>
          </w14:textFill>
        </w:rPr>
        <w:t>生产仓储</w:t>
      </w:r>
      <w:r>
        <w:rPr>
          <w:rFonts w:hint="eastAsia" w:ascii="宋体" w:hAnsi="宋体" w:eastAsia="宋体" w:cs="宋体"/>
          <w:color w:val="000000" w:themeColor="text1"/>
          <w:highlight w:val="none"/>
          <w14:textFill>
            <w14:solidFill>
              <w14:schemeClr w14:val="tx1"/>
            </w14:solidFill>
          </w14:textFill>
        </w:rPr>
        <w:t>部。</w:t>
      </w:r>
    </w:p>
    <w:p w14:paraId="3E7AA860">
      <w:pPr>
        <w:spacing w:line="360" w:lineRule="auto"/>
        <w:ind w:firstLine="371" w:firstLineChars="177"/>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pPr>
      <w:r>
        <w:rPr>
          <w:rFonts w:hint="eastAsia" w:ascii="宋体" w:hAnsi="宋体" w:cs="宋体"/>
          <w:b w:val="0"/>
          <w:bCs w:val="0"/>
          <w:color w:val="000000" w:themeColor="text1"/>
          <w:sz w:val="21"/>
          <w:szCs w:val="24"/>
          <w:highlight w:val="none"/>
          <w:lang w:val="en-US" w:eastAsia="zh-CN"/>
          <w14:textFill>
            <w14:solidFill>
              <w14:schemeClr w14:val="tx1"/>
            </w14:solidFill>
          </w14:textFill>
        </w:rPr>
        <w:t>九</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、报价文件开封时间：202</w:t>
      </w:r>
      <w:r>
        <w:rPr>
          <w:rFonts w:hint="eastAsia" w:ascii="宋体" w:hAnsi="宋体" w:cs="宋体"/>
          <w:b w:val="0"/>
          <w:bCs w:val="0"/>
          <w:color w:val="000000" w:themeColor="text1"/>
          <w:sz w:val="21"/>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年</w:t>
      </w:r>
      <w:r>
        <w:rPr>
          <w:rFonts w:hint="eastAsia" w:ascii="宋体" w:hAnsi="宋体" w:cs="宋体"/>
          <w:b w:val="0"/>
          <w:bCs w:val="0"/>
          <w:color w:val="000000" w:themeColor="text1"/>
          <w:sz w:val="21"/>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月</w:t>
      </w:r>
      <w:r>
        <w:rPr>
          <w:rFonts w:hint="eastAsia" w:ascii="宋体" w:hAnsi="宋体" w:cs="宋体"/>
          <w:b w:val="0"/>
          <w:bCs w:val="0"/>
          <w:color w:val="000000" w:themeColor="text1"/>
          <w:sz w:val="21"/>
          <w:szCs w:val="24"/>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日</w:t>
      </w:r>
      <w:r>
        <w:rPr>
          <w:rFonts w:hint="eastAsia" w:ascii="宋体" w:hAnsi="宋体" w:cs="宋体"/>
          <w:b w:val="0"/>
          <w:bCs w:val="0"/>
          <w:color w:val="000000" w:themeColor="text1"/>
          <w:sz w:val="21"/>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时</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0分</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w:t>
      </w:r>
    </w:p>
    <w:p w14:paraId="29E7A9DF">
      <w:pPr>
        <w:spacing w:line="360" w:lineRule="auto"/>
        <w:ind w:firstLine="371" w:firstLineChars="177"/>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sz w:val="21"/>
          <w:szCs w:val="24"/>
          <w:highlight w:val="none"/>
          <w:lang w:val="en-US" w:eastAsia="zh-CN"/>
          <w14:textFill>
            <w14:solidFill>
              <w14:schemeClr w14:val="tx1"/>
            </w14:solidFill>
          </w14:textFill>
        </w:rPr>
        <w:t>十</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、报价文件开封地点：</w:t>
      </w:r>
      <w:r>
        <w:rPr>
          <w:rFonts w:hint="eastAsia" w:ascii="宋体" w:hAnsi="宋体" w:eastAsia="宋体" w:cs="宋体"/>
          <w:color w:val="000000" w:themeColor="text1"/>
          <w:highlight w:val="none"/>
          <w:lang w:eastAsia="zh-CN"/>
          <w14:textFill>
            <w14:solidFill>
              <w14:schemeClr w14:val="tx1"/>
            </w14:solidFill>
          </w14:textFill>
        </w:rPr>
        <w:t>东莞市福地饮用水有限公司</w:t>
      </w:r>
      <w:r>
        <w:rPr>
          <w:rFonts w:hint="eastAsia" w:ascii="宋体" w:hAnsi="宋体" w:eastAsia="宋体" w:cs="宋体"/>
          <w:color w:val="000000" w:themeColor="text1"/>
          <w:highlight w:val="none"/>
          <w:lang w:val="en-US" w:eastAsia="zh-CN"/>
          <w14:textFill>
            <w14:solidFill>
              <w14:schemeClr w14:val="tx1"/>
            </w14:solidFill>
          </w14:textFill>
        </w:rPr>
        <w:t>生产仓储</w:t>
      </w:r>
      <w:r>
        <w:rPr>
          <w:rFonts w:hint="eastAsia" w:ascii="宋体" w:hAnsi="宋体" w:eastAsia="宋体" w:cs="宋体"/>
          <w:color w:val="000000" w:themeColor="text1"/>
          <w:highlight w:val="none"/>
          <w14:textFill>
            <w14:solidFill>
              <w14:schemeClr w14:val="tx1"/>
            </w14:solidFill>
          </w14:textFill>
        </w:rPr>
        <w:t>部</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w:t>
      </w:r>
    </w:p>
    <w:p w14:paraId="1775E167">
      <w:pPr>
        <w:spacing w:line="360" w:lineRule="auto"/>
        <w:ind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十</w:t>
      </w:r>
      <w:r>
        <w:rPr>
          <w:rFonts w:hint="eastAsia" w:ascii="宋体" w:hAnsi="宋体" w:cs="宋体"/>
          <w:color w:val="000000" w:themeColor="text1"/>
          <w:highlight w:val="none"/>
          <w:lang w:val="en-US" w:eastAsia="zh-CN"/>
          <w14:textFill>
            <w14:solidFill>
              <w14:schemeClr w14:val="tx1"/>
            </w14:solidFill>
          </w14:textFill>
        </w:rPr>
        <w:t>一</w:t>
      </w:r>
      <w:r>
        <w:rPr>
          <w:rFonts w:hint="eastAsia" w:ascii="宋体" w:hAnsi="宋体" w:eastAsia="宋体" w:cs="宋体"/>
          <w:color w:val="000000" w:themeColor="text1"/>
          <w:highlight w:val="none"/>
          <w14:textFill>
            <w14:solidFill>
              <w14:schemeClr w14:val="tx1"/>
            </w14:solidFill>
          </w14:textFill>
        </w:rPr>
        <w:t>、采购人联系方式</w:t>
      </w:r>
    </w:p>
    <w:p w14:paraId="6BC8F7FF">
      <w:pPr>
        <w:spacing w:line="360" w:lineRule="auto"/>
        <w:ind w:left="0" w:leftChars="0" w:firstLine="371" w:firstLineChars="177"/>
        <w:rPr>
          <w:rFonts w:hint="eastAsia" w:ascii="宋体" w:hAnsi="宋体" w:eastAsia="宋体" w:cs="宋体"/>
          <w:color w:val="000000" w:themeColor="text1"/>
          <w:highlight w:val="none"/>
          <w:lang w:val="en-US" w:eastAsia="zh-CN"/>
          <w14:textFill>
            <w14:solidFill>
              <w14:schemeClr w14:val="tx1"/>
            </w14:solidFill>
          </w14:textFill>
        </w:rPr>
      </w:pPr>
      <w:bookmarkStart w:id="4" w:name="_Hlk27138405"/>
      <w:r>
        <w:rPr>
          <w:rFonts w:hint="eastAsia" w:ascii="宋体" w:hAnsi="宋体" w:eastAsia="宋体" w:cs="宋体"/>
          <w:color w:val="000000" w:themeColor="text1"/>
          <w:highlight w:val="none"/>
          <w14:textFill>
            <w14:solidFill>
              <w14:schemeClr w14:val="tx1"/>
            </w14:solidFill>
          </w14:textFill>
        </w:rPr>
        <w:t>采购联系人：</w:t>
      </w:r>
      <w:r>
        <w:rPr>
          <w:rFonts w:hint="eastAsia" w:ascii="宋体" w:hAnsi="宋体" w:cs="宋体"/>
          <w:color w:val="000000" w:themeColor="text1"/>
          <w:highlight w:val="none"/>
          <w:lang w:val="en-US" w:eastAsia="zh-CN"/>
          <w14:textFill>
            <w14:solidFill>
              <w14:schemeClr w14:val="tx1"/>
            </w14:solidFill>
          </w14:textFill>
        </w:rPr>
        <w:t>翟</w:t>
      </w:r>
      <w:r>
        <w:rPr>
          <w:rFonts w:hint="eastAsia" w:ascii="宋体" w:hAnsi="宋体" w:eastAsia="宋体" w:cs="宋体"/>
          <w:color w:val="000000" w:themeColor="text1"/>
          <w:highlight w:val="none"/>
          <w:lang w:val="en-US" w:eastAsia="zh-CN"/>
          <w14:textFill>
            <w14:solidFill>
              <w14:schemeClr w14:val="tx1"/>
            </w14:solidFill>
          </w14:textFill>
        </w:rPr>
        <w:t>先生</w:t>
      </w:r>
    </w:p>
    <w:p w14:paraId="3F8FE7C8">
      <w:pPr>
        <w:ind w:firstLine="371" w:firstLineChars="177"/>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3922929026</w:t>
      </w:r>
    </w:p>
    <w:p w14:paraId="5F309FC4">
      <w:pPr>
        <w:ind w:firstLine="371" w:firstLineChars="177"/>
        <w:rPr>
          <w:rFonts w:hint="default"/>
          <w:lang w:val="en-US" w:eastAsia="zh-CN"/>
        </w:rPr>
      </w:pPr>
      <w:r>
        <w:rPr>
          <w:rFonts w:hint="eastAsia" w:ascii="宋体" w:hAnsi="宋体" w:cs="宋体"/>
          <w:bCs w:val="0"/>
          <w:color w:val="000000" w:themeColor="text1"/>
          <w:highlight w:val="none"/>
          <w:lang w:val="en-US" w:eastAsia="zh-CN"/>
          <w14:textFill>
            <w14:solidFill>
              <w14:schemeClr w14:val="tx1"/>
            </w14:solidFill>
          </w14:textFill>
        </w:rPr>
        <w:t>联系邮箱：</w:t>
      </w:r>
      <w:r>
        <w:rPr>
          <w:rFonts w:hint="eastAsia" w:ascii="宋体" w:hAnsi="宋体" w:cs="宋体"/>
          <w:color w:val="000000" w:themeColor="text1"/>
          <w:highlight w:val="none"/>
          <w14:textFill>
            <w14:solidFill>
              <w14:schemeClr w14:val="tx1"/>
            </w14:solidFill>
          </w14:textFill>
        </w:rPr>
        <w:t>fortunato@fdyys.cn</w:t>
      </w:r>
    </w:p>
    <w:p w14:paraId="215F35C9">
      <w:pPr>
        <w:spacing w:line="360" w:lineRule="auto"/>
        <w:ind w:left="0" w:leftChars="0"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联系地址：</w:t>
      </w:r>
      <w:bookmarkEnd w:id="4"/>
      <w:r>
        <w:rPr>
          <w:rFonts w:hint="eastAsia" w:ascii="宋体" w:hAnsi="宋体" w:eastAsia="宋体" w:cs="宋体"/>
          <w:color w:val="000000" w:themeColor="text1"/>
          <w:highlight w:val="none"/>
          <w14:textFill>
            <w14:solidFill>
              <w14:schemeClr w14:val="tx1"/>
            </w14:solidFill>
          </w14:textFill>
        </w:rPr>
        <w:t>东莞市东城街道育华路1号（</w:t>
      </w:r>
      <w:r>
        <w:rPr>
          <w:rFonts w:hint="eastAsia" w:ascii="宋体" w:hAnsi="宋体" w:eastAsia="宋体" w:cs="宋体"/>
          <w:color w:val="000000" w:themeColor="text1"/>
          <w:highlight w:val="none"/>
          <w:lang w:eastAsia="zh-CN"/>
          <w14:textFill>
            <w14:solidFill>
              <w14:schemeClr w14:val="tx1"/>
            </w14:solidFill>
          </w14:textFill>
        </w:rPr>
        <w:t>东莞市</w:t>
      </w:r>
      <w:r>
        <w:rPr>
          <w:rFonts w:hint="eastAsia" w:ascii="宋体" w:hAnsi="宋体" w:cs="宋体"/>
          <w:color w:val="000000" w:themeColor="text1"/>
          <w:highlight w:val="none"/>
          <w:lang w:val="en-US" w:eastAsia="zh-CN"/>
          <w14:textFill>
            <w14:solidFill>
              <w14:schemeClr w14:val="tx1"/>
            </w14:solidFill>
          </w14:textFill>
        </w:rPr>
        <w:t>水务环境集团</w:t>
      </w:r>
      <w:r>
        <w:rPr>
          <w:rFonts w:hint="eastAsia" w:ascii="宋体" w:hAnsi="宋体" w:eastAsia="宋体" w:cs="宋体"/>
          <w:color w:val="000000" w:themeColor="text1"/>
          <w:highlight w:val="none"/>
          <w14:textFill>
            <w14:solidFill>
              <w14:schemeClr w14:val="tx1"/>
            </w14:solidFill>
          </w14:textFill>
        </w:rPr>
        <w:t>）。</w:t>
      </w:r>
    </w:p>
    <w:p w14:paraId="20A472BC">
      <w:pPr>
        <w:rPr>
          <w:rFonts w:hint="default" w:ascii="Times New Roman" w:hAnsi="Times New Roman" w:cs="Times New Roman"/>
          <w:color w:val="000000" w:themeColor="text1"/>
          <w:highlight w:val="none"/>
          <w14:textFill>
            <w14:solidFill>
              <w14:schemeClr w14:val="tx1"/>
            </w14:solidFill>
          </w14:textFill>
        </w:rPr>
      </w:pPr>
    </w:p>
    <w:p w14:paraId="63D4D5FC">
      <w:pPr>
        <w:rPr>
          <w:rFonts w:hint="default" w:ascii="Times New Roman" w:hAnsi="Times New Roman" w:cs="Times New Roman"/>
          <w:color w:val="000000" w:themeColor="text1"/>
          <w:highlight w:val="none"/>
          <w14:textFill>
            <w14:solidFill>
              <w14:schemeClr w14:val="tx1"/>
            </w14:solidFill>
          </w14:textFill>
        </w:rPr>
      </w:pPr>
    </w:p>
    <w:p w14:paraId="209C96A6">
      <w:pPr>
        <w:spacing w:line="360" w:lineRule="auto"/>
        <w:ind w:left="743" w:leftChars="354" w:firstLine="3970"/>
        <w:rPr>
          <w:rFonts w:hint="eastAsia" w:ascii="Times New Roman" w:hAnsi="Times New Roman" w:eastAsia="宋体" w:cs="Times New Roman"/>
          <w:color w:val="000000" w:themeColor="text1"/>
          <w:highlight w:val="none"/>
          <w:lang w:eastAsia="zh-CN"/>
          <w14:textFill>
            <w14:solidFill>
              <w14:schemeClr w14:val="tx1"/>
            </w14:solidFill>
          </w14:textFill>
        </w:rPr>
      </w:pPr>
      <w:bookmarkStart w:id="5" w:name="_Hlk27138410"/>
      <w:r>
        <w:rPr>
          <w:rFonts w:hint="eastAsia" w:ascii="Times New Roman" w:cs="Times New Roman"/>
          <w:color w:val="000000" w:themeColor="text1"/>
          <w:highlight w:val="none"/>
          <w:lang w:eastAsia="zh-CN"/>
          <w14:textFill>
            <w14:solidFill>
              <w14:schemeClr w14:val="tx1"/>
            </w14:solidFill>
          </w14:textFill>
        </w:rPr>
        <w:t>东莞市福地饮用水有限公司</w:t>
      </w:r>
    </w:p>
    <w:p w14:paraId="7BFADE46">
      <w:pPr>
        <w:spacing w:line="360" w:lineRule="auto"/>
        <w:ind w:left="743" w:leftChars="354" w:firstLine="4410" w:firstLineChars="21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202</w:t>
      </w:r>
      <w:r>
        <w:rPr>
          <w:rFonts w:hint="eastAsia"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14:textFill>
            <w14:solidFill>
              <w14:schemeClr w14:val="tx1"/>
            </w14:solidFill>
          </w14:textFill>
        </w:rPr>
        <w:t>年</w:t>
      </w:r>
      <w:r>
        <w:rPr>
          <w:rFonts w:hint="eastAsia" w:cs="Times New Roman"/>
          <w:color w:val="000000" w:themeColor="text1"/>
          <w:highlight w:val="none"/>
          <w:lang w:val="en-US" w:eastAsia="zh-CN"/>
          <w14:textFill>
            <w14:solidFill>
              <w14:schemeClr w14:val="tx1"/>
            </w14:solidFill>
          </w14:textFill>
        </w:rPr>
        <w:t>2</w:t>
      </w:r>
      <w:r>
        <w:rPr>
          <w:rFonts w:hint="eastAsia" w:ascii="Times New Roman" w:cs="Times New Roman"/>
          <w:color w:val="000000" w:themeColor="text1"/>
          <w:highlight w:val="none"/>
          <w:lang w:val="en-US" w:eastAsia="zh-CN"/>
          <w14:textFill>
            <w14:solidFill>
              <w14:schemeClr w14:val="tx1"/>
            </w14:solidFill>
          </w14:textFill>
        </w:rPr>
        <w:t>月</w:t>
      </w:r>
      <w:r>
        <w:rPr>
          <w:rFonts w:hint="eastAsia" w:cs="Times New Roman"/>
          <w:color w:val="000000" w:themeColor="text1"/>
          <w:highlight w:val="none"/>
          <w:lang w:val="en-US" w:eastAsia="zh-CN"/>
          <w14:textFill>
            <w14:solidFill>
              <w14:schemeClr w14:val="tx1"/>
            </w14:solidFill>
          </w14:textFill>
        </w:rPr>
        <w:t>8</w:t>
      </w:r>
      <w:r>
        <w:rPr>
          <w:rFonts w:hint="eastAsia" w:ascii="Times New Roman" w:cs="Times New Roman"/>
          <w:color w:val="000000" w:themeColor="text1"/>
          <w:highlight w:val="none"/>
          <w:lang w:val="en-US" w:eastAsia="zh-CN"/>
          <w14:textFill>
            <w14:solidFill>
              <w14:schemeClr w14:val="tx1"/>
            </w14:solidFill>
          </w14:textFill>
        </w:rPr>
        <w:t>日</w:t>
      </w:r>
    </w:p>
    <w:bookmarkEnd w:id="5"/>
    <w:p w14:paraId="2654E87D">
      <w:pPr>
        <w:pStyle w:val="17"/>
        <w:pageBreakBefore/>
        <w:spacing w:before="0" w:after="0" w:line="360" w:lineRule="auto"/>
        <w:ind w:firstLine="3313" w:firstLineChars="1100"/>
        <w:jc w:val="both"/>
        <w:rPr>
          <w:rFonts w:hint="eastAsia" w:ascii="宋体" w:hAnsi="宋体"/>
          <w:color w:val="auto"/>
          <w:sz w:val="30"/>
          <w:szCs w:val="30"/>
          <w:highlight w:val="none"/>
          <w:lang w:val="zh-CN"/>
        </w:rPr>
      </w:pPr>
      <w:bookmarkStart w:id="6" w:name="_Toc15511"/>
      <w:r>
        <w:rPr>
          <w:rFonts w:hint="eastAsia" w:ascii="宋体" w:hAnsi="宋体"/>
          <w:color w:val="auto"/>
          <w:sz w:val="30"/>
          <w:szCs w:val="30"/>
          <w:highlight w:val="none"/>
          <w:lang w:val="zh-CN"/>
        </w:rPr>
        <w:t>第二篇 报价人须知</w:t>
      </w:r>
      <w:bookmarkEnd w:id="6"/>
    </w:p>
    <w:p w14:paraId="5A71DA08">
      <w:pPr>
        <w:ind w:firstLine="420" w:firstLineChars="200"/>
        <w:rPr>
          <w:rFonts w:hint="eastAsia"/>
          <w:lang w:val="zh-CN"/>
        </w:rPr>
      </w:pPr>
      <w:r>
        <w:rPr>
          <w:rFonts w:hint="eastAsia"/>
          <w:lang w:val="zh-CN"/>
        </w:rPr>
        <w:t>一、项目费用说明</w:t>
      </w:r>
    </w:p>
    <w:p w14:paraId="2B26EC2A">
      <w:pPr>
        <w:ind w:firstLine="420" w:firstLineChars="200"/>
        <w:rPr>
          <w:rFonts w:hint="eastAsia"/>
          <w:lang w:val="zh-CN"/>
        </w:rPr>
      </w:pPr>
      <w:r>
        <w:rPr>
          <w:rFonts w:hint="eastAsia"/>
          <w:lang w:val="zh-CN"/>
        </w:rPr>
        <w:t>供应商应按询价文件要求及企业的自身情况进行报价。所报的价格包含完成询价文件规定的工作所需的全部费用（除了供应商销项税额，销项税额由采购人承担，不参与本次竞价），并承担所有相应项目风险。</w:t>
      </w:r>
    </w:p>
    <w:p w14:paraId="363370BA">
      <w:pPr>
        <w:ind w:firstLine="420" w:firstLineChars="200"/>
        <w:rPr>
          <w:rFonts w:hint="eastAsia"/>
          <w:lang w:val="zh-CN"/>
        </w:rPr>
      </w:pPr>
      <w:r>
        <w:rPr>
          <w:rFonts w:hint="eastAsia"/>
          <w:lang w:val="zh-CN"/>
        </w:rPr>
        <w:t>二、报价文件的组成</w:t>
      </w:r>
    </w:p>
    <w:p w14:paraId="16A63F2B">
      <w:pPr>
        <w:ind w:firstLine="420" w:firstLineChars="200"/>
        <w:rPr>
          <w:rFonts w:hint="eastAsia"/>
          <w:lang w:val="zh-CN"/>
        </w:rPr>
      </w:pPr>
      <w:r>
        <w:rPr>
          <w:rFonts w:hint="eastAsia"/>
          <w:lang w:val="zh-CN"/>
        </w:rPr>
        <w:t>1.报价表；</w:t>
      </w:r>
    </w:p>
    <w:p w14:paraId="6B766BE2">
      <w:pPr>
        <w:ind w:firstLine="420" w:firstLineChars="200"/>
        <w:rPr>
          <w:rFonts w:hint="eastAsia"/>
          <w:lang w:val="zh-CN"/>
        </w:rPr>
      </w:pPr>
      <w:r>
        <w:rPr>
          <w:rFonts w:hint="eastAsia"/>
          <w:lang w:val="en-US" w:eastAsia="zh-CN"/>
        </w:rPr>
        <w:t>2</w:t>
      </w:r>
      <w:r>
        <w:rPr>
          <w:rFonts w:hint="eastAsia"/>
          <w:lang w:val="zh-CN"/>
        </w:rPr>
        <w:t>.项目响应</w:t>
      </w:r>
      <w:r>
        <w:rPr>
          <w:rFonts w:hint="eastAsia"/>
          <w:lang w:val="en-US" w:eastAsia="zh-CN"/>
        </w:rPr>
        <w:t>确认表</w:t>
      </w:r>
      <w:r>
        <w:rPr>
          <w:rFonts w:hint="eastAsia"/>
          <w:lang w:val="zh-CN"/>
        </w:rPr>
        <w:t>；</w:t>
      </w:r>
    </w:p>
    <w:p w14:paraId="45D54F39">
      <w:pPr>
        <w:ind w:firstLine="420" w:firstLineChars="200"/>
        <w:rPr>
          <w:rFonts w:hint="eastAsia"/>
          <w:lang w:val="zh-CN"/>
        </w:rPr>
      </w:pPr>
      <w:r>
        <w:rPr>
          <w:rFonts w:hint="eastAsia"/>
          <w:lang w:val="en-US" w:eastAsia="zh-CN"/>
        </w:rPr>
        <w:t>3</w:t>
      </w:r>
      <w:r>
        <w:rPr>
          <w:rFonts w:hint="eastAsia"/>
          <w:lang w:val="zh-CN"/>
        </w:rPr>
        <w:t>.项目响应声明；</w:t>
      </w:r>
    </w:p>
    <w:p w14:paraId="615398A8">
      <w:pPr>
        <w:ind w:firstLine="420" w:firstLineChars="200"/>
        <w:rPr>
          <w:rFonts w:hint="eastAsia"/>
          <w:lang w:val="zh-CN"/>
        </w:rPr>
      </w:pPr>
      <w:r>
        <w:rPr>
          <w:rFonts w:hint="eastAsia"/>
          <w:lang w:val="en-US" w:eastAsia="zh-CN"/>
        </w:rPr>
        <w:t>4</w:t>
      </w:r>
      <w:r>
        <w:rPr>
          <w:rFonts w:hint="eastAsia"/>
          <w:lang w:val="zh-CN"/>
        </w:rPr>
        <w:t>.营业执照及相关资质证书；</w:t>
      </w:r>
    </w:p>
    <w:p w14:paraId="609A0DD8">
      <w:pPr>
        <w:ind w:firstLine="420" w:firstLineChars="200"/>
        <w:rPr>
          <w:rFonts w:hint="eastAsia"/>
          <w:lang w:val="zh-CN"/>
        </w:rPr>
      </w:pPr>
      <w:r>
        <w:rPr>
          <w:rFonts w:hint="eastAsia"/>
          <w:lang w:val="en-US" w:eastAsia="zh-CN"/>
        </w:rPr>
        <w:t>5</w:t>
      </w:r>
      <w:r>
        <w:rPr>
          <w:rFonts w:hint="eastAsia"/>
          <w:lang w:val="zh-CN"/>
        </w:rPr>
        <w:t>.企业法定代表人证明及法人身份证复印件；</w:t>
      </w:r>
    </w:p>
    <w:p w14:paraId="7696E5C5">
      <w:pPr>
        <w:ind w:firstLine="420" w:firstLineChars="200"/>
        <w:rPr>
          <w:rFonts w:hint="eastAsia"/>
          <w:lang w:val="zh-CN"/>
        </w:rPr>
      </w:pPr>
      <w:r>
        <w:rPr>
          <w:rFonts w:hint="eastAsia"/>
          <w:lang w:val="en-US" w:eastAsia="zh-CN"/>
        </w:rPr>
        <w:t>6</w:t>
      </w:r>
      <w:r>
        <w:rPr>
          <w:rFonts w:hint="eastAsia"/>
          <w:lang w:val="zh-CN"/>
        </w:rPr>
        <w:t>.近一年公司主要业绩证明文件；</w:t>
      </w:r>
    </w:p>
    <w:p w14:paraId="3E6F16AF">
      <w:pPr>
        <w:ind w:firstLine="420" w:firstLineChars="200"/>
        <w:rPr>
          <w:rFonts w:hint="eastAsia"/>
          <w:lang w:val="zh-CN"/>
        </w:rPr>
      </w:pPr>
      <w:r>
        <w:rPr>
          <w:rFonts w:hint="eastAsia"/>
          <w:lang w:val="en-US" w:eastAsia="zh-CN"/>
        </w:rPr>
        <w:t>7</w:t>
      </w:r>
      <w:r>
        <w:rPr>
          <w:rFonts w:hint="eastAsia"/>
          <w:lang w:val="zh-CN"/>
        </w:rPr>
        <w:t>.诚信方面相关证明文件；</w:t>
      </w:r>
    </w:p>
    <w:p w14:paraId="20F0FAD6">
      <w:pPr>
        <w:ind w:firstLine="420" w:firstLineChars="200"/>
        <w:rPr>
          <w:rFonts w:hint="eastAsia"/>
          <w:lang w:val="zh-CN"/>
        </w:rPr>
      </w:pPr>
      <w:r>
        <w:rPr>
          <w:rFonts w:hint="eastAsia"/>
          <w:lang w:val="en-US" w:eastAsia="zh-CN"/>
        </w:rPr>
        <w:t>8</w:t>
      </w:r>
      <w:r>
        <w:rPr>
          <w:rFonts w:hint="eastAsia"/>
          <w:lang w:val="zh-CN"/>
        </w:rPr>
        <w:t>.开户信息及开户许可证；</w:t>
      </w:r>
    </w:p>
    <w:p w14:paraId="7111A195">
      <w:pPr>
        <w:ind w:firstLine="420" w:firstLineChars="200"/>
        <w:rPr>
          <w:rFonts w:hint="eastAsia"/>
          <w:lang w:val="zh-CN"/>
        </w:rPr>
      </w:pPr>
      <w:r>
        <w:rPr>
          <w:rFonts w:hint="eastAsia"/>
          <w:lang w:val="en-US" w:eastAsia="zh-CN"/>
        </w:rPr>
        <w:t>9</w:t>
      </w:r>
      <w:r>
        <w:rPr>
          <w:rFonts w:hint="eastAsia"/>
          <w:lang w:val="zh-CN"/>
        </w:rPr>
        <w:t>.回执。</w:t>
      </w:r>
    </w:p>
    <w:p w14:paraId="79947B59">
      <w:pPr>
        <w:ind w:firstLine="420" w:firstLineChars="200"/>
        <w:rPr>
          <w:rFonts w:hint="eastAsia"/>
          <w:lang w:val="zh-CN"/>
        </w:rPr>
      </w:pPr>
      <w:r>
        <w:rPr>
          <w:rFonts w:hint="eastAsia"/>
          <w:lang w:val="zh-CN"/>
        </w:rPr>
        <w:t>备注：1、报价文件格式不允许调整，否则有可能视为无效报价。2、报价文件必须完全满足上述组成部分，否则视为无效报价。</w:t>
      </w:r>
    </w:p>
    <w:p w14:paraId="2E778EE7">
      <w:pPr>
        <w:ind w:firstLine="420" w:firstLineChars="200"/>
        <w:rPr>
          <w:rFonts w:hint="eastAsia"/>
          <w:lang w:val="zh-CN"/>
        </w:rPr>
      </w:pPr>
      <w:r>
        <w:rPr>
          <w:rFonts w:hint="eastAsia"/>
          <w:lang w:val="zh-CN"/>
        </w:rPr>
        <w:t>三、报价文件的封装和递交</w:t>
      </w:r>
    </w:p>
    <w:p w14:paraId="7B949C59">
      <w:pPr>
        <w:ind w:firstLine="420" w:firstLineChars="200"/>
        <w:rPr>
          <w:rFonts w:hint="eastAsia"/>
          <w:lang w:val="zh-CN"/>
        </w:rPr>
      </w:pPr>
      <w:r>
        <w:rPr>
          <w:rFonts w:hint="eastAsia"/>
          <w:lang w:val="zh-CN"/>
        </w:rPr>
        <w:t>1.供应商应将报价文件一起密封在一个不透明的外层封装中。外层密封封装表面应正确标明供应商名称、地址、项目名称、报价文件名称、并注明报价文件递交截止时间之前不得开封（在封口位置的封条上标注注明），封口位置加盖供应商法人公章。</w:t>
      </w:r>
    </w:p>
    <w:p w14:paraId="32BD75B2">
      <w:pPr>
        <w:ind w:firstLine="420" w:firstLineChars="200"/>
        <w:rPr>
          <w:rFonts w:hint="eastAsia"/>
          <w:lang w:val="zh-CN"/>
        </w:rPr>
      </w:pPr>
      <w:r>
        <w:rPr>
          <w:rFonts w:hint="eastAsia"/>
          <w:lang w:val="zh-CN"/>
        </w:rPr>
        <w:t>2.密封好的报价文件，应于询价邀请函中规定的截止时间前递交到采购人指定的递交地点，否则视为放弃本项目报价。</w:t>
      </w:r>
    </w:p>
    <w:p w14:paraId="63A0410F">
      <w:pPr>
        <w:ind w:firstLine="420" w:firstLineChars="200"/>
        <w:rPr>
          <w:rFonts w:hint="eastAsia"/>
          <w:lang w:val="zh-CN"/>
        </w:rPr>
      </w:pPr>
      <w:r>
        <w:rPr>
          <w:rFonts w:hint="eastAsia"/>
          <w:lang w:val="zh-CN"/>
        </w:rPr>
        <w:t>四、其他</w:t>
      </w:r>
    </w:p>
    <w:p w14:paraId="6C667403">
      <w:pPr>
        <w:ind w:firstLine="422" w:firstLineChars="200"/>
        <w:rPr>
          <w:rFonts w:hint="eastAsia"/>
          <w:b/>
          <w:bCs/>
          <w:lang w:val="zh-CN"/>
        </w:rPr>
      </w:pPr>
      <w:r>
        <w:rPr>
          <w:rFonts w:hint="eastAsia"/>
          <w:b/>
          <w:bCs/>
          <w:lang w:val="en-US" w:eastAsia="zh-CN"/>
        </w:rPr>
        <w:t>我司</w:t>
      </w:r>
      <w:r>
        <w:rPr>
          <w:rFonts w:hint="eastAsia"/>
          <w:b/>
          <w:bCs/>
          <w:lang w:val="zh-CN"/>
        </w:rPr>
        <w:t>将建立物流服务商月度综合评价机制，成交供应商的合作角色（核心/备用）将根据月度评价结果动态调整，评价指标包括配送准时率、货物完好率、客户投诉率、服务响应速度等，评价结果为不合格的，采购人有权终止合作。</w:t>
      </w:r>
    </w:p>
    <w:p w14:paraId="0F0E274E">
      <w:pPr>
        <w:rPr>
          <w:lang w:val="zh-CN"/>
        </w:rPr>
      </w:pPr>
    </w:p>
    <w:p w14:paraId="2B98F012">
      <w:pPr>
        <w:pStyle w:val="17"/>
        <w:pageBreakBefore/>
        <w:rPr>
          <w:rFonts w:ascii="宋体" w:hAnsi="宋体"/>
          <w:color w:val="auto"/>
          <w:sz w:val="30"/>
          <w:szCs w:val="30"/>
          <w:highlight w:val="none"/>
          <w:lang w:val="zh-CN"/>
        </w:rPr>
      </w:pPr>
      <w:bookmarkStart w:id="7" w:name="_Toc3543"/>
      <w:r>
        <w:rPr>
          <w:rFonts w:hint="eastAsia" w:ascii="宋体" w:hAnsi="宋体"/>
          <w:color w:val="auto"/>
          <w:sz w:val="30"/>
          <w:szCs w:val="30"/>
          <w:highlight w:val="none"/>
          <w:lang w:val="zh-CN"/>
        </w:rPr>
        <w:t>第三篇 用户需求书</w:t>
      </w:r>
      <w:bookmarkEnd w:id="7"/>
      <w:bookmarkStart w:id="8" w:name="_Hlt92477987"/>
      <w:bookmarkEnd w:id="8"/>
      <w:bookmarkStart w:id="9" w:name="_Hlt92097807"/>
      <w:bookmarkEnd w:id="9"/>
      <w:bookmarkStart w:id="10" w:name="_Hlt107746026"/>
      <w:bookmarkEnd w:id="10"/>
      <w:bookmarkStart w:id="11" w:name="_Hlt109563261"/>
      <w:bookmarkEnd w:id="11"/>
      <w:bookmarkStart w:id="12" w:name="_Hlt92097802"/>
      <w:bookmarkEnd w:id="12"/>
      <w:bookmarkStart w:id="13" w:name="_Hlt74192688"/>
      <w:bookmarkEnd w:id="13"/>
      <w:bookmarkStart w:id="14" w:name="_Hlt107921814"/>
      <w:bookmarkEnd w:id="14"/>
      <w:bookmarkStart w:id="15" w:name="_Hlt507989741"/>
      <w:bookmarkEnd w:id="15"/>
      <w:bookmarkStart w:id="16" w:name="_Hlt137959623"/>
      <w:bookmarkEnd w:id="16"/>
      <w:bookmarkStart w:id="17" w:name="yqh"/>
      <w:bookmarkEnd w:id="17"/>
      <w:bookmarkStart w:id="18" w:name="_Hlt92472623"/>
      <w:bookmarkEnd w:id="18"/>
      <w:bookmarkStart w:id="19" w:name="_Hlt137898605"/>
      <w:bookmarkEnd w:id="19"/>
      <w:bookmarkStart w:id="20" w:name="_Hlt91899334"/>
      <w:bookmarkEnd w:id="20"/>
      <w:bookmarkStart w:id="21" w:name="_Hlt133639916"/>
      <w:bookmarkEnd w:id="21"/>
      <w:bookmarkStart w:id="22" w:name="_Hlt92100255"/>
      <w:bookmarkEnd w:id="22"/>
      <w:bookmarkStart w:id="23" w:name="_Hlt92101665"/>
      <w:bookmarkEnd w:id="23"/>
      <w:bookmarkStart w:id="24" w:name="_Hlt133291417"/>
      <w:bookmarkEnd w:id="24"/>
      <w:bookmarkStart w:id="25" w:name="_Hlt87773422"/>
      <w:bookmarkEnd w:id="25"/>
    </w:p>
    <w:p w14:paraId="3CE7128B">
      <w:pPr>
        <w:pStyle w:val="26"/>
        <w:jc w:val="center"/>
        <w:rPr>
          <w:rFonts w:ascii="宋体" w:hAnsi="宋体"/>
          <w:color w:val="auto"/>
          <w:sz w:val="30"/>
          <w:szCs w:val="30"/>
          <w:highlight w:val="none"/>
          <w:lang w:val="zh-CN"/>
        </w:rPr>
      </w:pPr>
      <w:r>
        <w:rPr>
          <w:rFonts w:hint="eastAsia" w:ascii="宋体" w:hAnsi="宋体"/>
          <w:b/>
          <w:bCs w:val="0"/>
          <w:color w:val="auto"/>
          <w:sz w:val="30"/>
          <w:szCs w:val="30"/>
          <w:highlight w:val="none"/>
          <w:lang w:val="zh-CN"/>
        </w:rPr>
        <w:t>用户需求书</w:t>
      </w:r>
    </w:p>
    <w:p w14:paraId="73214A20">
      <w:pPr>
        <w:spacing w:line="360" w:lineRule="auto"/>
        <w:ind w:firstLine="422" w:firstLineChars="20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一、项目概况</w:t>
      </w:r>
    </w:p>
    <w:p w14:paraId="682D53EC">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东莞市福地饮用水有限公司（以下简称“采购人”）负责的包装水产品需采购物流配送服务，将包装水产品从采购人</w:t>
      </w:r>
      <w:r>
        <w:rPr>
          <w:rFonts w:hint="eastAsia" w:ascii="宋体" w:hAnsi="宋体" w:cs="宋体"/>
          <w:color w:val="auto"/>
          <w:sz w:val="21"/>
          <w:szCs w:val="21"/>
          <w:highlight w:val="none"/>
          <w:lang w:val="en-US" w:eastAsia="zh-CN"/>
        </w:rPr>
        <w:t>指定的</w:t>
      </w:r>
      <w:r>
        <w:rPr>
          <w:rFonts w:hint="eastAsia" w:ascii="宋体" w:hAnsi="宋体" w:eastAsia="宋体" w:cs="宋体"/>
          <w:color w:val="auto"/>
          <w:sz w:val="21"/>
          <w:szCs w:val="21"/>
          <w:highlight w:val="none"/>
          <w:lang w:val="en-US" w:eastAsia="zh-CN"/>
        </w:rPr>
        <w:t>储存仓库中提货向东莞市范围的客户配送，以完成采购人对购买客户的产品交付。本次采购按配送件数进行梯度报价，以满足不同规模订单的配送精细化管理的需求。</w:t>
      </w:r>
    </w:p>
    <w:p w14:paraId="314BE085">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配送</w:t>
      </w:r>
      <w:r>
        <w:rPr>
          <w:rFonts w:hint="eastAsia" w:ascii="宋体" w:hAnsi="宋体" w:cs="宋体"/>
          <w:color w:val="auto"/>
          <w:sz w:val="21"/>
          <w:szCs w:val="21"/>
          <w:highlight w:val="none"/>
          <w:lang w:val="en-US" w:eastAsia="zh-CN"/>
        </w:rPr>
        <w:t>饮用水</w:t>
      </w:r>
      <w:r>
        <w:rPr>
          <w:rFonts w:hint="eastAsia" w:ascii="宋体" w:hAnsi="宋体" w:eastAsia="宋体" w:cs="宋体"/>
          <w:color w:val="auto"/>
          <w:sz w:val="21"/>
          <w:szCs w:val="21"/>
          <w:highlight w:val="none"/>
          <w:lang w:val="en-US" w:eastAsia="zh-CN"/>
        </w:rPr>
        <w:t>产品</w:t>
      </w:r>
      <w:r>
        <w:rPr>
          <w:rFonts w:hint="eastAsia" w:ascii="宋体" w:hAnsi="宋体" w:cs="宋体"/>
          <w:color w:val="auto"/>
          <w:sz w:val="21"/>
          <w:szCs w:val="21"/>
          <w:highlight w:val="none"/>
          <w:lang w:val="en-US" w:eastAsia="zh-CN"/>
        </w:rPr>
        <w:t>（3KG及以上）</w:t>
      </w:r>
      <w:r>
        <w:rPr>
          <w:rFonts w:hint="eastAsia" w:ascii="宋体" w:hAnsi="宋体" w:eastAsia="宋体" w:cs="宋体"/>
          <w:color w:val="auto"/>
          <w:sz w:val="21"/>
          <w:szCs w:val="21"/>
          <w:highlight w:val="none"/>
          <w:shd w:val="clear" w:color="auto" w:fill="auto"/>
          <w:lang w:val="en-US" w:eastAsia="zh-CN"/>
        </w:rPr>
        <w:t>包括但不限于：</w:t>
      </w:r>
      <w:r>
        <w:rPr>
          <w:rFonts w:hint="eastAsia" w:ascii="宋体" w:hAnsi="宋体" w:eastAsia="宋体" w:cs="宋体"/>
          <w:color w:val="auto"/>
          <w:szCs w:val="21"/>
          <w:highlight w:val="none"/>
          <w:shd w:val="clear" w:color="auto" w:fill="auto"/>
          <w:lang w:val="en-US" w:eastAsia="zh-CN"/>
        </w:rPr>
        <w:t>桶装水产品：12.3L(约</w:t>
      </w:r>
      <w:r>
        <w:rPr>
          <w:rFonts w:hint="eastAsia" w:ascii="宋体" w:hAnsi="宋体" w:eastAsia="宋体" w:cs="宋体"/>
          <w:i w:val="0"/>
          <w:iCs w:val="0"/>
          <w:caps w:val="0"/>
          <w:color w:val="auto"/>
          <w:spacing w:val="0"/>
          <w:sz w:val="21"/>
          <w:szCs w:val="21"/>
          <w:highlight w:val="none"/>
          <w:shd w:val="clear" w:color="auto" w:fill="auto"/>
        </w:rPr>
        <w:t>12.30 </w:t>
      </w:r>
      <w:r>
        <w:rPr>
          <w:rFonts w:hint="eastAsia" w:ascii="宋体" w:hAnsi="宋体" w:eastAsia="宋体" w:cs="宋体"/>
          <w:color w:val="auto"/>
          <w:szCs w:val="21"/>
          <w:highlight w:val="none"/>
          <w:shd w:val="clear" w:color="auto" w:fill="auto"/>
          <w:lang w:val="en-US" w:eastAsia="zh-CN"/>
        </w:rPr>
        <w:t>kg/桶)、15L（约15kg/</w:t>
      </w:r>
      <w:r>
        <w:rPr>
          <w:rFonts w:hint="eastAsia" w:ascii="宋体" w:hAnsi="宋体" w:eastAsia="宋体" w:cs="宋体"/>
          <w:color w:val="auto"/>
          <w:szCs w:val="21"/>
          <w:highlight w:val="none"/>
          <w:shd w:val="clear" w:color="auto" w:fill="auto"/>
          <w:lang w:val="zh-CN" w:eastAsia="zh-CN"/>
        </w:rPr>
        <w:t>桶</w:t>
      </w:r>
      <w:r>
        <w:rPr>
          <w:rFonts w:hint="eastAsia" w:ascii="宋体" w:hAnsi="宋体" w:eastAsia="宋体" w:cs="宋体"/>
          <w:color w:val="auto"/>
          <w:szCs w:val="21"/>
          <w:highlight w:val="none"/>
          <w:shd w:val="clear" w:color="auto" w:fill="auto"/>
          <w:lang w:val="en-US" w:eastAsia="zh-CN"/>
        </w:rPr>
        <w:t>）、5.28L*3桶（约</w:t>
      </w:r>
      <w:r>
        <w:rPr>
          <w:rFonts w:hint="eastAsia" w:ascii="宋体" w:hAnsi="宋体" w:eastAsia="宋体" w:cs="宋体"/>
          <w:i w:val="0"/>
          <w:iCs w:val="0"/>
          <w:caps w:val="0"/>
          <w:color w:val="auto"/>
          <w:spacing w:val="0"/>
          <w:sz w:val="21"/>
          <w:szCs w:val="21"/>
          <w:highlight w:val="none"/>
          <w:shd w:val="clear" w:color="auto" w:fill="auto"/>
        </w:rPr>
        <w:t>15.84</w:t>
      </w:r>
      <w:r>
        <w:rPr>
          <w:rFonts w:hint="eastAsia" w:ascii="宋体" w:hAnsi="宋体" w:eastAsia="宋体" w:cs="宋体"/>
          <w:color w:val="auto"/>
          <w:szCs w:val="21"/>
          <w:highlight w:val="none"/>
          <w:shd w:val="clear" w:color="auto" w:fill="auto"/>
          <w:lang w:val="en-US" w:eastAsia="zh-CN"/>
        </w:rPr>
        <w:t>kg/件）、5L*4桶（约</w:t>
      </w:r>
      <w:r>
        <w:rPr>
          <w:rFonts w:hint="eastAsia" w:ascii="宋体" w:hAnsi="宋体" w:eastAsia="宋体" w:cs="宋体"/>
          <w:i w:val="0"/>
          <w:iCs w:val="0"/>
          <w:caps w:val="0"/>
          <w:color w:val="auto"/>
          <w:spacing w:val="0"/>
          <w:sz w:val="21"/>
          <w:szCs w:val="21"/>
          <w:highlight w:val="none"/>
          <w:shd w:val="clear" w:color="auto" w:fill="auto"/>
          <w:lang w:val="en-US" w:eastAsia="zh-CN"/>
        </w:rPr>
        <w:t>20</w:t>
      </w:r>
      <w:r>
        <w:rPr>
          <w:rFonts w:hint="eastAsia" w:ascii="宋体" w:hAnsi="宋体" w:eastAsia="宋体" w:cs="宋体"/>
          <w:color w:val="auto"/>
          <w:szCs w:val="21"/>
          <w:highlight w:val="none"/>
          <w:shd w:val="clear" w:color="auto" w:fill="auto"/>
          <w:lang w:val="en-US" w:eastAsia="zh-CN"/>
        </w:rPr>
        <w:t>kg/件）；支装水产品：360ml*24瓶（约8.64kg/件）、350ml*24瓶（约</w:t>
      </w:r>
      <w:r>
        <w:rPr>
          <w:rFonts w:hint="eastAsia" w:ascii="宋体" w:hAnsi="宋体" w:eastAsia="宋体" w:cs="宋体"/>
          <w:i w:val="0"/>
          <w:iCs w:val="0"/>
          <w:caps w:val="0"/>
          <w:color w:val="auto"/>
          <w:spacing w:val="0"/>
          <w:sz w:val="21"/>
          <w:szCs w:val="21"/>
          <w:highlight w:val="none"/>
          <w:shd w:val="clear" w:color="auto" w:fill="auto"/>
        </w:rPr>
        <w:t>8.40</w:t>
      </w:r>
      <w:r>
        <w:rPr>
          <w:rFonts w:hint="eastAsia" w:ascii="宋体" w:hAnsi="宋体" w:eastAsia="宋体" w:cs="宋体"/>
          <w:color w:val="auto"/>
          <w:szCs w:val="21"/>
          <w:highlight w:val="none"/>
          <w:shd w:val="clear" w:color="auto" w:fill="auto"/>
          <w:lang w:val="en-US" w:eastAsia="zh-CN"/>
        </w:rPr>
        <w:t>kg/件）、390ml*24瓶（</w:t>
      </w:r>
      <w:r>
        <w:rPr>
          <w:rFonts w:hint="eastAsia" w:ascii="宋体" w:hAnsi="宋体" w:cs="宋体"/>
          <w:color w:val="auto"/>
          <w:szCs w:val="21"/>
          <w:highlight w:val="none"/>
          <w:shd w:val="clear" w:color="auto" w:fill="auto"/>
          <w:lang w:val="en-US" w:eastAsia="zh-CN"/>
        </w:rPr>
        <w:t>约</w:t>
      </w:r>
      <w:r>
        <w:rPr>
          <w:rFonts w:hint="eastAsia" w:ascii="宋体" w:hAnsi="宋体" w:eastAsia="宋体" w:cs="宋体"/>
          <w:color w:val="auto"/>
          <w:szCs w:val="21"/>
          <w:highlight w:val="none"/>
          <w:shd w:val="clear" w:color="auto" w:fill="auto"/>
          <w:lang w:val="en-US" w:eastAsia="zh-CN"/>
        </w:rPr>
        <w:t>9.36kg/件）</w:t>
      </w:r>
      <w:r>
        <w:rPr>
          <w:rFonts w:hint="eastAsia" w:ascii="宋体" w:hAnsi="宋体" w:cs="宋体"/>
          <w:color w:val="auto"/>
          <w:szCs w:val="21"/>
          <w:highlight w:val="none"/>
          <w:shd w:val="clear" w:color="auto" w:fill="auto"/>
          <w:lang w:val="en-US" w:eastAsia="zh-CN"/>
        </w:rPr>
        <w:t>、</w:t>
      </w:r>
      <w:r>
        <w:rPr>
          <w:rFonts w:hint="eastAsia" w:ascii="宋体" w:hAnsi="宋体" w:eastAsia="宋体" w:cs="宋体"/>
          <w:color w:val="auto"/>
          <w:szCs w:val="21"/>
          <w:highlight w:val="none"/>
          <w:shd w:val="clear" w:color="auto" w:fill="auto"/>
          <w:lang w:val="en-US" w:eastAsia="zh-CN"/>
        </w:rPr>
        <w:t>550ml*24瓶（约</w:t>
      </w:r>
      <w:r>
        <w:rPr>
          <w:rFonts w:hint="eastAsia" w:ascii="宋体" w:hAnsi="宋体" w:eastAsia="宋体" w:cs="宋体"/>
          <w:i w:val="0"/>
          <w:iCs w:val="0"/>
          <w:caps w:val="0"/>
          <w:color w:val="auto"/>
          <w:spacing w:val="0"/>
          <w:sz w:val="21"/>
          <w:szCs w:val="21"/>
          <w:highlight w:val="none"/>
          <w:shd w:val="clear" w:color="auto" w:fill="auto"/>
          <w:lang w:val="en-US" w:eastAsia="zh-CN"/>
        </w:rPr>
        <w:t>13.2</w:t>
      </w:r>
      <w:r>
        <w:rPr>
          <w:rFonts w:hint="eastAsia" w:ascii="宋体" w:hAnsi="宋体" w:eastAsia="宋体" w:cs="宋体"/>
          <w:i w:val="0"/>
          <w:iCs w:val="0"/>
          <w:caps w:val="0"/>
          <w:color w:val="auto"/>
          <w:spacing w:val="0"/>
          <w:sz w:val="21"/>
          <w:szCs w:val="21"/>
          <w:highlight w:val="none"/>
          <w:shd w:val="clear" w:color="auto" w:fill="auto"/>
        </w:rPr>
        <w:t>0</w:t>
      </w:r>
      <w:r>
        <w:rPr>
          <w:rFonts w:hint="eastAsia" w:ascii="宋体" w:hAnsi="宋体" w:eastAsia="宋体" w:cs="宋体"/>
          <w:color w:val="auto"/>
          <w:szCs w:val="21"/>
          <w:highlight w:val="none"/>
          <w:shd w:val="clear" w:color="auto" w:fill="auto"/>
          <w:lang w:val="en-US" w:eastAsia="zh-CN"/>
        </w:rPr>
        <w:t>kg/件）、</w:t>
      </w:r>
      <w:r>
        <w:rPr>
          <w:rFonts w:hint="eastAsia" w:ascii="宋体" w:hAnsi="宋体" w:cs="宋体"/>
          <w:color w:val="auto"/>
          <w:szCs w:val="21"/>
          <w:highlight w:val="none"/>
          <w:shd w:val="clear" w:color="auto" w:fill="auto"/>
          <w:lang w:val="en-US" w:eastAsia="zh-CN"/>
        </w:rPr>
        <w:t>22</w:t>
      </w:r>
      <w:r>
        <w:rPr>
          <w:rFonts w:hint="eastAsia" w:ascii="宋体" w:hAnsi="宋体" w:eastAsia="宋体" w:cs="宋体"/>
          <w:color w:val="auto"/>
          <w:szCs w:val="21"/>
          <w:highlight w:val="none"/>
          <w:shd w:val="clear" w:color="auto" w:fill="auto"/>
          <w:lang w:val="en-US" w:eastAsia="zh-CN"/>
        </w:rPr>
        <w:t>0ml*</w:t>
      </w:r>
      <w:r>
        <w:rPr>
          <w:rFonts w:hint="eastAsia" w:ascii="宋体" w:hAnsi="宋体" w:cs="宋体"/>
          <w:color w:val="auto"/>
          <w:szCs w:val="21"/>
          <w:highlight w:val="none"/>
          <w:shd w:val="clear" w:color="auto" w:fill="auto"/>
          <w:lang w:val="en-US" w:eastAsia="zh-CN"/>
        </w:rPr>
        <w:t>12</w:t>
      </w:r>
      <w:r>
        <w:rPr>
          <w:rFonts w:hint="eastAsia" w:ascii="宋体" w:hAnsi="宋体" w:eastAsia="宋体" w:cs="宋体"/>
          <w:color w:val="auto"/>
          <w:szCs w:val="21"/>
          <w:highlight w:val="none"/>
          <w:shd w:val="clear" w:color="auto" w:fill="auto"/>
          <w:lang w:val="en-US" w:eastAsia="zh-CN"/>
        </w:rPr>
        <w:t>瓶（</w:t>
      </w:r>
      <w:r>
        <w:rPr>
          <w:rFonts w:hint="eastAsia" w:ascii="宋体" w:hAnsi="宋体" w:cs="宋体"/>
          <w:color w:val="auto"/>
          <w:szCs w:val="21"/>
          <w:highlight w:val="none"/>
          <w:shd w:val="clear" w:color="auto" w:fill="auto"/>
          <w:lang w:val="en-US" w:eastAsia="zh-CN"/>
        </w:rPr>
        <w:t>约3</w:t>
      </w:r>
      <w:r>
        <w:rPr>
          <w:rFonts w:hint="eastAsia" w:ascii="宋体" w:hAnsi="宋体" w:eastAsia="宋体" w:cs="宋体"/>
          <w:color w:val="auto"/>
          <w:szCs w:val="21"/>
          <w:highlight w:val="none"/>
          <w:shd w:val="clear" w:color="auto" w:fill="auto"/>
          <w:lang w:val="en-US" w:eastAsia="zh-CN"/>
        </w:rPr>
        <w:t>kg/件）</w:t>
      </w:r>
      <w:r>
        <w:rPr>
          <w:rFonts w:hint="eastAsia" w:ascii="宋体" w:hAnsi="宋体" w:cs="宋体"/>
          <w:color w:val="auto"/>
          <w:szCs w:val="21"/>
          <w:highlight w:val="none"/>
          <w:shd w:val="clear" w:color="auto" w:fill="auto"/>
          <w:lang w:val="en-US" w:eastAsia="zh-CN"/>
        </w:rPr>
        <w:t>、22</w:t>
      </w:r>
      <w:r>
        <w:rPr>
          <w:rFonts w:hint="eastAsia" w:ascii="宋体" w:hAnsi="宋体" w:eastAsia="宋体" w:cs="宋体"/>
          <w:color w:val="auto"/>
          <w:szCs w:val="21"/>
          <w:highlight w:val="none"/>
          <w:shd w:val="clear" w:color="auto" w:fill="auto"/>
          <w:lang w:val="en-US" w:eastAsia="zh-CN"/>
        </w:rPr>
        <w:t>0ml*24瓶（约</w:t>
      </w:r>
      <w:r>
        <w:rPr>
          <w:rFonts w:hint="eastAsia" w:ascii="宋体" w:hAnsi="宋体" w:cs="宋体"/>
          <w:i w:val="0"/>
          <w:iCs w:val="0"/>
          <w:caps w:val="0"/>
          <w:color w:val="auto"/>
          <w:spacing w:val="0"/>
          <w:sz w:val="21"/>
          <w:szCs w:val="21"/>
          <w:highlight w:val="none"/>
          <w:shd w:val="clear" w:color="auto" w:fill="auto"/>
          <w:lang w:val="en-US" w:eastAsia="zh-CN"/>
        </w:rPr>
        <w:t>6</w:t>
      </w:r>
      <w:r>
        <w:rPr>
          <w:rFonts w:hint="eastAsia" w:ascii="宋体" w:hAnsi="宋体" w:eastAsia="宋体" w:cs="宋体"/>
          <w:color w:val="auto"/>
          <w:szCs w:val="21"/>
          <w:highlight w:val="none"/>
          <w:shd w:val="clear" w:color="auto" w:fill="auto"/>
          <w:lang w:val="en-US" w:eastAsia="zh-CN"/>
        </w:rPr>
        <w:t>kg/件）</w:t>
      </w:r>
      <w:r>
        <w:rPr>
          <w:rFonts w:hint="eastAsia" w:ascii="宋体" w:hAnsi="宋体" w:cs="宋体"/>
          <w:color w:val="auto"/>
          <w:szCs w:val="21"/>
          <w:highlight w:val="none"/>
          <w:shd w:val="clear" w:color="auto" w:fill="auto"/>
          <w:lang w:val="en-US" w:eastAsia="zh-CN"/>
        </w:rPr>
        <w:t>。配送</w:t>
      </w:r>
      <w:r>
        <w:rPr>
          <w:rFonts w:hint="default"/>
          <w:lang w:val="en-US" w:eastAsia="zh-CN"/>
        </w:rPr>
        <w:t>非饮用水</w:t>
      </w:r>
      <w:r>
        <w:rPr>
          <w:rFonts w:hint="eastAsia"/>
          <w:lang w:val="en-US" w:eastAsia="zh-CN"/>
        </w:rPr>
        <w:t>商</w:t>
      </w:r>
      <w:r>
        <w:rPr>
          <w:rFonts w:hint="default"/>
          <w:lang w:val="en-US" w:eastAsia="zh-CN"/>
        </w:rPr>
        <w:t>品</w:t>
      </w:r>
      <w:r>
        <w:rPr>
          <w:rFonts w:hint="eastAsia"/>
          <w:lang w:val="en-US" w:eastAsia="zh-CN"/>
        </w:rPr>
        <w:t>，按整包合计</w:t>
      </w:r>
      <w:r>
        <w:rPr>
          <w:rFonts w:hint="default"/>
          <w:lang w:val="en-US" w:eastAsia="zh-CN"/>
        </w:rPr>
        <w:t>重量2KG及以下</w:t>
      </w:r>
      <w:r>
        <w:rPr>
          <w:rFonts w:hint="eastAsia"/>
          <w:lang w:val="en-US" w:eastAsia="zh-CN"/>
        </w:rPr>
        <w:t>，尺寸不超50cm*50cm*50cm为一件产品</w:t>
      </w:r>
      <w:r>
        <w:rPr>
          <w:rFonts w:hint="eastAsia" w:ascii="宋体" w:hAnsi="宋体" w:cs="宋体"/>
          <w:color w:val="auto"/>
          <w:sz w:val="21"/>
          <w:szCs w:val="21"/>
          <w:highlight w:val="none"/>
          <w:lang w:val="en-US" w:eastAsia="zh-CN"/>
        </w:rPr>
        <w:t>。</w:t>
      </w:r>
    </w:p>
    <w:p w14:paraId="188A6AC5">
      <w:pPr>
        <w:pStyle w:val="26"/>
        <w:ind w:firstLine="420" w:firstLineChars="200"/>
        <w:rPr>
          <w:rFonts w:hint="default"/>
          <w:lang w:val="en-US" w:eastAsia="zh-CN"/>
        </w:rPr>
      </w:pPr>
      <w:r>
        <w:rPr>
          <w:rFonts w:hint="default"/>
          <w:lang w:val="en-US" w:eastAsia="zh-CN"/>
        </w:rPr>
        <w:t>搭配</w:t>
      </w:r>
      <w:r>
        <w:rPr>
          <w:rFonts w:hint="eastAsia"/>
          <w:lang w:val="en-US" w:eastAsia="zh-CN"/>
        </w:rPr>
        <w:t>饮用水</w:t>
      </w:r>
      <w:r>
        <w:rPr>
          <w:rFonts w:hint="default"/>
          <w:lang w:val="en-US" w:eastAsia="zh-CN"/>
        </w:rPr>
        <w:t>产品配送的非饮用水商品，可随同批次订单免费一同配送，供应商需按相同服务标准保障配送安全与时效，不得额外收取费用。</w:t>
      </w:r>
    </w:p>
    <w:p w14:paraId="102CE03F">
      <w:pPr>
        <w:numPr>
          <w:ilvl w:val="0"/>
          <w:numId w:val="1"/>
        </w:numPr>
        <w:spacing w:line="360" w:lineRule="auto"/>
        <w:ind w:firstLine="422" w:firstLineChars="200"/>
        <w:rPr>
          <w:rFonts w:hint="eastAsia" w:cs="Times New Roman"/>
          <w:b/>
          <w:color w:val="auto"/>
          <w:sz w:val="21"/>
          <w:szCs w:val="21"/>
          <w:highlight w:val="none"/>
          <w:lang w:val="en-US" w:eastAsia="zh-CN"/>
        </w:rPr>
      </w:pPr>
      <w:r>
        <w:rPr>
          <w:rFonts w:hint="eastAsia" w:cs="Times New Roman"/>
          <w:b/>
          <w:color w:val="auto"/>
          <w:sz w:val="21"/>
          <w:szCs w:val="21"/>
          <w:highlight w:val="none"/>
          <w:lang w:val="en-US" w:eastAsia="zh-CN"/>
        </w:rPr>
        <w:t>成交供应商资格要求</w:t>
      </w:r>
    </w:p>
    <w:p w14:paraId="3D297B00">
      <w:pPr>
        <w:pStyle w:val="26"/>
        <w:numPr>
          <w:ilvl w:val="-1"/>
          <w:numId w:val="0"/>
        </w:numPr>
        <w:ind w:firstLine="420" w:firstLineChars="200"/>
        <w:rPr>
          <w:rFonts w:hint="default" w:cs="Times New Roman"/>
          <w:bCs w:val="0"/>
          <w:color w:val="auto"/>
          <w:szCs w:val="21"/>
          <w:highlight w:val="none"/>
        </w:rPr>
      </w:pPr>
      <w:r>
        <w:rPr>
          <w:rFonts w:hint="eastAsia" w:cs="Times New Roman"/>
          <w:bCs w:val="0"/>
          <w:color w:val="auto"/>
          <w:szCs w:val="21"/>
          <w:highlight w:val="none"/>
          <w:lang w:eastAsia="zh-CN"/>
        </w:rPr>
        <w:t>（</w:t>
      </w:r>
      <w:r>
        <w:rPr>
          <w:rFonts w:hint="eastAsia" w:cs="Times New Roman"/>
          <w:bCs w:val="0"/>
          <w:color w:val="auto"/>
          <w:szCs w:val="21"/>
          <w:highlight w:val="none"/>
          <w:lang w:val="en-US" w:eastAsia="zh-CN"/>
        </w:rPr>
        <w:t>一</w:t>
      </w:r>
      <w:r>
        <w:rPr>
          <w:rFonts w:hint="eastAsia" w:cs="Times New Roman"/>
          <w:bCs w:val="0"/>
          <w:color w:val="auto"/>
          <w:szCs w:val="21"/>
          <w:highlight w:val="none"/>
          <w:lang w:eastAsia="zh-CN"/>
        </w:rPr>
        <w:t>）</w:t>
      </w:r>
      <w:r>
        <w:rPr>
          <w:rFonts w:hint="default" w:cs="Times New Roman"/>
          <w:bCs w:val="0"/>
          <w:color w:val="auto"/>
          <w:szCs w:val="21"/>
          <w:highlight w:val="none"/>
        </w:rPr>
        <w:t>具备独立承担民事责任的能力，拥有合法有效的营业执照等相关经营资质。</w:t>
      </w:r>
    </w:p>
    <w:p w14:paraId="67BCA2F5">
      <w:pPr>
        <w:pStyle w:val="26"/>
        <w:numPr>
          <w:ilvl w:val="-1"/>
          <w:numId w:val="0"/>
        </w:numPr>
        <w:ind w:firstLine="420" w:firstLineChars="200"/>
        <w:rPr>
          <w:rFonts w:hint="default" w:cs="Times New Roman"/>
          <w:bCs w:val="0"/>
          <w:color w:val="auto"/>
          <w:szCs w:val="21"/>
          <w:highlight w:val="none"/>
        </w:rPr>
      </w:pPr>
      <w:r>
        <w:rPr>
          <w:rFonts w:hint="eastAsia" w:cs="Times New Roman"/>
          <w:bCs w:val="0"/>
          <w:color w:val="auto"/>
          <w:szCs w:val="21"/>
          <w:highlight w:val="none"/>
          <w:lang w:eastAsia="zh-CN"/>
        </w:rPr>
        <w:t>（</w:t>
      </w:r>
      <w:r>
        <w:rPr>
          <w:rFonts w:hint="eastAsia" w:cs="Times New Roman"/>
          <w:bCs w:val="0"/>
          <w:color w:val="auto"/>
          <w:szCs w:val="21"/>
          <w:highlight w:val="none"/>
          <w:lang w:val="en-US" w:eastAsia="zh-CN"/>
        </w:rPr>
        <w:t>二</w:t>
      </w:r>
      <w:r>
        <w:rPr>
          <w:rFonts w:hint="eastAsia" w:cs="Times New Roman"/>
          <w:bCs w:val="0"/>
          <w:color w:val="auto"/>
          <w:szCs w:val="21"/>
          <w:highlight w:val="none"/>
          <w:lang w:eastAsia="zh-CN"/>
        </w:rPr>
        <w:t>）</w:t>
      </w:r>
      <w:r>
        <w:rPr>
          <w:rFonts w:hint="default" w:cs="Times New Roman"/>
          <w:bCs w:val="0"/>
          <w:color w:val="auto"/>
          <w:szCs w:val="21"/>
          <w:highlight w:val="none"/>
        </w:rPr>
        <w:t>物流司机须具备相应的货车驾照，车辆要求为总质量4500KG及以下的全关闭厢式货车；如使用总质量4500KG以上的货车进行配送，需取得道路运输经营许可证及车辆营运证</w:t>
      </w:r>
      <w:r>
        <w:rPr>
          <w:rFonts w:hint="eastAsia" w:ascii="Times New Roman" w:hAnsi="Times New Roman" w:eastAsia="宋体" w:cs="Times New Roman"/>
          <w:color w:val="auto"/>
          <w:sz w:val="21"/>
          <w:szCs w:val="21"/>
          <w:highlight w:val="none"/>
          <w:lang w:val="en-US" w:eastAsia="zh-CN"/>
        </w:rPr>
        <w:t>，否则因违反《中华人民共和国道路运输条例》的规定产生的一切后果均由报价人承担。</w:t>
      </w:r>
    </w:p>
    <w:p w14:paraId="6194205E">
      <w:pPr>
        <w:pStyle w:val="26"/>
        <w:numPr>
          <w:ilvl w:val="-1"/>
          <w:numId w:val="0"/>
        </w:numPr>
        <w:ind w:firstLine="420" w:firstLineChars="200"/>
        <w:rPr>
          <w:rFonts w:hint="default" w:cs="Times New Roman"/>
          <w:bCs w:val="0"/>
          <w:color w:val="auto"/>
          <w:szCs w:val="21"/>
          <w:highlight w:val="none"/>
        </w:rPr>
      </w:pPr>
      <w:r>
        <w:rPr>
          <w:rFonts w:hint="eastAsia" w:cs="Times New Roman"/>
          <w:bCs w:val="0"/>
          <w:color w:val="auto"/>
          <w:szCs w:val="21"/>
          <w:highlight w:val="none"/>
          <w:lang w:eastAsia="zh-CN"/>
        </w:rPr>
        <w:t>（</w:t>
      </w:r>
      <w:r>
        <w:rPr>
          <w:rFonts w:hint="eastAsia" w:cs="Times New Roman"/>
          <w:bCs w:val="0"/>
          <w:color w:val="auto"/>
          <w:szCs w:val="21"/>
          <w:highlight w:val="none"/>
          <w:lang w:val="en-US" w:eastAsia="zh-CN"/>
        </w:rPr>
        <w:t>三</w:t>
      </w:r>
      <w:r>
        <w:rPr>
          <w:rFonts w:hint="eastAsia" w:cs="Times New Roman"/>
          <w:bCs w:val="0"/>
          <w:color w:val="auto"/>
          <w:szCs w:val="21"/>
          <w:highlight w:val="none"/>
          <w:lang w:eastAsia="zh-CN"/>
        </w:rPr>
        <w:t>）</w:t>
      </w:r>
      <w:r>
        <w:rPr>
          <w:rFonts w:hint="default" w:cs="Times New Roman"/>
          <w:bCs w:val="0"/>
          <w:color w:val="auto"/>
          <w:szCs w:val="21"/>
          <w:highlight w:val="none"/>
        </w:rPr>
        <w:t>日配送能力要求支装水不低于</w:t>
      </w:r>
      <w:r>
        <w:rPr>
          <w:rFonts w:hint="eastAsia" w:cs="Times New Roman"/>
          <w:bCs w:val="0"/>
          <w:color w:val="auto"/>
          <w:szCs w:val="21"/>
          <w:highlight w:val="none"/>
          <w:lang w:eastAsia="zh-CN"/>
        </w:rPr>
        <w:t>5</w:t>
      </w:r>
      <w:r>
        <w:rPr>
          <w:rFonts w:hint="default" w:cs="Times New Roman"/>
          <w:bCs w:val="0"/>
          <w:color w:val="auto"/>
          <w:szCs w:val="21"/>
          <w:highlight w:val="none"/>
        </w:rPr>
        <w:t>00件，桶装水不低于</w:t>
      </w:r>
      <w:r>
        <w:rPr>
          <w:rFonts w:hint="eastAsia" w:cs="Times New Roman"/>
          <w:bCs w:val="0"/>
          <w:color w:val="auto"/>
          <w:szCs w:val="21"/>
          <w:highlight w:val="none"/>
          <w:lang w:eastAsia="zh-CN"/>
        </w:rPr>
        <w:t>5</w:t>
      </w:r>
      <w:r>
        <w:rPr>
          <w:rFonts w:hint="default" w:cs="Times New Roman"/>
          <w:bCs w:val="0"/>
          <w:color w:val="auto"/>
          <w:szCs w:val="21"/>
          <w:highlight w:val="none"/>
        </w:rPr>
        <w:t>00桶。</w:t>
      </w:r>
    </w:p>
    <w:p w14:paraId="72B92038">
      <w:pPr>
        <w:pStyle w:val="26"/>
        <w:numPr>
          <w:ilvl w:val="-1"/>
          <w:numId w:val="0"/>
        </w:numPr>
        <w:ind w:firstLine="420" w:firstLineChars="200"/>
        <w:rPr>
          <w:rFonts w:hint="default" w:cs="Times New Roman"/>
          <w:bCs w:val="0"/>
          <w:color w:val="auto"/>
          <w:szCs w:val="21"/>
          <w:highlight w:val="none"/>
        </w:rPr>
      </w:pPr>
      <w:r>
        <w:rPr>
          <w:rFonts w:hint="eastAsia" w:cs="Times New Roman"/>
          <w:bCs w:val="0"/>
          <w:color w:val="auto"/>
          <w:szCs w:val="21"/>
          <w:highlight w:val="none"/>
          <w:lang w:eastAsia="zh-CN"/>
        </w:rPr>
        <w:t>（</w:t>
      </w:r>
      <w:r>
        <w:rPr>
          <w:rFonts w:hint="eastAsia" w:cs="Times New Roman"/>
          <w:bCs w:val="0"/>
          <w:color w:val="auto"/>
          <w:szCs w:val="21"/>
          <w:highlight w:val="none"/>
          <w:lang w:val="en-US" w:eastAsia="zh-CN"/>
        </w:rPr>
        <w:t>四</w:t>
      </w:r>
      <w:r>
        <w:rPr>
          <w:rFonts w:hint="eastAsia" w:cs="Times New Roman"/>
          <w:bCs w:val="0"/>
          <w:color w:val="auto"/>
          <w:szCs w:val="21"/>
          <w:highlight w:val="none"/>
          <w:lang w:eastAsia="zh-CN"/>
        </w:rPr>
        <w:t>）</w:t>
      </w:r>
      <w:r>
        <w:rPr>
          <w:rFonts w:hint="default" w:cs="Times New Roman"/>
          <w:bCs w:val="0"/>
          <w:color w:val="auto"/>
          <w:szCs w:val="21"/>
          <w:highlight w:val="none"/>
        </w:rPr>
        <w:t>具有良好的商业信誉和健全的财务会计制度，近三年内无重大违法违规记录及重大质量、安全事故。</w:t>
      </w:r>
    </w:p>
    <w:p w14:paraId="79C0C4EC">
      <w:pPr>
        <w:pStyle w:val="26"/>
        <w:numPr>
          <w:ilvl w:val="-1"/>
          <w:numId w:val="0"/>
        </w:numPr>
        <w:ind w:firstLine="420" w:firstLineChars="200"/>
        <w:rPr>
          <w:rFonts w:hint="default" w:cs="Times New Roman"/>
          <w:bCs w:val="0"/>
          <w:color w:val="auto"/>
          <w:szCs w:val="21"/>
          <w:highlight w:val="none"/>
          <w:lang w:val="en-US" w:eastAsia="zh-CN"/>
        </w:rPr>
      </w:pPr>
      <w:r>
        <w:rPr>
          <w:rFonts w:hint="eastAsia" w:cs="Times New Roman"/>
          <w:bCs w:val="0"/>
          <w:color w:val="auto"/>
          <w:szCs w:val="21"/>
          <w:highlight w:val="none"/>
          <w:lang w:eastAsia="zh-CN"/>
        </w:rPr>
        <w:t>（</w:t>
      </w:r>
      <w:r>
        <w:rPr>
          <w:rFonts w:hint="eastAsia" w:cs="Times New Roman"/>
          <w:bCs w:val="0"/>
          <w:color w:val="auto"/>
          <w:szCs w:val="21"/>
          <w:highlight w:val="none"/>
          <w:lang w:val="en-US" w:eastAsia="zh-CN"/>
        </w:rPr>
        <w:t>五</w:t>
      </w:r>
      <w:r>
        <w:rPr>
          <w:rFonts w:hint="eastAsia" w:cs="Times New Roman"/>
          <w:bCs w:val="0"/>
          <w:color w:val="auto"/>
          <w:szCs w:val="21"/>
          <w:highlight w:val="none"/>
          <w:lang w:eastAsia="zh-CN"/>
        </w:rPr>
        <w:t>）</w:t>
      </w:r>
      <w:r>
        <w:rPr>
          <w:rFonts w:hint="default" w:cs="Times New Roman"/>
          <w:bCs w:val="0"/>
          <w:color w:val="auto"/>
          <w:szCs w:val="21"/>
          <w:highlight w:val="none"/>
        </w:rPr>
        <w:t>具备履行合同所必需的设备、人员和专业技术能力，能够满足本需求书规定的服务要求和期限。</w:t>
      </w:r>
    </w:p>
    <w:p w14:paraId="11DC294A">
      <w:pPr>
        <w:numPr>
          <w:ilvl w:val="0"/>
          <w:numId w:val="0"/>
        </w:numPr>
        <w:spacing w:line="360" w:lineRule="auto"/>
        <w:ind w:firstLine="422" w:firstLineChars="200"/>
        <w:rPr>
          <w:rFonts w:hint="default" w:ascii="Times New Roman" w:hAnsi="Times New Roman" w:eastAsia="宋体" w:cs="Times New Roman"/>
          <w:b/>
          <w:color w:val="auto"/>
          <w:sz w:val="21"/>
          <w:szCs w:val="21"/>
          <w:highlight w:val="none"/>
          <w:lang w:val="en-US" w:eastAsia="zh-CN"/>
        </w:rPr>
      </w:pPr>
      <w:r>
        <w:rPr>
          <w:rFonts w:hint="eastAsia" w:cs="Times New Roman"/>
          <w:b/>
          <w:color w:val="auto"/>
          <w:sz w:val="21"/>
          <w:szCs w:val="21"/>
          <w:highlight w:val="none"/>
          <w:lang w:val="en-US" w:eastAsia="zh-CN"/>
        </w:rPr>
        <w:t>三、物流配送服务范围需求和单价预算</w:t>
      </w:r>
    </w:p>
    <w:p w14:paraId="5C9CD8D3">
      <w:pPr>
        <w:spacing w:line="360" w:lineRule="auto"/>
        <w:ind w:firstLine="420" w:firstLineChars="20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本次服务范围在东莞市内，车辆数量</w:t>
      </w:r>
      <w:r>
        <w:rPr>
          <w:rFonts w:hint="eastAsia" w:cs="Times New Roman"/>
          <w:color w:val="auto"/>
          <w:sz w:val="21"/>
          <w:szCs w:val="21"/>
          <w:highlight w:val="none"/>
          <w:lang w:val="en-US" w:eastAsia="zh-CN"/>
        </w:rPr>
        <w:t>由报价人</w:t>
      </w:r>
      <w:r>
        <w:rPr>
          <w:rFonts w:hint="default" w:ascii="Times New Roman" w:hAnsi="Times New Roman" w:eastAsia="宋体" w:cs="Times New Roman"/>
          <w:color w:val="auto"/>
          <w:sz w:val="21"/>
          <w:szCs w:val="21"/>
          <w:highlight w:val="none"/>
          <w:lang w:val="en-US" w:eastAsia="zh-CN"/>
        </w:rPr>
        <w:t>自行配置。根据</w:t>
      </w:r>
      <w:r>
        <w:rPr>
          <w:rFonts w:hint="eastAsia" w:ascii="Times New Roman" w:hAnsi="Times New Roman" w:eastAsia="宋体" w:cs="Times New Roman"/>
          <w:color w:val="auto"/>
          <w:sz w:val="21"/>
          <w:szCs w:val="21"/>
          <w:highlight w:val="none"/>
          <w:lang w:val="en-US" w:eastAsia="zh-CN"/>
        </w:rPr>
        <w:t>采购人</w:t>
      </w:r>
      <w:r>
        <w:rPr>
          <w:rFonts w:hint="default" w:ascii="Times New Roman" w:hAnsi="Times New Roman" w:eastAsia="宋体" w:cs="Times New Roman"/>
          <w:color w:val="auto"/>
          <w:sz w:val="21"/>
          <w:szCs w:val="21"/>
          <w:highlight w:val="none"/>
          <w:lang w:val="en-US" w:eastAsia="zh-CN"/>
        </w:rPr>
        <w:t>的订单，自行负责</w:t>
      </w:r>
      <w:r>
        <w:rPr>
          <w:rFonts w:hint="eastAsia" w:cs="Times New Roman"/>
          <w:color w:val="auto"/>
          <w:sz w:val="21"/>
          <w:szCs w:val="21"/>
          <w:highlight w:val="none"/>
          <w:lang w:val="en-US" w:eastAsia="zh-CN"/>
        </w:rPr>
        <w:t>配送</w:t>
      </w:r>
      <w:r>
        <w:rPr>
          <w:rFonts w:hint="default" w:ascii="Times New Roman" w:hAnsi="Times New Roman" w:eastAsia="宋体" w:cs="Times New Roman"/>
          <w:color w:val="auto"/>
          <w:sz w:val="21"/>
          <w:szCs w:val="21"/>
          <w:highlight w:val="none"/>
          <w:lang w:val="en-US" w:eastAsia="zh-CN"/>
        </w:rPr>
        <w:t>产品</w:t>
      </w:r>
      <w:r>
        <w:rPr>
          <w:rFonts w:hint="eastAsia" w:cs="Times New Roman"/>
          <w:color w:val="auto"/>
          <w:sz w:val="21"/>
          <w:szCs w:val="21"/>
          <w:highlight w:val="none"/>
          <w:lang w:val="en-US" w:eastAsia="zh-CN"/>
        </w:rPr>
        <w:t>的</w:t>
      </w:r>
      <w:r>
        <w:rPr>
          <w:rFonts w:hint="default" w:ascii="Times New Roman" w:hAnsi="Times New Roman" w:eastAsia="宋体" w:cs="Times New Roman"/>
          <w:color w:val="auto"/>
          <w:sz w:val="21"/>
          <w:szCs w:val="21"/>
          <w:highlight w:val="none"/>
          <w:lang w:val="en-US" w:eastAsia="zh-CN"/>
        </w:rPr>
        <w:t>装卸货，并配送至采购人客户指定存放点（注：个别客户存在1个或以上存放点，或者需要送货上楼）。</w:t>
      </w:r>
    </w:p>
    <w:p w14:paraId="3ADBF8CB">
      <w:pPr>
        <w:spacing w:line="360" w:lineRule="auto"/>
        <w:ind w:firstLine="420" w:firstLineChars="20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（一）</w:t>
      </w:r>
      <w:r>
        <w:rPr>
          <w:rFonts w:hint="default" w:ascii="Times New Roman" w:hAnsi="Times New Roman" w:eastAsia="宋体" w:cs="Times New Roman"/>
          <w:color w:val="auto"/>
          <w:sz w:val="21"/>
          <w:szCs w:val="21"/>
          <w:highlight w:val="none"/>
          <w:lang w:val="en-US" w:eastAsia="zh-CN"/>
        </w:rPr>
        <w:t>配送服务范围</w:t>
      </w:r>
      <w:r>
        <w:rPr>
          <w:rFonts w:hint="eastAsia" w:ascii="Times New Roman" w:hAnsi="Times New Roman" w:eastAsia="宋体" w:cs="Times New Roman"/>
          <w:color w:val="auto"/>
          <w:sz w:val="21"/>
          <w:szCs w:val="21"/>
          <w:highlight w:val="none"/>
          <w:lang w:val="en-US" w:eastAsia="zh-CN"/>
        </w:rPr>
        <w:t>：</w:t>
      </w:r>
    </w:p>
    <w:p w14:paraId="1B7B0851">
      <w:pPr>
        <w:spacing w:line="360" w:lineRule="auto"/>
        <w:ind w:firstLine="420" w:firstLineChars="20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配送起点为</w:t>
      </w:r>
      <w:r>
        <w:rPr>
          <w:rFonts w:hint="eastAsia" w:cs="Times New Roman"/>
          <w:color w:val="auto"/>
          <w:sz w:val="21"/>
          <w:szCs w:val="21"/>
          <w:highlight w:val="none"/>
          <w:lang w:val="en-US" w:eastAsia="zh-CN"/>
        </w:rPr>
        <w:t>采购人指定东莞市范围内仓库（合计两个仓库：南城仓库、常平仓库）</w:t>
      </w:r>
      <w:r>
        <w:rPr>
          <w:rFonts w:hint="default" w:ascii="Times New Roman" w:hAnsi="Times New Roman" w:eastAsia="宋体" w:cs="Times New Roman"/>
          <w:color w:val="auto"/>
          <w:sz w:val="21"/>
          <w:szCs w:val="21"/>
          <w:highlight w:val="none"/>
          <w:lang w:val="en-US" w:eastAsia="zh-CN"/>
        </w:rPr>
        <w:t>，终点为东莞市</w:t>
      </w:r>
      <w:r>
        <w:rPr>
          <w:rFonts w:hint="eastAsia" w:cs="Times New Roman"/>
          <w:color w:val="auto"/>
          <w:sz w:val="21"/>
          <w:szCs w:val="21"/>
          <w:highlight w:val="none"/>
          <w:lang w:val="en-US" w:eastAsia="zh-CN"/>
        </w:rPr>
        <w:t>范围内所有客户指定存放点（含多存放点、送货上楼等特殊需求场景）</w:t>
      </w:r>
      <w:r>
        <w:rPr>
          <w:rFonts w:hint="default" w:ascii="Times New Roman" w:hAnsi="Times New Roman" w:eastAsia="宋体" w:cs="Times New Roman"/>
          <w:color w:val="auto"/>
          <w:sz w:val="21"/>
          <w:szCs w:val="21"/>
          <w:highlight w:val="none"/>
          <w:lang w:val="en-US" w:eastAsia="zh-CN"/>
        </w:rPr>
        <w:t>。</w:t>
      </w:r>
    </w:p>
    <w:p w14:paraId="56491341">
      <w:pPr>
        <w:spacing w:line="360" w:lineRule="auto"/>
        <w:ind w:firstLine="420" w:firstLineChars="200"/>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货物调拨规则：成交供应商可以根据采购人仓库管理要求，从采购人指定仓库中预提货物到成交供应商的仓库；采购人也可根据自有仓库库存调配需求，将货物预提调拨至成交人仓库，相关预提物流费用均由成交供应商承担。</w:t>
      </w:r>
    </w:p>
    <w:p w14:paraId="0D553437">
      <w:pPr>
        <w:spacing w:line="360" w:lineRule="auto"/>
        <w:ind w:firstLine="420" w:firstLineChars="20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3.若合同终止，</w:t>
      </w:r>
      <w:r>
        <w:rPr>
          <w:rFonts w:hint="eastAsia"/>
          <w:color w:val="auto"/>
          <w:szCs w:val="21"/>
          <w:highlight w:val="none"/>
        </w:rPr>
        <w:t>成交供应商需在15个工作日内，将预提或预提调拨的剩余货物免费运送至采购人指定仓库，确保货物完好、数量无误。</w:t>
      </w:r>
    </w:p>
    <w:p w14:paraId="56C2D4A8">
      <w:pPr>
        <w:snapToGrid w:val="0"/>
        <w:spacing w:line="360" w:lineRule="auto"/>
        <w:ind w:firstLine="424" w:firstLineChars="202"/>
        <w:rPr>
          <w:rFonts w:hint="eastAsia" w:ascii="仿宋_GB2312" w:hAnsi="仿宋_GB2312" w:eastAsia="仿宋_GB2312" w:cs="仿宋_GB2312"/>
          <w:color w:val="auto"/>
          <w:szCs w:val="21"/>
          <w:highlight w:val="none"/>
          <w:shd w:val="clear" w:color="auto" w:fill="FFFFFF"/>
          <w:lang w:val="en-US" w:eastAsia="zh-CN"/>
        </w:rPr>
      </w:pPr>
      <w:r>
        <w:rPr>
          <w:rFonts w:hint="eastAsia" w:ascii="Times New Roman" w:hAnsi="Times New Roman" w:eastAsia="宋体" w:cs="Times New Roman"/>
          <w:color w:val="auto"/>
          <w:sz w:val="21"/>
          <w:szCs w:val="21"/>
          <w:highlight w:val="none"/>
          <w:lang w:val="en-US" w:eastAsia="zh-CN"/>
        </w:rPr>
        <w:t>（二）</w:t>
      </w:r>
      <w:r>
        <w:rPr>
          <w:rFonts w:hint="eastAsia" w:ascii="仿宋_GB2312" w:hAnsi="仿宋_GB2312" w:eastAsia="仿宋_GB2312" w:cs="仿宋_GB2312"/>
          <w:color w:val="auto"/>
          <w:szCs w:val="21"/>
          <w:highlight w:val="none"/>
          <w:shd w:val="clear" w:color="auto" w:fill="FFFFFF"/>
          <w:lang w:val="en-US" w:eastAsia="zh-CN"/>
        </w:rPr>
        <w:t>配送预算单价（不含税）为4.54</w:t>
      </w:r>
      <w:r>
        <w:rPr>
          <w:rFonts w:hint="eastAsia" w:ascii="仿宋_GB2312" w:hAnsi="仿宋_GB2312" w:eastAsia="仿宋_GB2312" w:cs="仿宋_GB2312"/>
          <w:color w:val="auto"/>
          <w:szCs w:val="21"/>
          <w:highlight w:val="none"/>
          <w:u w:val="none"/>
          <w:shd w:val="clear" w:color="auto" w:fill="FFFFFF"/>
          <w:lang w:val="en-US" w:eastAsia="zh-CN"/>
        </w:rPr>
        <w:t>元/件（大写肆元伍角肆分）。</w:t>
      </w:r>
    </w:p>
    <w:p w14:paraId="161E78C5">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服务期限内，如采购人实际需要的物流配送服务未列入上述配送服务范围内，采购人参照当前市场价</w:t>
      </w:r>
      <w:r>
        <w:rPr>
          <w:rFonts w:hint="eastAsia" w:ascii="宋体" w:hAnsi="宋体" w:cs="宋体"/>
          <w:color w:val="auto"/>
          <w:sz w:val="21"/>
          <w:szCs w:val="21"/>
          <w:highlight w:val="none"/>
          <w:lang w:val="en-US" w:eastAsia="zh-CN"/>
        </w:rPr>
        <w:t>与成交人</w:t>
      </w:r>
      <w:r>
        <w:rPr>
          <w:rFonts w:hint="eastAsia" w:ascii="宋体" w:hAnsi="宋体" w:eastAsia="宋体" w:cs="宋体"/>
          <w:color w:val="auto"/>
          <w:sz w:val="21"/>
          <w:szCs w:val="21"/>
          <w:highlight w:val="none"/>
          <w:lang w:val="en-US" w:eastAsia="zh-CN"/>
        </w:rPr>
        <w:t>协商议定对应服务单价。供应商必须按下表梯度分别报出单价。报价应为门到门全包价，包含</w:t>
      </w:r>
      <w:r>
        <w:rPr>
          <w:rFonts w:hint="eastAsia" w:ascii="宋体" w:hAnsi="宋体" w:cs="宋体"/>
          <w:color w:val="auto"/>
          <w:sz w:val="21"/>
          <w:szCs w:val="21"/>
          <w:highlight w:val="none"/>
          <w:lang w:val="en-US" w:eastAsia="zh-CN"/>
        </w:rPr>
        <w:t>供应商为完成合同全部义务所发生的一切费用</w:t>
      </w:r>
      <w:r>
        <w:rPr>
          <w:rFonts w:hint="eastAsia" w:ascii="宋体" w:hAnsi="宋体" w:eastAsia="宋体" w:cs="宋体"/>
          <w:color w:val="auto"/>
          <w:sz w:val="21"/>
          <w:szCs w:val="21"/>
          <w:highlight w:val="none"/>
          <w:lang w:val="en-US" w:eastAsia="zh-CN"/>
        </w:rPr>
        <w:t>。</w:t>
      </w:r>
    </w:p>
    <w:tbl>
      <w:tblPr>
        <w:tblStyle w:val="19"/>
        <w:tblW w:w="7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399"/>
        <w:gridCol w:w="2518"/>
        <w:gridCol w:w="2282"/>
      </w:tblGrid>
      <w:tr w14:paraId="055C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399" w:type="dxa"/>
            <w:shd w:val="clear" w:color="auto" w:fill="auto"/>
            <w:vAlign w:val="center"/>
          </w:tcPr>
          <w:p w14:paraId="766E98DF">
            <w:pPr>
              <w:keepNext w:val="0"/>
              <w:keepLines w:val="0"/>
              <w:widowControl/>
              <w:suppressLineNumbers w:val="0"/>
              <w:spacing w:line="240" w:lineRule="auto"/>
              <w:ind w:firstLine="0" w:firstLineChars="0"/>
              <w:jc w:val="left"/>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w:t>
            </w:r>
            <w:r>
              <w:rPr>
                <w:rStyle w:val="21"/>
                <w:rFonts w:hint="eastAsia" w:ascii="仿宋_GB2312" w:hAnsi="仿宋_GB2312" w:eastAsia="仿宋_GB2312" w:cs="仿宋_GB2312"/>
                <w:color w:val="auto"/>
                <w:sz w:val="21"/>
                <w:szCs w:val="21"/>
                <w:highlight w:val="none"/>
                <w:shd w:val="clear" w:color="auto" w:fill="FFFFFF"/>
                <w:lang w:val="en-US" w:eastAsia="zh-CN" w:bidi="ar"/>
              </w:rPr>
              <w:t>配送件数梯度</w:t>
            </w:r>
          </w:p>
        </w:tc>
        <w:tc>
          <w:tcPr>
            <w:tcW w:w="2518" w:type="dxa"/>
            <w:shd w:val="clear" w:color="auto" w:fill="auto"/>
            <w:vAlign w:val="center"/>
          </w:tcPr>
          <w:p w14:paraId="0AEE5F9B">
            <w:pPr>
              <w:keepNext w:val="0"/>
              <w:keepLines w:val="0"/>
              <w:widowControl/>
              <w:suppressLineNumbers w:val="0"/>
              <w:spacing w:line="240" w:lineRule="auto"/>
              <w:ind w:firstLine="0" w:firstLineChars="0"/>
              <w:jc w:val="left"/>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不含税配送</w:t>
            </w:r>
            <w:r>
              <w:rPr>
                <w:rStyle w:val="21"/>
                <w:rFonts w:hint="eastAsia" w:ascii="仿宋_GB2312" w:hAnsi="仿宋_GB2312" w:eastAsia="仿宋_GB2312" w:cs="仿宋_GB2312"/>
                <w:color w:val="auto"/>
                <w:sz w:val="21"/>
                <w:szCs w:val="21"/>
                <w:highlight w:val="none"/>
                <w:shd w:val="clear" w:color="auto" w:fill="FFFFFF"/>
                <w:lang w:val="en-US" w:eastAsia="zh-CN" w:bidi="ar"/>
              </w:rPr>
              <w:t>单价（元/件）</w:t>
            </w:r>
          </w:p>
        </w:tc>
        <w:tc>
          <w:tcPr>
            <w:tcW w:w="2282" w:type="dxa"/>
            <w:shd w:val="clear" w:color="auto" w:fill="auto"/>
            <w:vAlign w:val="center"/>
          </w:tcPr>
          <w:p w14:paraId="7C013C06">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color w:val="auto"/>
                <w:sz w:val="21"/>
                <w:szCs w:val="21"/>
                <w:highlight w:val="none"/>
                <w:shd w:val="clear" w:color="auto" w:fill="FFFFFF"/>
                <w:lang w:val="en-US" w:eastAsia="zh-CN" w:bidi="ar"/>
              </w:rPr>
              <w:t>预估业务占比</w:t>
            </w:r>
          </w:p>
        </w:tc>
      </w:tr>
      <w:tr w14:paraId="4EBD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 w:hRule="atLeast"/>
          <w:jc w:val="center"/>
        </w:trPr>
        <w:tc>
          <w:tcPr>
            <w:tcW w:w="2399" w:type="dxa"/>
            <w:shd w:val="clear" w:color="auto" w:fill="auto"/>
            <w:vAlign w:val="center"/>
          </w:tcPr>
          <w:p w14:paraId="1DF5074D">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1 - 19件</w:t>
            </w:r>
          </w:p>
        </w:tc>
        <w:tc>
          <w:tcPr>
            <w:tcW w:w="2518" w:type="dxa"/>
            <w:shd w:val="clear" w:color="auto" w:fill="auto"/>
            <w:vAlign w:val="center"/>
          </w:tcPr>
          <w:p w14:paraId="042966F1">
            <w:pPr>
              <w:keepNext w:val="0"/>
              <w:keepLines w:val="0"/>
              <w:widowControl/>
              <w:suppressLineNumbers w:val="0"/>
              <w:spacing w:line="240" w:lineRule="auto"/>
              <w:ind w:firstLine="0" w:firstLineChars="0"/>
              <w:jc w:val="center"/>
              <w:textAlignment w:val="auto"/>
              <w:rPr>
                <w:rStyle w:val="21"/>
                <w:rFonts w:hint="eastAsia" w:ascii="仿宋_GB2312" w:hAnsi="仿宋_GB2312" w:eastAsia="仿宋_GB2312" w:cs="仿宋_GB2312"/>
                <w:color w:val="auto"/>
                <w:sz w:val="21"/>
                <w:szCs w:val="21"/>
                <w:highlight w:val="none"/>
                <w:shd w:val="clear" w:color="auto" w:fill="FFFFFF"/>
                <w:lang w:val="en-US" w:eastAsia="zh-CN" w:bidi="ar"/>
              </w:rPr>
            </w:pPr>
          </w:p>
        </w:tc>
        <w:tc>
          <w:tcPr>
            <w:tcW w:w="2282" w:type="dxa"/>
            <w:shd w:val="clear" w:color="auto" w:fill="auto"/>
            <w:vAlign w:val="center"/>
          </w:tcPr>
          <w:p w14:paraId="529194D5">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4%</w:t>
            </w:r>
          </w:p>
        </w:tc>
      </w:tr>
      <w:tr w14:paraId="252C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399" w:type="dxa"/>
            <w:shd w:val="clear" w:color="auto" w:fill="auto"/>
            <w:vAlign w:val="center"/>
          </w:tcPr>
          <w:p w14:paraId="166E607D">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20 - 49件</w:t>
            </w:r>
          </w:p>
        </w:tc>
        <w:tc>
          <w:tcPr>
            <w:tcW w:w="2518" w:type="dxa"/>
            <w:shd w:val="clear" w:color="auto" w:fill="auto"/>
            <w:vAlign w:val="center"/>
          </w:tcPr>
          <w:p w14:paraId="4403528C">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Style w:val="21"/>
                <w:rFonts w:hint="eastAsia" w:ascii="仿宋_GB2312" w:hAnsi="仿宋_GB2312" w:eastAsia="仿宋_GB2312" w:cs="仿宋_GB2312"/>
                <w:color w:val="auto"/>
                <w:sz w:val="21"/>
                <w:szCs w:val="21"/>
                <w:highlight w:val="none"/>
                <w:shd w:val="clear" w:color="auto" w:fill="FFFFFF"/>
                <w:lang w:val="en-US" w:eastAsia="zh-CN" w:bidi="ar"/>
              </w:rPr>
              <w:t>​</w:t>
            </w:r>
          </w:p>
        </w:tc>
        <w:tc>
          <w:tcPr>
            <w:tcW w:w="2282" w:type="dxa"/>
            <w:shd w:val="clear" w:color="auto" w:fill="auto"/>
            <w:vAlign w:val="center"/>
          </w:tcPr>
          <w:p w14:paraId="1E36BCDF">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18%</w:t>
            </w:r>
          </w:p>
        </w:tc>
      </w:tr>
      <w:tr w14:paraId="016F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399" w:type="dxa"/>
            <w:shd w:val="clear" w:color="auto" w:fill="auto"/>
            <w:vAlign w:val="center"/>
          </w:tcPr>
          <w:p w14:paraId="7CC08FBA">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50 - 199件</w:t>
            </w:r>
          </w:p>
        </w:tc>
        <w:tc>
          <w:tcPr>
            <w:tcW w:w="2518" w:type="dxa"/>
            <w:shd w:val="clear" w:color="auto" w:fill="auto"/>
            <w:vAlign w:val="center"/>
          </w:tcPr>
          <w:p w14:paraId="58BD14FB">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Style w:val="21"/>
                <w:rFonts w:hint="eastAsia" w:ascii="仿宋_GB2312" w:hAnsi="仿宋_GB2312" w:eastAsia="仿宋_GB2312" w:cs="仿宋_GB2312"/>
                <w:color w:val="auto"/>
                <w:sz w:val="21"/>
                <w:szCs w:val="21"/>
                <w:highlight w:val="none"/>
                <w:shd w:val="clear" w:color="auto" w:fill="FFFFFF"/>
                <w:lang w:val="en-US" w:eastAsia="zh-CN" w:bidi="ar"/>
              </w:rPr>
              <w:t>​</w:t>
            </w:r>
          </w:p>
        </w:tc>
        <w:tc>
          <w:tcPr>
            <w:tcW w:w="2282" w:type="dxa"/>
            <w:shd w:val="clear" w:color="auto" w:fill="auto"/>
            <w:vAlign w:val="center"/>
          </w:tcPr>
          <w:p w14:paraId="6C9C2D33">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73%</w:t>
            </w:r>
          </w:p>
        </w:tc>
      </w:tr>
      <w:tr w14:paraId="78BA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399" w:type="dxa"/>
            <w:shd w:val="clear" w:color="auto" w:fill="auto"/>
            <w:vAlign w:val="center"/>
          </w:tcPr>
          <w:p w14:paraId="270569D7">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200 - 499件</w:t>
            </w:r>
          </w:p>
        </w:tc>
        <w:tc>
          <w:tcPr>
            <w:tcW w:w="2518" w:type="dxa"/>
            <w:shd w:val="clear" w:color="auto" w:fill="auto"/>
            <w:vAlign w:val="center"/>
          </w:tcPr>
          <w:p w14:paraId="313B0179">
            <w:pPr>
              <w:keepNext w:val="0"/>
              <w:keepLines w:val="0"/>
              <w:widowControl/>
              <w:suppressLineNumbers w:val="0"/>
              <w:spacing w:line="240" w:lineRule="auto"/>
              <w:ind w:firstLine="0" w:firstLineChars="0"/>
              <w:jc w:val="center"/>
              <w:textAlignment w:val="auto"/>
              <w:rPr>
                <w:rStyle w:val="21"/>
                <w:rFonts w:hint="eastAsia" w:ascii="仿宋_GB2312" w:hAnsi="仿宋_GB2312" w:eastAsia="仿宋_GB2312" w:cs="仿宋_GB2312"/>
                <w:color w:val="auto"/>
                <w:sz w:val="21"/>
                <w:szCs w:val="21"/>
                <w:highlight w:val="none"/>
                <w:shd w:val="clear" w:color="auto" w:fill="FFFFFF"/>
                <w:lang w:val="en-US" w:eastAsia="zh-CN" w:bidi="ar"/>
              </w:rPr>
            </w:pPr>
          </w:p>
        </w:tc>
        <w:tc>
          <w:tcPr>
            <w:tcW w:w="2282" w:type="dxa"/>
            <w:shd w:val="clear" w:color="auto" w:fill="auto"/>
            <w:vAlign w:val="center"/>
          </w:tcPr>
          <w:p w14:paraId="046CE23A">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3%</w:t>
            </w:r>
          </w:p>
        </w:tc>
      </w:tr>
      <w:tr w14:paraId="269D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399" w:type="dxa"/>
            <w:shd w:val="clear" w:color="auto" w:fill="auto"/>
            <w:vAlign w:val="center"/>
          </w:tcPr>
          <w:p w14:paraId="21469F1A">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500 - 999件</w:t>
            </w:r>
          </w:p>
        </w:tc>
        <w:tc>
          <w:tcPr>
            <w:tcW w:w="2518" w:type="dxa"/>
            <w:shd w:val="clear" w:color="auto" w:fill="auto"/>
            <w:vAlign w:val="center"/>
          </w:tcPr>
          <w:p w14:paraId="7603183F">
            <w:pPr>
              <w:keepNext w:val="0"/>
              <w:keepLines w:val="0"/>
              <w:widowControl/>
              <w:suppressLineNumbers w:val="0"/>
              <w:spacing w:line="240" w:lineRule="auto"/>
              <w:ind w:firstLine="0" w:firstLineChars="0"/>
              <w:jc w:val="center"/>
              <w:textAlignment w:val="auto"/>
              <w:rPr>
                <w:rStyle w:val="21"/>
                <w:rFonts w:hint="eastAsia" w:ascii="仿宋_GB2312" w:hAnsi="仿宋_GB2312" w:eastAsia="仿宋_GB2312" w:cs="仿宋_GB2312"/>
                <w:color w:val="auto"/>
                <w:sz w:val="21"/>
                <w:szCs w:val="21"/>
                <w:highlight w:val="none"/>
                <w:shd w:val="clear" w:color="auto" w:fill="FFFFFF"/>
                <w:lang w:val="en-US" w:eastAsia="zh-CN" w:bidi="ar"/>
              </w:rPr>
            </w:pPr>
          </w:p>
        </w:tc>
        <w:tc>
          <w:tcPr>
            <w:tcW w:w="2282" w:type="dxa"/>
            <w:shd w:val="clear" w:color="auto" w:fill="auto"/>
            <w:vAlign w:val="center"/>
          </w:tcPr>
          <w:p w14:paraId="4209DF32">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w:t>
            </w:r>
          </w:p>
        </w:tc>
      </w:tr>
      <w:tr w14:paraId="54C5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399" w:type="dxa"/>
            <w:shd w:val="clear" w:color="auto" w:fill="auto"/>
            <w:vAlign w:val="center"/>
          </w:tcPr>
          <w:p w14:paraId="2237B031">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1000件及以上</w:t>
            </w:r>
          </w:p>
        </w:tc>
        <w:tc>
          <w:tcPr>
            <w:tcW w:w="2518" w:type="dxa"/>
            <w:shd w:val="clear" w:color="auto" w:fill="auto"/>
            <w:vAlign w:val="center"/>
          </w:tcPr>
          <w:p w14:paraId="5720A645">
            <w:pPr>
              <w:keepNext w:val="0"/>
              <w:keepLines w:val="0"/>
              <w:widowControl/>
              <w:suppressLineNumbers w:val="0"/>
              <w:spacing w:line="240" w:lineRule="auto"/>
              <w:ind w:firstLine="0" w:firstLineChars="0"/>
              <w:jc w:val="center"/>
              <w:textAlignment w:val="auto"/>
              <w:rPr>
                <w:rStyle w:val="21"/>
                <w:rFonts w:hint="eastAsia" w:ascii="仿宋_GB2312" w:hAnsi="仿宋_GB2312" w:eastAsia="仿宋_GB2312" w:cs="仿宋_GB2312"/>
                <w:color w:val="auto"/>
                <w:sz w:val="21"/>
                <w:szCs w:val="21"/>
                <w:highlight w:val="none"/>
                <w:shd w:val="clear" w:color="auto" w:fill="FFFFFF"/>
                <w:lang w:val="en-US" w:eastAsia="zh-CN" w:bidi="ar"/>
              </w:rPr>
            </w:pPr>
          </w:p>
        </w:tc>
        <w:tc>
          <w:tcPr>
            <w:tcW w:w="2282" w:type="dxa"/>
            <w:shd w:val="clear" w:color="auto" w:fill="auto"/>
            <w:vAlign w:val="center"/>
          </w:tcPr>
          <w:p w14:paraId="161DBB9E">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w:t>
            </w:r>
          </w:p>
        </w:tc>
      </w:tr>
    </w:tbl>
    <w:p w14:paraId="57937216">
      <w:pPr>
        <w:pStyle w:val="26"/>
        <w:rPr>
          <w:rFonts w:hint="eastAsia"/>
          <w:highlight w:val="none"/>
        </w:rPr>
      </w:pPr>
    </w:p>
    <w:p w14:paraId="1C508F0B">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三、</w:t>
      </w:r>
      <w:r>
        <w:rPr>
          <w:rFonts w:hint="eastAsia" w:ascii="宋体" w:hAnsi="宋体" w:eastAsia="宋体" w:cs="宋体"/>
          <w:b/>
          <w:color w:val="auto"/>
          <w:sz w:val="21"/>
          <w:szCs w:val="21"/>
          <w:highlight w:val="none"/>
          <w:lang w:val="en-US" w:eastAsia="zh-CN"/>
        </w:rPr>
        <w:t>服务期限</w:t>
      </w:r>
    </w:p>
    <w:p w14:paraId="713738F0">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服务期限自合同签订之日起</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个月，前述期限届满或包装水物流配送服务费</w:t>
      </w:r>
      <w:r>
        <w:rPr>
          <w:rFonts w:hint="eastAsia" w:ascii="宋体" w:hAnsi="宋体" w:cs="宋体"/>
          <w:color w:val="auto"/>
          <w:sz w:val="21"/>
          <w:szCs w:val="21"/>
          <w:highlight w:val="none"/>
          <w:lang w:val="en-US" w:eastAsia="zh-CN"/>
        </w:rPr>
        <w:t>（含税）</w:t>
      </w:r>
      <w:r>
        <w:rPr>
          <w:rFonts w:hint="eastAsia" w:ascii="宋体" w:hAnsi="宋体" w:eastAsia="宋体" w:cs="宋体"/>
          <w:color w:val="auto"/>
          <w:sz w:val="21"/>
          <w:szCs w:val="21"/>
          <w:highlight w:val="none"/>
          <w:lang w:val="en-US" w:eastAsia="zh-CN"/>
        </w:rPr>
        <w:t>累计达到</w:t>
      </w:r>
      <w:r>
        <w:rPr>
          <w:rFonts w:hint="eastAsia" w:ascii="宋体" w:hAnsi="宋体" w:cs="宋体"/>
          <w:color w:val="auto"/>
          <w:sz w:val="21"/>
          <w:szCs w:val="21"/>
          <w:highlight w:val="none"/>
          <w:lang w:val="en-US" w:eastAsia="zh-CN"/>
        </w:rPr>
        <w:t>450,000.00</w:t>
      </w:r>
      <w:r>
        <w:rPr>
          <w:rFonts w:hint="eastAsia" w:ascii="宋体" w:hAnsi="宋体" w:eastAsia="宋体" w:cs="宋体"/>
          <w:color w:val="auto"/>
          <w:sz w:val="21"/>
          <w:szCs w:val="21"/>
          <w:highlight w:val="none"/>
          <w:lang w:val="en-US" w:eastAsia="zh-CN"/>
        </w:rPr>
        <w:t>元时止</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终止日期以前述两种情况中先达到的期限为准</w:t>
      </w:r>
      <w:r>
        <w:rPr>
          <w:rFonts w:hint="eastAsia" w:ascii="宋体" w:hAnsi="宋体" w:eastAsia="宋体" w:cs="宋体"/>
          <w:color w:val="auto"/>
          <w:sz w:val="21"/>
          <w:szCs w:val="21"/>
          <w:highlight w:val="none"/>
          <w:lang w:bidi="ar"/>
        </w:rPr>
        <w:t>。</w:t>
      </w:r>
    </w:p>
    <w:p w14:paraId="170E159B">
      <w:pPr>
        <w:keepNext w:val="0"/>
        <w:keepLines w:val="0"/>
        <w:pageBreakBefore w:val="0"/>
        <w:numPr>
          <w:ilvl w:val="0"/>
          <w:numId w:val="0"/>
        </w:numPr>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四、服务要求</w:t>
      </w:r>
    </w:p>
    <w:p w14:paraId="1817E93F">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1.成交人在服务中应注意维护采购人的企业形象、名誉。</w:t>
      </w:r>
      <w:r>
        <w:rPr>
          <w:rFonts w:hint="eastAsia" w:ascii="宋体" w:hAnsi="宋体" w:cs="宋体"/>
          <w:color w:val="auto"/>
          <w:sz w:val="21"/>
          <w:szCs w:val="21"/>
          <w:highlight w:val="none"/>
          <w:lang w:val="en-US" w:eastAsia="zh-CN"/>
        </w:rPr>
        <w:t>成交人应督促</w:t>
      </w:r>
      <w:r>
        <w:rPr>
          <w:rFonts w:hint="eastAsia" w:ascii="宋体" w:hAnsi="宋体" w:eastAsia="宋体" w:cs="宋体"/>
          <w:color w:val="auto"/>
          <w:sz w:val="21"/>
          <w:szCs w:val="21"/>
          <w:highlight w:val="none"/>
          <w:lang w:val="en-US" w:eastAsia="zh-CN"/>
        </w:rPr>
        <w:t>物流司机</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搬运工禁止穿拖鞋上班、衣着要整齐、文明做事、礼貌待人、不得以任何原因与收货人产生争执，不得以任何理由向采购人客户索取物资，不得透露采购人物流配送产品的价格、数量等任何信息。</w:t>
      </w:r>
    </w:p>
    <w:p w14:paraId="7C2873B8">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2.物流司机要凭提货单上的数量到指定地点装车，装车完成后，由仓管员核对数量后签字确认。</w:t>
      </w:r>
    </w:p>
    <w:p w14:paraId="43EF17ED">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3.装卸货物时对产品要轻拿轻放、摆放整齐，如有损坏</w:t>
      </w:r>
      <w:r>
        <w:rPr>
          <w:rFonts w:hint="eastAsia" w:ascii="宋体" w:hAnsi="宋体" w:cs="宋体"/>
          <w:color w:val="auto"/>
          <w:sz w:val="21"/>
          <w:szCs w:val="21"/>
          <w:highlight w:val="none"/>
          <w:lang w:val="en-US" w:eastAsia="zh-CN"/>
        </w:rPr>
        <w:t>按照销售价</w:t>
      </w:r>
      <w:r>
        <w:rPr>
          <w:rFonts w:hint="eastAsia" w:ascii="宋体" w:hAnsi="宋体" w:eastAsia="宋体" w:cs="宋体"/>
          <w:color w:val="auto"/>
          <w:sz w:val="21"/>
          <w:szCs w:val="21"/>
          <w:highlight w:val="none"/>
          <w:lang w:val="en-US" w:eastAsia="zh-CN"/>
        </w:rPr>
        <w:t>赔偿。物流配送途中货物整齐牢固，关好车门，不超高超宽超重，以免货物撒漏破损，要保证物流配送全过程安全。</w:t>
      </w:r>
    </w:p>
    <w:p w14:paraId="6B28DC15">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乙方在当天15:00前接到的物流配送任务需当天全部配送完成，15：00后的物流配送任务需次日全部配送完成（特殊情况经甲方书面同意的除外），甲方有权对乙方承运的在途货物进行跟踪。没有甲方书面同意的情况下，乙方不能把甲方客户的库存产品退回甲方，否则甲方有权在乙方的物流配送服务费中直接扣除退回产品的出厂价。</w:t>
      </w:r>
    </w:p>
    <w:p w14:paraId="1D12F083">
      <w:pPr>
        <w:keepNext w:val="0"/>
        <w:keepLines w:val="0"/>
        <w:pageBreakBefore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5.供应商必须按当天派</w:t>
      </w:r>
      <w:r>
        <w:rPr>
          <w:rFonts w:hint="eastAsia" w:ascii="宋体" w:hAnsi="宋体" w:cs="宋体"/>
          <w:color w:val="auto"/>
          <w:sz w:val="21"/>
          <w:szCs w:val="21"/>
          <w:highlight w:val="none"/>
          <w:lang w:val="en-US" w:eastAsia="zh-CN"/>
        </w:rPr>
        <w:t>单</w:t>
      </w:r>
      <w:r>
        <w:rPr>
          <w:rFonts w:hint="eastAsia" w:ascii="宋体" w:hAnsi="宋体" w:eastAsia="宋体" w:cs="宋体"/>
          <w:color w:val="auto"/>
          <w:sz w:val="21"/>
          <w:szCs w:val="21"/>
          <w:highlight w:val="none"/>
          <w:lang w:val="en-US" w:eastAsia="zh-CN"/>
        </w:rPr>
        <w:t>的顺序来配送完成当天订单，不得故意不按时按点配送或因未完成当天</w:t>
      </w:r>
      <w:r>
        <w:rPr>
          <w:rFonts w:hint="eastAsia" w:ascii="宋体" w:hAnsi="宋体" w:cs="宋体"/>
          <w:color w:val="auto"/>
          <w:sz w:val="21"/>
          <w:szCs w:val="21"/>
          <w:highlight w:val="none"/>
          <w:lang w:val="en-US" w:eastAsia="zh-CN"/>
        </w:rPr>
        <w:t>的配送</w:t>
      </w:r>
      <w:r>
        <w:rPr>
          <w:rFonts w:hint="eastAsia" w:ascii="宋体" w:hAnsi="宋体" w:eastAsia="宋体" w:cs="宋体"/>
          <w:color w:val="auto"/>
          <w:sz w:val="21"/>
          <w:szCs w:val="21"/>
          <w:highlight w:val="none"/>
          <w:lang w:val="en-US" w:eastAsia="zh-CN"/>
        </w:rPr>
        <w:t>订单而造成客户投诉。</w:t>
      </w:r>
      <w:r>
        <w:rPr>
          <w:rFonts w:hint="eastAsia" w:ascii="宋体" w:hAnsi="宋体" w:cs="宋体"/>
          <w:color w:val="auto"/>
          <w:sz w:val="21"/>
          <w:szCs w:val="21"/>
          <w:highlight w:val="none"/>
          <w:lang w:val="en-US" w:eastAsia="zh-CN"/>
        </w:rPr>
        <w:t>如遇天气恶劣等原因确需推迟发车日期的，</w:t>
      </w:r>
      <w:r>
        <w:rPr>
          <w:rFonts w:hint="eastAsia" w:ascii="宋体" w:hAnsi="宋体" w:eastAsia="宋体" w:cs="宋体"/>
          <w:color w:val="auto"/>
          <w:sz w:val="21"/>
          <w:szCs w:val="21"/>
          <w:highlight w:val="none"/>
          <w:lang w:val="en-US" w:eastAsia="zh-CN"/>
        </w:rPr>
        <w:t>应在</w:t>
      </w:r>
      <w:r>
        <w:rPr>
          <w:rFonts w:hint="eastAsia" w:ascii="宋体" w:hAnsi="宋体" w:cs="宋体"/>
          <w:color w:val="auto"/>
          <w:sz w:val="21"/>
          <w:szCs w:val="21"/>
          <w:highlight w:val="none"/>
          <w:lang w:val="en-US" w:eastAsia="zh-CN"/>
        </w:rPr>
        <w:t>事先</w:t>
      </w:r>
      <w:r>
        <w:rPr>
          <w:rFonts w:hint="eastAsia" w:ascii="宋体" w:hAnsi="宋体" w:cs="宋体"/>
          <w:b w:val="0"/>
          <w:bCs/>
          <w:color w:val="auto"/>
          <w:sz w:val="21"/>
          <w:szCs w:val="21"/>
          <w:highlight w:val="none"/>
          <w:lang w:val="en-US" w:eastAsia="zh-CN"/>
        </w:rPr>
        <w:t>取得</w:t>
      </w:r>
      <w:r>
        <w:rPr>
          <w:rFonts w:hint="eastAsia" w:ascii="宋体" w:hAnsi="宋体" w:eastAsia="宋体" w:cs="宋体"/>
          <w:b w:val="0"/>
          <w:bCs/>
          <w:color w:val="auto"/>
          <w:sz w:val="21"/>
          <w:szCs w:val="21"/>
          <w:highlight w:val="none"/>
          <w:lang w:val="en-US" w:eastAsia="zh-CN"/>
        </w:rPr>
        <w:t>采购人同意的情况下，</w:t>
      </w:r>
      <w:r>
        <w:rPr>
          <w:rFonts w:hint="eastAsia" w:ascii="宋体" w:hAnsi="宋体" w:cs="宋体"/>
          <w:b w:val="0"/>
          <w:bCs/>
          <w:color w:val="auto"/>
          <w:sz w:val="21"/>
          <w:szCs w:val="21"/>
          <w:highlight w:val="none"/>
          <w:lang w:val="en-US" w:eastAsia="zh-CN"/>
        </w:rPr>
        <w:t>方</w:t>
      </w:r>
      <w:r>
        <w:rPr>
          <w:rFonts w:hint="eastAsia" w:ascii="宋体" w:hAnsi="宋体" w:eastAsia="宋体" w:cs="宋体"/>
          <w:b w:val="0"/>
          <w:bCs/>
          <w:color w:val="auto"/>
          <w:sz w:val="21"/>
          <w:szCs w:val="21"/>
          <w:highlight w:val="none"/>
          <w:lang w:val="en-US" w:eastAsia="zh-CN"/>
        </w:rPr>
        <w:t>可延迟一天配送</w:t>
      </w:r>
      <w:r>
        <w:rPr>
          <w:rFonts w:hint="eastAsia" w:ascii="宋体" w:hAnsi="宋体" w:cs="宋体"/>
          <w:b w:val="0"/>
          <w:bCs/>
          <w:color w:val="auto"/>
          <w:sz w:val="21"/>
          <w:szCs w:val="21"/>
          <w:highlight w:val="none"/>
          <w:lang w:val="en-US" w:eastAsia="zh-CN"/>
        </w:rPr>
        <w:t>订单</w:t>
      </w:r>
      <w:r>
        <w:rPr>
          <w:rFonts w:hint="eastAsia" w:ascii="宋体" w:hAnsi="宋体" w:eastAsia="宋体" w:cs="宋体"/>
          <w:b w:val="0"/>
          <w:bCs/>
          <w:color w:val="auto"/>
          <w:sz w:val="21"/>
          <w:szCs w:val="21"/>
          <w:highlight w:val="none"/>
          <w:lang w:val="en-US" w:eastAsia="zh-CN"/>
        </w:rPr>
        <w:t>。</w:t>
      </w:r>
    </w:p>
    <w:p w14:paraId="43B164F5">
      <w:pPr>
        <w:keepNext w:val="0"/>
        <w:keepLines w:val="0"/>
        <w:pageBreakBefore w:val="0"/>
        <w:numPr>
          <w:ilvl w:val="0"/>
          <w:numId w:val="0"/>
        </w:numPr>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五、付款方式</w:t>
      </w:r>
    </w:p>
    <w:p w14:paraId="6A7ABD3F">
      <w:pPr>
        <w:snapToGrid w:val="0"/>
        <w:spacing w:line="360" w:lineRule="auto"/>
        <w:ind w:firstLine="420" w:firstLineChars="200"/>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物流配送服务费按月进行结算</w:t>
      </w:r>
      <w:r>
        <w:rPr>
          <w:rFonts w:hint="eastAsia" w:ascii="宋体" w:hAnsi="宋体" w:cs="宋体"/>
          <w:color w:val="auto"/>
          <w:sz w:val="21"/>
          <w:szCs w:val="21"/>
          <w:highlight w:val="none"/>
          <w:lang w:val="en-US" w:eastAsia="zh-CN"/>
        </w:rPr>
        <w:t>、支付</w:t>
      </w:r>
      <w:r>
        <w:rPr>
          <w:rFonts w:hint="eastAsia" w:ascii="宋体" w:hAnsi="宋体" w:eastAsia="宋体" w:cs="宋体"/>
          <w:color w:val="auto"/>
          <w:sz w:val="21"/>
          <w:szCs w:val="21"/>
          <w:highlight w:val="none"/>
          <w:lang w:val="en-US" w:eastAsia="zh-CN"/>
        </w:rPr>
        <w:t>。成交人于次月提交上月物流配送服务请款报告，以及合法、有效的增值税专用发票，经采购人审核确认无误后15个工作日内以银行转账或汇款方式向成交人支付相应款项</w:t>
      </w:r>
      <w:r>
        <w:rPr>
          <w:rFonts w:hint="eastAsia" w:ascii="宋体" w:hAnsi="宋体" w:eastAsia="宋体" w:cs="宋体"/>
          <w:color w:val="auto"/>
          <w:sz w:val="21"/>
          <w:szCs w:val="21"/>
          <w:highlight w:val="none"/>
        </w:rPr>
        <w:t>。</w:t>
      </w:r>
    </w:p>
    <w:p w14:paraId="51A05FAB">
      <w:pPr>
        <w:pStyle w:val="26"/>
        <w:rPr>
          <w:rFonts w:hint="default"/>
          <w:highlight w:val="none"/>
          <w:lang w:val="en-US" w:eastAsia="zh-CN"/>
        </w:rPr>
      </w:pPr>
    </w:p>
    <w:p w14:paraId="6D5A945F">
      <w:pPr>
        <w:rPr>
          <w:rFonts w:hint="eastAsia" w:ascii="宋体" w:hAnsi="宋体"/>
          <w:color w:val="auto"/>
          <w:sz w:val="44"/>
          <w:szCs w:val="44"/>
          <w:highlight w:val="none"/>
          <w:lang w:val="zh-CN"/>
        </w:rPr>
      </w:pPr>
      <w:bookmarkStart w:id="26" w:name="_Toc23728"/>
      <w:r>
        <w:rPr>
          <w:rFonts w:hint="eastAsia" w:ascii="宋体" w:hAnsi="宋体"/>
          <w:color w:val="auto"/>
          <w:sz w:val="44"/>
          <w:szCs w:val="44"/>
          <w:highlight w:val="none"/>
          <w:lang w:val="zh-CN"/>
        </w:rPr>
        <w:br w:type="page"/>
      </w:r>
    </w:p>
    <w:p w14:paraId="23BBC52A">
      <w:pPr>
        <w:pStyle w:val="17"/>
        <w:rPr>
          <w:rFonts w:ascii="宋体" w:hAnsi="宋体"/>
          <w:color w:val="auto"/>
          <w:sz w:val="44"/>
          <w:szCs w:val="44"/>
          <w:highlight w:val="none"/>
          <w:lang w:val="zh-CN"/>
        </w:rPr>
      </w:pPr>
      <w:r>
        <w:rPr>
          <w:rFonts w:hint="eastAsia" w:ascii="宋体" w:hAnsi="宋体"/>
          <w:color w:val="auto"/>
          <w:sz w:val="44"/>
          <w:szCs w:val="44"/>
          <w:highlight w:val="none"/>
          <w:lang w:val="zh-CN"/>
        </w:rPr>
        <w:t>第四篇 合同条款</w:t>
      </w:r>
      <w:bookmarkEnd w:id="26"/>
    </w:p>
    <w:p w14:paraId="0402A8D8">
      <w:pPr>
        <w:pStyle w:val="26"/>
        <w:rPr>
          <w:rFonts w:hint="eastAsia" w:ascii="方正小标宋简体" w:hAnsi="方正小标宋简体" w:eastAsia="方正小标宋简体" w:cs="方正小标宋简体"/>
          <w:b/>
          <w:bCs/>
          <w:color w:val="auto"/>
          <w:sz w:val="44"/>
          <w:szCs w:val="44"/>
          <w:highlight w:val="none"/>
          <w:u w:val="single"/>
        </w:rPr>
      </w:pPr>
    </w:p>
    <w:p w14:paraId="3C92B796">
      <w:pPr>
        <w:jc w:val="center"/>
        <w:rPr>
          <w:rFonts w:hint="eastAsia" w:ascii="方正小标宋简体" w:hAnsi="方正小标宋简体" w:eastAsia="方正小标宋简体" w:cs="方正小标宋简体"/>
          <w:b/>
          <w:bCs/>
          <w:color w:val="auto"/>
          <w:sz w:val="44"/>
          <w:szCs w:val="44"/>
          <w:highlight w:val="none"/>
          <w:u w:val="single"/>
        </w:rPr>
      </w:pPr>
      <w:r>
        <w:rPr>
          <w:rFonts w:hint="eastAsia" w:ascii="方正小标宋简体" w:hAnsi="方正小标宋简体" w:eastAsia="方正小标宋简体" w:cs="方正小标宋简体"/>
          <w:b/>
          <w:bCs/>
          <w:color w:val="auto"/>
          <w:sz w:val="44"/>
          <w:szCs w:val="44"/>
          <w:highlight w:val="none"/>
          <w:u w:val="single"/>
        </w:rPr>
        <w:t>东莞市</w:t>
      </w:r>
      <w:r>
        <w:rPr>
          <w:rFonts w:hint="eastAsia" w:ascii="方正小标宋简体" w:hAnsi="方正小标宋简体" w:eastAsia="方正小标宋简体" w:cs="方正小标宋简体"/>
          <w:b/>
          <w:bCs/>
          <w:color w:val="auto"/>
          <w:sz w:val="44"/>
          <w:szCs w:val="44"/>
          <w:highlight w:val="none"/>
          <w:u w:val="single"/>
          <w:lang w:val="en-US" w:eastAsia="zh-CN"/>
        </w:rPr>
        <w:t>福地饮用水</w:t>
      </w:r>
      <w:r>
        <w:rPr>
          <w:rFonts w:hint="eastAsia" w:ascii="方正小标宋简体" w:hAnsi="方正小标宋简体" w:eastAsia="方正小标宋简体" w:cs="方正小标宋简体"/>
          <w:b/>
          <w:bCs/>
          <w:color w:val="auto"/>
          <w:sz w:val="44"/>
          <w:szCs w:val="44"/>
          <w:highlight w:val="none"/>
          <w:u w:val="single"/>
        </w:rPr>
        <w:t>有限公司</w:t>
      </w:r>
    </w:p>
    <w:p w14:paraId="0B529704">
      <w:pPr>
        <w:jc w:val="center"/>
        <w:rPr>
          <w:rFonts w:hint="default" w:ascii="宋体" w:hAnsi="宋体" w:eastAsia="方正小标宋简体"/>
          <w:color w:val="auto"/>
          <w:highlight w:val="none"/>
          <w:lang w:val="en-US" w:eastAsia="zh-CN"/>
        </w:rPr>
      </w:pPr>
      <w:r>
        <w:rPr>
          <w:rFonts w:hint="eastAsia" w:ascii="方正小标宋简体" w:hAnsi="方正小标宋简体" w:eastAsia="方正小标宋简体" w:cs="方正小标宋简体"/>
          <w:b/>
          <w:bCs/>
          <w:color w:val="auto"/>
          <w:sz w:val="44"/>
          <w:szCs w:val="44"/>
          <w:highlight w:val="none"/>
          <w:u w:val="single"/>
          <w:lang w:val="en-US" w:eastAsia="zh-CN"/>
        </w:rPr>
        <w:t>2026年包装水物流配送服务</w:t>
      </w:r>
      <w:r>
        <w:rPr>
          <w:rFonts w:hint="eastAsia" w:ascii="方正小标宋简体" w:hAnsi="方正小标宋简体" w:eastAsia="方正小标宋简体" w:cs="方正小标宋简体"/>
          <w:b/>
          <w:bCs/>
          <w:color w:val="auto"/>
          <w:sz w:val="44"/>
          <w:szCs w:val="44"/>
          <w:highlight w:val="none"/>
          <w:u w:val="single"/>
        </w:rPr>
        <w:t>合同</w:t>
      </w:r>
    </w:p>
    <w:p w14:paraId="2385627D">
      <w:pPr>
        <w:rPr>
          <w:rFonts w:ascii="宋体" w:hAnsi="宋体"/>
          <w:color w:val="auto"/>
          <w:highlight w:val="none"/>
        </w:rPr>
      </w:pPr>
    </w:p>
    <w:p w14:paraId="6F73B9C8">
      <w:pPr>
        <w:rPr>
          <w:rFonts w:ascii="宋体" w:hAnsi="宋体"/>
          <w:color w:val="auto"/>
          <w:highlight w:val="none"/>
        </w:rPr>
      </w:pPr>
    </w:p>
    <w:p w14:paraId="260A8BF6">
      <w:pPr>
        <w:rPr>
          <w:rFonts w:ascii="宋体" w:hAnsi="宋体"/>
          <w:color w:val="auto"/>
          <w:highlight w:val="none"/>
        </w:rPr>
      </w:pPr>
    </w:p>
    <w:p w14:paraId="6B7A2291">
      <w:pPr>
        <w:rPr>
          <w:rFonts w:ascii="宋体" w:hAnsi="宋体"/>
          <w:color w:val="auto"/>
          <w:highlight w:val="none"/>
        </w:rPr>
      </w:pPr>
    </w:p>
    <w:p w14:paraId="7787EF81">
      <w:pPr>
        <w:pStyle w:val="2"/>
        <w:rPr>
          <w:rFonts w:ascii="宋体" w:hAnsi="宋体"/>
          <w:color w:val="auto"/>
          <w:highlight w:val="none"/>
        </w:rPr>
      </w:pPr>
    </w:p>
    <w:p w14:paraId="62759DBC">
      <w:pPr>
        <w:pStyle w:val="2"/>
        <w:rPr>
          <w:rFonts w:ascii="宋体" w:hAnsi="宋体"/>
          <w:color w:val="auto"/>
          <w:highlight w:val="none"/>
        </w:rPr>
      </w:pPr>
    </w:p>
    <w:p w14:paraId="27DC1384">
      <w:pPr>
        <w:pStyle w:val="2"/>
        <w:rPr>
          <w:rFonts w:ascii="宋体" w:hAnsi="宋体"/>
          <w:color w:val="auto"/>
          <w:highlight w:val="none"/>
        </w:rPr>
      </w:pPr>
    </w:p>
    <w:p w14:paraId="5E02F858">
      <w:pPr>
        <w:spacing w:line="360" w:lineRule="auto"/>
        <w:rPr>
          <w:rFonts w:ascii="宋体" w:hAnsi="宋体"/>
          <w:color w:val="auto"/>
          <w:highlight w:val="none"/>
        </w:rPr>
      </w:pPr>
    </w:p>
    <w:p w14:paraId="37D72C82">
      <w:pPr>
        <w:snapToGrid w:val="0"/>
        <w:spacing w:line="360" w:lineRule="auto"/>
        <w:ind w:firstLine="964" w:firstLineChars="300"/>
        <w:jc w:val="left"/>
        <w:outlineLvl w:val="1"/>
        <w:rPr>
          <w:rFonts w:hint="default" w:ascii="仿宋_GB2312" w:hAnsi="仿宋_GB2312" w:eastAsia="宋体"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合  同  编  号：</w:t>
      </w:r>
      <w:r>
        <w:rPr>
          <w:rFonts w:hint="eastAsia" w:ascii="宋体" w:hAnsi="宋体"/>
          <w:b/>
          <w:color w:val="auto"/>
          <w:sz w:val="32"/>
          <w:szCs w:val="32"/>
          <w:highlight w:val="none"/>
          <w:u w:val="single"/>
        </w:rPr>
        <w:t>FD-</w:t>
      </w:r>
      <w:r>
        <w:rPr>
          <w:rFonts w:hint="eastAsia" w:ascii="宋体" w:hAnsi="宋体"/>
          <w:b/>
          <w:color w:val="auto"/>
          <w:sz w:val="32"/>
          <w:szCs w:val="32"/>
          <w:highlight w:val="none"/>
          <w:u w:val="single"/>
          <w:lang w:val="en-US" w:eastAsia="zh-CN"/>
        </w:rPr>
        <w:t xml:space="preserve">               </w:t>
      </w:r>
    </w:p>
    <w:p w14:paraId="451FF5C6">
      <w:pPr>
        <w:snapToGrid w:val="0"/>
        <w:spacing w:line="360" w:lineRule="auto"/>
        <w:ind w:firstLine="964" w:firstLineChars="300"/>
        <w:jc w:val="left"/>
        <w:outlineLvl w:val="1"/>
        <w:rPr>
          <w:rFonts w:ascii="宋体" w:hAnsi="宋体"/>
          <w:b/>
          <w:color w:val="auto"/>
          <w:sz w:val="32"/>
          <w:szCs w:val="32"/>
          <w:highlight w:val="none"/>
          <w:u w:val="single"/>
        </w:rPr>
      </w:pPr>
      <w:r>
        <w:rPr>
          <w:rFonts w:hint="eastAsia" w:ascii="仿宋_GB2312" w:hAnsi="仿宋_GB2312" w:eastAsia="仿宋_GB2312" w:cs="仿宋_GB2312"/>
          <w:b/>
          <w:color w:val="auto"/>
          <w:sz w:val="32"/>
          <w:szCs w:val="32"/>
          <w:highlight w:val="none"/>
          <w:lang w:val="en-US" w:eastAsia="zh-CN"/>
        </w:rPr>
        <w:t>委托</w:t>
      </w:r>
      <w:r>
        <w:rPr>
          <w:rFonts w:hint="eastAsia" w:ascii="仿宋_GB2312" w:hAnsi="仿宋_GB2312" w:eastAsia="仿宋_GB2312" w:cs="仿宋_GB2312"/>
          <w:b/>
          <w:color w:val="auto"/>
          <w:sz w:val="32"/>
          <w:szCs w:val="32"/>
          <w:highlight w:val="none"/>
        </w:rPr>
        <w:t>人（甲方）：</w:t>
      </w:r>
      <w:r>
        <w:rPr>
          <w:rFonts w:hint="eastAsia" w:ascii="仿宋_GB2312" w:hAnsi="仿宋_GB2312" w:eastAsia="仿宋_GB2312" w:cs="仿宋_GB2312"/>
          <w:b/>
          <w:color w:val="auto"/>
          <w:sz w:val="32"/>
          <w:szCs w:val="32"/>
          <w:highlight w:val="none"/>
          <w:u w:val="single"/>
          <w:lang w:val="en-US" w:eastAsia="zh-CN"/>
        </w:rPr>
        <w:t>东莞市福地饮用水有限公司</w:t>
      </w:r>
    </w:p>
    <w:p w14:paraId="52C62503">
      <w:pPr>
        <w:snapToGrid w:val="0"/>
        <w:spacing w:line="360" w:lineRule="auto"/>
        <w:ind w:firstLine="964" w:firstLineChars="300"/>
        <w:jc w:val="left"/>
        <w:outlineLvl w:val="1"/>
        <w:rPr>
          <w:rFonts w:hint="default" w:ascii="宋体" w:hAnsi="宋体" w:eastAsia="仿宋_GB2312"/>
          <w:b/>
          <w:color w:val="auto"/>
          <w:sz w:val="32"/>
          <w:szCs w:val="32"/>
          <w:highlight w:val="none"/>
          <w:u w:val="single"/>
          <w:lang w:val="en-US" w:eastAsia="zh-CN"/>
        </w:rPr>
      </w:pPr>
      <w:r>
        <w:rPr>
          <w:rFonts w:hint="eastAsia" w:ascii="仿宋_GB2312" w:hAnsi="仿宋_GB2312" w:eastAsia="仿宋_GB2312" w:cs="仿宋_GB2312"/>
          <w:b/>
          <w:color w:val="auto"/>
          <w:sz w:val="32"/>
          <w:szCs w:val="32"/>
          <w:highlight w:val="none"/>
          <w:lang w:val="en-US" w:eastAsia="zh-CN"/>
        </w:rPr>
        <w:t>受托</w:t>
      </w:r>
      <w:r>
        <w:rPr>
          <w:rFonts w:hint="eastAsia" w:ascii="仿宋_GB2312" w:hAnsi="仿宋_GB2312" w:eastAsia="仿宋_GB2312" w:cs="仿宋_GB2312"/>
          <w:b/>
          <w:color w:val="auto"/>
          <w:sz w:val="32"/>
          <w:szCs w:val="32"/>
          <w:highlight w:val="none"/>
        </w:rPr>
        <w:t>人（乙方）：</w:t>
      </w:r>
      <w:r>
        <w:rPr>
          <w:rFonts w:hint="eastAsia" w:ascii="仿宋_GB2312" w:hAnsi="仿宋_GB2312" w:eastAsia="仿宋_GB2312" w:cs="仿宋_GB2312"/>
          <w:b/>
          <w:color w:val="auto"/>
          <w:sz w:val="32"/>
          <w:szCs w:val="32"/>
          <w:highlight w:val="none"/>
          <w:u w:val="single"/>
          <w:lang w:val="en-US" w:eastAsia="zh-CN"/>
        </w:rPr>
        <w:t xml:space="preserve">                   </w:t>
      </w:r>
    </w:p>
    <w:p w14:paraId="618C1283">
      <w:pPr>
        <w:adjustRightInd w:val="0"/>
        <w:snapToGrid w:val="0"/>
        <w:spacing w:line="360" w:lineRule="auto"/>
        <w:jc w:val="center"/>
        <w:rPr>
          <w:rFonts w:ascii="宋体" w:hAnsi="宋体"/>
          <w:color w:val="auto"/>
          <w:sz w:val="32"/>
          <w:szCs w:val="32"/>
          <w:highlight w:val="none"/>
        </w:rPr>
      </w:pPr>
    </w:p>
    <w:p w14:paraId="48859B8F">
      <w:pPr>
        <w:adjustRightInd w:val="0"/>
        <w:snapToGrid w:val="0"/>
        <w:spacing w:line="360" w:lineRule="auto"/>
        <w:rPr>
          <w:rFonts w:ascii="宋体" w:hAnsi="宋体"/>
          <w:color w:val="auto"/>
          <w:sz w:val="32"/>
          <w:szCs w:val="32"/>
          <w:highlight w:val="none"/>
        </w:rPr>
      </w:pPr>
    </w:p>
    <w:p w14:paraId="31AE550C">
      <w:pPr>
        <w:ind w:firstLine="1928" w:firstLineChars="600"/>
        <w:rPr>
          <w:rFonts w:ascii="仿宋_GB2312" w:hAnsi="仿宋_GB2312" w:eastAsia="仿宋_GB2312" w:cs="仿宋_GB2312"/>
          <w:b/>
          <w:color w:val="auto"/>
          <w:sz w:val="32"/>
          <w:szCs w:val="32"/>
          <w:highlight w:val="none"/>
          <w:u w:val="single"/>
        </w:rPr>
      </w:pPr>
      <w:r>
        <w:rPr>
          <w:rFonts w:hint="eastAsia" w:ascii="仿宋_GB2312" w:hAnsi="仿宋_GB2312" w:eastAsia="仿宋_GB2312" w:cs="仿宋_GB2312"/>
          <w:b/>
          <w:color w:val="auto"/>
          <w:sz w:val="32"/>
          <w:szCs w:val="32"/>
          <w:highlight w:val="none"/>
          <w:u w:val="single"/>
        </w:rPr>
        <w:t>签订日期：     年    月    日</w:t>
      </w:r>
    </w:p>
    <w:p w14:paraId="2F547889">
      <w:pPr>
        <w:pStyle w:val="2"/>
        <w:rPr>
          <w:color w:val="auto"/>
          <w:highlight w:val="none"/>
        </w:rPr>
      </w:pPr>
    </w:p>
    <w:p w14:paraId="2E04452E">
      <w:pPr>
        <w:pStyle w:val="2"/>
        <w:rPr>
          <w:color w:val="auto"/>
          <w:highlight w:val="none"/>
        </w:rPr>
      </w:pPr>
    </w:p>
    <w:p w14:paraId="0B39BC11">
      <w:pPr>
        <w:pStyle w:val="3"/>
        <w:ind w:firstLine="210"/>
        <w:rPr>
          <w:color w:val="auto"/>
          <w:highlight w:val="none"/>
        </w:rPr>
      </w:pPr>
    </w:p>
    <w:p w14:paraId="19F2D4F9">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委托</w:t>
      </w:r>
      <w:r>
        <w:rPr>
          <w:rFonts w:hint="eastAsia" w:ascii="仿宋_GB2312" w:hAnsi="仿宋_GB2312" w:eastAsia="仿宋_GB2312" w:cs="仿宋_GB2312"/>
          <w:color w:val="auto"/>
          <w:szCs w:val="21"/>
          <w:highlight w:val="none"/>
        </w:rPr>
        <w:t>人（甲方）：</w:t>
      </w:r>
      <w:r>
        <w:rPr>
          <w:rFonts w:hint="eastAsia" w:ascii="仿宋_GB2312" w:hAnsi="仿宋_GB2312" w:eastAsia="仿宋_GB2312" w:cs="仿宋_GB2312"/>
          <w:color w:val="auto"/>
          <w:szCs w:val="21"/>
          <w:highlight w:val="none"/>
          <w:u w:val="single"/>
          <w:lang w:val="en-US" w:eastAsia="zh-CN"/>
        </w:rPr>
        <w:t>东莞市福地饮用水有限公司</w:t>
      </w:r>
    </w:p>
    <w:p w14:paraId="0F351304">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法人住所地：</w:t>
      </w:r>
      <w:r>
        <w:rPr>
          <w:rFonts w:hint="eastAsia" w:ascii="仿宋_GB2312" w:hAnsi="仿宋_GB2312" w:eastAsia="仿宋_GB2312" w:cs="仿宋_GB2312"/>
          <w:color w:val="auto"/>
          <w:szCs w:val="21"/>
          <w:highlight w:val="none"/>
          <w:u w:val="single"/>
        </w:rPr>
        <w:t>广东省东莞市南城街道宏图路39号20栋101室</w:t>
      </w:r>
    </w:p>
    <w:p w14:paraId="4B2E08C5">
      <w:pPr>
        <w:adjustRightInd w:val="0"/>
        <w:snapToGrid w:val="0"/>
        <w:spacing w:line="360" w:lineRule="auto"/>
        <w:rPr>
          <w:rFonts w:hint="default"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法定代表人：</w:t>
      </w:r>
      <w:r>
        <w:rPr>
          <w:rFonts w:hint="eastAsia" w:ascii="仿宋_GB2312" w:hAnsi="仿宋_GB2312" w:eastAsia="仿宋_GB2312" w:cs="仿宋_GB2312"/>
          <w:color w:val="auto"/>
          <w:szCs w:val="21"/>
          <w:highlight w:val="none"/>
          <w:u w:val="single"/>
          <w:lang w:val="en-US" w:eastAsia="zh-CN"/>
        </w:rPr>
        <w:t>杨小兵</w:t>
      </w:r>
    </w:p>
    <w:p w14:paraId="582FE93C">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highlight w:val="none"/>
        </w:rPr>
        <w:t>统一社会信用代码</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 xml:space="preserve">914419007701960462 </w:t>
      </w:r>
      <w:r>
        <w:rPr>
          <w:rFonts w:hint="eastAsia" w:ascii="仿宋_GB2312" w:hAnsi="仿宋_GB2312" w:eastAsia="仿宋_GB2312" w:cs="仿宋_GB2312"/>
          <w:color w:val="auto"/>
          <w:szCs w:val="21"/>
          <w:highlight w:val="none"/>
        </w:rPr>
        <w:t xml:space="preserve"> </w:t>
      </w:r>
    </w:p>
    <w:p w14:paraId="757A0430">
      <w:pPr>
        <w:adjustRightInd w:val="0"/>
        <w:snapToGrid w:val="0"/>
        <w:spacing w:line="360" w:lineRule="auto"/>
        <w:rPr>
          <w:rFonts w:ascii="仿宋_GB2312" w:hAnsi="仿宋_GB2312" w:eastAsia="仿宋_GB2312" w:cs="仿宋_GB2312"/>
          <w:color w:val="auto"/>
          <w:szCs w:val="21"/>
          <w:highlight w:val="none"/>
        </w:rPr>
      </w:pPr>
    </w:p>
    <w:p w14:paraId="3916A668">
      <w:pPr>
        <w:adjustRightInd w:val="0"/>
        <w:snapToGrid w:val="0"/>
        <w:spacing w:line="360" w:lineRule="auto"/>
        <w:rPr>
          <w:rFonts w:hint="default"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lang w:val="en-US" w:eastAsia="zh-CN"/>
        </w:rPr>
        <w:t>受托</w:t>
      </w:r>
      <w:r>
        <w:rPr>
          <w:rFonts w:hint="eastAsia" w:ascii="仿宋_GB2312" w:hAnsi="仿宋_GB2312" w:eastAsia="仿宋_GB2312" w:cs="仿宋_GB2312"/>
          <w:color w:val="auto"/>
          <w:szCs w:val="21"/>
          <w:highlight w:val="none"/>
        </w:rPr>
        <w:t>人（乙方）：</w:t>
      </w:r>
      <w:r>
        <w:rPr>
          <w:rFonts w:hint="eastAsia" w:ascii="仿宋_GB2312" w:hAnsi="仿宋_GB2312" w:eastAsia="仿宋_GB2312" w:cs="仿宋_GB2312"/>
          <w:color w:val="auto"/>
          <w:szCs w:val="21"/>
          <w:highlight w:val="none"/>
          <w:u w:val="single"/>
          <w:lang w:val="en-US" w:eastAsia="zh-CN"/>
        </w:rPr>
        <w:t xml:space="preserve">                  </w:t>
      </w:r>
    </w:p>
    <w:p w14:paraId="3AF1A6FD">
      <w:pPr>
        <w:adjustRightInd w:val="0"/>
        <w:snapToGrid w:val="0"/>
        <w:spacing w:line="360" w:lineRule="auto"/>
        <w:rPr>
          <w:rFonts w:hint="default"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法人住所地：</w:t>
      </w:r>
      <w:r>
        <w:rPr>
          <w:rFonts w:hint="eastAsia" w:ascii="仿宋_GB2312" w:hAnsi="仿宋_GB2312" w:eastAsia="仿宋_GB2312" w:cs="仿宋_GB2312"/>
          <w:color w:val="auto"/>
          <w:szCs w:val="21"/>
          <w:highlight w:val="none"/>
          <w:u w:val="single"/>
          <w:lang w:val="en-US" w:eastAsia="zh-CN"/>
        </w:rPr>
        <w:t xml:space="preserve">                                </w:t>
      </w:r>
    </w:p>
    <w:p w14:paraId="4D411C81">
      <w:pPr>
        <w:pStyle w:val="2"/>
        <w:rPr>
          <w:rFonts w:hint="default" w:ascii="仿宋_GB2312" w:hAnsi="仿宋_GB2312" w:eastAsia="仿宋_GB2312" w:cs="仿宋_GB2312"/>
          <w:color w:val="auto"/>
          <w:kern w:val="2"/>
          <w:sz w:val="21"/>
          <w:szCs w:val="21"/>
          <w:highlight w:val="none"/>
          <w:u w:val="single"/>
          <w:lang w:val="en-US" w:eastAsia="zh-CN" w:bidi="ar-SA"/>
        </w:rPr>
      </w:pPr>
      <w:r>
        <w:rPr>
          <w:rFonts w:hint="eastAsia" w:ascii="仿宋_GB2312" w:hAnsi="仿宋_GB2312" w:eastAsia="仿宋_GB2312" w:cs="仿宋_GB2312"/>
          <w:color w:val="auto"/>
          <w:szCs w:val="21"/>
          <w:highlight w:val="none"/>
        </w:rPr>
        <w:t>法定代表人（或负责人）：</w:t>
      </w:r>
      <w:r>
        <w:rPr>
          <w:rFonts w:hint="eastAsia" w:ascii="仿宋_GB2312" w:hAnsi="仿宋_GB2312" w:eastAsia="仿宋_GB2312" w:cs="仿宋_GB2312"/>
          <w:color w:val="auto"/>
          <w:szCs w:val="21"/>
          <w:highlight w:val="none"/>
          <w:u w:val="single"/>
          <w:lang w:val="en-US" w:eastAsia="zh-CN"/>
        </w:rPr>
        <w:t xml:space="preserve">           </w:t>
      </w:r>
    </w:p>
    <w:p w14:paraId="20C11217">
      <w:pPr>
        <w:adjustRightInd w:val="0"/>
        <w:snapToGrid w:val="0"/>
        <w:spacing w:line="360" w:lineRule="auto"/>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highlight w:val="none"/>
        </w:rPr>
        <w:t>统一社会信用代码</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 xml:space="preserve">                         </w:t>
      </w:r>
    </w:p>
    <w:p w14:paraId="62C5EDF5">
      <w:pPr>
        <w:widowControl/>
        <w:snapToGrid w:val="0"/>
        <w:spacing w:after="156" w:afterLines="50"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 xml:space="preserve"> </w:t>
      </w:r>
      <w:r>
        <w:rPr>
          <w:rFonts w:hint="eastAsia" w:ascii="仿宋_GB2312" w:hAnsi="仿宋_GB2312" w:eastAsia="仿宋_GB2312" w:cs="仿宋_GB2312"/>
          <w:b/>
          <w:bCs/>
          <w:color w:val="auto"/>
          <w:szCs w:val="21"/>
          <w:highlight w:val="none"/>
          <w:lang w:val="en-US" w:eastAsia="zh-CN"/>
        </w:rPr>
        <w:t xml:space="preserve">   </w:t>
      </w:r>
      <w:r>
        <w:rPr>
          <w:rFonts w:hint="eastAsia" w:ascii="仿宋_GB2312" w:hAnsi="仿宋_GB2312" w:eastAsia="仿宋_GB2312" w:cs="仿宋_GB2312"/>
          <w:color w:val="auto"/>
          <w:szCs w:val="21"/>
          <w:highlight w:val="none"/>
        </w:rPr>
        <w:t>根据《中华人民共和国民法典》及有关规定，</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本着诚实守信、合作共赢的原则，结合本项目的具体情况，双方在自愿、平等、协商一致的基础上签订本合同。</w:t>
      </w:r>
    </w:p>
    <w:p w14:paraId="6FAC080B">
      <w:pPr>
        <w:snapToGrid w:val="0"/>
        <w:spacing w:line="360" w:lineRule="auto"/>
        <w:ind w:firstLine="422" w:firstLineChars="200"/>
        <w:jc w:val="left"/>
        <w:rPr>
          <w:rFonts w:ascii="仿宋_GB2312" w:hAnsi="仿宋_GB2312" w:eastAsia="仿宋_GB2312" w:cs="仿宋_GB2312"/>
          <w:b/>
          <w:bCs/>
          <w:color w:val="auto"/>
          <w:szCs w:val="21"/>
          <w:highlight w:val="none"/>
          <w:shd w:val="clear" w:color="auto" w:fill="FFFFFF"/>
        </w:rPr>
      </w:pPr>
      <w:r>
        <w:rPr>
          <w:rFonts w:hint="eastAsia" w:ascii="仿宋_GB2312" w:hAnsi="仿宋_GB2312" w:eastAsia="仿宋_GB2312" w:cs="仿宋_GB2312"/>
          <w:b/>
          <w:bCs/>
          <w:color w:val="auto"/>
          <w:szCs w:val="21"/>
          <w:highlight w:val="none"/>
          <w:shd w:val="clear" w:color="auto" w:fill="FFFFFF"/>
        </w:rPr>
        <w:t>第</w:t>
      </w:r>
      <w:r>
        <w:rPr>
          <w:rFonts w:hint="eastAsia" w:ascii="仿宋_GB2312" w:hAnsi="仿宋_GB2312" w:eastAsia="仿宋_GB2312" w:cs="仿宋_GB2312"/>
          <w:b/>
          <w:bCs/>
          <w:color w:val="auto"/>
          <w:szCs w:val="21"/>
          <w:highlight w:val="none"/>
          <w:shd w:val="clear" w:color="auto" w:fill="FFFFFF"/>
          <w:lang w:val="en-US" w:eastAsia="zh-CN"/>
        </w:rPr>
        <w:t>一</w:t>
      </w:r>
      <w:r>
        <w:rPr>
          <w:rFonts w:hint="eastAsia" w:ascii="仿宋_GB2312" w:hAnsi="仿宋_GB2312" w:eastAsia="仿宋_GB2312" w:cs="仿宋_GB2312"/>
          <w:b/>
          <w:bCs/>
          <w:color w:val="auto"/>
          <w:szCs w:val="21"/>
          <w:highlight w:val="none"/>
          <w:shd w:val="clear" w:color="auto" w:fill="FFFFFF"/>
        </w:rPr>
        <w:t>条</w:t>
      </w:r>
      <w:r>
        <w:rPr>
          <w:rFonts w:hint="eastAsia" w:ascii="仿宋_GB2312" w:hAnsi="仿宋_GB2312" w:eastAsia="仿宋_GB2312" w:cs="仿宋_GB2312"/>
          <w:b/>
          <w:bCs/>
          <w:color w:val="auto"/>
          <w:szCs w:val="21"/>
          <w:highlight w:val="none"/>
          <w:shd w:val="clear" w:color="auto" w:fill="FFFFFF"/>
          <w:lang w:val="en-US" w:eastAsia="zh-CN"/>
        </w:rPr>
        <w:t xml:space="preserve"> </w:t>
      </w:r>
      <w:r>
        <w:rPr>
          <w:rFonts w:hint="eastAsia" w:ascii="仿宋_GB2312" w:hAnsi="仿宋_GB2312" w:eastAsia="仿宋_GB2312" w:cs="仿宋_GB2312"/>
          <w:b/>
          <w:bCs/>
          <w:color w:val="auto"/>
          <w:szCs w:val="21"/>
          <w:highlight w:val="none"/>
          <w:shd w:val="clear" w:color="auto" w:fill="FFFFFF"/>
        </w:rPr>
        <w:t>服务</w:t>
      </w:r>
      <w:r>
        <w:rPr>
          <w:rFonts w:hint="eastAsia" w:ascii="仿宋_GB2312" w:hAnsi="仿宋_GB2312" w:eastAsia="仿宋_GB2312" w:cs="仿宋_GB2312"/>
          <w:b/>
          <w:bCs/>
          <w:color w:val="auto"/>
          <w:szCs w:val="21"/>
          <w:highlight w:val="none"/>
          <w:shd w:val="clear" w:color="auto" w:fill="FFFFFF"/>
          <w:lang w:val="en-US" w:eastAsia="zh-CN"/>
        </w:rPr>
        <w:t>内容</w:t>
      </w:r>
    </w:p>
    <w:p w14:paraId="47FA3B6E">
      <w:pPr>
        <w:snapToGrid w:val="0"/>
        <w:spacing w:line="360" w:lineRule="auto"/>
        <w:ind w:firstLine="424" w:firstLineChars="202"/>
        <w:rPr>
          <w:rFonts w:hint="eastAsia" w:ascii="仿宋_GB2312" w:hAnsi="仿宋_GB2312" w:eastAsia="仿宋_GB2312" w:cs="仿宋_GB2312"/>
          <w:color w:val="auto"/>
          <w:szCs w:val="21"/>
          <w:highlight w:val="none"/>
          <w:shd w:val="clear" w:color="auto" w:fill="FFFFFF"/>
          <w:lang w:val="en-US" w:eastAsia="zh-CN"/>
        </w:rPr>
      </w:pPr>
      <w:r>
        <w:rPr>
          <w:rFonts w:hint="eastAsia" w:ascii="仿宋_GB2312" w:hAnsi="仿宋_GB2312" w:eastAsia="仿宋_GB2312" w:cs="仿宋_GB2312"/>
          <w:color w:val="auto"/>
          <w:szCs w:val="21"/>
          <w:highlight w:val="none"/>
          <w:shd w:val="clear" w:color="auto" w:fill="FFFFFF"/>
          <w:lang w:val="en-US" w:eastAsia="zh-CN"/>
        </w:rPr>
        <w:t>甲方委托乙方按照甲方的订单，从甲方指定的东莞市范围内的仓库中提货后，将包装水配送至甲方或甲方客户指定的存放点，完成包装水的交付工作。</w:t>
      </w:r>
    </w:p>
    <w:p w14:paraId="4646D0E2">
      <w:pPr>
        <w:snapToGrid w:val="0"/>
        <w:spacing w:line="360" w:lineRule="auto"/>
        <w:ind w:firstLine="426" w:firstLineChars="202"/>
        <w:rPr>
          <w:rFonts w:ascii="仿宋_GB2312" w:hAnsi="仿宋_GB2312" w:eastAsia="仿宋_GB2312" w:cs="仿宋_GB2312"/>
          <w:b/>
          <w:bCs/>
          <w:color w:val="auto"/>
          <w:szCs w:val="21"/>
          <w:highlight w:val="none"/>
          <w:shd w:val="clear" w:color="auto" w:fill="FFFFFF"/>
        </w:rPr>
      </w:pPr>
      <w:r>
        <w:rPr>
          <w:rFonts w:hint="eastAsia" w:ascii="仿宋_GB2312" w:hAnsi="仿宋_GB2312" w:eastAsia="仿宋_GB2312" w:cs="仿宋_GB2312"/>
          <w:b/>
          <w:bCs/>
          <w:color w:val="auto"/>
          <w:szCs w:val="21"/>
          <w:highlight w:val="none"/>
          <w:shd w:val="clear" w:color="auto" w:fill="FFFFFF"/>
        </w:rPr>
        <w:t>第二条</w:t>
      </w:r>
      <w:r>
        <w:rPr>
          <w:rFonts w:hint="eastAsia" w:ascii="仿宋_GB2312" w:hAnsi="仿宋_GB2312" w:eastAsia="仿宋_GB2312" w:cs="仿宋_GB2312"/>
          <w:b/>
          <w:bCs/>
          <w:color w:val="auto"/>
          <w:szCs w:val="21"/>
          <w:highlight w:val="none"/>
          <w:shd w:val="clear" w:color="auto" w:fill="FFFFFF"/>
          <w:lang w:val="en-US" w:eastAsia="zh-CN"/>
        </w:rPr>
        <w:t xml:space="preserve"> 配送产品</w:t>
      </w:r>
    </w:p>
    <w:p w14:paraId="4B705D41">
      <w:pPr>
        <w:snapToGrid w:val="0"/>
        <w:spacing w:line="360" w:lineRule="auto"/>
        <w:ind w:firstLine="424" w:firstLineChars="202"/>
        <w:rPr>
          <w:rFonts w:hint="eastAsia" w:ascii="仿宋_GB2312" w:hAnsi="仿宋_GB2312" w:eastAsia="仿宋_GB2312" w:cs="仿宋_GB2312"/>
          <w:color w:val="auto"/>
          <w:szCs w:val="21"/>
          <w:highlight w:val="none"/>
          <w:shd w:val="clear" w:color="auto" w:fill="FFFFFF"/>
          <w:lang w:val="zh-CN" w:eastAsia="zh-CN"/>
        </w:rPr>
      </w:pPr>
      <w:r>
        <w:rPr>
          <w:rFonts w:hint="eastAsia" w:ascii="仿宋_GB2312" w:hAnsi="仿宋_GB2312" w:eastAsia="仿宋_GB2312" w:cs="仿宋_GB2312"/>
          <w:color w:val="auto"/>
          <w:szCs w:val="21"/>
          <w:highlight w:val="none"/>
          <w:shd w:val="clear" w:color="auto" w:fill="FFFFFF"/>
          <w:lang w:val="zh-CN"/>
        </w:rPr>
        <w:t>本合同涉及的配送产品为饮用水</w:t>
      </w:r>
      <w:r>
        <w:rPr>
          <w:rFonts w:hint="eastAsia" w:ascii="仿宋_GB2312" w:hAnsi="仿宋_GB2312" w:eastAsia="仿宋_GB2312" w:cs="仿宋_GB2312"/>
          <w:color w:val="auto"/>
          <w:szCs w:val="21"/>
          <w:highlight w:val="none"/>
          <w:shd w:val="clear" w:color="auto" w:fill="FFFFFF"/>
          <w:lang w:val="en-US" w:eastAsia="zh-CN"/>
        </w:rPr>
        <w:t>产品和非饮用水商品</w:t>
      </w:r>
      <w:r>
        <w:rPr>
          <w:rFonts w:hint="eastAsia" w:ascii="仿宋_GB2312" w:hAnsi="仿宋_GB2312" w:eastAsia="仿宋_GB2312" w:cs="仿宋_GB2312"/>
          <w:color w:val="auto"/>
          <w:szCs w:val="21"/>
          <w:highlight w:val="none"/>
          <w:shd w:val="clear" w:color="auto" w:fill="FFFFFF"/>
          <w:lang w:val="zh-CN"/>
        </w:rPr>
        <w:t>，</w:t>
      </w:r>
      <w:r>
        <w:rPr>
          <w:rFonts w:hint="eastAsia" w:ascii="仿宋_GB2312" w:hAnsi="仿宋_GB2312" w:eastAsia="仿宋_GB2312" w:cs="仿宋_GB2312"/>
          <w:color w:val="auto"/>
          <w:szCs w:val="21"/>
          <w:highlight w:val="none"/>
          <w:shd w:val="clear" w:color="auto" w:fill="FFFFFF"/>
          <w:lang w:val="en-US" w:eastAsia="zh-CN"/>
        </w:rPr>
        <w:t>饮用水产品</w:t>
      </w:r>
      <w:r>
        <w:rPr>
          <w:rFonts w:hint="eastAsia" w:ascii="仿宋_GB2312" w:hAnsi="仿宋_GB2312" w:eastAsia="仿宋_GB2312" w:cs="仿宋_GB2312"/>
          <w:color w:val="auto"/>
          <w:sz w:val="21"/>
          <w:szCs w:val="21"/>
          <w:highlight w:val="none"/>
          <w:shd w:val="clear" w:color="auto" w:fill="FFFFFF"/>
          <w:lang w:val="zh-CN" w:eastAsia="zh-CN"/>
        </w:rPr>
        <w:t>包括但不限于：</w:t>
      </w:r>
      <w:r>
        <w:rPr>
          <w:rFonts w:hint="eastAsia" w:ascii="仿宋_GB2312" w:hAnsi="仿宋_GB2312" w:eastAsia="仿宋_GB2312" w:cs="仿宋_GB2312"/>
          <w:color w:val="auto"/>
          <w:szCs w:val="21"/>
          <w:highlight w:val="none"/>
          <w:shd w:val="clear" w:color="auto" w:fill="FFFFFF"/>
          <w:lang w:val="zh-CN" w:eastAsia="zh-CN"/>
        </w:rPr>
        <w:t>桶装水产品：</w:t>
      </w:r>
      <w:r>
        <w:rPr>
          <w:rFonts w:hint="eastAsia" w:ascii="仿宋_GB2312" w:hAnsi="仿宋_GB2312" w:eastAsia="仿宋_GB2312" w:cs="仿宋_GB2312"/>
          <w:color w:val="auto"/>
          <w:szCs w:val="21"/>
          <w:highlight w:val="none"/>
          <w:shd w:val="clear" w:color="auto" w:fill="FFFFFF"/>
          <w:lang w:val="en-US" w:eastAsia="zh-CN"/>
        </w:rPr>
        <w:t>12.3L(约</w:t>
      </w:r>
      <w:r>
        <w:rPr>
          <w:rFonts w:hint="eastAsia" w:ascii="仿宋_GB2312" w:hAnsi="仿宋_GB2312" w:eastAsia="仿宋_GB2312" w:cs="仿宋_GB2312"/>
          <w:i w:val="0"/>
          <w:iCs w:val="0"/>
          <w:caps w:val="0"/>
          <w:color w:val="auto"/>
          <w:spacing w:val="0"/>
          <w:sz w:val="21"/>
          <w:szCs w:val="21"/>
          <w:highlight w:val="none"/>
          <w:shd w:val="clear" w:color="auto" w:fill="FFFFFF"/>
        </w:rPr>
        <w:t>12.30 </w:t>
      </w:r>
      <w:r>
        <w:rPr>
          <w:rFonts w:hint="eastAsia" w:ascii="仿宋_GB2312" w:hAnsi="仿宋_GB2312" w:eastAsia="仿宋_GB2312" w:cs="仿宋_GB2312"/>
          <w:color w:val="auto"/>
          <w:szCs w:val="21"/>
          <w:highlight w:val="none"/>
          <w:shd w:val="clear" w:color="auto" w:fill="FFFFFF"/>
          <w:lang w:val="en-US" w:eastAsia="zh-CN"/>
        </w:rPr>
        <w:t>kg/</w:t>
      </w:r>
      <w:r>
        <w:rPr>
          <w:rFonts w:hint="eastAsia" w:ascii="仿宋_GB2312" w:hAnsi="仿宋_GB2312" w:eastAsia="仿宋_GB2312" w:cs="仿宋_GB2312"/>
          <w:color w:val="auto"/>
          <w:szCs w:val="21"/>
          <w:highlight w:val="none"/>
          <w:shd w:val="clear" w:color="auto" w:fill="FFFFFF"/>
          <w:lang w:val="zh-CN" w:eastAsia="zh-CN"/>
        </w:rPr>
        <w:t>桶)</w:t>
      </w:r>
      <w:r>
        <w:rPr>
          <w:rFonts w:hint="eastAsia" w:ascii="仿宋_GB2312" w:hAnsi="仿宋_GB2312" w:eastAsia="仿宋_GB2312" w:cs="仿宋_GB2312"/>
          <w:color w:val="auto"/>
          <w:szCs w:val="21"/>
          <w:highlight w:val="none"/>
          <w:shd w:val="clear" w:color="auto" w:fill="FFFFFF"/>
          <w:lang w:val="en-US" w:eastAsia="zh-CN"/>
        </w:rPr>
        <w:t>、15L（约15kg/</w:t>
      </w:r>
      <w:r>
        <w:rPr>
          <w:rFonts w:hint="eastAsia" w:ascii="仿宋_GB2312" w:hAnsi="仿宋_GB2312" w:eastAsia="仿宋_GB2312" w:cs="仿宋_GB2312"/>
          <w:color w:val="auto"/>
          <w:szCs w:val="21"/>
          <w:highlight w:val="none"/>
          <w:shd w:val="clear" w:color="auto" w:fill="FFFFFF"/>
          <w:lang w:val="zh-CN" w:eastAsia="zh-CN"/>
        </w:rPr>
        <w:t>桶</w:t>
      </w:r>
      <w:r>
        <w:rPr>
          <w:rFonts w:hint="eastAsia" w:ascii="仿宋_GB2312" w:hAnsi="仿宋_GB2312" w:eastAsia="仿宋_GB2312" w:cs="仿宋_GB2312"/>
          <w:color w:val="auto"/>
          <w:szCs w:val="21"/>
          <w:highlight w:val="none"/>
          <w:shd w:val="clear" w:color="auto" w:fill="FFFFFF"/>
          <w:lang w:val="en-US" w:eastAsia="zh-CN"/>
        </w:rPr>
        <w:t>）、5.28L*3桶（约</w:t>
      </w:r>
      <w:r>
        <w:rPr>
          <w:rFonts w:hint="eastAsia" w:ascii="仿宋_GB2312" w:hAnsi="仿宋_GB2312" w:eastAsia="仿宋_GB2312" w:cs="仿宋_GB2312"/>
          <w:i w:val="0"/>
          <w:iCs w:val="0"/>
          <w:caps w:val="0"/>
          <w:color w:val="auto"/>
          <w:spacing w:val="0"/>
          <w:sz w:val="21"/>
          <w:szCs w:val="21"/>
          <w:highlight w:val="none"/>
          <w:shd w:val="clear" w:color="auto" w:fill="FFFFFF"/>
        </w:rPr>
        <w:t> 15.84</w:t>
      </w:r>
      <w:r>
        <w:rPr>
          <w:rFonts w:hint="eastAsia" w:ascii="仿宋_GB2312" w:hAnsi="仿宋_GB2312" w:eastAsia="仿宋_GB2312" w:cs="仿宋_GB2312"/>
          <w:color w:val="auto"/>
          <w:szCs w:val="21"/>
          <w:highlight w:val="none"/>
          <w:shd w:val="clear" w:color="auto" w:fill="FFFFFF"/>
          <w:lang w:val="en-US" w:eastAsia="zh-CN"/>
        </w:rPr>
        <w:t>kg/件）、5L*4桶（约</w:t>
      </w:r>
      <w:r>
        <w:rPr>
          <w:rFonts w:hint="eastAsia" w:ascii="仿宋_GB2312" w:hAnsi="仿宋_GB2312" w:eastAsia="仿宋_GB2312" w:cs="仿宋_GB2312"/>
          <w:i w:val="0"/>
          <w:iCs w:val="0"/>
          <w:caps w:val="0"/>
          <w:color w:val="auto"/>
          <w:spacing w:val="0"/>
          <w:sz w:val="21"/>
          <w:szCs w:val="21"/>
          <w:highlight w:val="none"/>
          <w:shd w:val="clear" w:color="auto" w:fill="FFFFFF"/>
        </w:rPr>
        <w:t> </w:t>
      </w:r>
      <w:r>
        <w:rPr>
          <w:rFonts w:hint="eastAsia" w:ascii="仿宋_GB2312" w:hAnsi="仿宋_GB2312" w:eastAsia="仿宋_GB2312" w:cs="仿宋_GB2312"/>
          <w:i w:val="0"/>
          <w:iCs w:val="0"/>
          <w:caps w:val="0"/>
          <w:color w:val="auto"/>
          <w:spacing w:val="0"/>
          <w:sz w:val="21"/>
          <w:szCs w:val="21"/>
          <w:highlight w:val="none"/>
          <w:shd w:val="clear" w:color="auto" w:fill="FFFFFF"/>
          <w:lang w:val="en-US" w:eastAsia="zh-CN"/>
        </w:rPr>
        <w:t>20</w:t>
      </w:r>
      <w:r>
        <w:rPr>
          <w:rFonts w:hint="eastAsia" w:ascii="仿宋_GB2312" w:hAnsi="仿宋_GB2312" w:eastAsia="仿宋_GB2312" w:cs="仿宋_GB2312"/>
          <w:color w:val="auto"/>
          <w:szCs w:val="21"/>
          <w:highlight w:val="none"/>
          <w:shd w:val="clear" w:color="auto" w:fill="FFFFFF"/>
          <w:lang w:val="en-US" w:eastAsia="zh-CN"/>
        </w:rPr>
        <w:t>kg/件）</w:t>
      </w:r>
      <w:r>
        <w:rPr>
          <w:rFonts w:hint="eastAsia" w:ascii="仿宋_GB2312" w:hAnsi="仿宋_GB2312" w:eastAsia="仿宋_GB2312" w:cs="仿宋_GB2312"/>
          <w:color w:val="auto"/>
          <w:szCs w:val="21"/>
          <w:highlight w:val="none"/>
          <w:shd w:val="clear" w:color="auto" w:fill="FFFFFF"/>
          <w:lang w:val="zh-CN" w:eastAsia="zh-CN"/>
        </w:rPr>
        <w:t>；支装水产品：</w:t>
      </w:r>
      <w:r>
        <w:rPr>
          <w:rFonts w:hint="eastAsia" w:ascii="仿宋_GB2312" w:hAnsi="仿宋_GB2312" w:eastAsia="仿宋_GB2312" w:cs="仿宋_GB2312"/>
          <w:color w:val="auto"/>
          <w:szCs w:val="21"/>
          <w:highlight w:val="none"/>
          <w:shd w:val="clear" w:color="auto" w:fill="FFFFFF"/>
          <w:lang w:val="en-US" w:eastAsia="zh-CN"/>
        </w:rPr>
        <w:t>360ml*24瓶（约8.64kg/件）、350ml*24瓶（约</w:t>
      </w:r>
      <w:r>
        <w:rPr>
          <w:rFonts w:hint="eastAsia" w:ascii="仿宋_GB2312" w:hAnsi="仿宋_GB2312" w:eastAsia="仿宋_GB2312" w:cs="仿宋_GB2312"/>
          <w:i w:val="0"/>
          <w:iCs w:val="0"/>
          <w:caps w:val="0"/>
          <w:color w:val="auto"/>
          <w:spacing w:val="0"/>
          <w:sz w:val="21"/>
          <w:szCs w:val="21"/>
          <w:highlight w:val="none"/>
          <w:shd w:val="clear" w:color="auto" w:fill="FFFFFF"/>
        </w:rPr>
        <w:t> 8.40</w:t>
      </w:r>
      <w:r>
        <w:rPr>
          <w:rFonts w:hint="eastAsia" w:ascii="仿宋_GB2312" w:hAnsi="仿宋_GB2312" w:eastAsia="仿宋_GB2312" w:cs="仿宋_GB2312"/>
          <w:color w:val="auto"/>
          <w:szCs w:val="21"/>
          <w:highlight w:val="none"/>
          <w:shd w:val="clear" w:color="auto" w:fill="FFFFFF"/>
          <w:lang w:val="en-US" w:eastAsia="zh-CN"/>
        </w:rPr>
        <w:t>kg/件）、390ml*24瓶（约9.36kg/件）、550ml*24瓶（约</w:t>
      </w:r>
      <w:r>
        <w:rPr>
          <w:rFonts w:hint="eastAsia" w:ascii="仿宋_GB2312" w:hAnsi="仿宋_GB2312" w:eastAsia="仿宋_GB2312" w:cs="仿宋_GB2312"/>
          <w:i w:val="0"/>
          <w:iCs w:val="0"/>
          <w:caps w:val="0"/>
          <w:color w:val="auto"/>
          <w:spacing w:val="0"/>
          <w:sz w:val="21"/>
          <w:szCs w:val="21"/>
          <w:highlight w:val="none"/>
          <w:shd w:val="clear" w:color="auto" w:fill="FFFFFF"/>
        </w:rPr>
        <w:t> </w:t>
      </w:r>
      <w:r>
        <w:rPr>
          <w:rFonts w:hint="eastAsia" w:ascii="仿宋_GB2312" w:hAnsi="仿宋_GB2312" w:eastAsia="仿宋_GB2312" w:cs="仿宋_GB2312"/>
          <w:i w:val="0"/>
          <w:iCs w:val="0"/>
          <w:caps w:val="0"/>
          <w:color w:val="auto"/>
          <w:spacing w:val="0"/>
          <w:sz w:val="21"/>
          <w:szCs w:val="21"/>
          <w:highlight w:val="none"/>
          <w:shd w:val="clear" w:color="auto" w:fill="FFFFFF"/>
          <w:lang w:val="en-US" w:eastAsia="zh-CN"/>
        </w:rPr>
        <w:t>13.2</w:t>
      </w:r>
      <w:r>
        <w:rPr>
          <w:rFonts w:hint="eastAsia" w:ascii="仿宋_GB2312" w:hAnsi="仿宋_GB2312" w:eastAsia="仿宋_GB2312" w:cs="仿宋_GB2312"/>
          <w:i w:val="0"/>
          <w:iCs w:val="0"/>
          <w:caps w:val="0"/>
          <w:color w:val="auto"/>
          <w:spacing w:val="0"/>
          <w:sz w:val="21"/>
          <w:szCs w:val="21"/>
          <w:highlight w:val="none"/>
          <w:shd w:val="clear" w:color="auto" w:fill="FFFFFF"/>
        </w:rPr>
        <w:t>0</w:t>
      </w:r>
      <w:r>
        <w:rPr>
          <w:rFonts w:hint="eastAsia" w:ascii="仿宋_GB2312" w:hAnsi="仿宋_GB2312" w:eastAsia="仿宋_GB2312" w:cs="仿宋_GB2312"/>
          <w:color w:val="auto"/>
          <w:szCs w:val="21"/>
          <w:highlight w:val="none"/>
          <w:shd w:val="clear" w:color="auto" w:fill="FFFFFF"/>
          <w:lang w:val="en-US" w:eastAsia="zh-CN"/>
        </w:rPr>
        <w:t>kg/件）</w:t>
      </w:r>
      <w:r>
        <w:rPr>
          <w:rFonts w:hint="eastAsia" w:ascii="宋体" w:hAnsi="宋体" w:eastAsia="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lang w:val="en-US" w:eastAsia="zh-CN"/>
        </w:rPr>
        <w:t>22</w:t>
      </w:r>
      <w:r>
        <w:rPr>
          <w:rFonts w:hint="eastAsia" w:ascii="宋体" w:hAnsi="宋体" w:eastAsia="宋体" w:cs="宋体"/>
          <w:color w:val="auto"/>
          <w:szCs w:val="21"/>
          <w:highlight w:val="none"/>
          <w:shd w:val="clear" w:color="auto" w:fill="auto"/>
          <w:lang w:val="en-US" w:eastAsia="zh-CN"/>
        </w:rPr>
        <w:t>0ml*</w:t>
      </w:r>
      <w:r>
        <w:rPr>
          <w:rFonts w:hint="eastAsia" w:ascii="宋体" w:hAnsi="宋体" w:cs="宋体"/>
          <w:color w:val="auto"/>
          <w:szCs w:val="21"/>
          <w:highlight w:val="none"/>
          <w:shd w:val="clear" w:color="auto" w:fill="auto"/>
          <w:lang w:val="en-US" w:eastAsia="zh-CN"/>
        </w:rPr>
        <w:t>12</w:t>
      </w:r>
      <w:r>
        <w:rPr>
          <w:rFonts w:hint="eastAsia" w:ascii="宋体" w:hAnsi="宋体" w:eastAsia="宋体" w:cs="宋体"/>
          <w:color w:val="auto"/>
          <w:szCs w:val="21"/>
          <w:highlight w:val="none"/>
          <w:shd w:val="clear" w:color="auto" w:fill="auto"/>
          <w:lang w:val="en-US" w:eastAsia="zh-CN"/>
        </w:rPr>
        <w:t>瓶（</w:t>
      </w:r>
      <w:r>
        <w:rPr>
          <w:rFonts w:hint="eastAsia" w:ascii="宋体" w:hAnsi="宋体" w:cs="宋体"/>
          <w:color w:val="auto"/>
          <w:szCs w:val="21"/>
          <w:highlight w:val="none"/>
          <w:shd w:val="clear" w:color="auto" w:fill="auto"/>
          <w:lang w:val="en-US" w:eastAsia="zh-CN"/>
        </w:rPr>
        <w:t>约3</w:t>
      </w:r>
      <w:r>
        <w:rPr>
          <w:rFonts w:hint="eastAsia" w:ascii="宋体" w:hAnsi="宋体" w:eastAsia="宋体" w:cs="宋体"/>
          <w:color w:val="auto"/>
          <w:szCs w:val="21"/>
          <w:highlight w:val="none"/>
          <w:shd w:val="clear" w:color="auto" w:fill="auto"/>
          <w:lang w:val="en-US" w:eastAsia="zh-CN"/>
        </w:rPr>
        <w:t>kg/件）</w:t>
      </w:r>
      <w:r>
        <w:rPr>
          <w:rFonts w:hint="eastAsia" w:ascii="宋体" w:hAnsi="宋体" w:cs="宋体"/>
          <w:color w:val="auto"/>
          <w:szCs w:val="21"/>
          <w:highlight w:val="none"/>
          <w:shd w:val="clear" w:color="auto" w:fill="auto"/>
          <w:lang w:val="en-US" w:eastAsia="zh-CN"/>
        </w:rPr>
        <w:t>、22</w:t>
      </w:r>
      <w:r>
        <w:rPr>
          <w:rFonts w:hint="eastAsia" w:ascii="宋体" w:hAnsi="宋体" w:eastAsia="宋体" w:cs="宋体"/>
          <w:color w:val="auto"/>
          <w:szCs w:val="21"/>
          <w:highlight w:val="none"/>
          <w:shd w:val="clear" w:color="auto" w:fill="auto"/>
          <w:lang w:val="en-US" w:eastAsia="zh-CN"/>
        </w:rPr>
        <w:t>0ml*24瓶（约</w:t>
      </w:r>
      <w:r>
        <w:rPr>
          <w:rFonts w:hint="eastAsia" w:ascii="宋体" w:hAnsi="宋体" w:cs="宋体"/>
          <w:i w:val="0"/>
          <w:iCs w:val="0"/>
          <w:caps w:val="0"/>
          <w:color w:val="auto"/>
          <w:spacing w:val="0"/>
          <w:sz w:val="21"/>
          <w:szCs w:val="21"/>
          <w:highlight w:val="none"/>
          <w:shd w:val="clear" w:color="auto" w:fill="auto"/>
          <w:lang w:val="en-US" w:eastAsia="zh-CN"/>
        </w:rPr>
        <w:t>6</w:t>
      </w:r>
      <w:r>
        <w:rPr>
          <w:rFonts w:hint="eastAsia" w:ascii="宋体" w:hAnsi="宋体" w:eastAsia="宋体" w:cs="宋体"/>
          <w:color w:val="auto"/>
          <w:szCs w:val="21"/>
          <w:highlight w:val="none"/>
          <w:shd w:val="clear" w:color="auto" w:fill="auto"/>
          <w:lang w:val="en-US" w:eastAsia="zh-CN"/>
        </w:rPr>
        <w:t>kg/件）</w:t>
      </w:r>
      <w:r>
        <w:rPr>
          <w:rFonts w:hint="eastAsia" w:ascii="宋体" w:hAnsi="宋体" w:cs="宋体"/>
          <w:color w:val="auto"/>
          <w:szCs w:val="21"/>
          <w:highlight w:val="none"/>
          <w:shd w:val="clear" w:color="auto" w:fill="auto"/>
          <w:lang w:val="en-US" w:eastAsia="zh-CN"/>
        </w:rPr>
        <w:t>；非饮用水商品，</w:t>
      </w:r>
      <w:r>
        <w:rPr>
          <w:rFonts w:hint="eastAsia" w:ascii="宋体" w:hAnsi="宋体" w:cs="宋体"/>
          <w:color w:val="auto"/>
          <w:szCs w:val="21"/>
          <w:highlight w:val="none"/>
          <w:shd w:val="clear" w:color="auto" w:fill="auto"/>
        </w:rPr>
        <w:t>按整包合计重量2KG及以下，尺寸不超50cm*50cm*50cm为一件产品。</w:t>
      </w:r>
      <w:r>
        <w:rPr>
          <w:rFonts w:hint="eastAsia" w:ascii="宋体" w:hAnsi="宋体" w:cs="宋体"/>
          <w:color w:val="auto"/>
          <w:sz w:val="21"/>
          <w:szCs w:val="21"/>
          <w:highlight w:val="none"/>
          <w:lang w:val="en-US" w:eastAsia="zh-CN"/>
        </w:rPr>
        <w:t>搭配饮用水产品配送的非饮用水商品（2kg以下）可以免费一起配送。</w:t>
      </w:r>
      <w:r>
        <w:rPr>
          <w:rFonts w:hint="eastAsia" w:ascii="仿宋_GB2312" w:hAnsi="仿宋_GB2312" w:eastAsia="仿宋_GB2312" w:cs="仿宋_GB2312"/>
          <w:color w:val="auto"/>
          <w:szCs w:val="21"/>
          <w:highlight w:val="none"/>
          <w:shd w:val="clear" w:color="auto" w:fill="FFFFFF"/>
          <w:lang w:val="zh-CN" w:eastAsia="zh-CN"/>
        </w:rPr>
        <w:t>。</w:t>
      </w:r>
    </w:p>
    <w:p w14:paraId="04C773B9">
      <w:pPr>
        <w:snapToGrid w:val="0"/>
        <w:spacing w:line="360" w:lineRule="auto"/>
        <w:ind w:firstLine="424" w:firstLineChars="202"/>
        <w:rPr>
          <w:rFonts w:hint="default"/>
          <w:highlight w:val="none"/>
          <w:lang w:val="en-US" w:eastAsia="zh-CN"/>
        </w:rPr>
      </w:pPr>
      <w:r>
        <w:rPr>
          <w:rFonts w:hint="eastAsia" w:ascii="仿宋_GB2312" w:hAnsi="仿宋_GB2312" w:eastAsia="仿宋_GB2312" w:cs="仿宋_GB2312"/>
          <w:color w:val="auto"/>
          <w:szCs w:val="21"/>
          <w:highlight w:val="none"/>
          <w:shd w:val="clear" w:color="auto" w:fill="FFFFFF"/>
          <w:lang w:val="en-US" w:eastAsia="zh-CN"/>
        </w:rPr>
        <w:t>本合同涉及的配送数量按实际服务需求以甲方每次下达的配送任务为准，在服务期内乙方同意不因为甲方实际要求配送数量的减少或增加而要求甲方提供任何形式的补偿或赔偿，或要求甲方按约定数量支付费用。</w:t>
      </w:r>
    </w:p>
    <w:p w14:paraId="3AE49D06">
      <w:pPr>
        <w:snapToGrid w:val="0"/>
        <w:spacing w:line="360" w:lineRule="auto"/>
        <w:ind w:firstLine="426" w:firstLineChars="202"/>
        <w:rPr>
          <w:rFonts w:ascii="仿宋_GB2312" w:hAnsi="仿宋_GB2312" w:eastAsia="仿宋_GB2312" w:cs="仿宋_GB2312"/>
          <w:b/>
          <w:bCs/>
          <w:color w:val="auto"/>
          <w:szCs w:val="21"/>
          <w:highlight w:val="none"/>
          <w:shd w:val="clear" w:color="auto" w:fill="FFFFFF"/>
        </w:rPr>
      </w:pPr>
      <w:r>
        <w:rPr>
          <w:rFonts w:hint="eastAsia" w:ascii="仿宋_GB2312" w:hAnsi="仿宋_GB2312" w:eastAsia="仿宋_GB2312" w:cs="仿宋_GB2312"/>
          <w:b/>
          <w:bCs/>
          <w:color w:val="auto"/>
          <w:szCs w:val="21"/>
          <w:highlight w:val="none"/>
          <w:shd w:val="clear" w:color="auto" w:fill="FFFFFF"/>
        </w:rPr>
        <w:t>第</w:t>
      </w:r>
      <w:r>
        <w:rPr>
          <w:rFonts w:hint="eastAsia" w:ascii="仿宋_GB2312" w:hAnsi="仿宋_GB2312" w:eastAsia="仿宋_GB2312" w:cs="仿宋_GB2312"/>
          <w:b/>
          <w:bCs/>
          <w:color w:val="auto"/>
          <w:szCs w:val="21"/>
          <w:highlight w:val="none"/>
          <w:shd w:val="clear" w:color="auto" w:fill="FFFFFF"/>
          <w:lang w:val="en-US" w:eastAsia="zh-CN"/>
        </w:rPr>
        <w:t>三</w:t>
      </w:r>
      <w:r>
        <w:rPr>
          <w:rFonts w:hint="eastAsia" w:ascii="仿宋_GB2312" w:hAnsi="仿宋_GB2312" w:eastAsia="仿宋_GB2312" w:cs="仿宋_GB2312"/>
          <w:b/>
          <w:bCs/>
          <w:color w:val="auto"/>
          <w:szCs w:val="21"/>
          <w:highlight w:val="none"/>
          <w:shd w:val="clear" w:color="auto" w:fill="FFFFFF"/>
        </w:rPr>
        <w:t>条</w:t>
      </w:r>
      <w:r>
        <w:rPr>
          <w:rFonts w:hint="eastAsia" w:ascii="仿宋_GB2312" w:hAnsi="仿宋_GB2312" w:eastAsia="仿宋_GB2312" w:cs="仿宋_GB2312"/>
          <w:b/>
          <w:bCs/>
          <w:color w:val="auto"/>
          <w:szCs w:val="21"/>
          <w:highlight w:val="none"/>
          <w:shd w:val="clear" w:color="auto" w:fill="FFFFFF"/>
          <w:lang w:val="en-US" w:eastAsia="zh-CN"/>
        </w:rPr>
        <w:t xml:space="preserve"> </w:t>
      </w:r>
      <w:r>
        <w:rPr>
          <w:rFonts w:hint="eastAsia" w:ascii="仿宋_GB2312" w:hAnsi="仿宋_GB2312" w:eastAsia="仿宋_GB2312" w:cs="仿宋_GB2312"/>
          <w:b/>
          <w:bCs/>
          <w:color w:val="auto"/>
          <w:szCs w:val="21"/>
          <w:highlight w:val="none"/>
          <w:shd w:val="clear" w:color="auto" w:fill="FFFFFF"/>
        </w:rPr>
        <w:t>服务</w:t>
      </w:r>
      <w:r>
        <w:rPr>
          <w:rFonts w:hint="eastAsia" w:ascii="仿宋_GB2312" w:hAnsi="仿宋_GB2312" w:eastAsia="仿宋_GB2312" w:cs="仿宋_GB2312"/>
          <w:b/>
          <w:bCs/>
          <w:color w:val="auto"/>
          <w:szCs w:val="21"/>
          <w:highlight w:val="none"/>
          <w:shd w:val="clear" w:color="auto" w:fill="FFFFFF"/>
          <w:lang w:val="en-US" w:eastAsia="zh-CN"/>
        </w:rPr>
        <w:t>期限</w:t>
      </w:r>
    </w:p>
    <w:p w14:paraId="6F814EC2">
      <w:pPr>
        <w:snapToGrid w:val="0"/>
        <w:spacing w:line="360" w:lineRule="auto"/>
        <w:ind w:firstLine="424" w:firstLineChars="202"/>
        <w:rPr>
          <w:rFonts w:hint="eastAsia" w:ascii="仿宋_GB2312" w:hAnsi="仿宋_GB2312" w:eastAsia="仿宋_GB2312" w:cs="仿宋_GB2312"/>
          <w:color w:val="auto"/>
          <w:szCs w:val="21"/>
          <w:highlight w:val="none"/>
          <w:shd w:val="clear" w:color="auto" w:fill="FFFFFF"/>
        </w:rPr>
      </w:pPr>
      <w:r>
        <w:rPr>
          <w:rFonts w:hint="eastAsia" w:ascii="仿宋_GB2312" w:hAnsi="仿宋_GB2312" w:eastAsia="仿宋_GB2312" w:cs="仿宋_GB2312"/>
          <w:color w:val="auto"/>
          <w:szCs w:val="21"/>
          <w:highlight w:val="none"/>
          <w:shd w:val="clear" w:color="auto" w:fill="FFFFFF"/>
          <w:lang w:val="en-US" w:eastAsia="zh-CN"/>
        </w:rPr>
        <w:t>服务期限自合同签订之日起6个月，前述期限届满或产品物流配送服务费（含税）累计达到450,000.00元时止，终止日期以前述两种情况中先达到的期限为准</w:t>
      </w:r>
      <w:r>
        <w:rPr>
          <w:rFonts w:hint="eastAsia" w:ascii="仿宋_GB2312" w:hAnsi="仿宋_GB2312" w:eastAsia="仿宋_GB2312" w:cs="仿宋_GB2312"/>
          <w:color w:val="auto"/>
          <w:szCs w:val="21"/>
          <w:highlight w:val="none"/>
          <w:shd w:val="clear" w:color="auto" w:fill="FFFFFF"/>
        </w:rPr>
        <w:t>。</w:t>
      </w:r>
    </w:p>
    <w:p w14:paraId="4B0B2320">
      <w:pPr>
        <w:snapToGrid w:val="0"/>
        <w:spacing w:line="360" w:lineRule="auto"/>
        <w:ind w:firstLine="422" w:firstLineChars="200"/>
        <w:rPr>
          <w:rFonts w:ascii="仿宋_GB2312" w:hAnsi="仿宋_GB2312" w:eastAsia="仿宋_GB2312" w:cs="仿宋_GB2312"/>
          <w:b/>
          <w:color w:val="auto"/>
          <w:szCs w:val="21"/>
          <w:highlight w:val="none"/>
        </w:rPr>
      </w:pPr>
      <w:r>
        <w:rPr>
          <w:rFonts w:hint="eastAsia" w:ascii="仿宋_GB2312" w:hAnsi="仿宋_GB2312" w:eastAsia="仿宋_GB2312" w:cs="仿宋_GB2312"/>
          <w:b/>
          <w:bCs/>
          <w:color w:val="auto"/>
          <w:szCs w:val="21"/>
          <w:highlight w:val="none"/>
          <w:shd w:val="clear" w:color="auto" w:fill="FFFFFF"/>
        </w:rPr>
        <w:t>第</w:t>
      </w:r>
      <w:r>
        <w:rPr>
          <w:rFonts w:hint="eastAsia" w:ascii="仿宋_GB2312" w:hAnsi="仿宋_GB2312" w:eastAsia="仿宋_GB2312" w:cs="仿宋_GB2312"/>
          <w:b/>
          <w:bCs/>
          <w:color w:val="auto"/>
          <w:szCs w:val="21"/>
          <w:highlight w:val="none"/>
          <w:shd w:val="clear" w:color="auto" w:fill="FFFFFF"/>
          <w:lang w:val="en-US" w:eastAsia="zh-CN"/>
        </w:rPr>
        <w:t>四</w:t>
      </w:r>
      <w:r>
        <w:rPr>
          <w:rFonts w:hint="eastAsia" w:ascii="仿宋_GB2312" w:hAnsi="仿宋_GB2312" w:eastAsia="仿宋_GB2312" w:cs="仿宋_GB2312"/>
          <w:b/>
          <w:bCs/>
          <w:color w:val="auto"/>
          <w:szCs w:val="21"/>
          <w:highlight w:val="none"/>
          <w:shd w:val="clear" w:color="auto" w:fill="FFFFFF"/>
        </w:rPr>
        <w:t xml:space="preserve">条 </w:t>
      </w:r>
      <w:r>
        <w:rPr>
          <w:rFonts w:hint="eastAsia" w:ascii="仿宋_GB2312" w:hAnsi="仿宋_GB2312" w:eastAsia="仿宋_GB2312" w:cs="仿宋_GB2312"/>
          <w:b/>
          <w:color w:val="auto"/>
          <w:szCs w:val="21"/>
          <w:highlight w:val="none"/>
        </w:rPr>
        <w:t>合同价款及支付方式</w:t>
      </w:r>
    </w:p>
    <w:p w14:paraId="6090B065">
      <w:pPr>
        <w:widowControl/>
        <w:snapToGrid/>
        <w:spacing w:line="240" w:lineRule="auto"/>
        <w:ind w:firstLine="420" w:firstLineChars="200"/>
        <w:jc w:val="left"/>
        <w:rPr>
          <w:rFonts w:hint="eastAsia" w:ascii="仿宋_GB2312" w:hAnsi="仿宋_GB2312" w:eastAsia="仿宋_GB2312" w:cs="仿宋_GB2312"/>
          <w:color w:val="auto"/>
          <w:szCs w:val="21"/>
          <w:highlight w:val="none"/>
          <w:u w:val="none"/>
          <w:shd w:val="clear" w:color="auto" w:fill="FFFFFF"/>
          <w:lang w:val="en-US" w:eastAsia="zh-CN"/>
        </w:rPr>
      </w:pPr>
      <w:r>
        <w:rPr>
          <w:rFonts w:hint="eastAsia" w:ascii="仿宋_GB2312" w:hAnsi="仿宋_GB2312" w:eastAsia="仿宋_GB2312" w:cs="仿宋_GB2312"/>
          <w:color w:val="auto"/>
          <w:szCs w:val="21"/>
          <w:highlight w:val="none"/>
          <w:shd w:val="clear" w:color="auto" w:fill="FFFFFF"/>
          <w:lang w:val="en-US" w:eastAsia="zh-CN"/>
        </w:rPr>
        <w:t>1.成交配送单价</w:t>
      </w:r>
    </w:p>
    <w:tbl>
      <w:tblPr>
        <w:tblStyle w:val="19"/>
        <w:tblW w:w="7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359"/>
        <w:gridCol w:w="2476"/>
        <w:gridCol w:w="2243"/>
      </w:tblGrid>
      <w:tr w14:paraId="17E6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359" w:type="dxa"/>
            <w:shd w:val="clear" w:color="auto" w:fill="auto"/>
            <w:vAlign w:val="center"/>
          </w:tcPr>
          <w:p w14:paraId="2487BE36">
            <w:pPr>
              <w:keepNext w:val="0"/>
              <w:keepLines w:val="0"/>
              <w:widowControl/>
              <w:suppressLineNumbers w:val="0"/>
              <w:spacing w:line="240" w:lineRule="auto"/>
              <w:ind w:firstLine="0" w:firstLineChars="0"/>
              <w:jc w:val="left"/>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w:t>
            </w:r>
            <w:r>
              <w:rPr>
                <w:rStyle w:val="21"/>
                <w:rFonts w:hint="eastAsia" w:ascii="仿宋_GB2312" w:hAnsi="仿宋_GB2312" w:eastAsia="仿宋_GB2312" w:cs="仿宋_GB2312"/>
                <w:color w:val="auto"/>
                <w:sz w:val="21"/>
                <w:szCs w:val="21"/>
                <w:highlight w:val="none"/>
                <w:shd w:val="clear" w:color="auto" w:fill="FFFFFF"/>
                <w:lang w:val="en-US" w:eastAsia="zh-CN" w:bidi="ar"/>
              </w:rPr>
              <w:t>配送件数梯度</w:t>
            </w:r>
          </w:p>
        </w:tc>
        <w:tc>
          <w:tcPr>
            <w:tcW w:w="2476" w:type="dxa"/>
            <w:shd w:val="clear" w:color="auto" w:fill="auto"/>
            <w:vAlign w:val="center"/>
          </w:tcPr>
          <w:p w14:paraId="13679CB1">
            <w:pPr>
              <w:keepNext w:val="0"/>
              <w:keepLines w:val="0"/>
              <w:widowControl/>
              <w:suppressLineNumbers w:val="0"/>
              <w:spacing w:line="240" w:lineRule="auto"/>
              <w:ind w:firstLine="0" w:firstLineChars="0"/>
              <w:jc w:val="left"/>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不含税配送</w:t>
            </w:r>
            <w:r>
              <w:rPr>
                <w:rStyle w:val="21"/>
                <w:rFonts w:hint="eastAsia" w:ascii="仿宋_GB2312" w:hAnsi="仿宋_GB2312" w:eastAsia="仿宋_GB2312" w:cs="仿宋_GB2312"/>
                <w:color w:val="auto"/>
                <w:sz w:val="21"/>
                <w:szCs w:val="21"/>
                <w:highlight w:val="none"/>
                <w:shd w:val="clear" w:color="auto" w:fill="FFFFFF"/>
                <w:lang w:val="en-US" w:eastAsia="zh-CN" w:bidi="ar"/>
              </w:rPr>
              <w:t>单价（元/件）</w:t>
            </w:r>
          </w:p>
        </w:tc>
        <w:tc>
          <w:tcPr>
            <w:tcW w:w="2243" w:type="dxa"/>
            <w:shd w:val="clear" w:color="auto" w:fill="auto"/>
            <w:vAlign w:val="center"/>
          </w:tcPr>
          <w:p w14:paraId="3745168E">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color w:val="auto"/>
                <w:sz w:val="21"/>
                <w:szCs w:val="21"/>
                <w:highlight w:val="none"/>
                <w:shd w:val="clear" w:color="auto" w:fill="FFFFFF"/>
                <w:lang w:val="en-US" w:eastAsia="zh-CN" w:bidi="ar"/>
              </w:rPr>
              <w:t>预估业务占比</w:t>
            </w:r>
          </w:p>
        </w:tc>
      </w:tr>
      <w:tr w14:paraId="0CFF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2359" w:type="dxa"/>
            <w:shd w:val="clear" w:color="auto" w:fill="auto"/>
            <w:vAlign w:val="center"/>
          </w:tcPr>
          <w:p w14:paraId="2B8F0261">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1 - 19件</w:t>
            </w:r>
          </w:p>
        </w:tc>
        <w:tc>
          <w:tcPr>
            <w:tcW w:w="2476" w:type="dxa"/>
            <w:shd w:val="clear" w:color="auto" w:fill="auto"/>
            <w:vAlign w:val="center"/>
          </w:tcPr>
          <w:p w14:paraId="7FE10C8D">
            <w:pPr>
              <w:keepNext w:val="0"/>
              <w:keepLines w:val="0"/>
              <w:widowControl/>
              <w:suppressLineNumbers w:val="0"/>
              <w:spacing w:line="240" w:lineRule="auto"/>
              <w:ind w:firstLine="0" w:firstLineChars="0"/>
              <w:jc w:val="center"/>
              <w:textAlignment w:val="auto"/>
              <w:rPr>
                <w:rStyle w:val="21"/>
                <w:rFonts w:hint="default" w:ascii="仿宋_GB2312" w:hAnsi="仿宋_GB2312" w:eastAsia="仿宋_GB2312" w:cs="仿宋_GB2312"/>
                <w:color w:val="auto"/>
                <w:sz w:val="21"/>
                <w:szCs w:val="21"/>
                <w:highlight w:val="none"/>
                <w:shd w:val="clear" w:color="auto" w:fill="FFFFFF"/>
                <w:lang w:val="en-US" w:eastAsia="zh-CN" w:bidi="ar"/>
              </w:rPr>
            </w:pPr>
            <w:r>
              <w:rPr>
                <w:rStyle w:val="21"/>
                <w:rFonts w:hint="eastAsia" w:ascii="仿宋_GB2312" w:hAnsi="仿宋_GB2312" w:eastAsia="仿宋_GB2312" w:cs="仿宋_GB2312"/>
                <w:color w:val="auto"/>
                <w:sz w:val="21"/>
                <w:szCs w:val="21"/>
                <w:highlight w:val="none"/>
                <w:shd w:val="clear" w:color="auto" w:fill="FFFFFF"/>
                <w:lang w:val="en-US" w:eastAsia="zh-CN" w:bidi="ar"/>
              </w:rPr>
              <w:t xml:space="preserve"> </w:t>
            </w:r>
          </w:p>
        </w:tc>
        <w:tc>
          <w:tcPr>
            <w:tcW w:w="2243" w:type="dxa"/>
            <w:shd w:val="clear" w:color="auto" w:fill="auto"/>
            <w:vAlign w:val="center"/>
          </w:tcPr>
          <w:p w14:paraId="558F25A3">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4%</w:t>
            </w:r>
          </w:p>
        </w:tc>
      </w:tr>
      <w:tr w14:paraId="44DD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359" w:type="dxa"/>
            <w:shd w:val="clear" w:color="auto" w:fill="auto"/>
            <w:vAlign w:val="center"/>
          </w:tcPr>
          <w:p w14:paraId="2B10C067">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20 - 49件</w:t>
            </w:r>
          </w:p>
        </w:tc>
        <w:tc>
          <w:tcPr>
            <w:tcW w:w="2476" w:type="dxa"/>
            <w:shd w:val="clear" w:color="auto" w:fill="auto"/>
            <w:vAlign w:val="center"/>
          </w:tcPr>
          <w:p w14:paraId="1820B8DB">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sz w:val="21"/>
                <w:szCs w:val="21"/>
                <w:highlight w:val="none"/>
                <w:u w:val="none"/>
                <w:shd w:val="clear" w:color="auto" w:fill="FFFFFF"/>
                <w:lang w:val="en-US"/>
              </w:rPr>
            </w:pPr>
            <w:r>
              <w:rPr>
                <w:rStyle w:val="21"/>
                <w:rFonts w:hint="eastAsia" w:ascii="仿宋_GB2312" w:hAnsi="仿宋_GB2312" w:eastAsia="仿宋_GB2312" w:cs="仿宋_GB2312"/>
                <w:color w:val="auto"/>
                <w:sz w:val="21"/>
                <w:szCs w:val="21"/>
                <w:highlight w:val="none"/>
                <w:shd w:val="clear" w:color="auto" w:fill="FFFFFF"/>
                <w:lang w:val="en-US" w:eastAsia="zh-CN" w:bidi="ar"/>
              </w:rPr>
              <w:t xml:space="preserve"> </w:t>
            </w:r>
          </w:p>
        </w:tc>
        <w:tc>
          <w:tcPr>
            <w:tcW w:w="2243" w:type="dxa"/>
            <w:shd w:val="clear" w:color="auto" w:fill="auto"/>
            <w:vAlign w:val="center"/>
          </w:tcPr>
          <w:p w14:paraId="0844781B">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18%</w:t>
            </w:r>
          </w:p>
        </w:tc>
      </w:tr>
      <w:tr w14:paraId="743F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359" w:type="dxa"/>
            <w:shd w:val="clear" w:color="auto" w:fill="auto"/>
            <w:vAlign w:val="center"/>
          </w:tcPr>
          <w:p w14:paraId="269E475F">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50 - 199件</w:t>
            </w:r>
          </w:p>
        </w:tc>
        <w:tc>
          <w:tcPr>
            <w:tcW w:w="2476" w:type="dxa"/>
            <w:shd w:val="clear" w:color="auto" w:fill="auto"/>
            <w:vAlign w:val="center"/>
          </w:tcPr>
          <w:p w14:paraId="4CBE5067">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sz w:val="21"/>
                <w:szCs w:val="21"/>
                <w:highlight w:val="none"/>
                <w:u w:val="none"/>
                <w:shd w:val="clear" w:color="auto" w:fill="FFFFFF"/>
                <w:lang w:val="en-US"/>
              </w:rPr>
            </w:pPr>
            <w:r>
              <w:rPr>
                <w:rStyle w:val="21"/>
                <w:rFonts w:hint="eastAsia" w:ascii="仿宋_GB2312" w:hAnsi="仿宋_GB2312" w:eastAsia="仿宋_GB2312" w:cs="仿宋_GB2312"/>
                <w:color w:val="auto"/>
                <w:sz w:val="21"/>
                <w:szCs w:val="21"/>
                <w:highlight w:val="none"/>
                <w:shd w:val="clear" w:color="auto" w:fill="FFFFFF"/>
                <w:lang w:val="en-US" w:eastAsia="zh-CN" w:bidi="ar"/>
              </w:rPr>
              <w:t xml:space="preserve"> </w:t>
            </w:r>
          </w:p>
        </w:tc>
        <w:tc>
          <w:tcPr>
            <w:tcW w:w="2243" w:type="dxa"/>
            <w:shd w:val="clear" w:color="auto" w:fill="auto"/>
            <w:vAlign w:val="center"/>
          </w:tcPr>
          <w:p w14:paraId="4EA89F55">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73%</w:t>
            </w:r>
          </w:p>
        </w:tc>
      </w:tr>
      <w:tr w14:paraId="7610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2359" w:type="dxa"/>
            <w:shd w:val="clear" w:color="auto" w:fill="auto"/>
            <w:vAlign w:val="center"/>
          </w:tcPr>
          <w:p w14:paraId="51A1F1C4">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200 - 499件</w:t>
            </w:r>
          </w:p>
        </w:tc>
        <w:tc>
          <w:tcPr>
            <w:tcW w:w="2476" w:type="dxa"/>
            <w:shd w:val="clear" w:color="auto" w:fill="auto"/>
            <w:vAlign w:val="center"/>
          </w:tcPr>
          <w:p w14:paraId="727A44BE">
            <w:pPr>
              <w:keepNext w:val="0"/>
              <w:keepLines w:val="0"/>
              <w:widowControl/>
              <w:suppressLineNumbers w:val="0"/>
              <w:spacing w:line="240" w:lineRule="auto"/>
              <w:ind w:firstLine="0" w:firstLineChars="0"/>
              <w:jc w:val="center"/>
              <w:textAlignment w:val="auto"/>
              <w:rPr>
                <w:rStyle w:val="21"/>
                <w:rFonts w:hint="default" w:ascii="仿宋_GB2312" w:hAnsi="仿宋_GB2312" w:eastAsia="仿宋_GB2312" w:cs="仿宋_GB2312"/>
                <w:color w:val="auto"/>
                <w:sz w:val="21"/>
                <w:szCs w:val="21"/>
                <w:highlight w:val="none"/>
                <w:shd w:val="clear" w:color="auto" w:fill="FFFFFF"/>
                <w:lang w:val="en-US" w:eastAsia="zh-CN" w:bidi="ar"/>
              </w:rPr>
            </w:pPr>
            <w:r>
              <w:rPr>
                <w:rStyle w:val="21"/>
                <w:rFonts w:hint="eastAsia" w:ascii="仿宋_GB2312" w:hAnsi="仿宋_GB2312" w:eastAsia="仿宋_GB2312" w:cs="仿宋_GB2312"/>
                <w:color w:val="auto"/>
                <w:sz w:val="21"/>
                <w:szCs w:val="21"/>
                <w:highlight w:val="none"/>
                <w:shd w:val="clear" w:color="auto" w:fill="FFFFFF"/>
                <w:lang w:val="en-US" w:eastAsia="zh-CN" w:bidi="ar"/>
              </w:rPr>
              <w:t xml:space="preserve"> </w:t>
            </w:r>
          </w:p>
        </w:tc>
        <w:tc>
          <w:tcPr>
            <w:tcW w:w="2243" w:type="dxa"/>
            <w:shd w:val="clear" w:color="auto" w:fill="auto"/>
            <w:vAlign w:val="center"/>
          </w:tcPr>
          <w:p w14:paraId="4B7DB505">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3%</w:t>
            </w:r>
          </w:p>
        </w:tc>
      </w:tr>
      <w:tr w14:paraId="0D7D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359" w:type="dxa"/>
            <w:shd w:val="clear" w:color="auto" w:fill="auto"/>
            <w:vAlign w:val="center"/>
          </w:tcPr>
          <w:p w14:paraId="5B1D4049">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500 - 999件</w:t>
            </w:r>
          </w:p>
        </w:tc>
        <w:tc>
          <w:tcPr>
            <w:tcW w:w="2476" w:type="dxa"/>
            <w:shd w:val="clear" w:color="auto" w:fill="auto"/>
            <w:vAlign w:val="center"/>
          </w:tcPr>
          <w:p w14:paraId="675A1CA8">
            <w:pPr>
              <w:keepNext w:val="0"/>
              <w:keepLines w:val="0"/>
              <w:widowControl/>
              <w:suppressLineNumbers w:val="0"/>
              <w:spacing w:line="240" w:lineRule="auto"/>
              <w:ind w:firstLine="0" w:firstLineChars="0"/>
              <w:jc w:val="center"/>
              <w:textAlignment w:val="auto"/>
              <w:rPr>
                <w:rStyle w:val="21"/>
                <w:rFonts w:hint="default" w:ascii="仿宋_GB2312" w:hAnsi="仿宋_GB2312" w:eastAsia="仿宋_GB2312" w:cs="仿宋_GB2312"/>
                <w:color w:val="auto"/>
                <w:sz w:val="21"/>
                <w:szCs w:val="21"/>
                <w:highlight w:val="none"/>
                <w:shd w:val="clear" w:color="auto" w:fill="FFFFFF"/>
                <w:lang w:val="en-US" w:eastAsia="zh-CN" w:bidi="ar"/>
              </w:rPr>
            </w:pPr>
            <w:r>
              <w:rPr>
                <w:rStyle w:val="21"/>
                <w:rFonts w:hint="eastAsia" w:ascii="仿宋_GB2312" w:hAnsi="仿宋_GB2312" w:eastAsia="仿宋_GB2312" w:cs="仿宋_GB2312"/>
                <w:color w:val="auto"/>
                <w:sz w:val="21"/>
                <w:szCs w:val="21"/>
                <w:highlight w:val="none"/>
                <w:shd w:val="clear" w:color="auto" w:fill="FFFFFF"/>
                <w:lang w:val="en-US" w:eastAsia="zh-CN" w:bidi="ar"/>
              </w:rPr>
              <w:t xml:space="preserve"> </w:t>
            </w:r>
          </w:p>
        </w:tc>
        <w:tc>
          <w:tcPr>
            <w:tcW w:w="2243" w:type="dxa"/>
            <w:shd w:val="clear" w:color="auto" w:fill="auto"/>
            <w:vAlign w:val="center"/>
          </w:tcPr>
          <w:p w14:paraId="0AFB87B4">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w:t>
            </w:r>
          </w:p>
        </w:tc>
      </w:tr>
      <w:tr w14:paraId="4825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359" w:type="dxa"/>
            <w:shd w:val="clear" w:color="auto" w:fill="auto"/>
            <w:vAlign w:val="center"/>
          </w:tcPr>
          <w:p w14:paraId="5D9D241F">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1000件及以上</w:t>
            </w:r>
          </w:p>
        </w:tc>
        <w:tc>
          <w:tcPr>
            <w:tcW w:w="2476" w:type="dxa"/>
            <w:shd w:val="clear" w:color="auto" w:fill="auto"/>
            <w:vAlign w:val="center"/>
          </w:tcPr>
          <w:p w14:paraId="7BA25437">
            <w:pPr>
              <w:keepNext w:val="0"/>
              <w:keepLines w:val="0"/>
              <w:widowControl/>
              <w:suppressLineNumbers w:val="0"/>
              <w:spacing w:line="240" w:lineRule="auto"/>
              <w:ind w:firstLine="0" w:firstLineChars="0"/>
              <w:jc w:val="center"/>
              <w:textAlignment w:val="auto"/>
              <w:rPr>
                <w:rStyle w:val="21"/>
                <w:rFonts w:hint="default" w:ascii="仿宋_GB2312" w:hAnsi="仿宋_GB2312" w:eastAsia="仿宋_GB2312" w:cs="仿宋_GB2312"/>
                <w:color w:val="auto"/>
                <w:sz w:val="21"/>
                <w:szCs w:val="21"/>
                <w:highlight w:val="none"/>
                <w:shd w:val="clear" w:color="auto" w:fill="FFFFFF"/>
                <w:lang w:val="en-US" w:eastAsia="zh-CN" w:bidi="ar"/>
              </w:rPr>
            </w:pPr>
            <w:r>
              <w:rPr>
                <w:rStyle w:val="21"/>
                <w:rFonts w:hint="eastAsia" w:ascii="仿宋_GB2312" w:hAnsi="仿宋_GB2312" w:eastAsia="仿宋_GB2312" w:cs="仿宋_GB2312"/>
                <w:color w:val="auto"/>
                <w:sz w:val="21"/>
                <w:szCs w:val="21"/>
                <w:highlight w:val="none"/>
                <w:shd w:val="clear" w:color="auto" w:fill="FFFFFF"/>
                <w:lang w:val="en-US" w:eastAsia="zh-CN" w:bidi="ar"/>
              </w:rPr>
              <w:t xml:space="preserve"> </w:t>
            </w:r>
          </w:p>
        </w:tc>
        <w:tc>
          <w:tcPr>
            <w:tcW w:w="2243" w:type="dxa"/>
            <w:shd w:val="clear" w:color="auto" w:fill="auto"/>
            <w:vAlign w:val="center"/>
          </w:tcPr>
          <w:p w14:paraId="29A8B1CE">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w:t>
            </w:r>
          </w:p>
        </w:tc>
      </w:tr>
    </w:tbl>
    <w:p w14:paraId="0129F04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Cs w:val="21"/>
          <w:highlight w:val="none"/>
          <w:shd w:val="clear" w:color="auto" w:fill="FFFFFF"/>
          <w:lang w:val="en-US" w:eastAsia="zh-CN"/>
        </w:rPr>
      </w:pPr>
      <w:r>
        <w:rPr>
          <w:rFonts w:hint="eastAsia" w:ascii="仿宋_GB2312" w:hAnsi="仿宋_GB2312" w:eastAsia="仿宋_GB2312" w:cs="仿宋_GB2312"/>
          <w:color w:val="auto"/>
          <w:szCs w:val="21"/>
          <w:highlight w:val="none"/>
          <w:lang w:val="en-US" w:eastAsia="zh-CN"/>
        </w:rPr>
        <w:t>本合同项下的物流配送服务费采用阶梯式报价，报价为门到门全包价，包含乙方为完成本合同项下全部义务所发生的一切费用。合同履约过程中，成交配送单价固定不变，不随法律法规政策、最低工资标准上调、劳务成本、运输成本等的变动或其他任何原因而</w:t>
      </w:r>
      <w:r>
        <w:rPr>
          <w:rFonts w:hint="eastAsia" w:ascii="仿宋_GB2312" w:hAnsi="仿宋_GB2312" w:eastAsia="仿宋_GB2312" w:cs="仿宋_GB2312"/>
          <w:color w:val="auto"/>
          <w:szCs w:val="21"/>
          <w:highlight w:val="none"/>
          <w:shd w:val="clear" w:color="auto" w:fill="FFFFFF"/>
          <w:lang w:val="en-US" w:eastAsia="zh-CN"/>
        </w:rPr>
        <w:t>做调整。</w:t>
      </w:r>
    </w:p>
    <w:p w14:paraId="345B3A5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仿宋_GB2312" w:hAnsi="仿宋_GB2312" w:eastAsia="仿宋_GB2312" w:cs="仿宋_GB2312"/>
          <w:color w:val="auto"/>
          <w:szCs w:val="21"/>
          <w:highlight w:val="none"/>
          <w:shd w:val="clear" w:color="auto" w:fill="FFFFFF"/>
          <w:lang w:val="en-US" w:eastAsia="zh-CN"/>
        </w:rPr>
      </w:pPr>
      <w:r>
        <w:rPr>
          <w:rFonts w:hint="eastAsia" w:ascii="仿宋_GB2312" w:hAnsi="仿宋_GB2312" w:eastAsia="仿宋_GB2312" w:cs="仿宋_GB2312"/>
          <w:color w:val="auto"/>
          <w:szCs w:val="21"/>
          <w:highlight w:val="none"/>
          <w:shd w:val="clear" w:color="auto" w:fill="FFFFFF"/>
          <w:lang w:val="en-US" w:eastAsia="zh-CN"/>
        </w:rPr>
        <w:t>2.物流配送范围为：</w:t>
      </w:r>
      <w:r>
        <w:rPr>
          <w:rFonts w:hint="eastAsia" w:ascii="仿宋_GB2312" w:hAnsi="仿宋_GB2312" w:eastAsia="仿宋_GB2312" w:cs="仿宋_GB2312"/>
          <w:color w:val="auto"/>
          <w:kern w:val="2"/>
          <w:sz w:val="21"/>
          <w:szCs w:val="21"/>
          <w:highlight w:val="none"/>
          <w:shd w:val="clear" w:color="auto" w:fill="FFFFFF"/>
          <w:vertAlign w:val="baseline"/>
          <w:lang w:val="en-US" w:eastAsia="zh-CN" w:bidi="ar-SA"/>
        </w:rPr>
        <w:t>东莞市全市范围内。</w:t>
      </w:r>
    </w:p>
    <w:p w14:paraId="145141B4">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仿宋_GB2312" w:hAnsi="仿宋_GB2312" w:eastAsia="仿宋_GB2312" w:cs="仿宋_GB2312"/>
          <w:color w:val="auto"/>
          <w:kern w:val="2"/>
          <w:sz w:val="21"/>
          <w:szCs w:val="21"/>
          <w:highlight w:val="none"/>
          <w:shd w:val="clear" w:color="auto" w:fill="FFFFFF"/>
          <w:lang w:val="en-US" w:eastAsia="zh-CN" w:bidi="ar-SA"/>
        </w:rPr>
        <w:t>服务期限内，如甲方实际需要的物流配送服务未列入上述配送服务范围内，甲方参照当前市场价与乙方协商议定对应服务单价。</w:t>
      </w:r>
    </w:p>
    <w:p w14:paraId="6DD3D07B">
      <w:pPr>
        <w:keepNext w:val="0"/>
        <w:keepLines w:val="0"/>
        <w:pageBreakBefore w:val="0"/>
        <w:kinsoku/>
        <w:wordWrap/>
        <w:overflowPunct/>
        <w:topLinePunct w:val="0"/>
        <w:autoSpaceDE/>
        <w:autoSpaceDN/>
        <w:bidi w:val="0"/>
        <w:adjustRightInd/>
        <w:snapToGrid w:val="0"/>
        <w:spacing w:line="360" w:lineRule="auto"/>
        <w:ind w:firstLine="424" w:firstLineChars="202"/>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依法计得并根据本合同约定确定的销项税额由甲方承担。根据《中华人民共和国增值税暂行条例》（国务院令第691号修订版）及当前税务部门的相关规定，本合同项目的增值税率暂定为</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u w:val="none"/>
          <w:lang w:val="en-US" w:eastAsia="zh-CN"/>
        </w:rPr>
        <w:t>，乙方的增值税销项税额根据本合同约定按实结算。但因乙方未按合同约定按时按质提供服务、未根据合同约定提供合法、完整、准确的请款资料等乙方原因导致销项税额增加的，增加的税额及相应损失均由乙方承担</w:t>
      </w:r>
      <w:r>
        <w:rPr>
          <w:rFonts w:hint="eastAsia" w:ascii="仿宋_GB2312" w:hAnsi="仿宋_GB2312" w:eastAsia="仿宋_GB2312" w:cs="仿宋_GB2312"/>
          <w:color w:val="auto"/>
          <w:szCs w:val="21"/>
          <w:highlight w:val="none"/>
        </w:rPr>
        <w:t>。</w:t>
      </w:r>
    </w:p>
    <w:p w14:paraId="469B3467">
      <w:pPr>
        <w:keepNext w:val="0"/>
        <w:keepLines w:val="0"/>
        <w:pageBreakBefore w:val="0"/>
        <w:kinsoku/>
        <w:wordWrap/>
        <w:overflowPunct/>
        <w:topLinePunct w:val="0"/>
        <w:autoSpaceDE/>
        <w:autoSpaceDN/>
        <w:bidi w:val="0"/>
        <w:adjustRightInd/>
        <w:snapToGrid w:val="0"/>
        <w:spacing w:line="360" w:lineRule="auto"/>
        <w:ind w:firstLine="424" w:firstLineChars="202"/>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4.支付方式：甲方按月进行结算、支付，物流配送服务费根据桶装水、支装水</w:t>
      </w:r>
      <w:r>
        <w:rPr>
          <w:rFonts w:hint="eastAsia" w:ascii="仿宋_GB2312" w:hAnsi="仿宋_GB2312" w:eastAsia="仿宋_GB2312" w:cs="仿宋_GB2312"/>
          <w:color w:val="auto"/>
          <w:szCs w:val="21"/>
          <w:highlight w:val="none"/>
          <w:shd w:val="clear" w:color="auto" w:fill="FFFFFF"/>
          <w:lang w:val="en-US" w:eastAsia="zh-CN"/>
        </w:rPr>
        <w:t>实际送货数量配送结算，配送服务费用=（桶装水实际送货数量×不含税配送单价+支装水实际送货数量×不含税配送单价）×(1+增值税率），实际送货数量以双方确认为准。</w:t>
      </w:r>
      <w:r>
        <w:rPr>
          <w:rFonts w:hint="eastAsia" w:ascii="仿宋_GB2312" w:hAnsi="仿宋_GB2312" w:eastAsia="仿宋_GB2312" w:cs="仿宋_GB2312"/>
          <w:color w:val="auto"/>
          <w:szCs w:val="21"/>
          <w:highlight w:val="none"/>
          <w:lang w:val="en-US" w:eastAsia="zh-CN"/>
        </w:rPr>
        <w:t>乙方于次月提交上月物流配送服务请款报告和合法、有效、等额的</w:t>
      </w:r>
      <w:r>
        <w:rPr>
          <w:rFonts w:hint="eastAsia" w:ascii="仿宋_GB2312" w:hAnsi="仿宋_GB2312" w:eastAsia="仿宋_GB2312" w:cs="仿宋_GB2312"/>
          <w:color w:val="auto"/>
          <w:szCs w:val="21"/>
          <w:highlight w:val="none"/>
          <w:u w:val="single"/>
          <w:lang w:val="en-US" w:eastAsia="zh-CN"/>
        </w:rPr>
        <w:t>增值税专用发票</w:t>
      </w:r>
      <w:r>
        <w:rPr>
          <w:rFonts w:hint="eastAsia" w:ascii="仿宋_GB2312" w:hAnsi="仿宋_GB2312" w:eastAsia="仿宋_GB2312" w:cs="仿宋_GB2312"/>
          <w:color w:val="auto"/>
          <w:szCs w:val="21"/>
          <w:highlight w:val="none"/>
          <w:lang w:val="en-US" w:eastAsia="zh-CN"/>
        </w:rPr>
        <w:t>，甲方在收到前述材料并确认无误后15个工作日内，向乙方支付上月配送服务费的【100%】及对应税额。</w:t>
      </w:r>
    </w:p>
    <w:p w14:paraId="0FBBF48F">
      <w:pPr>
        <w:snapToGrid w:val="0"/>
        <w:spacing w:line="360" w:lineRule="auto"/>
        <w:ind w:firstLine="424" w:firstLineChars="202"/>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如甲、乙双方对于实际送货数量认定不一致的，甲方可先行支付双方认可的部分款项，尚未认可的部分待双方再次确认后处理，甲方并不因此承担任何逾期付款的违约责任。</w:t>
      </w:r>
    </w:p>
    <w:p w14:paraId="406F8D44">
      <w:pPr>
        <w:snapToGrid w:val="0"/>
        <w:spacing w:line="360" w:lineRule="auto"/>
        <w:ind w:firstLine="424" w:firstLineChars="202"/>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5.不含税配送单价包括了乙方完成应承担合同义务的全部费用，包括但不限于：</w:t>
      </w:r>
    </w:p>
    <w:p w14:paraId="441DD730">
      <w:pPr>
        <w:snapToGrid w:val="0"/>
        <w:spacing w:line="360" w:lineRule="auto"/>
        <w:ind w:firstLine="424" w:firstLineChars="202"/>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物流配送服务范围内所需的人工费（含加班）、车辆使用及燃油费（充电费）、包装水装车卸车的人工或器械作业费、物流配送过路桥费（含高速路费）、提供物流配送服务人员的工资、食宿、保险费（包括物流配送车辆交强险、第三者责任险等商业保险，乙方及其雇员社会保障资金、保险、第三者责任险等）、装卸费、搬运费、上楼等相关服务的费用；</w:t>
      </w:r>
    </w:p>
    <w:p w14:paraId="661FC18A">
      <w:pPr>
        <w:snapToGrid w:val="0"/>
        <w:spacing w:line="360" w:lineRule="auto"/>
        <w:ind w:firstLine="424" w:firstLineChars="202"/>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（2）合理利润、乙方销项税额以外的税费等；</w:t>
      </w:r>
    </w:p>
    <w:p w14:paraId="737A1229">
      <w:pPr>
        <w:snapToGrid w:val="0"/>
        <w:spacing w:line="360" w:lineRule="auto"/>
        <w:ind w:firstLine="424" w:firstLineChars="202"/>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（3）法律法规、商业公认、询价文件规定由乙方承担的其他费用。未经甲方书面同意，乙方（包括但不限于成交人指定的第三方）不得要求甲方另行支付其他任何费用。</w:t>
      </w:r>
    </w:p>
    <w:p w14:paraId="6011A128">
      <w:pPr>
        <w:snapToGrid w:val="0"/>
        <w:spacing w:line="360" w:lineRule="auto"/>
        <w:ind w:firstLine="424" w:firstLineChars="202"/>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.以上款项由</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直接以银行转账形式支付给</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逾期提交请款材料</w:t>
      </w:r>
      <w:r>
        <w:rPr>
          <w:rFonts w:hint="eastAsia" w:ascii="仿宋_GB2312" w:hAnsi="仿宋_GB2312" w:eastAsia="仿宋_GB2312" w:cs="仿宋_GB2312"/>
          <w:color w:val="auto"/>
          <w:szCs w:val="21"/>
          <w:highlight w:val="none"/>
          <w:lang w:val="en-US" w:eastAsia="zh-CN"/>
        </w:rPr>
        <w:t>或提交材料不符合甲方要求的，甲方</w:t>
      </w:r>
      <w:r>
        <w:rPr>
          <w:rFonts w:hint="eastAsia" w:ascii="仿宋_GB2312" w:hAnsi="仿宋_GB2312" w:eastAsia="仿宋_GB2312" w:cs="仿宋_GB2312"/>
          <w:color w:val="auto"/>
          <w:szCs w:val="21"/>
          <w:highlight w:val="none"/>
        </w:rPr>
        <w:t>有权顺延支付相应款项，并不承担逾期付款的违约责任，由于</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提供的发票不符合税法规定，给</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造成的损失由</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承担赔偿责任，</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不得以此</w:t>
      </w:r>
      <w:r>
        <w:rPr>
          <w:rFonts w:hint="eastAsia" w:ascii="仿宋_GB2312" w:hAnsi="仿宋_GB2312" w:eastAsia="仿宋_GB2312" w:cs="仿宋_GB2312"/>
          <w:color w:val="auto"/>
          <w:szCs w:val="21"/>
          <w:highlight w:val="none"/>
          <w:lang w:val="en-US" w:eastAsia="zh-CN"/>
        </w:rPr>
        <w:t>为由</w:t>
      </w:r>
      <w:r>
        <w:rPr>
          <w:rFonts w:hint="eastAsia" w:ascii="仿宋_GB2312" w:hAnsi="仿宋_GB2312" w:eastAsia="仿宋_GB2312" w:cs="仿宋_GB2312"/>
          <w:color w:val="auto"/>
          <w:szCs w:val="21"/>
          <w:highlight w:val="none"/>
        </w:rPr>
        <w:t>拒绝履行合同义务。</w:t>
      </w:r>
    </w:p>
    <w:p w14:paraId="57D85E32">
      <w:pPr>
        <w:snapToGrid w:val="0"/>
        <w:spacing w:line="360" w:lineRule="auto"/>
        <w:ind w:firstLine="424" w:firstLineChars="202"/>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7</w:t>
      </w:r>
      <w:r>
        <w:rPr>
          <w:rFonts w:hint="eastAsia" w:ascii="仿宋_GB2312" w:hAnsi="仿宋_GB2312" w:eastAsia="仿宋_GB2312" w:cs="仿宋_GB2312"/>
          <w:color w:val="auto"/>
          <w:szCs w:val="21"/>
          <w:highlight w:val="none"/>
        </w:rPr>
        <w:t>.乙方收款账户信息</w:t>
      </w:r>
    </w:p>
    <w:p w14:paraId="24499CB8">
      <w:pPr>
        <w:snapToGrid w:val="0"/>
        <w:spacing w:line="360" w:lineRule="auto"/>
        <w:ind w:firstLine="420" w:firstLineChars="200"/>
        <w:jc w:val="left"/>
        <w:rPr>
          <w:rFonts w:hint="eastAsia"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户名：</w:t>
      </w:r>
      <w:r>
        <w:rPr>
          <w:rFonts w:hint="eastAsia" w:ascii="仿宋_GB2312" w:hAnsi="仿宋_GB2312" w:eastAsia="仿宋_GB2312" w:cs="仿宋_GB2312"/>
          <w:color w:val="auto"/>
          <w:szCs w:val="21"/>
          <w:highlight w:val="none"/>
          <w:u w:val="single"/>
          <w:lang w:val="en-US" w:eastAsia="zh-CN"/>
        </w:rPr>
        <w:t xml:space="preserve">               </w:t>
      </w:r>
    </w:p>
    <w:p w14:paraId="093A2B94">
      <w:pPr>
        <w:snapToGrid w:val="0"/>
        <w:spacing w:line="360" w:lineRule="auto"/>
        <w:ind w:firstLine="420" w:firstLineChars="200"/>
        <w:jc w:val="left"/>
        <w:rPr>
          <w:rFonts w:hint="default"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开户行：</w:t>
      </w:r>
      <w:r>
        <w:rPr>
          <w:rFonts w:hint="eastAsia" w:ascii="仿宋_GB2312" w:hAnsi="仿宋_GB2312" w:eastAsia="仿宋_GB2312" w:cs="仿宋_GB2312"/>
          <w:color w:val="auto"/>
          <w:szCs w:val="21"/>
          <w:highlight w:val="none"/>
          <w:u w:val="single"/>
          <w:lang w:val="en-US" w:eastAsia="zh-CN"/>
        </w:rPr>
        <w:t xml:space="preserve">                       </w:t>
      </w:r>
    </w:p>
    <w:p w14:paraId="5D19C7BC">
      <w:pPr>
        <w:snapToGrid w:val="0"/>
        <w:spacing w:line="360" w:lineRule="auto"/>
        <w:ind w:firstLine="420" w:firstLineChars="200"/>
        <w:jc w:val="left"/>
        <w:rPr>
          <w:rFonts w:hint="default"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账号：</w:t>
      </w:r>
      <w:r>
        <w:rPr>
          <w:rFonts w:hint="eastAsia" w:ascii="仿宋_GB2312" w:hAnsi="仿宋_GB2312" w:eastAsia="仿宋_GB2312" w:cs="仿宋_GB2312"/>
          <w:color w:val="auto"/>
          <w:szCs w:val="21"/>
          <w:highlight w:val="none"/>
          <w:u w:val="single"/>
          <w:lang w:val="en-US" w:eastAsia="zh-CN"/>
        </w:rPr>
        <w:t xml:space="preserve">                     </w:t>
      </w:r>
    </w:p>
    <w:p w14:paraId="4B308515">
      <w:pPr>
        <w:keepNext/>
        <w:keepLines/>
        <w:adjustRightInd w:val="0"/>
        <w:snapToGrid w:val="0"/>
        <w:spacing w:line="360" w:lineRule="auto"/>
        <w:ind w:firstLine="422" w:firstLineChars="200"/>
        <w:outlineLvl w:val="1"/>
        <w:rPr>
          <w:rFonts w:hint="default" w:ascii="仿宋_GB2312" w:hAnsi="仿宋_GB2312" w:eastAsia="仿宋_GB2312" w:cs="仿宋_GB2312"/>
          <w:b/>
          <w:bCs/>
          <w:color w:val="auto"/>
          <w:szCs w:val="21"/>
          <w:highlight w:val="none"/>
          <w:shd w:val="clear" w:color="auto" w:fill="FFFFFF"/>
          <w:lang w:val="en-US" w:eastAsia="zh-CN"/>
        </w:rPr>
      </w:pPr>
      <w:r>
        <w:rPr>
          <w:rFonts w:hint="eastAsia" w:ascii="仿宋_GB2312" w:hAnsi="仿宋_GB2312" w:eastAsia="仿宋_GB2312" w:cs="仿宋_GB2312"/>
          <w:b/>
          <w:bCs/>
          <w:color w:val="auto"/>
          <w:szCs w:val="21"/>
          <w:highlight w:val="none"/>
          <w:shd w:val="clear" w:color="auto" w:fill="FFFFFF"/>
        </w:rPr>
        <w:t>第</w:t>
      </w:r>
      <w:r>
        <w:rPr>
          <w:rFonts w:hint="eastAsia" w:ascii="仿宋_GB2312" w:hAnsi="仿宋_GB2312" w:eastAsia="仿宋_GB2312" w:cs="仿宋_GB2312"/>
          <w:b/>
          <w:bCs/>
          <w:color w:val="auto"/>
          <w:szCs w:val="21"/>
          <w:highlight w:val="none"/>
          <w:shd w:val="clear" w:color="auto" w:fill="FFFFFF"/>
          <w:lang w:val="en-US" w:eastAsia="zh-CN"/>
        </w:rPr>
        <w:t>五</w:t>
      </w:r>
      <w:r>
        <w:rPr>
          <w:rFonts w:hint="eastAsia" w:ascii="仿宋_GB2312" w:hAnsi="仿宋_GB2312" w:eastAsia="仿宋_GB2312" w:cs="仿宋_GB2312"/>
          <w:b/>
          <w:bCs/>
          <w:color w:val="auto"/>
          <w:szCs w:val="21"/>
          <w:highlight w:val="none"/>
          <w:shd w:val="clear" w:color="auto" w:fill="FFFFFF"/>
        </w:rPr>
        <w:t xml:space="preserve">条 </w:t>
      </w:r>
      <w:r>
        <w:rPr>
          <w:rFonts w:hint="eastAsia" w:ascii="仿宋_GB2312" w:hAnsi="仿宋_GB2312" w:eastAsia="仿宋_GB2312" w:cs="仿宋_GB2312"/>
          <w:b/>
          <w:bCs/>
          <w:color w:val="auto"/>
          <w:szCs w:val="21"/>
          <w:highlight w:val="none"/>
          <w:shd w:val="clear" w:color="auto" w:fill="FFFFFF"/>
          <w:lang w:val="en-US" w:eastAsia="zh-CN"/>
        </w:rPr>
        <w:t>服务要求及权利义务</w:t>
      </w:r>
    </w:p>
    <w:p w14:paraId="421F8095">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乙方物流司机须具备相应的货车驾照，车辆需为总质量4500KG以下的全关闭厢式货车，根据《中华人民共和国道路运输条例》的规定，乙方如使用总质量4500KG以上的货车进行配送，需取得道路运输经营许可证及车辆营运证，否则因违反《中华人民共和国道路运输条例》的规定产生的一切后果均由乙方承担。乙方日配送能力要求支装水不低于500件，桶装水不低于500桶。车辆数量由乙方自行配置。</w:t>
      </w:r>
    </w:p>
    <w:p w14:paraId="3CE921C2">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2.乙方根据甲方的订单及派车要求，派驻物流司机或搬运工到指定位置负责完成包装水产品装车的工作。核对包装水装车数量，并由乙方司机或搬运工在甲方开出的《出库通知单》提货人一栏签名（要求字迹清楚，签全名）。在装车完成后，由甲方仓管员核对数量后签字确认。</w:t>
      </w:r>
    </w:p>
    <w:p w14:paraId="39AAC4FA">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乙方也可以凭甲方开出的《预提单》，安排物流司机或搬运工到甲方指定仓库对货品进行预提，运输至乙方物流仓库暂存。直到乙方收到甲方的配送订单任务后，优先从预提单中的库存中出库配送。暂存期间货物所有权归属甲方，乙方不收取任何暂存费用。合同解除时，乙方需无偿将预提的剩余货物从乙方物流仓库运送回甲方指定仓库。</w:t>
      </w:r>
    </w:p>
    <w:p w14:paraId="32DBD38B">
      <w:pPr>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3.到达收货地点后，乙方物流司机或搬运工自行负责卸货的工作，并按甲方客户要求摆放至指定位置。若甲方客户存在1个或以上存放点，或者需要送货上楼的情况，乙方均应无偿送达。</w:t>
      </w:r>
    </w:p>
    <w:p w14:paraId="64D7DB59">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4.乙方装卸货物时对产品要轻拿轻放、摆放整齐，如有损坏按照销售价赔偿。物流配送途中货物整齐牢固，关好车门，不超高超宽超重，以免货物撒漏破损，要保证物流配送全过程安全。</w:t>
      </w:r>
    </w:p>
    <w:p w14:paraId="3BBC006C">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5.乙方在服务中应注意维护甲方的企业形象、名誉。乙方应督促物流司机或搬运工禁止穿拖鞋上班、衣着要整齐、文明做事、礼貌待人、不得以任何原因与收货人产生争执，不得以任何理由向甲方客户索取物资，不得透露甲方物流配送产品的价格、数量等任何信息，否则甲方有权要求乙方更换司机、搬运工，并追究乙方的违约责任。</w:t>
      </w:r>
    </w:p>
    <w:p w14:paraId="0753B0E4">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6.乙方在当天15:00前接到的物流配送任务需当天全部配送完成，15：00后的物流配送任务需次日全部配送完成（特殊情况经甲方书面同意的除外），甲方有权对乙方承运的在途货物进行跟踪。没有甲方书面同意的情况下，乙方不能把甲方客户的库存产品退回甲方，否则甲方有权在乙方的物流配送服务费中直接扣除退回产品的出厂价。</w:t>
      </w:r>
    </w:p>
    <w:p w14:paraId="41A062AF">
      <w:pPr>
        <w:pStyle w:val="26"/>
        <w:rPr>
          <w:rFonts w:hint="default"/>
          <w:highlight w:val="none"/>
          <w:lang w:val="en-US" w:eastAsia="zh-CN"/>
        </w:rPr>
      </w:pPr>
      <w:r>
        <w:rPr>
          <w:rFonts w:hint="eastAsia" w:ascii="仿宋_GB2312" w:hAnsi="仿宋_GB2312" w:eastAsia="仿宋_GB2312" w:cs="仿宋_GB2312"/>
          <w:color w:val="auto"/>
          <w:szCs w:val="21"/>
          <w:highlight w:val="none"/>
          <w:lang w:val="en-US" w:eastAsia="zh-CN"/>
        </w:rPr>
        <w:t xml:space="preserve">    7.乙方应在国家法定节假日（包括但不限于春节、国庆节等）及客户指定的特殊日期期间，提前制定值班人员安排表，确保每日有足够人员值班。乙方应维持与平日相同的配送时效及覆盖范围，不得以节假日为由拒绝或延迟配送服务。</w:t>
      </w:r>
    </w:p>
    <w:p w14:paraId="1ED20EA8">
      <w:pPr>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8.乙方必须按当天派单的顺序来完成当天的配送订单，不得故意不按时按点配送或因未完成当天的配送订单而造成客户投诉。如遇天气恶劣等原因确需推迟发车日期的，应在事先取得甲方同意的情况下，方可延迟一天配送订单。</w:t>
      </w:r>
    </w:p>
    <w:p w14:paraId="6969306E">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9.乙方须提供符合国家安全运输要求的运输工具，提供的运输车辆须证照及车辆保险等手续齐全。同时，乙方自愿承担整个运输过程的货物保险。自包装水完成出库后，货物毁损、灭失的风险由乙方承担。</w:t>
      </w:r>
    </w:p>
    <w:p w14:paraId="270252F9">
      <w:pPr>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10</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乙方在运输及装卸货过程中车辆发生交通事故、车辆故障、自燃、人员伤亡等意外情况，由乙方自行承担所有责任。在运输及装卸货过程中或货物预提暂存至乙方仓库中，由于乙方故意或重大过失造成甲方货物的损坏、丢失、被盗、被扣等损失的，均由乙方按发生损失时甲方的货物零售价进行赔偿</w:t>
      </w:r>
      <w:r>
        <w:rPr>
          <w:rFonts w:hint="eastAsia" w:ascii="仿宋_GB2312" w:hAnsi="仿宋_GB2312" w:eastAsia="仿宋_GB2312" w:cs="仿宋_GB2312"/>
          <w:color w:val="auto"/>
          <w:szCs w:val="21"/>
          <w:highlight w:val="none"/>
        </w:rPr>
        <w:t>。</w:t>
      </w:r>
    </w:p>
    <w:p w14:paraId="0D085DCF">
      <w:pPr>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11</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乙方如将货物错运地点或收货人，应立即无偿运至甲方指定的到货地点或收货人</w:t>
      </w:r>
      <w:r>
        <w:rPr>
          <w:rFonts w:hint="eastAsia" w:ascii="仿宋_GB2312" w:hAnsi="仿宋_GB2312" w:eastAsia="仿宋_GB2312" w:cs="仿宋_GB2312"/>
          <w:color w:val="auto"/>
          <w:szCs w:val="21"/>
          <w:highlight w:val="none"/>
        </w:rPr>
        <w:t>。</w:t>
      </w:r>
    </w:p>
    <w:p w14:paraId="2B487678">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12.乙方在运输、装卸过程中发现或客户反映产品存在缺陷包括不限于漏水、收缩膜断裂、外包箱膜损坏，应免费运回给甲方。</w:t>
      </w:r>
    </w:p>
    <w:p w14:paraId="2FB6841F">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13.乙方应向甲方提供公司资质证照、运输车辆证照及其保险证明、司机证照及身份证、搬运人员身份证复印件（均需加盖乙方公章）等资质材料备案，合同履行期间前述证件、车辆、人员进行调整的，调整前向甲方更新报送备案材料。</w:t>
      </w:r>
    </w:p>
    <w:p w14:paraId="7535673F">
      <w:pPr>
        <w:keepNext/>
        <w:keepLines/>
        <w:adjustRightInd w:val="0"/>
        <w:snapToGrid w:val="0"/>
        <w:spacing w:line="360" w:lineRule="auto"/>
        <w:ind w:firstLine="422" w:firstLineChars="200"/>
        <w:outlineLvl w:val="1"/>
        <w:rPr>
          <w:rFonts w:ascii="仿宋_GB2312" w:hAnsi="仿宋_GB2312" w:eastAsia="仿宋_GB2312" w:cs="仿宋_GB2312"/>
          <w:b/>
          <w:bCs/>
          <w:color w:val="auto"/>
          <w:szCs w:val="21"/>
          <w:highlight w:val="none"/>
          <w:shd w:val="clear" w:color="auto" w:fill="FFFFFF"/>
        </w:rPr>
      </w:pPr>
      <w:r>
        <w:rPr>
          <w:rFonts w:hint="eastAsia" w:ascii="仿宋_GB2312" w:hAnsi="仿宋_GB2312" w:eastAsia="仿宋_GB2312" w:cs="仿宋_GB2312"/>
          <w:b/>
          <w:bCs/>
          <w:color w:val="auto"/>
          <w:szCs w:val="21"/>
          <w:highlight w:val="none"/>
          <w:shd w:val="clear" w:color="auto" w:fill="FFFFFF"/>
        </w:rPr>
        <w:t>第</w:t>
      </w:r>
      <w:r>
        <w:rPr>
          <w:rFonts w:hint="eastAsia" w:ascii="仿宋_GB2312" w:hAnsi="仿宋_GB2312" w:eastAsia="仿宋_GB2312" w:cs="仿宋_GB2312"/>
          <w:b/>
          <w:bCs/>
          <w:color w:val="auto"/>
          <w:szCs w:val="21"/>
          <w:highlight w:val="none"/>
          <w:shd w:val="clear" w:color="auto" w:fill="FFFFFF"/>
          <w:lang w:val="en-US" w:eastAsia="zh-CN"/>
        </w:rPr>
        <w:t>六</w:t>
      </w:r>
      <w:r>
        <w:rPr>
          <w:rFonts w:hint="eastAsia" w:ascii="仿宋_GB2312" w:hAnsi="仿宋_GB2312" w:eastAsia="仿宋_GB2312" w:cs="仿宋_GB2312"/>
          <w:b/>
          <w:bCs/>
          <w:color w:val="auto"/>
          <w:szCs w:val="21"/>
          <w:highlight w:val="none"/>
          <w:shd w:val="clear" w:color="auto" w:fill="FFFFFF"/>
        </w:rPr>
        <w:t>条 违约责任</w:t>
      </w:r>
    </w:p>
    <w:p w14:paraId="456CB2BE">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乙方收到甲方的取派件任务通知后，未按甲方要求提货、派送的，自甲方的取派件任务通知之日起超过两个工作日，乙方应按照对应取派件任务配送费用（含税）的50%向甲方支付违约金；超过三个工作日，甲方有权解除合同，乙方应按照对应取派件任务配送费用（含税）的100%向甲方支付违约金</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如因此造成客户投诉及甲方损失的，乙方还应向甲方承担赔偿责任。</w:t>
      </w:r>
    </w:p>
    <w:p w14:paraId="6D62FAB9">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乙方应对其从甲方收到货物后至货物送达收货人整个过程中的货物安全、完整负责。在配送过程中，若发生货物损坏（包括但不限于漏水、收缩膜断裂、外包箱膜损坏等）或丢失的情况，乙方应按照货物的市场价值向甲方进行赔偿，甲方不予支付该货物的配送费用，同时，乙方应负责及时补货，确保客户能够按时收到足额的货物，补货配送费用由乙方承担。若因货物损坏或丢失导致甲方对客户承担违约责任，乙方应一并赔偿甲方因此遭受的全部损失（包括但不限于律师费、差旅费、鉴定费、公证费等）。</w:t>
      </w:r>
    </w:p>
    <w:p w14:paraId="78514275">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3.若乙方将包装饮用水送错收货人或送错货物规格、数量等，甲方不予支付该货物的配送服务费用，乙方应负责立即无偿运至正确的收货人或纠正货物规格、数量，并承担因此产生的配送服务费用（包括更换货物、补齐货物的配送服务费用）。同时，乙方应按照当次订单金额的10%向甲方支付违约金。若因配送错误给甲方造成客户投诉、索赔等损失，乙方应赔偿甲方因此遭受的全部损失。</w:t>
      </w:r>
    </w:p>
    <w:p w14:paraId="1D0D2CEA">
      <w:pPr>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因乙方不能按甲方客户要求返回签回单等单证，造成的有关款项无法收回或第三方要求甲方赔偿损失的或给甲方造成其他损失的，甲方因此受到的损失由乙方承担（包括但不限于甲方未能收回的款项、律师费、诉讼费、仲裁费、调查取证费等），同时乙方应按照500元/次的标准向甲方支付违约金。如乙方送货后客户签收签名不符合规范要求导致货款纠纷或损失的，乙方应当承担赔偿责任（包括但不限于甲方未能收回的款项、律师费、诉讼费、仲裁费、调查取证费等），同时乙方应按照200元/次的标准向甲方支付违约金</w:t>
      </w:r>
      <w:r>
        <w:rPr>
          <w:rFonts w:hint="eastAsia" w:ascii="仿宋_GB2312" w:hAnsi="仿宋_GB2312" w:eastAsia="仿宋_GB2312" w:cs="仿宋_GB2312"/>
          <w:color w:val="auto"/>
          <w:szCs w:val="21"/>
          <w:highlight w:val="none"/>
        </w:rPr>
        <w:t>。</w:t>
      </w:r>
    </w:p>
    <w:p w14:paraId="57E5B0ED">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5</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若甲方收到客户关于乙方配送人员服务态度恶劣的有效投诉，乙方需向甲方按100元/次的标准支付违约金，并应立即对涉事人员进行批评教育或更换。</w:t>
      </w:r>
    </w:p>
    <w:p w14:paraId="3CC3CE8A">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6.乙方的配送人员在提货、运输、交付过程中，若出现违反甲方仓库管理规定、交通法规或其他相关规定的行为，乙方需承担因此产生的全部法律责任和经济赔偿责任。如因违规操作给甲方造成损失，乙方应全额赔偿甲方。</w:t>
      </w:r>
    </w:p>
    <w:p w14:paraId="72C87BEE">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7.乙方应按照甲方要求及时反馈配送进度、货物交付情况等信息。若未按时反馈或反馈信息不准确，乙方应按照100元/次的标准向甲方支付违约金。若因信息反馈问题导致甲方决策失误或对客户服务不到位，乙方需承担甲方因此遭受的全部损失。</w:t>
      </w:r>
    </w:p>
    <w:p w14:paraId="1CEFB19E">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8.若乙方提供的物流车辆不符合合同约定的要求，或乙方安排的驾驶人员不具备相应资质，乙方车辆和人员因违反《中华人民共和国道路运输条例》等法律、法规产生的一切后果均由乙方承担，同时甲方有权要求乙方立即整改。若因车辆或人员问题导致发生安全事故或其他不良后果，乙方应承担全部法律责任和经济赔偿责任。</w:t>
      </w:r>
    </w:p>
    <w:p w14:paraId="57F11E92">
      <w:pPr>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9</w:t>
      </w:r>
      <w:r>
        <w:rPr>
          <w:rFonts w:hint="eastAsia" w:ascii="仿宋_GB2312" w:hAnsi="仿宋_GB2312" w:eastAsia="仿宋_GB2312" w:cs="仿宋_GB2312"/>
          <w:color w:val="auto"/>
          <w:szCs w:val="21"/>
          <w:highlight w:val="none"/>
        </w:rPr>
        <w:t>.在合同履行期间，因</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违约而产生的违约金、赔偿、罚款或其他应付费用等款项，</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有权直接从未付</w:t>
      </w:r>
      <w:r>
        <w:rPr>
          <w:rFonts w:hint="eastAsia" w:ascii="仿宋_GB2312" w:hAnsi="仿宋_GB2312" w:eastAsia="仿宋_GB2312" w:cs="仿宋_GB2312"/>
          <w:color w:val="auto"/>
          <w:szCs w:val="21"/>
          <w:highlight w:val="none"/>
          <w:lang w:val="en-US" w:eastAsia="zh-CN"/>
        </w:rPr>
        <w:t>物流配送服务费</w:t>
      </w:r>
      <w:r>
        <w:rPr>
          <w:rFonts w:hint="eastAsia" w:ascii="仿宋_GB2312" w:hAnsi="仿宋_GB2312" w:eastAsia="仿宋_GB2312" w:cs="仿宋_GB2312"/>
          <w:color w:val="auto"/>
          <w:szCs w:val="21"/>
          <w:highlight w:val="none"/>
        </w:rPr>
        <w:t>中直接扣除。</w:t>
      </w:r>
    </w:p>
    <w:p w14:paraId="1999B20B">
      <w:pPr>
        <w:pStyle w:val="2"/>
        <w:ind w:firstLine="422" w:firstLineChars="200"/>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第七条 不可抗力</w:t>
      </w:r>
    </w:p>
    <w:p w14:paraId="194F97D0">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本合同项下不可抗力是指战争、动乱、瘟疫、洪水、地震或其他灾害，以及其他不可预见、不可防止并不能避免或克服的事件。</w:t>
      </w:r>
    </w:p>
    <w:p w14:paraId="7B7737C9">
      <w:pPr>
        <w:widowControl/>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任何一方因不可抗力引起的履行延迟或履行不能的，不需承担违约责任。但受不可抗力影响的一方应尽快通知另一方，并在不可抗力事件发生后7日内，提供</w:t>
      </w:r>
      <w:r>
        <w:rPr>
          <w:rFonts w:hint="eastAsia" w:ascii="仿宋_GB2312" w:hAnsi="仿宋_GB2312" w:eastAsia="仿宋_GB2312" w:cs="仿宋_GB2312"/>
          <w:color w:val="auto"/>
          <w:szCs w:val="21"/>
          <w:highlight w:val="none"/>
          <w:lang w:val="en-US" w:eastAsia="zh-CN"/>
        </w:rPr>
        <w:t>相关</w:t>
      </w:r>
      <w:r>
        <w:rPr>
          <w:rFonts w:hint="eastAsia" w:ascii="仿宋_GB2312" w:hAnsi="仿宋_GB2312" w:eastAsia="仿宋_GB2312" w:cs="仿宋_GB2312"/>
          <w:color w:val="auto"/>
          <w:szCs w:val="21"/>
          <w:highlight w:val="none"/>
        </w:rPr>
        <w:t>证明文件。除非</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书面另有要求，否则</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应尽可能继续履行合同义务，以及寻求合理的方案履行未受不可抗力影响的其它事项。</w:t>
      </w:r>
    </w:p>
    <w:p w14:paraId="600C2325">
      <w:pPr>
        <w:adjustRightInd w:val="0"/>
        <w:snapToGrid w:val="0"/>
        <w:spacing w:line="360" w:lineRule="auto"/>
        <w:ind w:firstLine="422" w:firstLineChars="200"/>
        <w:rPr>
          <w:rFonts w:ascii="仿宋_GB2312" w:hAnsi="仿宋_GB2312" w:eastAsia="仿宋_GB2312" w:cs="仿宋_GB2312"/>
          <w:b/>
          <w:bCs/>
          <w:color w:val="auto"/>
          <w:szCs w:val="21"/>
          <w:highlight w:val="none"/>
          <w:shd w:val="clear" w:color="auto" w:fill="FFFFFF"/>
        </w:rPr>
      </w:pPr>
      <w:r>
        <w:rPr>
          <w:rFonts w:hint="eastAsia" w:ascii="仿宋_GB2312" w:hAnsi="仿宋_GB2312" w:eastAsia="仿宋_GB2312" w:cs="仿宋_GB2312"/>
          <w:b/>
          <w:color w:val="auto"/>
          <w:szCs w:val="21"/>
          <w:highlight w:val="none"/>
        </w:rPr>
        <w:t xml:space="preserve">第八条 </w:t>
      </w:r>
      <w:r>
        <w:rPr>
          <w:rFonts w:hint="eastAsia" w:ascii="仿宋_GB2312" w:hAnsi="仿宋_GB2312" w:eastAsia="仿宋_GB2312" w:cs="仿宋_GB2312"/>
          <w:b/>
          <w:bCs/>
          <w:color w:val="auto"/>
          <w:szCs w:val="21"/>
          <w:highlight w:val="none"/>
          <w:shd w:val="clear" w:color="auto" w:fill="FFFFFF"/>
        </w:rPr>
        <w:t>争议解决</w:t>
      </w:r>
    </w:p>
    <w:p w14:paraId="652B681D">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双方因履行本合同发生的争议，首先应友好协商解决。如友好协商不能解决的，任何一方</w:t>
      </w:r>
      <w:r>
        <w:rPr>
          <w:rFonts w:hint="eastAsia" w:ascii="仿宋_GB2312" w:hAnsi="仿宋_GB2312" w:eastAsia="仿宋_GB2312" w:cs="仿宋_GB2312"/>
          <w:vanish/>
          <w:color w:val="auto"/>
          <w:szCs w:val="21"/>
          <w:highlight w:val="none"/>
        </w:rPr>
        <w:t>一方</w:t>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color w:val="auto"/>
          <w:szCs w:val="21"/>
          <w:highlight w:val="none"/>
        </w:rPr>
        <w:t>均可向</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住所地有管辖权的人民法院提起诉讼解决。</w:t>
      </w:r>
    </w:p>
    <w:p w14:paraId="04C94A20">
      <w:pPr>
        <w:adjustRightInd w:val="0"/>
        <w:snapToGrid w:val="0"/>
        <w:spacing w:line="360" w:lineRule="auto"/>
        <w:ind w:firstLine="422" w:firstLineChars="200"/>
        <w:rPr>
          <w:rFonts w:ascii="仿宋_GB2312" w:hAnsi="仿宋_GB2312" w:eastAsia="仿宋_GB2312" w:cs="仿宋_GB2312"/>
          <w:b/>
          <w:bCs/>
          <w:color w:val="auto"/>
          <w:szCs w:val="21"/>
          <w:highlight w:val="none"/>
          <w:shd w:val="clear" w:color="auto" w:fill="FFFFFF"/>
        </w:rPr>
      </w:pPr>
      <w:r>
        <w:rPr>
          <w:rFonts w:hint="eastAsia" w:ascii="仿宋_GB2312" w:hAnsi="仿宋_GB2312" w:eastAsia="仿宋_GB2312" w:cs="仿宋_GB2312"/>
          <w:b/>
          <w:color w:val="auto"/>
          <w:szCs w:val="21"/>
          <w:highlight w:val="none"/>
        </w:rPr>
        <w:t xml:space="preserve">第九条 </w:t>
      </w:r>
      <w:r>
        <w:rPr>
          <w:rFonts w:hint="eastAsia" w:ascii="仿宋_GB2312" w:hAnsi="仿宋_GB2312" w:eastAsia="仿宋_GB2312" w:cs="仿宋_GB2312"/>
          <w:b/>
          <w:bCs/>
          <w:color w:val="auto"/>
          <w:szCs w:val="21"/>
          <w:highlight w:val="none"/>
          <w:shd w:val="clear" w:color="auto" w:fill="FFFFFF"/>
        </w:rPr>
        <w:t>其他</w:t>
      </w:r>
    </w:p>
    <w:p w14:paraId="20DBB079">
      <w:pPr>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本合同自甲乙双方法定代表人或负责人或委托代理人签字并盖章之日起生效。</w:t>
      </w:r>
    </w:p>
    <w:p w14:paraId="5C876918">
      <w:pPr>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本合同生效后，甲乙双方对本合同中未约定或约定不明的内容可另行签订书面协议进行补充，补充协议与本合同同具法律效力。</w:t>
      </w:r>
    </w:p>
    <w:p w14:paraId="1FD4C50A">
      <w:pPr>
        <w:pStyle w:val="2"/>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如</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有意放弃根据本协议的条款或条件享有的权利，则</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应签署书面的弃权书，并特别指明放弃何条款或条件中的权利，否则不视为弃权。</w:t>
      </w:r>
    </w:p>
    <w:p w14:paraId="5D194D35">
      <w:pPr>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本合同一式</w:t>
      </w:r>
      <w:r>
        <w:rPr>
          <w:rFonts w:hint="eastAsia" w:ascii="仿宋_GB2312" w:hAnsi="仿宋_GB2312" w:eastAsia="仿宋_GB2312" w:cs="仿宋_GB2312"/>
          <w:color w:val="auto"/>
          <w:szCs w:val="21"/>
          <w:highlight w:val="none"/>
          <w:u w:val="single"/>
          <w:lang w:val="en-US" w:eastAsia="zh-CN"/>
        </w:rPr>
        <w:t>伍</w:t>
      </w:r>
      <w:r>
        <w:rPr>
          <w:rFonts w:hint="eastAsia" w:ascii="仿宋_GB2312" w:hAnsi="仿宋_GB2312" w:eastAsia="仿宋_GB2312" w:cs="仿宋_GB2312"/>
          <w:color w:val="auto"/>
          <w:szCs w:val="21"/>
          <w:highlight w:val="none"/>
        </w:rPr>
        <w:t>份，</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执</w:t>
      </w:r>
      <w:r>
        <w:rPr>
          <w:rFonts w:hint="eastAsia" w:ascii="仿宋_GB2312" w:hAnsi="仿宋_GB2312" w:eastAsia="仿宋_GB2312" w:cs="仿宋_GB2312"/>
          <w:color w:val="auto"/>
          <w:szCs w:val="21"/>
          <w:highlight w:val="none"/>
          <w:u w:val="single"/>
          <w:lang w:val="en-US" w:eastAsia="zh-CN"/>
        </w:rPr>
        <w:t>叁</w:t>
      </w:r>
      <w:r>
        <w:rPr>
          <w:rFonts w:hint="eastAsia" w:ascii="仿宋_GB2312" w:hAnsi="仿宋_GB2312" w:eastAsia="仿宋_GB2312" w:cs="仿宋_GB2312"/>
          <w:color w:val="auto"/>
          <w:szCs w:val="21"/>
          <w:highlight w:val="none"/>
        </w:rPr>
        <w:t>份，</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执</w:t>
      </w:r>
      <w:r>
        <w:rPr>
          <w:rFonts w:hint="eastAsia" w:ascii="仿宋_GB2312" w:hAnsi="仿宋_GB2312" w:eastAsia="仿宋_GB2312" w:cs="仿宋_GB2312"/>
          <w:color w:val="auto"/>
          <w:szCs w:val="21"/>
          <w:highlight w:val="none"/>
          <w:u w:val="single"/>
          <w:lang w:val="en-US" w:eastAsia="zh-CN"/>
        </w:rPr>
        <w:t>贰</w:t>
      </w:r>
      <w:r>
        <w:rPr>
          <w:rFonts w:hint="eastAsia" w:ascii="仿宋_GB2312" w:hAnsi="仿宋_GB2312" w:eastAsia="仿宋_GB2312" w:cs="仿宋_GB2312"/>
          <w:color w:val="auto"/>
          <w:szCs w:val="21"/>
          <w:highlight w:val="none"/>
        </w:rPr>
        <w:t>份，均具有同等法律效力。</w:t>
      </w:r>
    </w:p>
    <w:p w14:paraId="6D882596">
      <w:pPr>
        <w:pStyle w:val="2"/>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5.本合同附件是合同组成部分，与本合同同具法律效力，附件与本合同不一致的，以本合同约定为准。</w:t>
      </w:r>
    </w:p>
    <w:p w14:paraId="37E6EFAA">
      <w:pPr>
        <w:tabs>
          <w:tab w:val="left" w:pos="4678"/>
        </w:tabs>
        <w:snapToGrid w:val="0"/>
        <w:spacing w:line="360" w:lineRule="auto"/>
        <w:ind w:firstLine="420" w:firstLineChars="200"/>
        <w:rPr>
          <w:rFonts w:hint="eastAsia" w:ascii="仿宋_GB2312" w:hAnsi="仿宋_GB2312" w:eastAsia="仿宋_GB2312" w:cs="仿宋_GB2312"/>
          <w:color w:val="auto"/>
          <w:szCs w:val="21"/>
          <w:highlight w:val="none"/>
        </w:rPr>
      </w:pPr>
    </w:p>
    <w:p w14:paraId="320291A0">
      <w:pPr>
        <w:tabs>
          <w:tab w:val="left" w:pos="4678"/>
        </w:tabs>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附件1：阳光合作告知函</w:t>
      </w:r>
    </w:p>
    <w:p w14:paraId="36F22840">
      <w:pPr>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附件2：报价文件</w:t>
      </w:r>
    </w:p>
    <w:p w14:paraId="0E821309">
      <w:pPr>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附件3：用户需求书</w:t>
      </w:r>
    </w:p>
    <w:p w14:paraId="29E276ED">
      <w:pPr>
        <w:pStyle w:val="2"/>
        <w:rPr>
          <w:rFonts w:hint="default" w:eastAsia="仿宋_GB2312"/>
          <w:lang w:val="en-US" w:eastAsia="zh-CN"/>
        </w:rPr>
      </w:pPr>
      <w:r>
        <w:rPr>
          <w:rFonts w:hint="eastAsia" w:ascii="仿宋_GB2312" w:hAnsi="仿宋_GB2312" w:eastAsia="仿宋_GB2312" w:cs="仿宋_GB2312"/>
          <w:color w:val="auto"/>
          <w:szCs w:val="21"/>
          <w:highlight w:val="none"/>
          <w:lang w:val="en-US" w:eastAsia="zh-CN"/>
        </w:rPr>
        <w:t xml:space="preserve">    </w:t>
      </w:r>
    </w:p>
    <w:p w14:paraId="18B8BC29">
      <w:pPr>
        <w:snapToGrid w:val="0"/>
        <w:spacing w:line="360" w:lineRule="auto"/>
        <w:rPr>
          <w:rFonts w:eastAsiaTheme="minorEastAsia"/>
          <w:color w:val="auto"/>
          <w:szCs w:val="21"/>
          <w:highlight w:val="none"/>
        </w:rPr>
      </w:pPr>
    </w:p>
    <w:p w14:paraId="5BFA5C8A">
      <w:pPr>
        <w:snapToGrid w:val="0"/>
        <w:spacing w:line="360" w:lineRule="auto"/>
        <w:rPr>
          <w:rFonts w:eastAsiaTheme="minorEastAsia"/>
          <w:color w:val="auto"/>
          <w:szCs w:val="21"/>
          <w:highlight w:val="none"/>
        </w:rPr>
      </w:pPr>
      <w:r>
        <w:rPr>
          <w:rFonts w:eastAsiaTheme="minorEastAsia"/>
          <w:color w:val="auto"/>
          <w:szCs w:val="21"/>
          <w:highlight w:val="none"/>
        </w:rPr>
        <w:t>（以下无正文，为本合同签署栏）</w:t>
      </w:r>
    </w:p>
    <w:tbl>
      <w:tblPr>
        <w:tblStyle w:val="19"/>
        <w:tblW w:w="9974" w:type="dxa"/>
        <w:jc w:val="center"/>
        <w:tblLayout w:type="fixed"/>
        <w:tblCellMar>
          <w:top w:w="0" w:type="dxa"/>
          <w:left w:w="108" w:type="dxa"/>
          <w:bottom w:w="0" w:type="dxa"/>
          <w:right w:w="108" w:type="dxa"/>
        </w:tblCellMar>
      </w:tblPr>
      <w:tblGrid>
        <w:gridCol w:w="4832"/>
        <w:gridCol w:w="247"/>
        <w:gridCol w:w="4895"/>
      </w:tblGrid>
      <w:tr w14:paraId="76E5546C">
        <w:tblPrEx>
          <w:tblCellMar>
            <w:top w:w="0" w:type="dxa"/>
            <w:left w:w="108" w:type="dxa"/>
            <w:bottom w:w="0" w:type="dxa"/>
            <w:right w:w="108" w:type="dxa"/>
          </w:tblCellMar>
        </w:tblPrEx>
        <w:trPr>
          <w:jc w:val="center"/>
        </w:trPr>
        <w:tc>
          <w:tcPr>
            <w:tcW w:w="4832" w:type="dxa"/>
          </w:tcPr>
          <w:p w14:paraId="5A4B902C">
            <w:pPr>
              <w:spacing w:line="360" w:lineRule="auto"/>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（盖章）：</w:t>
            </w:r>
            <w:r>
              <w:rPr>
                <w:rFonts w:hint="eastAsia" w:ascii="仿宋_GB2312" w:hAnsi="仿宋_GB2312" w:eastAsia="仿宋_GB2312" w:cs="仿宋_GB2312"/>
                <w:color w:val="auto"/>
                <w:szCs w:val="21"/>
                <w:highlight w:val="none"/>
                <w:lang w:val="en-US" w:eastAsia="zh-CN"/>
              </w:rPr>
              <w:t>东莞市福地饮用水有限公司</w:t>
            </w:r>
          </w:p>
          <w:p w14:paraId="58EF0981">
            <w:pPr>
              <w:spacing w:line="360" w:lineRule="auto"/>
              <w:rPr>
                <w:rFonts w:ascii="仿宋_GB2312" w:hAnsi="仿宋_GB2312" w:eastAsia="仿宋_GB2312" w:cs="仿宋_GB2312"/>
                <w:color w:val="auto"/>
                <w:szCs w:val="21"/>
                <w:highlight w:val="none"/>
              </w:rPr>
            </w:pPr>
          </w:p>
          <w:p w14:paraId="61DE70C7">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法定代表人</w:t>
            </w:r>
            <w:r>
              <w:rPr>
                <w:rFonts w:hint="eastAsia" w:ascii="仿宋_GB2312" w:hAnsi="仿宋_GB2312" w:eastAsia="仿宋_GB2312" w:cs="仿宋_GB2312"/>
                <w:color w:val="auto"/>
                <w:szCs w:val="21"/>
                <w:highlight w:val="none"/>
                <w:lang w:val="en-US" w:eastAsia="zh-CN"/>
              </w:rPr>
              <w:t>/负责人</w:t>
            </w:r>
            <w:r>
              <w:rPr>
                <w:rFonts w:hint="eastAsia" w:ascii="仿宋_GB2312" w:hAnsi="仿宋_GB2312" w:eastAsia="仿宋_GB2312" w:cs="仿宋_GB2312"/>
                <w:color w:val="auto"/>
                <w:szCs w:val="21"/>
                <w:highlight w:val="none"/>
              </w:rPr>
              <w:t>（或委托代理人）：</w:t>
            </w:r>
          </w:p>
          <w:p w14:paraId="73EFBD4D">
            <w:pPr>
              <w:pStyle w:val="2"/>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（盖章或签字）                                     </w:t>
            </w:r>
          </w:p>
        </w:tc>
        <w:tc>
          <w:tcPr>
            <w:tcW w:w="247" w:type="dxa"/>
          </w:tcPr>
          <w:p w14:paraId="416B3E3B">
            <w:pPr>
              <w:spacing w:line="360" w:lineRule="auto"/>
              <w:rPr>
                <w:rFonts w:ascii="仿宋_GB2312" w:hAnsi="仿宋_GB2312" w:eastAsia="仿宋_GB2312" w:cs="仿宋_GB2312"/>
                <w:color w:val="auto"/>
                <w:szCs w:val="21"/>
                <w:highlight w:val="none"/>
              </w:rPr>
            </w:pPr>
          </w:p>
        </w:tc>
        <w:tc>
          <w:tcPr>
            <w:tcW w:w="4895" w:type="dxa"/>
          </w:tcPr>
          <w:p w14:paraId="3BCE9E64">
            <w:pPr>
              <w:spacing w:line="360" w:lineRule="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（盖章）：</w:t>
            </w:r>
            <w:r>
              <w:rPr>
                <w:rFonts w:hint="eastAsia" w:ascii="仿宋_GB2312" w:hAnsi="仿宋_GB2312" w:eastAsia="仿宋_GB2312" w:cs="仿宋_GB2312"/>
                <w:color w:val="auto"/>
                <w:szCs w:val="21"/>
                <w:highlight w:val="none"/>
                <w:lang w:val="en-US" w:eastAsia="zh-CN"/>
              </w:rPr>
              <w:t xml:space="preserve"> </w:t>
            </w:r>
          </w:p>
          <w:p w14:paraId="73758F15">
            <w:pPr>
              <w:spacing w:line="360" w:lineRule="auto"/>
              <w:rPr>
                <w:rFonts w:ascii="仿宋_GB2312" w:hAnsi="仿宋_GB2312" w:eastAsia="仿宋_GB2312" w:cs="仿宋_GB2312"/>
                <w:color w:val="auto"/>
                <w:szCs w:val="21"/>
                <w:highlight w:val="none"/>
              </w:rPr>
            </w:pPr>
          </w:p>
          <w:p w14:paraId="5AE076AA">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法定代表人/负责人（或委托代理人）：</w:t>
            </w:r>
          </w:p>
          <w:p w14:paraId="596A9FC9">
            <w:pPr>
              <w:pStyle w:val="2"/>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（盖章或签字）</w:t>
            </w:r>
          </w:p>
        </w:tc>
      </w:tr>
      <w:tr w14:paraId="209EA84F">
        <w:tblPrEx>
          <w:tblCellMar>
            <w:top w:w="0" w:type="dxa"/>
            <w:left w:w="108" w:type="dxa"/>
            <w:bottom w:w="0" w:type="dxa"/>
            <w:right w:w="108" w:type="dxa"/>
          </w:tblCellMar>
        </w:tblPrEx>
        <w:trPr>
          <w:trHeight w:val="432" w:hRule="atLeast"/>
          <w:jc w:val="center"/>
        </w:trPr>
        <w:tc>
          <w:tcPr>
            <w:tcW w:w="4832" w:type="dxa"/>
          </w:tcPr>
          <w:p w14:paraId="74228035">
            <w:pPr>
              <w:spacing w:line="360" w:lineRule="auto"/>
              <w:rPr>
                <w:rFonts w:ascii="仿宋_GB2312" w:hAnsi="仿宋_GB2312" w:eastAsia="仿宋_GB2312" w:cs="仿宋_GB2312"/>
                <w:color w:val="auto"/>
                <w:szCs w:val="21"/>
                <w:highlight w:val="none"/>
              </w:rPr>
            </w:pPr>
          </w:p>
          <w:p w14:paraId="0E717885">
            <w:pPr>
              <w:spacing w:line="360" w:lineRule="auto"/>
              <w:rPr>
                <w:rFonts w:ascii="仿宋_GB2312" w:hAnsi="仿宋_GB2312" w:eastAsia="仿宋_GB2312" w:cs="仿宋_GB2312"/>
                <w:color w:val="auto"/>
                <w:szCs w:val="21"/>
                <w:highlight w:val="none"/>
              </w:rPr>
            </w:pPr>
          </w:p>
          <w:p w14:paraId="030A830B">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签订日期：</w:t>
            </w:r>
          </w:p>
        </w:tc>
        <w:tc>
          <w:tcPr>
            <w:tcW w:w="247" w:type="dxa"/>
          </w:tcPr>
          <w:p w14:paraId="5F94215B">
            <w:pPr>
              <w:spacing w:line="360" w:lineRule="auto"/>
              <w:rPr>
                <w:rFonts w:ascii="仿宋_GB2312" w:hAnsi="仿宋_GB2312" w:eastAsia="仿宋_GB2312" w:cs="仿宋_GB2312"/>
                <w:color w:val="auto"/>
                <w:szCs w:val="21"/>
                <w:highlight w:val="none"/>
              </w:rPr>
            </w:pPr>
          </w:p>
        </w:tc>
        <w:tc>
          <w:tcPr>
            <w:tcW w:w="4895" w:type="dxa"/>
          </w:tcPr>
          <w:p w14:paraId="130175DE">
            <w:pPr>
              <w:spacing w:line="360" w:lineRule="auto"/>
              <w:rPr>
                <w:rFonts w:ascii="仿宋_GB2312" w:hAnsi="仿宋_GB2312" w:eastAsia="仿宋_GB2312" w:cs="仿宋_GB2312"/>
                <w:color w:val="auto"/>
                <w:szCs w:val="21"/>
                <w:highlight w:val="none"/>
              </w:rPr>
            </w:pPr>
          </w:p>
        </w:tc>
      </w:tr>
    </w:tbl>
    <w:p w14:paraId="35085D88">
      <w:pPr>
        <w:jc w:val="center"/>
        <w:rPr>
          <w:rFonts w:hint="eastAsia" w:ascii="方正小标宋简体" w:hAnsi="方正小标宋简体" w:eastAsia="方正小标宋简体" w:cs="方正小标宋简体"/>
          <w:b/>
          <w:bCs/>
          <w:color w:val="auto"/>
          <w:sz w:val="44"/>
          <w:szCs w:val="44"/>
          <w:highlight w:val="none"/>
          <w:u w:val="single"/>
        </w:rPr>
      </w:pPr>
    </w:p>
    <w:p w14:paraId="2C1ECDB6">
      <w:pPr>
        <w:pStyle w:val="17"/>
        <w:pageBreakBefore/>
        <w:ind w:firstLine="3120" w:firstLineChars="1036"/>
        <w:jc w:val="both"/>
        <w:rPr>
          <w:rFonts w:hint="eastAsia"/>
          <w:b/>
          <w:bCs/>
          <w:color w:val="auto"/>
          <w:sz w:val="30"/>
          <w:szCs w:val="30"/>
          <w:highlight w:val="none"/>
          <w:shd w:val="clear" w:color="auto" w:fill="FFFFFF"/>
        </w:rPr>
      </w:pPr>
      <w:bookmarkStart w:id="27" w:name="_Toc1352"/>
      <w:r>
        <w:rPr>
          <w:rFonts w:hint="eastAsia" w:ascii="宋体" w:hAnsi="宋体"/>
          <w:color w:val="auto"/>
          <w:sz w:val="30"/>
          <w:szCs w:val="30"/>
          <w:highlight w:val="none"/>
          <w:lang w:val="zh-CN"/>
        </w:rPr>
        <w:t>第五篇 报价文件格式</w:t>
      </w:r>
      <w:bookmarkEnd w:id="27"/>
      <w:bookmarkStart w:id="28" w:name="_Toc50572123"/>
      <w:bookmarkStart w:id="29" w:name="_Toc51333928"/>
    </w:p>
    <w:bookmarkEnd w:id="28"/>
    <w:bookmarkEnd w:id="29"/>
    <w:p w14:paraId="4F903406">
      <w:pPr>
        <w:rPr>
          <w:rFonts w:ascii="Times New Roman" w:hAnsi="Times New Roman" w:eastAsia="宋体"/>
          <w:b/>
          <w:color w:val="000000"/>
          <w:sz w:val="28"/>
          <w:szCs w:val="28"/>
          <w:highlight w:val="none"/>
        </w:rPr>
      </w:pPr>
      <w:bookmarkStart w:id="30" w:name="_Toc34746052"/>
      <w:bookmarkStart w:id="31" w:name="_Toc34745985"/>
      <w:bookmarkStart w:id="32" w:name="_Toc34752515"/>
      <w:bookmarkStart w:id="33" w:name="_Toc34746360"/>
      <w:bookmarkStart w:id="34" w:name="_Toc24461"/>
      <w:r>
        <w:rPr>
          <w:rFonts w:hint="default" w:ascii="Times New Roman" w:hAnsi="Times New Roman" w:eastAsia="宋体"/>
          <w:b/>
          <w:color w:val="000000"/>
          <w:sz w:val="28"/>
          <w:szCs w:val="28"/>
          <w:highlight w:val="none"/>
        </w:rPr>
        <w:t>1</w:t>
      </w:r>
      <w:r>
        <w:rPr>
          <w:rFonts w:hint="eastAsia" w:eastAsia="宋体"/>
          <w:b/>
          <w:color w:val="000000"/>
          <w:sz w:val="28"/>
          <w:szCs w:val="28"/>
          <w:highlight w:val="none"/>
          <w:lang w:eastAsia="zh-CN"/>
        </w:rPr>
        <w:t>.</w:t>
      </w:r>
      <w:r>
        <w:rPr>
          <w:rFonts w:hint="default" w:ascii="Times New Roman" w:hAnsi="Times New Roman" w:eastAsia="宋体"/>
          <w:b/>
          <w:color w:val="000000"/>
          <w:sz w:val="28"/>
          <w:szCs w:val="28"/>
          <w:highlight w:val="none"/>
        </w:rPr>
        <w:t>报价表</w:t>
      </w:r>
      <w:bookmarkEnd w:id="30"/>
      <w:bookmarkEnd w:id="31"/>
      <w:bookmarkEnd w:id="32"/>
      <w:bookmarkEnd w:id="33"/>
      <w:bookmarkEnd w:id="34"/>
    </w:p>
    <w:p w14:paraId="6D027370">
      <w:pPr>
        <w:spacing w:line="360" w:lineRule="auto"/>
        <w:ind w:firstLine="5040" w:firstLineChars="2400"/>
        <w:jc w:val="right"/>
        <w:rPr>
          <w:rFonts w:ascii="宋体" w:hAnsi="宋体"/>
          <w:color w:val="auto"/>
          <w:szCs w:val="21"/>
          <w:highlight w:val="none"/>
          <w:lang w:val="zh-CN"/>
        </w:rPr>
      </w:pPr>
    </w:p>
    <w:tbl>
      <w:tblPr>
        <w:tblStyle w:val="19"/>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2576"/>
        <w:gridCol w:w="3857"/>
        <w:gridCol w:w="1756"/>
      </w:tblGrid>
      <w:tr w14:paraId="712D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50" w:type="dxa"/>
            <w:vAlign w:val="center"/>
          </w:tcPr>
          <w:p w14:paraId="1133AF0F">
            <w:pPr>
              <w:jc w:val="center"/>
              <w:rPr>
                <w:rFonts w:ascii="宋体" w:hAnsi="宋体"/>
                <w:color w:val="auto"/>
                <w:szCs w:val="21"/>
                <w:highlight w:val="none"/>
              </w:rPr>
            </w:pPr>
            <w:r>
              <w:rPr>
                <w:rFonts w:hint="eastAsia" w:ascii="宋体" w:hAnsi="宋体"/>
                <w:color w:val="auto"/>
                <w:szCs w:val="21"/>
                <w:highlight w:val="none"/>
              </w:rPr>
              <w:t>项目名称</w:t>
            </w:r>
          </w:p>
        </w:tc>
        <w:tc>
          <w:tcPr>
            <w:tcW w:w="8189" w:type="dxa"/>
            <w:gridSpan w:val="3"/>
            <w:vAlign w:val="center"/>
          </w:tcPr>
          <w:p w14:paraId="3F766D94">
            <w:pPr>
              <w:jc w:val="center"/>
              <w:rPr>
                <w:rFonts w:hint="eastAsia" w:cs="Calibri" w:asciiTheme="minorEastAsia" w:hAnsiTheme="minorEastAsia"/>
                <w:color w:val="auto"/>
                <w:kern w:val="0"/>
                <w:highlight w:val="none"/>
              </w:rPr>
            </w:pPr>
            <w:r>
              <w:rPr>
                <w:rFonts w:hint="eastAsia" w:cs="Calibri" w:asciiTheme="minorEastAsia" w:hAnsiTheme="minorEastAsia"/>
                <w:color w:val="auto"/>
                <w:kern w:val="0"/>
                <w:highlight w:val="none"/>
              </w:rPr>
              <w:t>东莞市福地饮用水有限公司202</w:t>
            </w:r>
            <w:r>
              <w:rPr>
                <w:rFonts w:hint="eastAsia" w:cs="Calibri" w:asciiTheme="minorEastAsia" w:hAnsiTheme="minorEastAsia"/>
                <w:color w:val="auto"/>
                <w:kern w:val="0"/>
                <w:highlight w:val="none"/>
                <w:lang w:val="en-US" w:eastAsia="zh-CN"/>
              </w:rPr>
              <w:t>6</w:t>
            </w:r>
            <w:r>
              <w:rPr>
                <w:rFonts w:hint="eastAsia" w:cs="Calibri" w:asciiTheme="minorEastAsia" w:hAnsiTheme="minorEastAsia"/>
                <w:color w:val="auto"/>
                <w:kern w:val="0"/>
                <w:highlight w:val="none"/>
              </w:rPr>
              <w:t>年包装水物流配送服务采购项目</w:t>
            </w:r>
          </w:p>
        </w:tc>
      </w:tr>
      <w:tr w14:paraId="2595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550" w:type="dxa"/>
            <w:vMerge w:val="restart"/>
            <w:vAlign w:val="center"/>
          </w:tcPr>
          <w:p w14:paraId="73DC3215">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不含税报价</w:t>
            </w:r>
          </w:p>
          <w:p w14:paraId="2038B3B2">
            <w:pPr>
              <w:jc w:val="center"/>
              <w:rPr>
                <w:rFonts w:hint="default" w:ascii="宋体" w:hAnsi="宋体" w:eastAsia="宋体"/>
                <w:color w:val="auto"/>
                <w:szCs w:val="21"/>
                <w:highlight w:val="none"/>
                <w:lang w:val="en-US" w:eastAsia="zh-CN"/>
              </w:rPr>
            </w:pPr>
            <w:r>
              <w:rPr>
                <w:rFonts w:hint="default" w:ascii="Times New Roman" w:hAnsi="Times New Roman" w:cs="Times New Roman"/>
                <w:color w:val="000000"/>
                <w:sz w:val="24"/>
                <w:szCs w:val="28"/>
                <w:highlight w:val="none"/>
              </w:rPr>
              <w:t>（单位：元）</w:t>
            </w:r>
          </w:p>
        </w:tc>
        <w:tc>
          <w:tcPr>
            <w:tcW w:w="2576" w:type="dxa"/>
            <w:vAlign w:val="center"/>
          </w:tcPr>
          <w:p w14:paraId="2AFA026A">
            <w:pPr>
              <w:pStyle w:val="9"/>
              <w:spacing w:line="240" w:lineRule="exact"/>
              <w:jc w:val="center"/>
              <w:rPr>
                <w:rFonts w:hint="eastAsia" w:hAnsi="Courier New" w:eastAsia="宋体"/>
                <w:color w:val="auto"/>
                <w:szCs w:val="21"/>
                <w:highlight w:val="none"/>
                <w:lang w:val="en-US" w:eastAsia="zh-CN" w:bidi="ar"/>
              </w:rPr>
            </w:pPr>
            <w:r>
              <w:rPr>
                <w:rFonts w:hint="eastAsia" w:ascii="宋体" w:hAnsi="Courier New" w:eastAsia="宋体" w:cs="Times New Roman"/>
                <w:i w:val="0"/>
                <w:iCs w:val="0"/>
                <w:color w:val="auto"/>
                <w:kern w:val="2"/>
                <w:sz w:val="21"/>
                <w:szCs w:val="21"/>
                <w:highlight w:val="none"/>
                <w:u w:val="none"/>
                <w:shd w:val="clear" w:color="auto" w:fill="auto"/>
                <w:lang w:val="en-US" w:eastAsia="zh-CN" w:bidi="ar"/>
              </w:rPr>
              <w:t>​</w:t>
            </w:r>
            <w:r>
              <w:rPr>
                <w:rStyle w:val="21"/>
                <w:rFonts w:hint="eastAsia" w:ascii="宋体" w:hAnsi="Courier New" w:eastAsia="宋体" w:cs="Times New Roman"/>
                <w:color w:val="auto"/>
                <w:sz w:val="21"/>
                <w:szCs w:val="21"/>
                <w:highlight w:val="none"/>
                <w:shd w:val="clear" w:color="auto" w:fill="auto"/>
                <w:lang w:val="en-US" w:eastAsia="zh-CN" w:bidi="ar"/>
              </w:rPr>
              <w:t>配送件数梯度</w:t>
            </w:r>
          </w:p>
        </w:tc>
        <w:tc>
          <w:tcPr>
            <w:tcW w:w="3857" w:type="dxa"/>
            <w:vAlign w:val="center"/>
          </w:tcPr>
          <w:p w14:paraId="02FB828C">
            <w:pPr>
              <w:pStyle w:val="9"/>
              <w:spacing w:line="240" w:lineRule="exact"/>
              <w:jc w:val="center"/>
              <w:rPr>
                <w:rFonts w:hint="eastAsia" w:ascii="宋体" w:hAnsi="Courier New"/>
                <w:color w:val="auto"/>
                <w:szCs w:val="21"/>
                <w:highlight w:val="none"/>
                <w:u w:val="none"/>
                <w:lang w:bidi="ar"/>
              </w:rPr>
            </w:pPr>
            <w:r>
              <w:rPr>
                <w:rFonts w:hint="eastAsia" w:ascii="宋体" w:hAnsi="Courier New" w:eastAsia="宋体" w:cs="Times New Roman"/>
                <w:i w:val="0"/>
                <w:iCs w:val="0"/>
                <w:color w:val="auto"/>
                <w:kern w:val="2"/>
                <w:sz w:val="21"/>
                <w:szCs w:val="21"/>
                <w:highlight w:val="none"/>
                <w:u w:val="none"/>
                <w:shd w:val="clear" w:color="auto" w:fill="auto"/>
                <w:lang w:val="en-US" w:eastAsia="zh-CN" w:bidi="ar"/>
              </w:rPr>
              <w:t>不含税配送</w:t>
            </w:r>
            <w:r>
              <w:rPr>
                <w:rStyle w:val="21"/>
                <w:rFonts w:hint="eastAsia" w:ascii="宋体" w:hAnsi="Courier New" w:eastAsia="宋体" w:cs="Times New Roman"/>
                <w:color w:val="auto"/>
                <w:sz w:val="21"/>
                <w:szCs w:val="21"/>
                <w:highlight w:val="none"/>
                <w:shd w:val="clear" w:color="auto" w:fill="auto"/>
                <w:lang w:val="en-US" w:eastAsia="zh-CN" w:bidi="ar"/>
              </w:rPr>
              <w:t>单价（元/件）</w:t>
            </w:r>
          </w:p>
        </w:tc>
        <w:tc>
          <w:tcPr>
            <w:tcW w:w="1756" w:type="dxa"/>
            <w:vAlign w:val="center"/>
          </w:tcPr>
          <w:p w14:paraId="2E9AB909">
            <w:pPr>
              <w:pStyle w:val="9"/>
              <w:spacing w:line="240" w:lineRule="exact"/>
              <w:jc w:val="center"/>
              <w:rPr>
                <w:rFonts w:hint="eastAsia" w:ascii="宋体" w:hAnsi="Courier New"/>
                <w:color w:val="auto"/>
                <w:szCs w:val="21"/>
                <w:highlight w:val="none"/>
                <w:u w:val="none"/>
                <w:lang w:bidi="ar"/>
              </w:rPr>
            </w:pPr>
            <w:r>
              <w:rPr>
                <w:rFonts w:hint="eastAsia" w:ascii="宋体" w:hAnsi="Courier New" w:eastAsia="宋体" w:cs="Times New Roman"/>
                <w:color w:val="auto"/>
                <w:sz w:val="21"/>
                <w:szCs w:val="21"/>
                <w:highlight w:val="none"/>
                <w:shd w:val="clear" w:color="auto" w:fill="auto"/>
                <w:lang w:val="en-US" w:eastAsia="zh-CN" w:bidi="ar"/>
              </w:rPr>
              <w:t>预估业务占比</w:t>
            </w:r>
          </w:p>
        </w:tc>
      </w:tr>
      <w:tr w14:paraId="7322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50" w:type="dxa"/>
            <w:vMerge w:val="continue"/>
            <w:vAlign w:val="center"/>
          </w:tcPr>
          <w:p w14:paraId="7AD60C6A">
            <w:pPr>
              <w:jc w:val="center"/>
              <w:rPr>
                <w:rFonts w:hint="eastAsia"/>
                <w:color w:val="auto"/>
                <w:szCs w:val="21"/>
                <w:highlight w:val="none"/>
                <w:lang w:val="en-US" w:eastAsia="zh-CN"/>
              </w:rPr>
            </w:pPr>
          </w:p>
        </w:tc>
        <w:tc>
          <w:tcPr>
            <w:tcW w:w="2576" w:type="dxa"/>
            <w:vAlign w:val="center"/>
          </w:tcPr>
          <w:p w14:paraId="6D4CC300">
            <w:pPr>
              <w:pStyle w:val="9"/>
              <w:spacing w:line="360" w:lineRule="auto"/>
              <w:jc w:val="cente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1 - 19件</w:t>
            </w:r>
          </w:p>
        </w:tc>
        <w:tc>
          <w:tcPr>
            <w:tcW w:w="3857" w:type="dxa"/>
            <w:vAlign w:val="center"/>
          </w:tcPr>
          <w:p w14:paraId="611EC0DF">
            <w:pPr>
              <w:pStyle w:val="9"/>
              <w:spacing w:line="240" w:lineRule="exact"/>
              <w:jc w:val="center"/>
              <w:rPr>
                <w:rFonts w:hint="eastAsia" w:ascii="仿宋_GB2312" w:hAnsi="仿宋_GB2312" w:eastAsia="仿宋_GB2312" w:cs="仿宋_GB2312"/>
                <w:color w:val="auto"/>
                <w:kern w:val="2"/>
                <w:sz w:val="21"/>
                <w:szCs w:val="21"/>
                <w:highlight w:val="none"/>
                <w:u w:val="single"/>
                <w:lang w:val="en-US" w:eastAsia="zh-CN" w:bidi="ar-SA"/>
              </w:rPr>
            </w:pPr>
            <w:r>
              <w:rPr>
                <w:rFonts w:hint="eastAsia"/>
                <w:color w:val="auto"/>
                <w:szCs w:val="21"/>
                <w:highlight w:val="none"/>
                <w:lang w:val="en-US" w:eastAsia="zh-CN"/>
              </w:rPr>
              <w:t>不含税配送单价为</w:t>
            </w: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color w:val="auto"/>
                <w:szCs w:val="21"/>
                <w:highlight w:val="none"/>
                <w:lang w:val="en-US" w:eastAsia="zh-CN"/>
              </w:rPr>
              <w:t>元/件。</w:t>
            </w:r>
          </w:p>
        </w:tc>
        <w:tc>
          <w:tcPr>
            <w:tcW w:w="1756" w:type="dxa"/>
            <w:vAlign w:val="center"/>
          </w:tcPr>
          <w:p w14:paraId="22BDD2AF">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4%</w:t>
            </w:r>
          </w:p>
        </w:tc>
      </w:tr>
      <w:tr w14:paraId="7EE2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50" w:type="dxa"/>
            <w:vMerge w:val="continue"/>
            <w:vAlign w:val="center"/>
          </w:tcPr>
          <w:p w14:paraId="78E9CE24">
            <w:pPr>
              <w:jc w:val="center"/>
              <w:rPr>
                <w:rFonts w:hint="eastAsia"/>
                <w:color w:val="auto"/>
                <w:szCs w:val="21"/>
                <w:highlight w:val="none"/>
                <w:lang w:val="en-US" w:eastAsia="zh-CN"/>
              </w:rPr>
            </w:pPr>
          </w:p>
        </w:tc>
        <w:tc>
          <w:tcPr>
            <w:tcW w:w="2576" w:type="dxa"/>
            <w:vAlign w:val="center"/>
          </w:tcPr>
          <w:p w14:paraId="43EF88CC">
            <w:pPr>
              <w:pStyle w:val="9"/>
              <w:spacing w:line="360" w:lineRule="auto"/>
              <w:jc w:val="center"/>
              <w:rPr>
                <w:rFonts w:ascii="Times New Roman" w:hAnsi="Times New Roman"/>
                <w:color w:val="auto"/>
                <w:szCs w:val="21"/>
                <w:highlight w:val="none"/>
                <w:u w:val="single"/>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20 - 49件</w:t>
            </w:r>
          </w:p>
        </w:tc>
        <w:tc>
          <w:tcPr>
            <w:tcW w:w="3857" w:type="dxa"/>
            <w:vAlign w:val="center"/>
          </w:tcPr>
          <w:p w14:paraId="2B6AAEC1">
            <w:pPr>
              <w:pStyle w:val="9"/>
              <w:spacing w:line="240" w:lineRule="exact"/>
              <w:jc w:val="center"/>
              <w:rPr>
                <w:rFonts w:ascii="Times New Roman" w:hAnsi="Times New Roman"/>
                <w:color w:val="auto"/>
                <w:szCs w:val="21"/>
                <w:highlight w:val="none"/>
                <w:u w:val="single"/>
              </w:rPr>
            </w:pPr>
            <w:r>
              <w:rPr>
                <w:rFonts w:hint="eastAsia"/>
                <w:color w:val="auto"/>
                <w:szCs w:val="21"/>
                <w:highlight w:val="none"/>
                <w:lang w:val="en-US" w:eastAsia="zh-CN"/>
              </w:rPr>
              <w:t>不含税配送单价为</w:t>
            </w: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color w:val="auto"/>
                <w:szCs w:val="21"/>
                <w:highlight w:val="none"/>
                <w:lang w:val="en-US" w:eastAsia="zh-CN"/>
              </w:rPr>
              <w:t>元/件。</w:t>
            </w:r>
          </w:p>
        </w:tc>
        <w:tc>
          <w:tcPr>
            <w:tcW w:w="1756" w:type="dxa"/>
            <w:vAlign w:val="center"/>
          </w:tcPr>
          <w:p w14:paraId="54565AE2">
            <w:pPr>
              <w:keepNext w:val="0"/>
              <w:keepLines w:val="0"/>
              <w:widowControl/>
              <w:suppressLineNumbers w:val="0"/>
              <w:spacing w:line="240" w:lineRule="auto"/>
              <w:ind w:firstLine="0" w:firstLineChars="0"/>
              <w:jc w:val="center"/>
              <w:textAlignment w:val="auto"/>
              <w:rPr>
                <w:rFonts w:ascii="Times New Roman" w:hAnsi="Times New Roman"/>
                <w:color w:val="auto"/>
                <w:szCs w:val="21"/>
                <w:highlight w:val="none"/>
                <w:u w:val="single"/>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18%</w:t>
            </w:r>
          </w:p>
        </w:tc>
      </w:tr>
      <w:tr w14:paraId="22FB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50" w:type="dxa"/>
            <w:vMerge w:val="continue"/>
            <w:vAlign w:val="center"/>
          </w:tcPr>
          <w:p w14:paraId="2FF27D66">
            <w:pPr>
              <w:jc w:val="center"/>
              <w:rPr>
                <w:rFonts w:hint="eastAsia"/>
                <w:color w:val="auto"/>
                <w:szCs w:val="21"/>
                <w:highlight w:val="none"/>
                <w:lang w:val="en-US" w:eastAsia="zh-CN"/>
              </w:rPr>
            </w:pPr>
          </w:p>
        </w:tc>
        <w:tc>
          <w:tcPr>
            <w:tcW w:w="2576" w:type="dxa"/>
            <w:vAlign w:val="center"/>
          </w:tcPr>
          <w:p w14:paraId="4F182149">
            <w:pPr>
              <w:pStyle w:val="9"/>
              <w:spacing w:line="360" w:lineRule="auto"/>
              <w:jc w:val="center"/>
              <w:rPr>
                <w:rFonts w:ascii="Times New Roman" w:hAnsi="Times New Roman"/>
                <w:color w:val="auto"/>
                <w:szCs w:val="21"/>
                <w:highlight w:val="none"/>
                <w:u w:val="single"/>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50 - 199件</w:t>
            </w:r>
          </w:p>
        </w:tc>
        <w:tc>
          <w:tcPr>
            <w:tcW w:w="3857" w:type="dxa"/>
            <w:vAlign w:val="center"/>
          </w:tcPr>
          <w:p w14:paraId="79756D22">
            <w:pPr>
              <w:pStyle w:val="9"/>
              <w:spacing w:line="240" w:lineRule="exact"/>
              <w:jc w:val="center"/>
              <w:rPr>
                <w:rFonts w:ascii="Times New Roman" w:hAnsi="Times New Roman"/>
                <w:color w:val="auto"/>
                <w:szCs w:val="21"/>
                <w:highlight w:val="none"/>
                <w:u w:val="single"/>
              </w:rPr>
            </w:pPr>
            <w:r>
              <w:rPr>
                <w:rFonts w:hint="eastAsia"/>
                <w:color w:val="auto"/>
                <w:szCs w:val="21"/>
                <w:highlight w:val="none"/>
                <w:lang w:val="en-US" w:eastAsia="zh-CN"/>
              </w:rPr>
              <w:t>不含税配送单价为</w:t>
            </w: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color w:val="auto"/>
                <w:szCs w:val="21"/>
                <w:highlight w:val="none"/>
                <w:lang w:val="en-US" w:eastAsia="zh-CN"/>
              </w:rPr>
              <w:t>元/件。</w:t>
            </w:r>
          </w:p>
        </w:tc>
        <w:tc>
          <w:tcPr>
            <w:tcW w:w="1756" w:type="dxa"/>
            <w:vAlign w:val="center"/>
          </w:tcPr>
          <w:p w14:paraId="7543005A">
            <w:pPr>
              <w:keepNext w:val="0"/>
              <w:keepLines w:val="0"/>
              <w:widowControl/>
              <w:suppressLineNumbers w:val="0"/>
              <w:spacing w:line="240" w:lineRule="auto"/>
              <w:ind w:firstLine="0" w:firstLineChars="0"/>
              <w:jc w:val="center"/>
              <w:textAlignment w:val="auto"/>
              <w:rPr>
                <w:rFonts w:ascii="Times New Roman" w:hAnsi="Times New Roman"/>
                <w:color w:val="auto"/>
                <w:szCs w:val="21"/>
                <w:highlight w:val="none"/>
                <w:u w:val="single"/>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73%</w:t>
            </w:r>
          </w:p>
        </w:tc>
      </w:tr>
      <w:tr w14:paraId="0963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50" w:type="dxa"/>
            <w:vMerge w:val="continue"/>
            <w:vAlign w:val="center"/>
          </w:tcPr>
          <w:p w14:paraId="3408F99F">
            <w:pPr>
              <w:jc w:val="center"/>
              <w:rPr>
                <w:rFonts w:hint="eastAsia"/>
                <w:color w:val="auto"/>
                <w:szCs w:val="21"/>
                <w:highlight w:val="none"/>
                <w:lang w:val="en-US" w:eastAsia="zh-CN"/>
              </w:rPr>
            </w:pPr>
          </w:p>
        </w:tc>
        <w:tc>
          <w:tcPr>
            <w:tcW w:w="2576" w:type="dxa"/>
            <w:vAlign w:val="center"/>
          </w:tcPr>
          <w:p w14:paraId="0AA9C68F">
            <w:pPr>
              <w:pStyle w:val="9"/>
              <w:spacing w:line="360" w:lineRule="auto"/>
              <w:jc w:val="cente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200 - 499件</w:t>
            </w:r>
          </w:p>
        </w:tc>
        <w:tc>
          <w:tcPr>
            <w:tcW w:w="3857" w:type="dxa"/>
            <w:vAlign w:val="center"/>
          </w:tcPr>
          <w:p w14:paraId="54F82ADE">
            <w:pPr>
              <w:pStyle w:val="9"/>
              <w:spacing w:line="240" w:lineRule="exact"/>
              <w:jc w:val="center"/>
              <w:rPr>
                <w:rFonts w:hint="eastAsia" w:ascii="Times New Roman" w:hAnsi="Times New Roman"/>
                <w:color w:val="auto"/>
                <w:szCs w:val="21"/>
                <w:highlight w:val="none"/>
                <w:u w:val="single"/>
                <w:lang w:val="en-US" w:eastAsia="zh-CN"/>
              </w:rPr>
            </w:pPr>
            <w:r>
              <w:rPr>
                <w:rFonts w:hint="eastAsia"/>
                <w:color w:val="auto"/>
                <w:szCs w:val="21"/>
                <w:highlight w:val="none"/>
                <w:lang w:val="en-US" w:eastAsia="zh-CN"/>
              </w:rPr>
              <w:t>不含税配送单价为</w:t>
            </w: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color w:val="auto"/>
                <w:szCs w:val="21"/>
                <w:highlight w:val="none"/>
                <w:lang w:val="en-US" w:eastAsia="zh-CN"/>
              </w:rPr>
              <w:t>元/件。</w:t>
            </w:r>
          </w:p>
        </w:tc>
        <w:tc>
          <w:tcPr>
            <w:tcW w:w="1756" w:type="dxa"/>
            <w:vAlign w:val="center"/>
          </w:tcPr>
          <w:p w14:paraId="7E0990F5">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3%</w:t>
            </w:r>
          </w:p>
        </w:tc>
      </w:tr>
      <w:tr w14:paraId="6128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50" w:type="dxa"/>
            <w:vMerge w:val="continue"/>
            <w:vAlign w:val="center"/>
          </w:tcPr>
          <w:p w14:paraId="2752C49A">
            <w:pPr>
              <w:jc w:val="center"/>
              <w:rPr>
                <w:rFonts w:hint="eastAsia"/>
                <w:color w:val="auto"/>
                <w:szCs w:val="21"/>
                <w:highlight w:val="none"/>
                <w:lang w:val="en-US" w:eastAsia="zh-CN"/>
              </w:rPr>
            </w:pPr>
          </w:p>
        </w:tc>
        <w:tc>
          <w:tcPr>
            <w:tcW w:w="2576" w:type="dxa"/>
            <w:vAlign w:val="center"/>
          </w:tcPr>
          <w:p w14:paraId="2DEE5E06">
            <w:pPr>
              <w:pStyle w:val="9"/>
              <w:spacing w:line="360" w:lineRule="auto"/>
              <w:jc w:val="cente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500 - 999件</w:t>
            </w:r>
          </w:p>
        </w:tc>
        <w:tc>
          <w:tcPr>
            <w:tcW w:w="3857" w:type="dxa"/>
            <w:vAlign w:val="center"/>
          </w:tcPr>
          <w:p w14:paraId="509210D7">
            <w:pPr>
              <w:pStyle w:val="9"/>
              <w:spacing w:line="240" w:lineRule="exact"/>
              <w:jc w:val="center"/>
              <w:rPr>
                <w:rFonts w:hint="eastAsia" w:ascii="Times New Roman" w:hAnsi="Times New Roman"/>
                <w:color w:val="auto"/>
                <w:szCs w:val="21"/>
                <w:highlight w:val="none"/>
                <w:u w:val="single"/>
                <w:lang w:val="en-US" w:eastAsia="zh-CN"/>
              </w:rPr>
            </w:pPr>
            <w:r>
              <w:rPr>
                <w:rFonts w:hint="eastAsia"/>
                <w:color w:val="auto"/>
                <w:szCs w:val="21"/>
                <w:highlight w:val="none"/>
                <w:lang w:val="en-US" w:eastAsia="zh-CN"/>
              </w:rPr>
              <w:t>不含税配送单价为</w:t>
            </w: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color w:val="auto"/>
                <w:szCs w:val="21"/>
                <w:highlight w:val="none"/>
                <w:lang w:val="en-US" w:eastAsia="zh-CN"/>
              </w:rPr>
              <w:t>元/件。</w:t>
            </w:r>
          </w:p>
        </w:tc>
        <w:tc>
          <w:tcPr>
            <w:tcW w:w="1756" w:type="dxa"/>
            <w:vAlign w:val="center"/>
          </w:tcPr>
          <w:p w14:paraId="2A177EB5">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w:t>
            </w:r>
          </w:p>
        </w:tc>
      </w:tr>
      <w:tr w14:paraId="6E3B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50" w:type="dxa"/>
            <w:vMerge w:val="continue"/>
            <w:vAlign w:val="center"/>
          </w:tcPr>
          <w:p w14:paraId="43A406EA">
            <w:pPr>
              <w:jc w:val="center"/>
              <w:rPr>
                <w:rFonts w:hint="eastAsia"/>
                <w:color w:val="auto"/>
                <w:szCs w:val="21"/>
                <w:highlight w:val="none"/>
                <w:lang w:val="en-US" w:eastAsia="zh-CN"/>
              </w:rPr>
            </w:pPr>
          </w:p>
        </w:tc>
        <w:tc>
          <w:tcPr>
            <w:tcW w:w="2576" w:type="dxa"/>
            <w:vAlign w:val="center"/>
          </w:tcPr>
          <w:p w14:paraId="4F4CCB60">
            <w:pPr>
              <w:pStyle w:val="9"/>
              <w:spacing w:line="360" w:lineRule="auto"/>
              <w:jc w:val="cente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color w:val="auto"/>
                <w:szCs w:val="21"/>
                <w:highlight w:val="none"/>
                <w:u w:val="none"/>
                <w:shd w:val="clear" w:color="auto" w:fill="FFFFFF"/>
                <w:lang w:bidi="ar"/>
              </w:rPr>
              <w:t>1000件及以上</w:t>
            </w:r>
          </w:p>
        </w:tc>
        <w:tc>
          <w:tcPr>
            <w:tcW w:w="3857" w:type="dxa"/>
            <w:vAlign w:val="center"/>
          </w:tcPr>
          <w:p w14:paraId="0C5C9E75">
            <w:pPr>
              <w:pStyle w:val="9"/>
              <w:spacing w:line="240" w:lineRule="exact"/>
              <w:jc w:val="center"/>
              <w:rPr>
                <w:rFonts w:hint="eastAsia" w:ascii="Times New Roman" w:hAnsi="Times New Roman"/>
                <w:color w:val="auto"/>
                <w:szCs w:val="21"/>
                <w:highlight w:val="none"/>
                <w:u w:val="single"/>
                <w:lang w:val="en-US" w:eastAsia="zh-CN"/>
              </w:rPr>
            </w:pPr>
            <w:r>
              <w:rPr>
                <w:rFonts w:hint="eastAsia"/>
                <w:color w:val="auto"/>
                <w:szCs w:val="21"/>
                <w:highlight w:val="none"/>
                <w:lang w:val="en-US" w:eastAsia="zh-CN"/>
              </w:rPr>
              <w:t>不含税配送单价为</w:t>
            </w: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color w:val="auto"/>
                <w:szCs w:val="21"/>
                <w:highlight w:val="none"/>
                <w:lang w:val="en-US" w:eastAsia="zh-CN"/>
              </w:rPr>
              <w:t>元/件。</w:t>
            </w:r>
          </w:p>
        </w:tc>
        <w:tc>
          <w:tcPr>
            <w:tcW w:w="1756" w:type="dxa"/>
            <w:vAlign w:val="center"/>
          </w:tcPr>
          <w:p w14:paraId="44D41E7B">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w:t>
            </w:r>
          </w:p>
        </w:tc>
      </w:tr>
      <w:tr w14:paraId="663C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50" w:type="dxa"/>
            <w:vAlign w:val="center"/>
          </w:tcPr>
          <w:p w14:paraId="5FDB111B">
            <w:pPr>
              <w:jc w:val="center"/>
              <w:rPr>
                <w:rFonts w:hint="default"/>
                <w:color w:val="auto"/>
                <w:szCs w:val="21"/>
                <w:highlight w:val="none"/>
                <w:lang w:val="en-US" w:eastAsia="zh-CN"/>
              </w:rPr>
            </w:pPr>
            <w:r>
              <w:rPr>
                <w:rFonts w:hint="eastAsia"/>
                <w:color w:val="auto"/>
                <w:szCs w:val="21"/>
                <w:highlight w:val="none"/>
                <w:lang w:val="en-US" w:eastAsia="zh-CN"/>
              </w:rPr>
              <w:t>报价人纳税类型</w:t>
            </w:r>
          </w:p>
        </w:tc>
        <w:tc>
          <w:tcPr>
            <w:tcW w:w="8189" w:type="dxa"/>
            <w:gridSpan w:val="3"/>
            <w:vAlign w:val="center"/>
          </w:tcPr>
          <w:p w14:paraId="1ACA00BD">
            <w:pPr>
              <w:pStyle w:val="9"/>
              <w:spacing w:line="360" w:lineRule="auto"/>
              <w:rPr>
                <w:rFonts w:ascii="Times New Roman" w:hAnsi="Times New Roman"/>
                <w:color w:val="auto"/>
                <w:szCs w:val="21"/>
                <w:highlight w:val="none"/>
                <w:u w:val="single"/>
              </w:rPr>
            </w:pPr>
            <w:r>
              <w:rPr>
                <w:rFonts w:asciiTheme="minorEastAsia" w:hAnsiTheme="minorEastAsia" w:eastAsiaTheme="minorEastAsia"/>
                <w:color w:val="auto"/>
                <w:szCs w:val="21"/>
                <w:highlight w:val="none"/>
              </w:rPr>
              <w:t>□</w:t>
            </w:r>
            <w:r>
              <w:rPr>
                <w:rFonts w:ascii="Times New Roman" w:hAnsi="Times New Roman"/>
                <w:color w:val="auto"/>
                <w:szCs w:val="21"/>
                <w:highlight w:val="none"/>
              </w:rPr>
              <w:t>一般纳税人，增值税税率</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w:t>
            </w:r>
          </w:p>
          <w:p w14:paraId="0E3B785A">
            <w:pPr>
              <w:pStyle w:val="9"/>
              <w:spacing w:line="360" w:lineRule="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w:t>
            </w:r>
            <w:r>
              <w:rPr>
                <w:rFonts w:ascii="Times New Roman" w:hAnsi="Times New Roman"/>
                <w:color w:val="auto"/>
                <w:szCs w:val="21"/>
                <w:highlight w:val="none"/>
              </w:rPr>
              <w:t>小规模纳税人，增值税税率</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w:t>
            </w:r>
          </w:p>
        </w:tc>
      </w:tr>
      <w:tr w14:paraId="4E12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1550" w:type="dxa"/>
            <w:vAlign w:val="center"/>
          </w:tcPr>
          <w:p w14:paraId="2CA61D64">
            <w:pPr>
              <w:jc w:val="center"/>
              <w:rPr>
                <w:rFonts w:ascii="宋体" w:hAnsi="宋体"/>
                <w:color w:val="auto"/>
                <w:szCs w:val="21"/>
                <w:highlight w:val="none"/>
              </w:rPr>
            </w:pPr>
            <w:r>
              <w:rPr>
                <w:rFonts w:hint="eastAsia" w:ascii="宋体" w:hAnsi="宋体"/>
                <w:color w:val="auto"/>
                <w:szCs w:val="21"/>
                <w:highlight w:val="none"/>
              </w:rPr>
              <w:t>备注</w:t>
            </w:r>
          </w:p>
        </w:tc>
        <w:tc>
          <w:tcPr>
            <w:tcW w:w="8189" w:type="dxa"/>
            <w:gridSpan w:val="3"/>
            <w:vAlign w:val="center"/>
          </w:tcPr>
          <w:p w14:paraId="73532B11">
            <w:pPr>
              <w:pStyle w:val="2"/>
              <w:spacing w:line="240" w:lineRule="auto"/>
              <w:rPr>
                <w:rFonts w:hint="eastAsia" w:ascii="宋体" w:hAnsi="宋体" w:eastAsia="宋体" w:cs="宋体"/>
              </w:rPr>
            </w:pPr>
            <w:r>
              <w:rPr>
                <w:rFonts w:hint="eastAsia" w:ascii="宋体" w:hAnsi="宋体" w:eastAsia="宋体" w:cs="宋体"/>
                <w:color w:val="auto"/>
                <w:highlight w:val="none"/>
                <w:lang w:val="en-US" w:eastAsia="zh-CN"/>
              </w:rPr>
              <w:t>1.本项目的报价为</w:t>
            </w:r>
            <w:r>
              <w:rPr>
                <w:rFonts w:hint="eastAsia" w:ascii="宋体" w:hAnsi="宋体" w:cs="宋体"/>
                <w:color w:val="auto"/>
                <w:highlight w:val="none"/>
              </w:rPr>
              <w:t>不含税配送单价</w:t>
            </w:r>
            <w:r>
              <w:rPr>
                <w:rFonts w:hint="eastAsia" w:ascii="宋体" w:hAnsi="宋体" w:eastAsia="宋体" w:cs="宋体"/>
                <w:color w:val="auto"/>
                <w:highlight w:val="none"/>
                <w:lang w:val="en-US" w:eastAsia="zh-CN"/>
              </w:rPr>
              <w:t>，</w:t>
            </w:r>
            <w:r>
              <w:rPr>
                <w:rFonts w:hint="eastAsia" w:ascii="宋体" w:hAnsi="宋体" w:eastAsia="宋体" w:cs="宋体"/>
                <w:lang w:val="en-US" w:eastAsia="zh-CN"/>
              </w:rPr>
              <w:t>配送费用</w:t>
            </w:r>
            <w:r>
              <w:rPr>
                <w:rFonts w:hint="eastAsia" w:ascii="宋体" w:hAnsi="宋体" w:eastAsia="宋体" w:cs="宋体"/>
              </w:rPr>
              <w:t>以实际</w:t>
            </w:r>
            <w:r>
              <w:rPr>
                <w:rFonts w:hint="eastAsia" w:ascii="宋体" w:hAnsi="宋体" w:eastAsia="宋体" w:cs="宋体"/>
                <w:lang w:val="en-US" w:eastAsia="zh-CN"/>
              </w:rPr>
              <w:t>送货</w:t>
            </w:r>
            <w:r>
              <w:rPr>
                <w:rFonts w:hint="eastAsia" w:ascii="宋体" w:hAnsi="宋体" w:eastAsia="宋体" w:cs="宋体"/>
              </w:rPr>
              <w:t>数量进行结算。</w:t>
            </w:r>
          </w:p>
          <w:p w14:paraId="19DAC507">
            <w:pPr>
              <w:pStyle w:val="2"/>
              <w:spacing w:line="240" w:lineRule="auto"/>
              <w:rPr>
                <w:rFonts w:hint="eastAsia" w:ascii="宋体" w:hAnsi="宋体" w:eastAsia="宋体" w:cs="宋体"/>
                <w:lang w:val="en-US" w:eastAsia="zh-CN"/>
              </w:rPr>
            </w:pPr>
            <w:r>
              <w:rPr>
                <w:rFonts w:hint="eastAsia" w:ascii="宋体" w:hAnsi="宋体" w:eastAsia="宋体" w:cs="宋体"/>
                <w:lang w:val="en-US" w:eastAsia="zh-CN"/>
              </w:rPr>
              <w:t>2.报价</w:t>
            </w:r>
            <w:r>
              <w:rPr>
                <w:rFonts w:hint="eastAsia" w:ascii="宋体" w:hAnsi="宋体" w:eastAsia="宋体" w:cs="宋体"/>
                <w:lang w:val="zh-CN"/>
              </w:rPr>
              <w:t>包括采购人购买本合同项下货物及其服务所支付的全部价款，包括但不限于（1）</w:t>
            </w:r>
            <w:r>
              <w:rPr>
                <w:rFonts w:hint="eastAsia" w:ascii="宋体" w:hAnsi="宋体" w:eastAsia="宋体" w:cs="宋体"/>
                <w:lang w:val="en-US" w:eastAsia="zh-CN"/>
              </w:rPr>
              <w:t>物流配送服务</w:t>
            </w:r>
            <w:r>
              <w:rPr>
                <w:rFonts w:hint="eastAsia" w:ascii="宋体" w:hAnsi="宋体" w:eastAsia="宋体" w:cs="宋体"/>
                <w:lang w:val="zh-CN"/>
              </w:rPr>
              <w:t>范围内所</w:t>
            </w:r>
            <w:r>
              <w:rPr>
                <w:rFonts w:hint="eastAsia" w:ascii="宋体" w:hAnsi="宋体" w:eastAsia="宋体" w:cs="宋体"/>
                <w:lang w:val="en-US" w:eastAsia="zh-CN"/>
              </w:rPr>
              <w:t>需的人工费（含加班）、车辆使用及燃油费（充电费）、包装水装车卸车的人工或器械作业费、物流配送过路桥费（含高速路）、提供物流配送服务人员的工资、食宿、保险费（包括物流配送车辆交强险、第三者责任险等商业保险，成交人及其雇员社会保障资金、保险、第三者责任险等）</w:t>
            </w:r>
            <w:r>
              <w:rPr>
                <w:rFonts w:hint="eastAsia" w:ascii="宋体" w:hAnsi="宋体" w:eastAsia="宋体" w:cs="宋体"/>
                <w:lang w:val="zh-CN"/>
              </w:rPr>
              <w:t>、装卸费、搬运费、</w:t>
            </w:r>
            <w:r>
              <w:rPr>
                <w:rFonts w:hint="eastAsia" w:ascii="宋体" w:hAnsi="宋体" w:eastAsia="宋体" w:cs="宋体"/>
                <w:lang w:val="en-US" w:eastAsia="zh-CN"/>
              </w:rPr>
              <w:t>上楼</w:t>
            </w:r>
            <w:r>
              <w:rPr>
                <w:rFonts w:hint="eastAsia" w:ascii="宋体" w:hAnsi="宋体" w:eastAsia="宋体" w:cs="宋体"/>
                <w:lang w:val="zh-CN"/>
              </w:rPr>
              <w:t>等相关服务的费用；（</w:t>
            </w:r>
            <w:r>
              <w:rPr>
                <w:rFonts w:hint="eastAsia" w:ascii="宋体" w:hAnsi="宋体" w:eastAsia="宋体" w:cs="宋体"/>
                <w:lang w:val="en-US" w:eastAsia="zh-CN"/>
              </w:rPr>
              <w:t>2</w:t>
            </w:r>
            <w:r>
              <w:rPr>
                <w:rFonts w:hint="eastAsia" w:ascii="宋体" w:hAnsi="宋体" w:eastAsia="宋体" w:cs="宋体"/>
                <w:lang w:val="zh-CN"/>
              </w:rPr>
              <w:t>）合理利润、</w:t>
            </w:r>
            <w:r>
              <w:rPr>
                <w:rFonts w:hint="eastAsia" w:ascii="宋体" w:hAnsi="宋体" w:eastAsia="宋体" w:cs="宋体"/>
                <w:lang w:val="en-US" w:eastAsia="zh-CN"/>
              </w:rPr>
              <w:t>报价人销项税额以外的税费等</w:t>
            </w:r>
            <w:r>
              <w:rPr>
                <w:rFonts w:hint="eastAsia" w:ascii="宋体" w:hAnsi="宋体" w:eastAsia="宋体" w:cs="宋体"/>
                <w:lang w:val="zh-CN"/>
              </w:rPr>
              <w:t>；（</w:t>
            </w:r>
            <w:r>
              <w:rPr>
                <w:rFonts w:hint="eastAsia" w:ascii="宋体" w:hAnsi="宋体" w:eastAsia="宋体" w:cs="宋体"/>
                <w:lang w:val="en-US" w:eastAsia="zh-CN"/>
              </w:rPr>
              <w:t>3</w:t>
            </w:r>
            <w:r>
              <w:rPr>
                <w:rFonts w:hint="eastAsia" w:ascii="宋体" w:hAnsi="宋体" w:eastAsia="宋体" w:cs="宋体"/>
                <w:lang w:val="zh-CN"/>
              </w:rPr>
              <w:t>）法律法规、商业公认、询价文件规定由</w:t>
            </w:r>
            <w:r>
              <w:rPr>
                <w:rFonts w:hint="eastAsia" w:ascii="宋体" w:hAnsi="宋体" w:eastAsia="宋体" w:cs="宋体"/>
                <w:lang w:val="en-US" w:eastAsia="zh-CN"/>
              </w:rPr>
              <w:t>成交</w:t>
            </w:r>
            <w:r>
              <w:rPr>
                <w:rFonts w:hint="eastAsia" w:ascii="宋体" w:hAnsi="宋体" w:eastAsia="宋体" w:cs="宋体"/>
                <w:lang w:val="zh-CN"/>
              </w:rPr>
              <w:t>人承担的其他费用。未经采购人书面同意，成交人（包括但不限于成交人指定的第三方）不得要求采购人另行支付其他任何费用。</w:t>
            </w:r>
          </w:p>
        </w:tc>
      </w:tr>
    </w:tbl>
    <w:p w14:paraId="469CA975">
      <w:pPr>
        <w:pStyle w:val="2"/>
        <w:rPr>
          <w:color w:val="auto"/>
          <w:highlight w:val="none"/>
        </w:rPr>
      </w:pPr>
    </w:p>
    <w:p w14:paraId="189C6FE0">
      <w:pPr>
        <w:pStyle w:val="9"/>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联系人：                          联系电话：</w:t>
      </w:r>
    </w:p>
    <w:p w14:paraId="1FFE94FB">
      <w:pPr>
        <w:pStyle w:val="9"/>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联系地址：</w:t>
      </w:r>
    </w:p>
    <w:p w14:paraId="7B7C8724">
      <w:pPr>
        <w:pStyle w:val="9"/>
        <w:spacing w:line="360" w:lineRule="auto"/>
        <w:rPr>
          <w:rFonts w:hint="default" w:ascii="Times New Roman" w:hAnsi="Times New Roman" w:cs="Times New Roman"/>
          <w:color w:val="000000"/>
          <w:sz w:val="24"/>
          <w:szCs w:val="28"/>
          <w:highlight w:val="none"/>
        </w:rPr>
      </w:pPr>
    </w:p>
    <w:p w14:paraId="141A4DF1">
      <w:pPr>
        <w:ind w:left="0" w:leftChars="0" w:firstLine="4410" w:firstLineChars="2100"/>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供应商名称（加盖公章）：</w:t>
      </w:r>
    </w:p>
    <w:p w14:paraId="3B72E66A">
      <w:pPr>
        <w:ind w:firstLine="4410" w:firstLineChars="2100"/>
        <w:jc w:val="left"/>
        <w:rPr>
          <w:rFonts w:hint="default" w:ascii="Times New Roman" w:hAnsi="Times New Roman" w:cs="Times New Roman"/>
          <w:color w:val="000000"/>
          <w:kern w:val="2"/>
          <w:szCs w:val="28"/>
          <w:highlight w:val="none"/>
          <w:lang w:val="zh-CN"/>
        </w:rPr>
      </w:pPr>
      <w:r>
        <w:rPr>
          <w:rFonts w:hint="default" w:ascii="Times New Roman" w:hAnsi="Times New Roman" w:cs="Times New Roman"/>
          <w:szCs w:val="21"/>
          <w:highlight w:val="none"/>
        </w:rPr>
        <w:t>日期：    年  月  日</w:t>
      </w:r>
      <w:bookmarkStart w:id="35" w:name="_Toc34745986"/>
      <w:bookmarkStart w:id="36" w:name="_Toc34746053"/>
      <w:bookmarkStart w:id="37" w:name="_Toc34746361"/>
    </w:p>
    <w:p w14:paraId="3AB4A725">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br w:type="page"/>
      </w:r>
    </w:p>
    <w:p w14:paraId="069B3918">
      <w:pPr>
        <w:rPr>
          <w:rFonts w:hint="eastAsia" w:cs="Times New Roman"/>
          <w:b/>
          <w:color w:val="000000"/>
          <w:sz w:val="28"/>
          <w:szCs w:val="28"/>
          <w:highlight w:val="none"/>
          <w:lang w:val="en-US" w:eastAsia="zh-CN"/>
        </w:rPr>
      </w:pPr>
      <w:r>
        <w:rPr>
          <w:rFonts w:hint="default" w:ascii="Times New Roman" w:hAnsi="Times New Roman" w:cs="Times New Roman"/>
          <w:b/>
          <w:color w:val="000000"/>
          <w:sz w:val="28"/>
          <w:szCs w:val="28"/>
          <w:highlight w:val="none"/>
        </w:rPr>
        <w:t>2.项目响应</w:t>
      </w:r>
      <w:r>
        <w:rPr>
          <w:rFonts w:hint="eastAsia" w:cs="Times New Roman"/>
          <w:b/>
          <w:color w:val="000000"/>
          <w:sz w:val="28"/>
          <w:szCs w:val="28"/>
          <w:highlight w:val="none"/>
          <w:lang w:val="en-US" w:eastAsia="zh-CN"/>
        </w:rPr>
        <w:t>确认表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2136"/>
        <w:gridCol w:w="5221"/>
        <w:gridCol w:w="1787"/>
      </w:tblGrid>
      <w:tr w14:paraId="7890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D9F1117">
            <w:pPr>
              <w:pStyle w:val="2"/>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序号</w:t>
            </w:r>
          </w:p>
        </w:tc>
        <w:tc>
          <w:tcPr>
            <w:tcW w:w="2136" w:type="dxa"/>
          </w:tcPr>
          <w:p w14:paraId="521D5082">
            <w:pPr>
              <w:pStyle w:val="2"/>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响应要求</w:t>
            </w:r>
          </w:p>
        </w:tc>
        <w:tc>
          <w:tcPr>
            <w:tcW w:w="5221" w:type="dxa"/>
          </w:tcPr>
          <w:p w14:paraId="5B31AA76">
            <w:pPr>
              <w:pStyle w:val="2"/>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实质性响应说明</w:t>
            </w:r>
          </w:p>
        </w:tc>
        <w:tc>
          <w:tcPr>
            <w:tcW w:w="1787" w:type="dxa"/>
          </w:tcPr>
          <w:p w14:paraId="13FBB030">
            <w:pPr>
              <w:pStyle w:val="2"/>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报价人响应情况</w:t>
            </w:r>
          </w:p>
        </w:tc>
      </w:tr>
      <w:tr w14:paraId="1206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EEBCABB">
            <w:pPr>
              <w:pStyle w:val="2"/>
              <w:rPr>
                <w:rFonts w:hint="default"/>
                <w:szCs w:val="21"/>
                <w:vertAlign w:val="baseline"/>
                <w:lang w:val="en-US" w:eastAsia="zh-CN"/>
              </w:rPr>
            </w:pPr>
            <w:r>
              <w:rPr>
                <w:rFonts w:hint="eastAsia"/>
                <w:szCs w:val="21"/>
                <w:vertAlign w:val="baseline"/>
                <w:lang w:val="en-US" w:eastAsia="zh-CN"/>
              </w:rPr>
              <w:t>1</w:t>
            </w:r>
          </w:p>
        </w:tc>
        <w:tc>
          <w:tcPr>
            <w:tcW w:w="2136" w:type="dxa"/>
          </w:tcPr>
          <w:p w14:paraId="077067DE">
            <w:pPr>
              <w:pStyle w:val="2"/>
              <w:rPr>
                <w:rFonts w:hint="default"/>
                <w:szCs w:val="21"/>
                <w:vertAlign w:val="baseline"/>
                <w:lang w:val="en-US" w:eastAsia="zh-CN"/>
              </w:rPr>
            </w:pPr>
            <w:r>
              <w:rPr>
                <w:rFonts w:hint="eastAsia"/>
                <w:szCs w:val="21"/>
                <w:vertAlign w:val="baseline"/>
                <w:lang w:val="en-US" w:eastAsia="zh-CN"/>
              </w:rPr>
              <w:t>项目概况与配送产品</w:t>
            </w:r>
          </w:p>
        </w:tc>
        <w:tc>
          <w:tcPr>
            <w:tcW w:w="5221" w:type="dxa"/>
          </w:tcPr>
          <w:p w14:paraId="1121F2BF">
            <w:pPr>
              <w:pStyle w:val="2"/>
              <w:rPr>
                <w:rFonts w:hint="default"/>
                <w:szCs w:val="21"/>
                <w:vertAlign w:val="baseline"/>
                <w:lang w:val="en-US" w:eastAsia="zh-CN"/>
              </w:rPr>
            </w:pPr>
            <w:r>
              <w:rPr>
                <w:rFonts w:hint="eastAsia" w:ascii="宋体" w:hAnsi="宋体" w:cs="宋体"/>
                <w:szCs w:val="21"/>
              </w:rPr>
              <w:t>明确承诺按要求配送所有规格包装水及配套非饮用水商品（非饮用水商品按整包合计重量2KG及以下、尺寸不超50cm</w:t>
            </w:r>
            <w:r>
              <w:rPr>
                <w:rFonts w:hint="eastAsia" w:ascii="宋体" w:hAnsi="宋体" w:cs="宋体"/>
                <w:szCs w:val="21"/>
                <w:lang w:val="en-US" w:eastAsia="zh-CN"/>
              </w:rPr>
              <w:t>*</w:t>
            </w:r>
            <w:r>
              <w:rPr>
                <w:rFonts w:hint="eastAsia" w:ascii="宋体" w:hAnsi="宋体" w:cs="宋体"/>
                <w:szCs w:val="21"/>
              </w:rPr>
              <w:t>50cm</w:t>
            </w:r>
            <w:r>
              <w:rPr>
                <w:rFonts w:hint="eastAsia" w:ascii="宋体" w:hAnsi="宋体" w:cs="宋体"/>
                <w:szCs w:val="21"/>
                <w:lang w:val="en-US" w:eastAsia="zh-CN"/>
              </w:rPr>
              <w:t>*</w:t>
            </w:r>
            <w:r>
              <w:rPr>
                <w:rFonts w:hint="eastAsia" w:ascii="宋体" w:hAnsi="宋体" w:cs="宋体"/>
                <w:szCs w:val="21"/>
              </w:rPr>
              <w:t>50cm为一件，可随同饮用水批次订单免费配送，保障配送安全与时效，不额外收费）</w:t>
            </w:r>
          </w:p>
        </w:tc>
        <w:tc>
          <w:tcPr>
            <w:tcW w:w="1787" w:type="dxa"/>
          </w:tcPr>
          <w:p w14:paraId="1597662D">
            <w:pPr>
              <w:pStyle w:val="2"/>
              <w:rPr>
                <w:rFonts w:hint="default"/>
                <w:szCs w:val="21"/>
                <w:vertAlign w:val="baseline"/>
                <w:lang w:val="en-US" w:eastAsia="zh-CN"/>
              </w:rPr>
            </w:pPr>
            <w:r>
              <w:rPr>
                <w:rFonts w:hint="eastAsia" w:ascii="宋体" w:hAnsi="宋体" w:cs="宋体"/>
                <w:szCs w:val="21"/>
                <w:lang w:eastAsia="zh-CN"/>
              </w:rPr>
              <w:t>□</w:t>
            </w:r>
            <w:r>
              <w:rPr>
                <w:rFonts w:hint="eastAsia" w:ascii="宋体" w:hAnsi="宋体" w:cs="宋体"/>
                <w:szCs w:val="21"/>
              </w:rPr>
              <w:t xml:space="preserve">完全响应 </w:t>
            </w:r>
            <w:r>
              <w:rPr>
                <w:rFonts w:hint="eastAsia" w:ascii="宋体" w:hAnsi="宋体" w:cs="宋体"/>
                <w:szCs w:val="21"/>
                <w:lang w:val="en-US" w:eastAsia="zh-CN"/>
              </w:rPr>
              <w:t xml:space="preserve">    </w:t>
            </w:r>
            <w:r>
              <w:rPr>
                <w:rFonts w:hint="eastAsia" w:ascii="宋体" w:hAnsi="宋体" w:cs="宋体"/>
                <w:szCs w:val="21"/>
              </w:rPr>
              <w:t xml:space="preserve"> □不响应</w:t>
            </w:r>
          </w:p>
        </w:tc>
      </w:tr>
      <w:tr w14:paraId="53D89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BAC4E79">
            <w:pPr>
              <w:pStyle w:val="2"/>
              <w:rPr>
                <w:rFonts w:hint="default"/>
                <w:szCs w:val="21"/>
                <w:vertAlign w:val="baseline"/>
                <w:lang w:val="en-US" w:eastAsia="zh-CN"/>
              </w:rPr>
            </w:pPr>
            <w:r>
              <w:rPr>
                <w:rFonts w:hint="eastAsia"/>
                <w:szCs w:val="21"/>
                <w:vertAlign w:val="baseline"/>
                <w:lang w:val="en-US" w:eastAsia="zh-CN"/>
              </w:rPr>
              <w:t>2</w:t>
            </w:r>
          </w:p>
        </w:tc>
        <w:tc>
          <w:tcPr>
            <w:tcW w:w="2136" w:type="dxa"/>
          </w:tcPr>
          <w:p w14:paraId="7CDF4D2D">
            <w:pPr>
              <w:pStyle w:val="2"/>
              <w:rPr>
                <w:rFonts w:hint="default"/>
                <w:szCs w:val="21"/>
                <w:vertAlign w:val="baseline"/>
                <w:lang w:val="en-US" w:eastAsia="zh-CN"/>
              </w:rPr>
            </w:pPr>
            <w:r>
              <w:rPr>
                <w:rFonts w:hint="eastAsia"/>
                <w:szCs w:val="21"/>
                <w:vertAlign w:val="baseline"/>
                <w:lang w:val="en-US" w:eastAsia="zh-CN"/>
              </w:rPr>
              <w:t>配送范围与车辆要求</w:t>
            </w:r>
          </w:p>
        </w:tc>
        <w:tc>
          <w:tcPr>
            <w:tcW w:w="5221" w:type="dxa"/>
          </w:tcPr>
          <w:p w14:paraId="4B934D87">
            <w:pPr>
              <w:pStyle w:val="2"/>
              <w:rPr>
                <w:rFonts w:hint="default"/>
                <w:szCs w:val="21"/>
                <w:vertAlign w:val="baseline"/>
                <w:lang w:val="en-US" w:eastAsia="zh-CN"/>
              </w:rPr>
            </w:pPr>
            <w:r>
              <w:rPr>
                <w:rFonts w:ascii="宋体" w:hAnsi="宋体" w:eastAsia="宋体" w:cs="宋体"/>
                <w:sz w:val="21"/>
                <w:szCs w:val="21"/>
              </w:rPr>
              <w:t>承诺配送范围覆盖东莞市全域，使用总质量4500KG及以下全关闭厢式货车（如需使用更大车辆，将提供完整道路运输经营许可证及车辆营运证）</w:t>
            </w:r>
          </w:p>
        </w:tc>
        <w:tc>
          <w:tcPr>
            <w:tcW w:w="1787" w:type="dxa"/>
          </w:tcPr>
          <w:p w14:paraId="038F9BD7">
            <w:pPr>
              <w:pStyle w:val="2"/>
              <w:rPr>
                <w:rFonts w:hint="default"/>
                <w:szCs w:val="21"/>
                <w:vertAlign w:val="baseline"/>
                <w:lang w:val="en-US" w:eastAsia="zh-CN"/>
              </w:rPr>
            </w:pPr>
            <w:r>
              <w:rPr>
                <w:rFonts w:hint="eastAsia" w:ascii="宋体" w:hAnsi="宋体" w:cs="宋体"/>
                <w:szCs w:val="21"/>
                <w:lang w:eastAsia="zh-CN"/>
              </w:rPr>
              <w:t>□</w:t>
            </w:r>
            <w:r>
              <w:rPr>
                <w:rFonts w:hint="eastAsia" w:ascii="宋体" w:hAnsi="宋体" w:cs="宋体"/>
                <w:szCs w:val="21"/>
              </w:rPr>
              <w:t xml:space="preserve">完全响应 </w:t>
            </w:r>
            <w:r>
              <w:rPr>
                <w:rFonts w:hint="eastAsia" w:ascii="宋体" w:hAnsi="宋体" w:cs="宋体"/>
                <w:szCs w:val="21"/>
                <w:lang w:val="en-US" w:eastAsia="zh-CN"/>
              </w:rPr>
              <w:t xml:space="preserve">    </w:t>
            </w:r>
            <w:r>
              <w:rPr>
                <w:rFonts w:hint="eastAsia" w:ascii="宋体" w:hAnsi="宋体" w:cs="宋体"/>
                <w:szCs w:val="21"/>
              </w:rPr>
              <w:t xml:space="preserve"> □不响应</w:t>
            </w:r>
          </w:p>
        </w:tc>
      </w:tr>
      <w:tr w14:paraId="1201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A4DCC1C">
            <w:pPr>
              <w:pStyle w:val="2"/>
              <w:rPr>
                <w:rFonts w:hint="default"/>
                <w:szCs w:val="21"/>
                <w:vertAlign w:val="baseline"/>
                <w:lang w:val="en-US" w:eastAsia="zh-CN"/>
              </w:rPr>
            </w:pPr>
            <w:r>
              <w:rPr>
                <w:rFonts w:hint="eastAsia"/>
                <w:szCs w:val="21"/>
                <w:vertAlign w:val="baseline"/>
                <w:lang w:val="en-US" w:eastAsia="zh-CN"/>
              </w:rPr>
              <w:t>3</w:t>
            </w:r>
          </w:p>
        </w:tc>
        <w:tc>
          <w:tcPr>
            <w:tcW w:w="2136" w:type="dxa"/>
          </w:tcPr>
          <w:p w14:paraId="66DC134B">
            <w:pPr>
              <w:pStyle w:val="2"/>
              <w:rPr>
                <w:rFonts w:hint="default"/>
                <w:szCs w:val="21"/>
                <w:vertAlign w:val="baseline"/>
                <w:lang w:val="en-US" w:eastAsia="zh-CN"/>
              </w:rPr>
            </w:pPr>
            <w:r>
              <w:rPr>
                <w:rFonts w:hint="eastAsia"/>
                <w:szCs w:val="21"/>
                <w:vertAlign w:val="baseline"/>
                <w:lang w:val="en-US" w:eastAsia="zh-CN"/>
              </w:rPr>
              <w:t>日配送能力要求</w:t>
            </w:r>
          </w:p>
        </w:tc>
        <w:tc>
          <w:tcPr>
            <w:tcW w:w="5221" w:type="dxa"/>
          </w:tcPr>
          <w:p w14:paraId="7CAD2481">
            <w:pPr>
              <w:pStyle w:val="2"/>
              <w:rPr>
                <w:rFonts w:hint="default"/>
                <w:szCs w:val="21"/>
                <w:vertAlign w:val="baseline"/>
                <w:lang w:val="en-US" w:eastAsia="zh-CN"/>
              </w:rPr>
            </w:pPr>
            <w:r>
              <w:rPr>
                <w:rFonts w:hint="eastAsia" w:ascii="宋体" w:hAnsi="宋体" w:cs="宋体"/>
                <w:szCs w:val="21"/>
              </w:rPr>
              <w:t>保证支装水日配送能力不低于</w:t>
            </w:r>
            <w:r>
              <w:rPr>
                <w:rFonts w:hint="eastAsia" w:ascii="宋体" w:hAnsi="宋体" w:cs="宋体"/>
                <w:szCs w:val="21"/>
                <w:lang w:val="en-US" w:eastAsia="zh-CN"/>
              </w:rPr>
              <w:t>5</w:t>
            </w:r>
            <w:r>
              <w:rPr>
                <w:rFonts w:hint="eastAsia" w:ascii="宋体" w:hAnsi="宋体" w:cs="宋体"/>
                <w:szCs w:val="21"/>
              </w:rPr>
              <w:t>00件，桶装水日配送能力不低于</w:t>
            </w:r>
            <w:r>
              <w:rPr>
                <w:rFonts w:hint="eastAsia" w:ascii="宋体" w:hAnsi="宋体" w:cs="宋体"/>
                <w:szCs w:val="21"/>
                <w:lang w:val="en-US" w:eastAsia="zh-CN"/>
              </w:rPr>
              <w:t>5</w:t>
            </w:r>
            <w:r>
              <w:rPr>
                <w:rFonts w:hint="eastAsia" w:ascii="宋体" w:hAnsi="宋体" w:cs="宋体"/>
                <w:szCs w:val="21"/>
              </w:rPr>
              <w:t>00桶，按实际需求配置足量车辆</w:t>
            </w:r>
          </w:p>
        </w:tc>
        <w:tc>
          <w:tcPr>
            <w:tcW w:w="1787" w:type="dxa"/>
          </w:tcPr>
          <w:p w14:paraId="21512A6B">
            <w:pPr>
              <w:pStyle w:val="2"/>
              <w:rPr>
                <w:rFonts w:hint="default"/>
                <w:szCs w:val="21"/>
                <w:vertAlign w:val="baseline"/>
                <w:lang w:val="en-US" w:eastAsia="zh-CN"/>
              </w:rPr>
            </w:pPr>
            <w:r>
              <w:rPr>
                <w:rFonts w:hint="eastAsia" w:ascii="宋体" w:hAnsi="宋体" w:cs="宋体"/>
                <w:szCs w:val="21"/>
                <w:lang w:eastAsia="zh-CN"/>
              </w:rPr>
              <w:t>□</w:t>
            </w:r>
            <w:r>
              <w:rPr>
                <w:rFonts w:hint="eastAsia" w:ascii="宋体" w:hAnsi="宋体" w:cs="宋体"/>
                <w:szCs w:val="21"/>
              </w:rPr>
              <w:t xml:space="preserve">完全响应 </w:t>
            </w:r>
            <w:r>
              <w:rPr>
                <w:rFonts w:hint="eastAsia" w:ascii="宋体" w:hAnsi="宋体" w:cs="宋体"/>
                <w:szCs w:val="21"/>
                <w:lang w:val="en-US" w:eastAsia="zh-CN"/>
              </w:rPr>
              <w:t xml:space="preserve">    </w:t>
            </w:r>
            <w:r>
              <w:rPr>
                <w:rFonts w:hint="eastAsia" w:ascii="宋体" w:hAnsi="宋体" w:cs="宋体"/>
                <w:szCs w:val="21"/>
              </w:rPr>
              <w:t xml:space="preserve"> □不响应</w:t>
            </w:r>
          </w:p>
        </w:tc>
      </w:tr>
      <w:tr w14:paraId="619F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B29BA8C">
            <w:pPr>
              <w:pStyle w:val="2"/>
              <w:rPr>
                <w:rFonts w:hint="default"/>
                <w:szCs w:val="21"/>
                <w:vertAlign w:val="baseline"/>
                <w:lang w:val="en-US" w:eastAsia="zh-CN"/>
              </w:rPr>
            </w:pPr>
            <w:r>
              <w:rPr>
                <w:rFonts w:hint="eastAsia"/>
                <w:szCs w:val="21"/>
                <w:vertAlign w:val="baseline"/>
                <w:lang w:val="en-US" w:eastAsia="zh-CN"/>
              </w:rPr>
              <w:t>4</w:t>
            </w:r>
          </w:p>
        </w:tc>
        <w:tc>
          <w:tcPr>
            <w:tcW w:w="2136" w:type="dxa"/>
          </w:tcPr>
          <w:p w14:paraId="7FF90358">
            <w:pPr>
              <w:pStyle w:val="2"/>
              <w:rPr>
                <w:rFonts w:hint="default"/>
                <w:szCs w:val="21"/>
                <w:vertAlign w:val="baseline"/>
                <w:lang w:val="en-US" w:eastAsia="zh-CN"/>
              </w:rPr>
            </w:pPr>
            <w:r>
              <w:rPr>
                <w:rFonts w:hint="eastAsia"/>
                <w:szCs w:val="21"/>
                <w:vertAlign w:val="baseline"/>
                <w:lang w:val="en-US" w:eastAsia="zh-CN"/>
              </w:rPr>
              <w:t>装卸与送货要求</w:t>
            </w:r>
          </w:p>
        </w:tc>
        <w:tc>
          <w:tcPr>
            <w:tcW w:w="5221" w:type="dxa"/>
          </w:tcPr>
          <w:p w14:paraId="22580C3A">
            <w:pPr>
              <w:pStyle w:val="2"/>
              <w:rPr>
                <w:rFonts w:hint="default"/>
                <w:szCs w:val="21"/>
                <w:vertAlign w:val="baseline"/>
                <w:lang w:val="en-US" w:eastAsia="zh-CN"/>
              </w:rPr>
            </w:pPr>
            <w:r>
              <w:rPr>
                <w:rFonts w:ascii="宋体" w:hAnsi="宋体" w:eastAsia="宋体" w:cs="宋体"/>
                <w:sz w:val="21"/>
                <w:szCs w:val="21"/>
              </w:rPr>
              <w:t>承诺负责装卸货，支持多存放点配送及上楼服务，严格执行轻拿轻放要求，货物损坏按销售价赔偿</w:t>
            </w:r>
          </w:p>
        </w:tc>
        <w:tc>
          <w:tcPr>
            <w:tcW w:w="1787" w:type="dxa"/>
          </w:tcPr>
          <w:p w14:paraId="6D65FEDB">
            <w:pPr>
              <w:pStyle w:val="2"/>
              <w:rPr>
                <w:rFonts w:hint="default"/>
                <w:szCs w:val="21"/>
                <w:vertAlign w:val="baseline"/>
                <w:lang w:val="en-US" w:eastAsia="zh-CN"/>
              </w:rPr>
            </w:pPr>
            <w:r>
              <w:rPr>
                <w:rFonts w:hint="eastAsia" w:ascii="宋体" w:hAnsi="宋体" w:cs="宋体"/>
                <w:szCs w:val="21"/>
                <w:lang w:eastAsia="zh-CN"/>
              </w:rPr>
              <w:t>□</w:t>
            </w:r>
            <w:r>
              <w:rPr>
                <w:rFonts w:hint="eastAsia" w:ascii="宋体" w:hAnsi="宋体" w:cs="宋体"/>
                <w:szCs w:val="21"/>
              </w:rPr>
              <w:t xml:space="preserve">完全响应 </w:t>
            </w:r>
            <w:r>
              <w:rPr>
                <w:rFonts w:hint="eastAsia" w:ascii="宋体" w:hAnsi="宋体" w:cs="宋体"/>
                <w:szCs w:val="21"/>
                <w:lang w:val="en-US" w:eastAsia="zh-CN"/>
              </w:rPr>
              <w:t xml:space="preserve">    </w:t>
            </w:r>
            <w:r>
              <w:rPr>
                <w:rFonts w:hint="eastAsia" w:ascii="宋体" w:hAnsi="宋体" w:cs="宋体"/>
                <w:szCs w:val="21"/>
              </w:rPr>
              <w:t xml:space="preserve"> □不响应</w:t>
            </w:r>
          </w:p>
        </w:tc>
      </w:tr>
      <w:tr w14:paraId="31A8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3F823CC">
            <w:pPr>
              <w:pStyle w:val="2"/>
              <w:rPr>
                <w:rFonts w:hint="default"/>
                <w:szCs w:val="21"/>
                <w:vertAlign w:val="baseline"/>
                <w:lang w:val="en-US" w:eastAsia="zh-CN"/>
              </w:rPr>
            </w:pPr>
            <w:r>
              <w:rPr>
                <w:rFonts w:hint="eastAsia"/>
                <w:szCs w:val="21"/>
                <w:vertAlign w:val="baseline"/>
                <w:lang w:val="en-US" w:eastAsia="zh-CN"/>
              </w:rPr>
              <w:t>5</w:t>
            </w:r>
          </w:p>
        </w:tc>
        <w:tc>
          <w:tcPr>
            <w:tcW w:w="2136" w:type="dxa"/>
          </w:tcPr>
          <w:p w14:paraId="1208D523">
            <w:pPr>
              <w:pStyle w:val="2"/>
              <w:rPr>
                <w:rFonts w:hint="default"/>
                <w:szCs w:val="21"/>
                <w:vertAlign w:val="baseline"/>
                <w:lang w:val="en-US" w:eastAsia="zh-CN"/>
              </w:rPr>
            </w:pPr>
            <w:r>
              <w:rPr>
                <w:rFonts w:hint="eastAsia"/>
                <w:szCs w:val="21"/>
                <w:vertAlign w:val="baseline"/>
                <w:lang w:val="en-US" w:eastAsia="zh-CN"/>
              </w:rPr>
              <w:t>服务期限</w:t>
            </w:r>
          </w:p>
        </w:tc>
        <w:tc>
          <w:tcPr>
            <w:tcW w:w="5221" w:type="dxa"/>
          </w:tcPr>
          <w:p w14:paraId="12C07C07">
            <w:pPr>
              <w:pStyle w:val="2"/>
              <w:rPr>
                <w:rFonts w:hint="default"/>
                <w:szCs w:val="21"/>
                <w:vertAlign w:val="baseline"/>
                <w:lang w:val="en-US" w:eastAsia="zh-CN"/>
              </w:rPr>
            </w:pPr>
            <w:r>
              <w:rPr>
                <w:rFonts w:ascii="宋体" w:hAnsi="宋体" w:eastAsia="宋体" w:cs="宋体"/>
                <w:sz w:val="21"/>
                <w:szCs w:val="21"/>
              </w:rPr>
              <w:t>服务期限为合同签订后6个月，或累计服务费达450,000元（含税）时终止，以先到者为准</w:t>
            </w:r>
          </w:p>
        </w:tc>
        <w:tc>
          <w:tcPr>
            <w:tcW w:w="1787" w:type="dxa"/>
          </w:tcPr>
          <w:p w14:paraId="3627BC10">
            <w:pPr>
              <w:pStyle w:val="2"/>
              <w:rPr>
                <w:rFonts w:hint="default"/>
                <w:szCs w:val="21"/>
                <w:vertAlign w:val="baseline"/>
                <w:lang w:val="en-US" w:eastAsia="zh-CN"/>
              </w:rPr>
            </w:pPr>
            <w:r>
              <w:rPr>
                <w:rFonts w:hint="eastAsia" w:ascii="宋体" w:hAnsi="宋体" w:cs="宋体"/>
                <w:szCs w:val="21"/>
                <w:lang w:eastAsia="zh-CN"/>
              </w:rPr>
              <w:t>□</w:t>
            </w:r>
            <w:r>
              <w:rPr>
                <w:rFonts w:hint="eastAsia" w:ascii="宋体" w:hAnsi="宋体" w:cs="宋体"/>
                <w:szCs w:val="21"/>
              </w:rPr>
              <w:t xml:space="preserve">完全响应 </w:t>
            </w:r>
            <w:r>
              <w:rPr>
                <w:rFonts w:hint="eastAsia" w:ascii="宋体" w:hAnsi="宋体" w:cs="宋体"/>
                <w:szCs w:val="21"/>
                <w:lang w:val="en-US" w:eastAsia="zh-CN"/>
              </w:rPr>
              <w:t xml:space="preserve">    </w:t>
            </w:r>
            <w:r>
              <w:rPr>
                <w:rFonts w:hint="eastAsia" w:ascii="宋体" w:hAnsi="宋体" w:cs="宋体"/>
                <w:szCs w:val="21"/>
              </w:rPr>
              <w:t xml:space="preserve"> □不响应</w:t>
            </w:r>
          </w:p>
        </w:tc>
      </w:tr>
      <w:tr w14:paraId="5263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27A676A">
            <w:pPr>
              <w:pStyle w:val="2"/>
              <w:rPr>
                <w:rFonts w:hint="default"/>
                <w:b/>
                <w:bCs/>
                <w:color w:val="auto"/>
                <w:szCs w:val="21"/>
                <w:vertAlign w:val="baseline"/>
                <w:lang w:val="en-US" w:eastAsia="zh-CN"/>
              </w:rPr>
            </w:pPr>
            <w:r>
              <w:rPr>
                <w:rFonts w:hint="eastAsia"/>
                <w:b/>
                <w:bCs/>
                <w:color w:val="auto"/>
                <w:szCs w:val="21"/>
                <w:vertAlign w:val="baseline"/>
                <w:lang w:val="en-US" w:eastAsia="zh-CN"/>
              </w:rPr>
              <w:t>6</w:t>
            </w:r>
          </w:p>
        </w:tc>
        <w:tc>
          <w:tcPr>
            <w:tcW w:w="2136" w:type="dxa"/>
          </w:tcPr>
          <w:p w14:paraId="7D916484">
            <w:pPr>
              <w:pStyle w:val="2"/>
              <w:rPr>
                <w:rFonts w:hint="default"/>
                <w:b/>
                <w:bCs/>
                <w:color w:val="auto"/>
                <w:szCs w:val="21"/>
                <w:vertAlign w:val="baseline"/>
                <w:lang w:val="en-US" w:eastAsia="zh-CN"/>
              </w:rPr>
            </w:pPr>
            <w:r>
              <w:rPr>
                <w:rFonts w:hint="eastAsia"/>
                <w:b/>
                <w:bCs/>
                <w:color w:val="auto"/>
                <w:szCs w:val="21"/>
                <w:vertAlign w:val="baseline"/>
                <w:lang w:val="en-US" w:eastAsia="zh-CN"/>
              </w:rPr>
              <w:t>配送时限要求</w:t>
            </w:r>
          </w:p>
        </w:tc>
        <w:tc>
          <w:tcPr>
            <w:tcW w:w="5221" w:type="dxa"/>
          </w:tcPr>
          <w:p w14:paraId="2030E186">
            <w:pPr>
              <w:pStyle w:val="2"/>
              <w:rPr>
                <w:rFonts w:hint="default"/>
                <w:b/>
                <w:bCs/>
                <w:color w:val="auto"/>
                <w:szCs w:val="21"/>
                <w:vertAlign w:val="baseline"/>
                <w:lang w:val="en-US" w:eastAsia="zh-CN"/>
              </w:rPr>
            </w:pPr>
            <w:r>
              <w:rPr>
                <w:rFonts w:hint="eastAsia" w:ascii="宋体" w:hAnsi="宋体" w:cs="宋体"/>
                <w:b/>
                <w:bCs/>
                <w:color w:val="auto"/>
                <w:szCs w:val="21"/>
              </w:rPr>
              <w:t>保证当天15:00前接到的物流配送任务当天全部完成配送</w:t>
            </w:r>
            <w:r>
              <w:rPr>
                <w:rFonts w:hint="eastAsia" w:ascii="宋体" w:hAnsi="宋体" w:cs="宋体"/>
                <w:b/>
                <w:bCs/>
                <w:color w:val="auto"/>
                <w:szCs w:val="21"/>
                <w:lang w:eastAsia="zh-CN"/>
              </w:rPr>
              <w:t>，</w:t>
            </w:r>
            <w:r>
              <w:rPr>
                <w:rFonts w:hint="eastAsia" w:ascii="宋体" w:hAnsi="宋体" w:cs="宋体"/>
                <w:b/>
                <w:bCs/>
                <w:color w:val="auto"/>
                <w:szCs w:val="21"/>
              </w:rPr>
              <w:t>15:00后接到的任务次日全部完成配送</w:t>
            </w:r>
          </w:p>
        </w:tc>
        <w:tc>
          <w:tcPr>
            <w:tcW w:w="1787" w:type="dxa"/>
          </w:tcPr>
          <w:p w14:paraId="7B50E461">
            <w:pPr>
              <w:pStyle w:val="2"/>
              <w:rPr>
                <w:rFonts w:hint="default"/>
                <w:b/>
                <w:bCs/>
                <w:color w:val="auto"/>
                <w:szCs w:val="21"/>
                <w:vertAlign w:val="baseline"/>
                <w:lang w:val="en-US" w:eastAsia="zh-CN"/>
              </w:rPr>
            </w:pPr>
            <w:r>
              <w:rPr>
                <w:rFonts w:hint="eastAsia" w:ascii="宋体" w:hAnsi="宋体" w:cs="宋体"/>
                <w:b/>
                <w:bCs/>
                <w:color w:val="auto"/>
                <w:szCs w:val="21"/>
                <w:lang w:eastAsia="zh-CN"/>
              </w:rPr>
              <w:t>□</w:t>
            </w:r>
            <w:r>
              <w:rPr>
                <w:rFonts w:hint="eastAsia" w:ascii="宋体" w:hAnsi="宋体" w:cs="宋体"/>
                <w:b/>
                <w:bCs/>
                <w:color w:val="auto"/>
                <w:szCs w:val="21"/>
              </w:rPr>
              <w:t xml:space="preserve">完全响应 </w:t>
            </w:r>
            <w:r>
              <w:rPr>
                <w:rFonts w:hint="eastAsia" w:ascii="宋体" w:hAnsi="宋体" w:cs="宋体"/>
                <w:b/>
                <w:bCs/>
                <w:color w:val="auto"/>
                <w:szCs w:val="21"/>
                <w:lang w:val="en-US" w:eastAsia="zh-CN"/>
              </w:rPr>
              <w:t xml:space="preserve">    </w:t>
            </w:r>
            <w:r>
              <w:rPr>
                <w:rFonts w:hint="eastAsia" w:ascii="宋体" w:hAnsi="宋体" w:cs="宋体"/>
                <w:b/>
                <w:bCs/>
                <w:color w:val="auto"/>
                <w:szCs w:val="21"/>
              </w:rPr>
              <w:t xml:space="preserve"> □不响应</w:t>
            </w:r>
          </w:p>
        </w:tc>
      </w:tr>
      <w:tr w14:paraId="6A34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72574E3">
            <w:pPr>
              <w:pStyle w:val="2"/>
              <w:rPr>
                <w:rFonts w:hint="default"/>
                <w:color w:val="auto"/>
                <w:szCs w:val="21"/>
                <w:vertAlign w:val="baseline"/>
                <w:lang w:val="en-US" w:eastAsia="zh-CN"/>
              </w:rPr>
            </w:pPr>
            <w:r>
              <w:rPr>
                <w:rFonts w:hint="eastAsia"/>
                <w:color w:val="auto"/>
                <w:szCs w:val="21"/>
                <w:vertAlign w:val="baseline"/>
                <w:lang w:val="en-US" w:eastAsia="zh-CN"/>
              </w:rPr>
              <w:t>7</w:t>
            </w:r>
          </w:p>
        </w:tc>
        <w:tc>
          <w:tcPr>
            <w:tcW w:w="2136" w:type="dxa"/>
          </w:tcPr>
          <w:p w14:paraId="2A78C6EF">
            <w:pPr>
              <w:pStyle w:val="2"/>
              <w:rPr>
                <w:rFonts w:hint="default"/>
                <w:color w:val="auto"/>
                <w:szCs w:val="21"/>
                <w:vertAlign w:val="baseline"/>
                <w:lang w:val="en-US" w:eastAsia="zh-CN"/>
              </w:rPr>
            </w:pPr>
            <w:r>
              <w:rPr>
                <w:rFonts w:hint="eastAsia"/>
                <w:color w:val="auto"/>
                <w:szCs w:val="21"/>
                <w:vertAlign w:val="baseline"/>
                <w:lang w:val="en-US" w:eastAsia="zh-CN"/>
              </w:rPr>
              <w:t>人员与服务规范</w:t>
            </w:r>
          </w:p>
        </w:tc>
        <w:tc>
          <w:tcPr>
            <w:tcW w:w="5221" w:type="dxa"/>
          </w:tcPr>
          <w:p w14:paraId="7989442C">
            <w:pPr>
              <w:pStyle w:val="2"/>
              <w:rPr>
                <w:rFonts w:hint="default"/>
                <w:color w:val="auto"/>
                <w:szCs w:val="21"/>
                <w:vertAlign w:val="baseline"/>
                <w:lang w:val="en-US" w:eastAsia="zh-CN"/>
              </w:rPr>
            </w:pPr>
            <w:r>
              <w:rPr>
                <w:rFonts w:ascii="宋体" w:hAnsi="宋体" w:eastAsia="宋体" w:cs="宋体"/>
                <w:color w:val="auto"/>
                <w:sz w:val="21"/>
                <w:szCs w:val="21"/>
              </w:rPr>
              <w:t>承诺配送人员衣着整齐、文明服务，不与收货人争执、不索取物资、不泄露商业信息</w:t>
            </w:r>
          </w:p>
        </w:tc>
        <w:tc>
          <w:tcPr>
            <w:tcW w:w="1787" w:type="dxa"/>
          </w:tcPr>
          <w:p w14:paraId="7C0C54FF">
            <w:pPr>
              <w:pStyle w:val="2"/>
              <w:rPr>
                <w:rFonts w:hint="default"/>
                <w:color w:val="auto"/>
                <w:szCs w:val="21"/>
                <w:vertAlign w:val="baseline"/>
                <w:lang w:val="en-US" w:eastAsia="zh-CN"/>
              </w:rPr>
            </w:pPr>
            <w:r>
              <w:rPr>
                <w:rFonts w:hint="eastAsia" w:ascii="宋体" w:hAnsi="宋体" w:cs="宋体"/>
                <w:color w:val="auto"/>
                <w:szCs w:val="21"/>
                <w:lang w:eastAsia="zh-CN"/>
              </w:rPr>
              <w:t>□</w:t>
            </w:r>
            <w:r>
              <w:rPr>
                <w:rFonts w:hint="eastAsia" w:ascii="宋体" w:hAnsi="宋体" w:cs="宋体"/>
                <w:color w:val="auto"/>
                <w:szCs w:val="21"/>
              </w:rPr>
              <w:t xml:space="preserve">完全响应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□不响应</w:t>
            </w:r>
          </w:p>
        </w:tc>
      </w:tr>
      <w:tr w14:paraId="30E4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2C7BBCE">
            <w:pPr>
              <w:pStyle w:val="2"/>
              <w:rPr>
                <w:rFonts w:hint="default"/>
                <w:b/>
                <w:bCs/>
                <w:color w:val="auto"/>
                <w:szCs w:val="21"/>
                <w:vertAlign w:val="baseline"/>
                <w:lang w:val="en-US" w:eastAsia="zh-CN"/>
              </w:rPr>
            </w:pPr>
            <w:r>
              <w:rPr>
                <w:rFonts w:hint="eastAsia"/>
                <w:b/>
                <w:bCs/>
                <w:color w:val="auto"/>
                <w:szCs w:val="21"/>
                <w:vertAlign w:val="baseline"/>
                <w:lang w:val="en-US" w:eastAsia="zh-CN"/>
              </w:rPr>
              <w:t>8</w:t>
            </w:r>
          </w:p>
        </w:tc>
        <w:tc>
          <w:tcPr>
            <w:tcW w:w="2136" w:type="dxa"/>
          </w:tcPr>
          <w:p w14:paraId="376B0942">
            <w:pPr>
              <w:pStyle w:val="2"/>
              <w:rPr>
                <w:rFonts w:hint="default"/>
                <w:b/>
                <w:bCs/>
                <w:color w:val="auto"/>
                <w:szCs w:val="21"/>
                <w:vertAlign w:val="baseline"/>
                <w:lang w:val="en-US" w:eastAsia="zh-CN"/>
              </w:rPr>
            </w:pPr>
            <w:r>
              <w:rPr>
                <w:rFonts w:hint="eastAsia"/>
                <w:b/>
                <w:bCs/>
                <w:color w:val="auto"/>
                <w:szCs w:val="21"/>
                <w:vertAlign w:val="baseline"/>
                <w:lang w:val="en-US" w:eastAsia="zh-CN"/>
              </w:rPr>
              <w:t>节假日配送要求</w:t>
            </w:r>
          </w:p>
        </w:tc>
        <w:tc>
          <w:tcPr>
            <w:tcW w:w="5221" w:type="dxa"/>
          </w:tcPr>
          <w:p w14:paraId="106A134F">
            <w:pPr>
              <w:pStyle w:val="2"/>
              <w:rPr>
                <w:rFonts w:hint="default"/>
                <w:b/>
                <w:bCs/>
                <w:color w:val="auto"/>
                <w:szCs w:val="21"/>
                <w:vertAlign w:val="baseline"/>
                <w:lang w:val="en-US" w:eastAsia="zh-CN"/>
              </w:rPr>
            </w:pPr>
            <w:r>
              <w:rPr>
                <w:rFonts w:ascii="宋体" w:hAnsi="宋体" w:eastAsia="宋体" w:cs="宋体"/>
                <w:b/>
                <w:bCs/>
                <w:color w:val="auto"/>
                <w:sz w:val="21"/>
                <w:szCs w:val="21"/>
              </w:rPr>
              <w:t>保证节假日期间正常配送，维持与平日一致的时效及覆盖范围，</w:t>
            </w:r>
            <w:r>
              <w:rPr>
                <w:rFonts w:hint="eastAsia" w:ascii="宋体" w:hAnsi="宋体" w:cs="宋体"/>
                <w:b/>
                <w:bCs/>
                <w:color w:val="auto"/>
                <w:szCs w:val="21"/>
              </w:rPr>
              <w:t>不拒绝或延迟配送</w:t>
            </w:r>
          </w:p>
        </w:tc>
        <w:tc>
          <w:tcPr>
            <w:tcW w:w="1787" w:type="dxa"/>
          </w:tcPr>
          <w:p w14:paraId="7F56BF4B">
            <w:pPr>
              <w:pStyle w:val="2"/>
              <w:rPr>
                <w:rFonts w:hint="default"/>
                <w:b/>
                <w:bCs/>
                <w:color w:val="auto"/>
                <w:szCs w:val="21"/>
                <w:vertAlign w:val="baseline"/>
                <w:lang w:val="en-US" w:eastAsia="zh-CN"/>
              </w:rPr>
            </w:pPr>
            <w:r>
              <w:rPr>
                <w:rFonts w:hint="eastAsia" w:ascii="宋体" w:hAnsi="宋体" w:cs="宋体"/>
                <w:b/>
                <w:bCs/>
                <w:color w:val="auto"/>
                <w:szCs w:val="21"/>
                <w:lang w:eastAsia="zh-CN"/>
              </w:rPr>
              <w:t>□</w:t>
            </w:r>
            <w:r>
              <w:rPr>
                <w:rFonts w:hint="eastAsia" w:ascii="宋体" w:hAnsi="宋体" w:cs="宋体"/>
                <w:b/>
                <w:bCs/>
                <w:color w:val="auto"/>
                <w:szCs w:val="21"/>
              </w:rPr>
              <w:t xml:space="preserve">完全响应 </w:t>
            </w:r>
            <w:r>
              <w:rPr>
                <w:rFonts w:hint="eastAsia" w:ascii="宋体" w:hAnsi="宋体" w:cs="宋体"/>
                <w:b/>
                <w:bCs/>
                <w:color w:val="auto"/>
                <w:szCs w:val="21"/>
                <w:lang w:val="en-US" w:eastAsia="zh-CN"/>
              </w:rPr>
              <w:t xml:space="preserve">    </w:t>
            </w:r>
            <w:r>
              <w:rPr>
                <w:rFonts w:hint="eastAsia" w:ascii="宋体" w:hAnsi="宋体" w:cs="宋体"/>
                <w:b/>
                <w:bCs/>
                <w:color w:val="auto"/>
                <w:szCs w:val="21"/>
              </w:rPr>
              <w:t xml:space="preserve"> □不响应</w:t>
            </w:r>
          </w:p>
        </w:tc>
      </w:tr>
      <w:tr w14:paraId="0624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BA3B4D6">
            <w:pPr>
              <w:pStyle w:val="2"/>
              <w:rPr>
                <w:rFonts w:hint="default"/>
                <w:color w:val="auto"/>
                <w:szCs w:val="21"/>
                <w:vertAlign w:val="baseline"/>
                <w:lang w:val="en-US" w:eastAsia="zh-CN"/>
              </w:rPr>
            </w:pPr>
            <w:r>
              <w:rPr>
                <w:rFonts w:hint="eastAsia"/>
                <w:color w:val="auto"/>
                <w:szCs w:val="21"/>
                <w:vertAlign w:val="baseline"/>
                <w:lang w:val="en-US" w:eastAsia="zh-CN"/>
              </w:rPr>
              <w:t>9</w:t>
            </w:r>
          </w:p>
        </w:tc>
        <w:tc>
          <w:tcPr>
            <w:tcW w:w="2136" w:type="dxa"/>
          </w:tcPr>
          <w:p w14:paraId="4A1076AF">
            <w:pPr>
              <w:pStyle w:val="2"/>
              <w:rPr>
                <w:rFonts w:hint="default"/>
                <w:color w:val="auto"/>
                <w:szCs w:val="21"/>
                <w:vertAlign w:val="baseline"/>
                <w:lang w:val="en-US" w:eastAsia="zh-CN"/>
              </w:rPr>
            </w:pPr>
            <w:r>
              <w:rPr>
                <w:rFonts w:hint="eastAsia"/>
                <w:color w:val="auto"/>
                <w:szCs w:val="21"/>
                <w:vertAlign w:val="baseline"/>
                <w:lang w:val="en-US" w:eastAsia="zh-CN"/>
              </w:rPr>
              <w:t>货物安全与风险承担</w:t>
            </w:r>
          </w:p>
        </w:tc>
        <w:tc>
          <w:tcPr>
            <w:tcW w:w="5221" w:type="dxa"/>
          </w:tcPr>
          <w:p w14:paraId="45E4225D">
            <w:pPr>
              <w:pStyle w:val="2"/>
              <w:rPr>
                <w:rFonts w:hint="default"/>
                <w:color w:val="auto"/>
                <w:szCs w:val="21"/>
                <w:vertAlign w:val="baseline"/>
                <w:lang w:val="en-US" w:eastAsia="zh-CN"/>
              </w:rPr>
            </w:pPr>
            <w:r>
              <w:rPr>
                <w:rFonts w:ascii="宋体" w:hAnsi="宋体" w:eastAsia="宋体" w:cs="宋体"/>
                <w:color w:val="auto"/>
                <w:sz w:val="21"/>
                <w:szCs w:val="21"/>
              </w:rPr>
              <w:t>承诺承担货物出库后至送达前的毁损、灭失风险，车辆证照及保险手续齐全</w:t>
            </w:r>
          </w:p>
        </w:tc>
        <w:tc>
          <w:tcPr>
            <w:tcW w:w="1787" w:type="dxa"/>
          </w:tcPr>
          <w:p w14:paraId="77756B65">
            <w:pPr>
              <w:pStyle w:val="2"/>
              <w:rPr>
                <w:rFonts w:hint="default"/>
                <w:color w:val="auto"/>
                <w:szCs w:val="21"/>
                <w:vertAlign w:val="baseline"/>
                <w:lang w:val="en-US" w:eastAsia="zh-CN"/>
              </w:rPr>
            </w:pPr>
            <w:r>
              <w:rPr>
                <w:rFonts w:hint="eastAsia" w:ascii="宋体" w:hAnsi="宋体" w:cs="宋体"/>
                <w:color w:val="auto"/>
                <w:szCs w:val="21"/>
                <w:lang w:eastAsia="zh-CN"/>
              </w:rPr>
              <w:t>□</w:t>
            </w:r>
            <w:r>
              <w:rPr>
                <w:rFonts w:hint="eastAsia" w:ascii="宋体" w:hAnsi="宋体" w:cs="宋体"/>
                <w:color w:val="auto"/>
                <w:szCs w:val="21"/>
              </w:rPr>
              <w:t xml:space="preserve">完全响应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□不响应</w:t>
            </w:r>
          </w:p>
        </w:tc>
      </w:tr>
      <w:tr w14:paraId="7FD8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94AB603">
            <w:pPr>
              <w:pStyle w:val="2"/>
              <w:rPr>
                <w:rFonts w:hint="default"/>
                <w:color w:val="auto"/>
                <w:szCs w:val="21"/>
                <w:vertAlign w:val="baseline"/>
                <w:lang w:val="en-US" w:eastAsia="zh-CN"/>
              </w:rPr>
            </w:pPr>
            <w:r>
              <w:rPr>
                <w:rFonts w:hint="eastAsia"/>
                <w:color w:val="auto"/>
                <w:szCs w:val="21"/>
                <w:vertAlign w:val="baseline"/>
                <w:lang w:val="en-US" w:eastAsia="zh-CN"/>
              </w:rPr>
              <w:t>10</w:t>
            </w:r>
          </w:p>
        </w:tc>
        <w:tc>
          <w:tcPr>
            <w:tcW w:w="2136" w:type="dxa"/>
          </w:tcPr>
          <w:p w14:paraId="50105525">
            <w:pPr>
              <w:pStyle w:val="2"/>
              <w:rPr>
                <w:rFonts w:hint="default"/>
                <w:color w:val="auto"/>
                <w:szCs w:val="21"/>
                <w:vertAlign w:val="baseline"/>
                <w:lang w:val="en-US" w:eastAsia="zh-CN"/>
              </w:rPr>
            </w:pPr>
            <w:r>
              <w:rPr>
                <w:rFonts w:hint="eastAsia"/>
                <w:color w:val="auto"/>
                <w:szCs w:val="21"/>
                <w:vertAlign w:val="baseline"/>
                <w:lang w:val="en-US" w:eastAsia="zh-CN"/>
              </w:rPr>
              <w:t>付款方式与结算</w:t>
            </w:r>
          </w:p>
        </w:tc>
        <w:tc>
          <w:tcPr>
            <w:tcW w:w="5221" w:type="dxa"/>
          </w:tcPr>
          <w:p w14:paraId="5A1B74E8">
            <w:pPr>
              <w:pStyle w:val="2"/>
              <w:rPr>
                <w:rFonts w:hint="default"/>
                <w:color w:val="auto"/>
                <w:szCs w:val="21"/>
                <w:vertAlign w:val="baseline"/>
                <w:lang w:val="en-US" w:eastAsia="zh-CN"/>
              </w:rPr>
            </w:pPr>
            <w:r>
              <w:rPr>
                <w:rFonts w:ascii="宋体" w:hAnsi="宋体" w:eastAsia="宋体" w:cs="宋体"/>
                <w:color w:val="auto"/>
                <w:sz w:val="21"/>
                <w:szCs w:val="21"/>
              </w:rPr>
              <w:t>认可按月结算，次月提交请款报告及增值税专用发票，接受甲方15个工作日内付款的约定</w:t>
            </w:r>
          </w:p>
        </w:tc>
        <w:tc>
          <w:tcPr>
            <w:tcW w:w="1787" w:type="dxa"/>
          </w:tcPr>
          <w:p w14:paraId="06FF46B1">
            <w:pPr>
              <w:pStyle w:val="2"/>
              <w:rPr>
                <w:rFonts w:hint="default"/>
                <w:color w:val="auto"/>
                <w:szCs w:val="21"/>
                <w:vertAlign w:val="baseline"/>
                <w:lang w:val="en-US" w:eastAsia="zh-CN"/>
              </w:rPr>
            </w:pPr>
            <w:r>
              <w:rPr>
                <w:rFonts w:hint="eastAsia" w:ascii="宋体" w:hAnsi="宋体" w:cs="宋体"/>
                <w:color w:val="auto"/>
                <w:szCs w:val="21"/>
                <w:lang w:eastAsia="zh-CN"/>
              </w:rPr>
              <w:t>□</w:t>
            </w:r>
            <w:r>
              <w:rPr>
                <w:rFonts w:hint="eastAsia" w:ascii="宋体" w:hAnsi="宋体" w:cs="宋体"/>
                <w:color w:val="auto"/>
                <w:szCs w:val="21"/>
              </w:rPr>
              <w:t xml:space="preserve">完全响应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□不响应</w:t>
            </w:r>
          </w:p>
        </w:tc>
      </w:tr>
      <w:tr w14:paraId="4CDA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D008663">
            <w:pPr>
              <w:pStyle w:val="2"/>
              <w:rPr>
                <w:rFonts w:hint="default"/>
                <w:color w:val="auto"/>
                <w:szCs w:val="21"/>
                <w:vertAlign w:val="baseline"/>
                <w:lang w:val="en-US" w:eastAsia="zh-CN"/>
              </w:rPr>
            </w:pPr>
            <w:r>
              <w:rPr>
                <w:rFonts w:hint="eastAsia"/>
                <w:color w:val="auto"/>
                <w:szCs w:val="21"/>
                <w:vertAlign w:val="baseline"/>
                <w:lang w:val="en-US" w:eastAsia="zh-CN"/>
              </w:rPr>
              <w:t>11</w:t>
            </w:r>
          </w:p>
        </w:tc>
        <w:tc>
          <w:tcPr>
            <w:tcW w:w="2136" w:type="dxa"/>
          </w:tcPr>
          <w:p w14:paraId="6407A481">
            <w:pPr>
              <w:pStyle w:val="2"/>
              <w:rPr>
                <w:rFonts w:hint="default"/>
                <w:color w:val="auto"/>
                <w:szCs w:val="21"/>
                <w:vertAlign w:val="baseline"/>
                <w:lang w:val="en-US" w:eastAsia="zh-CN"/>
              </w:rPr>
            </w:pPr>
            <w:r>
              <w:rPr>
                <w:rFonts w:hint="eastAsia"/>
                <w:color w:val="auto"/>
                <w:szCs w:val="21"/>
                <w:vertAlign w:val="baseline"/>
                <w:lang w:val="en-US" w:eastAsia="zh-CN"/>
              </w:rPr>
              <w:t>资质备案要求</w:t>
            </w:r>
          </w:p>
        </w:tc>
        <w:tc>
          <w:tcPr>
            <w:tcW w:w="5221" w:type="dxa"/>
          </w:tcPr>
          <w:p w14:paraId="65080B59">
            <w:pPr>
              <w:pStyle w:val="2"/>
              <w:rPr>
                <w:rFonts w:hint="default"/>
                <w:color w:val="auto"/>
                <w:szCs w:val="21"/>
                <w:vertAlign w:val="baseline"/>
                <w:lang w:val="en-US" w:eastAsia="zh-CN"/>
              </w:rPr>
            </w:pPr>
            <w:r>
              <w:rPr>
                <w:rFonts w:ascii="宋体" w:hAnsi="宋体" w:eastAsia="宋体" w:cs="宋体"/>
                <w:color w:val="auto"/>
                <w:sz w:val="21"/>
                <w:szCs w:val="21"/>
              </w:rPr>
              <w:t>承诺提供公司资质、车辆证照、人员证件等备案材料，信息变更时及时更新</w:t>
            </w:r>
          </w:p>
        </w:tc>
        <w:tc>
          <w:tcPr>
            <w:tcW w:w="1787" w:type="dxa"/>
          </w:tcPr>
          <w:p w14:paraId="655CEAA2">
            <w:pPr>
              <w:pStyle w:val="2"/>
              <w:rPr>
                <w:rFonts w:hint="default"/>
                <w:color w:val="auto"/>
                <w:szCs w:val="21"/>
                <w:vertAlign w:val="baseline"/>
                <w:lang w:val="en-US" w:eastAsia="zh-CN"/>
              </w:rPr>
            </w:pPr>
            <w:r>
              <w:rPr>
                <w:rFonts w:hint="eastAsia" w:ascii="宋体" w:hAnsi="宋体" w:cs="宋体"/>
                <w:color w:val="auto"/>
                <w:szCs w:val="21"/>
                <w:lang w:eastAsia="zh-CN"/>
              </w:rPr>
              <w:t>□</w:t>
            </w:r>
            <w:r>
              <w:rPr>
                <w:rFonts w:hint="eastAsia" w:ascii="宋体" w:hAnsi="宋体" w:cs="宋体"/>
                <w:color w:val="auto"/>
                <w:szCs w:val="21"/>
              </w:rPr>
              <w:t xml:space="preserve">完全响应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□不响应</w:t>
            </w:r>
          </w:p>
        </w:tc>
      </w:tr>
      <w:tr w14:paraId="0DD5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30EF093">
            <w:pPr>
              <w:pStyle w:val="2"/>
              <w:rPr>
                <w:rFonts w:hint="default"/>
                <w:b/>
                <w:bCs/>
                <w:color w:val="auto"/>
                <w:szCs w:val="21"/>
                <w:vertAlign w:val="baseline"/>
                <w:lang w:val="en-US" w:eastAsia="zh-CN"/>
              </w:rPr>
            </w:pPr>
            <w:r>
              <w:rPr>
                <w:rFonts w:hint="eastAsia"/>
                <w:b/>
                <w:bCs/>
                <w:color w:val="auto"/>
                <w:szCs w:val="21"/>
                <w:vertAlign w:val="baseline"/>
                <w:lang w:val="en-US" w:eastAsia="zh-CN"/>
              </w:rPr>
              <w:t>12</w:t>
            </w:r>
          </w:p>
        </w:tc>
        <w:tc>
          <w:tcPr>
            <w:tcW w:w="2136" w:type="dxa"/>
          </w:tcPr>
          <w:p w14:paraId="144369FE">
            <w:pPr>
              <w:pStyle w:val="2"/>
              <w:rPr>
                <w:rFonts w:hint="eastAsia"/>
                <w:b/>
                <w:bCs/>
                <w:color w:val="auto"/>
                <w:szCs w:val="21"/>
                <w:vertAlign w:val="baseline"/>
                <w:lang w:val="en-US" w:eastAsia="zh-CN"/>
              </w:rPr>
            </w:pPr>
            <w:r>
              <w:rPr>
                <w:rFonts w:hint="eastAsia"/>
                <w:b/>
                <w:bCs/>
                <w:color w:val="auto"/>
                <w:szCs w:val="21"/>
              </w:rPr>
              <w:t>违约责任-未按时提货派送</w:t>
            </w:r>
          </w:p>
        </w:tc>
        <w:tc>
          <w:tcPr>
            <w:tcW w:w="5221" w:type="dxa"/>
          </w:tcPr>
          <w:p w14:paraId="560FA92F">
            <w:pPr>
              <w:pStyle w:val="2"/>
              <w:rPr>
                <w:rFonts w:ascii="宋体" w:hAnsi="宋体" w:eastAsia="宋体" w:cs="宋体"/>
                <w:b/>
                <w:bCs/>
                <w:color w:val="auto"/>
                <w:sz w:val="21"/>
                <w:szCs w:val="21"/>
              </w:rPr>
            </w:pPr>
            <w:r>
              <w:rPr>
                <w:rFonts w:hint="eastAsia" w:ascii="宋体" w:hAnsi="宋体" w:cs="宋体"/>
                <w:b/>
                <w:bCs/>
                <w:color w:val="auto"/>
                <w:szCs w:val="21"/>
              </w:rPr>
              <w:t>未按甲方要求提货、派送，超两个工作日按对应配送费用（含税）的50%支付违约金；超三个工作日甲方有权解除合同，按对应配送费用（含税）的100%支付违约金，同时承担客户投诉及甲方损失赔偿责任</w:t>
            </w:r>
          </w:p>
        </w:tc>
        <w:tc>
          <w:tcPr>
            <w:tcW w:w="1787" w:type="dxa"/>
          </w:tcPr>
          <w:p w14:paraId="2322C1FD">
            <w:pPr>
              <w:pStyle w:val="2"/>
              <w:rPr>
                <w:rFonts w:hint="eastAsia" w:ascii="宋体" w:hAnsi="宋体" w:cs="宋体"/>
                <w:b/>
                <w:bCs/>
                <w:color w:val="auto"/>
                <w:szCs w:val="21"/>
                <w:lang w:eastAsia="zh-CN"/>
              </w:rPr>
            </w:pPr>
            <w:r>
              <w:rPr>
                <w:rFonts w:hint="eastAsia" w:ascii="宋体" w:hAnsi="宋体" w:cs="宋体"/>
                <w:b/>
                <w:bCs/>
                <w:color w:val="auto"/>
                <w:szCs w:val="21"/>
                <w:lang w:eastAsia="zh-CN"/>
              </w:rPr>
              <w:t>□</w:t>
            </w:r>
            <w:r>
              <w:rPr>
                <w:rFonts w:hint="eastAsia" w:ascii="宋体" w:hAnsi="宋体" w:cs="宋体"/>
                <w:b/>
                <w:bCs/>
                <w:color w:val="auto"/>
                <w:szCs w:val="21"/>
              </w:rPr>
              <w:t xml:space="preserve">完全响应 </w:t>
            </w:r>
            <w:r>
              <w:rPr>
                <w:rFonts w:hint="eastAsia" w:ascii="宋体" w:hAnsi="宋体" w:cs="宋体"/>
                <w:b/>
                <w:bCs/>
                <w:color w:val="auto"/>
                <w:szCs w:val="21"/>
                <w:lang w:val="en-US" w:eastAsia="zh-CN"/>
              </w:rPr>
              <w:t xml:space="preserve">    </w:t>
            </w:r>
            <w:r>
              <w:rPr>
                <w:rFonts w:hint="eastAsia" w:ascii="宋体" w:hAnsi="宋体" w:cs="宋体"/>
                <w:b/>
                <w:bCs/>
                <w:color w:val="auto"/>
                <w:szCs w:val="21"/>
              </w:rPr>
              <w:t xml:space="preserve"> □不响应</w:t>
            </w:r>
          </w:p>
        </w:tc>
      </w:tr>
      <w:tr w14:paraId="6BF9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A1917DB">
            <w:pPr>
              <w:pStyle w:val="2"/>
              <w:rPr>
                <w:rFonts w:hint="default"/>
                <w:b/>
                <w:bCs/>
                <w:color w:val="auto"/>
                <w:szCs w:val="21"/>
                <w:vertAlign w:val="baseline"/>
                <w:lang w:val="en-US" w:eastAsia="zh-CN"/>
              </w:rPr>
            </w:pPr>
            <w:r>
              <w:rPr>
                <w:rFonts w:hint="eastAsia"/>
                <w:b/>
                <w:bCs/>
                <w:color w:val="auto"/>
                <w:szCs w:val="21"/>
                <w:vertAlign w:val="baseline"/>
                <w:lang w:val="en-US" w:eastAsia="zh-CN"/>
              </w:rPr>
              <w:t>13</w:t>
            </w:r>
          </w:p>
        </w:tc>
        <w:tc>
          <w:tcPr>
            <w:tcW w:w="2136" w:type="dxa"/>
          </w:tcPr>
          <w:p w14:paraId="4DFFA4CC">
            <w:pPr>
              <w:pStyle w:val="2"/>
              <w:rPr>
                <w:rFonts w:hint="eastAsia"/>
                <w:b/>
                <w:bCs/>
                <w:color w:val="auto"/>
                <w:szCs w:val="21"/>
                <w:vertAlign w:val="baseline"/>
                <w:lang w:val="en-US" w:eastAsia="zh-CN"/>
              </w:rPr>
            </w:pPr>
            <w:r>
              <w:rPr>
                <w:rFonts w:hint="eastAsia"/>
                <w:b/>
                <w:bCs/>
                <w:color w:val="auto"/>
                <w:szCs w:val="21"/>
              </w:rPr>
              <w:t>违约责任-服务态度投诉</w:t>
            </w:r>
          </w:p>
        </w:tc>
        <w:tc>
          <w:tcPr>
            <w:tcW w:w="5221" w:type="dxa"/>
          </w:tcPr>
          <w:p w14:paraId="36F33B35">
            <w:pPr>
              <w:pStyle w:val="2"/>
              <w:rPr>
                <w:rFonts w:ascii="宋体" w:hAnsi="宋体" w:eastAsia="宋体" w:cs="宋体"/>
                <w:b/>
                <w:bCs/>
                <w:color w:val="auto"/>
                <w:sz w:val="21"/>
                <w:szCs w:val="21"/>
              </w:rPr>
            </w:pPr>
            <w:r>
              <w:rPr>
                <w:rFonts w:hint="eastAsia" w:ascii="宋体" w:hAnsi="宋体" w:cs="宋体"/>
                <w:b/>
                <w:bCs/>
                <w:color w:val="auto"/>
                <w:szCs w:val="21"/>
              </w:rPr>
              <w:t>收到客户关于配送人员服务态度恶劣的有效投诉，按100元/次支付违约金，立即对涉事人员批评教育或更换</w:t>
            </w:r>
          </w:p>
        </w:tc>
        <w:tc>
          <w:tcPr>
            <w:tcW w:w="1787" w:type="dxa"/>
          </w:tcPr>
          <w:p w14:paraId="38BBB50B">
            <w:pPr>
              <w:pStyle w:val="2"/>
              <w:rPr>
                <w:rFonts w:hint="eastAsia" w:ascii="宋体" w:hAnsi="宋体" w:cs="宋体"/>
                <w:b/>
                <w:bCs/>
                <w:color w:val="auto"/>
                <w:szCs w:val="21"/>
                <w:lang w:eastAsia="zh-CN"/>
              </w:rPr>
            </w:pPr>
            <w:r>
              <w:rPr>
                <w:rFonts w:hint="eastAsia" w:ascii="宋体" w:hAnsi="宋体" w:cs="宋体"/>
                <w:b/>
                <w:bCs/>
                <w:color w:val="auto"/>
                <w:szCs w:val="21"/>
                <w:lang w:eastAsia="zh-CN"/>
              </w:rPr>
              <w:t>□</w:t>
            </w:r>
            <w:r>
              <w:rPr>
                <w:rFonts w:hint="eastAsia" w:ascii="宋体" w:hAnsi="宋体" w:cs="宋体"/>
                <w:b/>
                <w:bCs/>
                <w:color w:val="auto"/>
                <w:szCs w:val="21"/>
              </w:rPr>
              <w:t xml:space="preserve">完全响应 </w:t>
            </w:r>
            <w:r>
              <w:rPr>
                <w:rFonts w:hint="eastAsia" w:ascii="宋体" w:hAnsi="宋体" w:cs="宋体"/>
                <w:b/>
                <w:bCs/>
                <w:color w:val="auto"/>
                <w:szCs w:val="21"/>
                <w:lang w:val="en-US" w:eastAsia="zh-CN"/>
              </w:rPr>
              <w:t xml:space="preserve">    </w:t>
            </w:r>
            <w:r>
              <w:rPr>
                <w:rFonts w:hint="eastAsia" w:ascii="宋体" w:hAnsi="宋体" w:cs="宋体"/>
                <w:b/>
                <w:bCs/>
                <w:color w:val="auto"/>
                <w:szCs w:val="21"/>
              </w:rPr>
              <w:t xml:space="preserve"> □不响应</w:t>
            </w:r>
          </w:p>
        </w:tc>
      </w:tr>
      <w:tr w14:paraId="7728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C51FDC8">
            <w:pPr>
              <w:pStyle w:val="2"/>
              <w:rPr>
                <w:rFonts w:hint="default"/>
                <w:b/>
                <w:bCs/>
                <w:color w:val="auto"/>
                <w:szCs w:val="21"/>
                <w:vertAlign w:val="baseline"/>
                <w:lang w:val="en-US" w:eastAsia="zh-CN"/>
              </w:rPr>
            </w:pPr>
            <w:r>
              <w:rPr>
                <w:rFonts w:hint="eastAsia"/>
                <w:b/>
                <w:bCs/>
                <w:color w:val="auto"/>
                <w:szCs w:val="21"/>
                <w:vertAlign w:val="baseline"/>
                <w:lang w:val="en-US" w:eastAsia="zh-CN"/>
              </w:rPr>
              <w:t>14</w:t>
            </w:r>
          </w:p>
        </w:tc>
        <w:tc>
          <w:tcPr>
            <w:tcW w:w="2136" w:type="dxa"/>
          </w:tcPr>
          <w:p w14:paraId="35750DB8">
            <w:pPr>
              <w:pStyle w:val="2"/>
              <w:rPr>
                <w:rFonts w:hint="eastAsia"/>
                <w:b/>
                <w:bCs/>
                <w:color w:val="auto"/>
                <w:szCs w:val="21"/>
                <w:vertAlign w:val="baseline"/>
                <w:lang w:val="en-US" w:eastAsia="zh-CN"/>
              </w:rPr>
            </w:pPr>
            <w:r>
              <w:rPr>
                <w:rFonts w:hint="eastAsia"/>
                <w:b/>
                <w:bCs/>
                <w:color w:val="auto"/>
                <w:szCs w:val="21"/>
              </w:rPr>
              <w:t>违约责任-信息反馈问题</w:t>
            </w:r>
          </w:p>
        </w:tc>
        <w:tc>
          <w:tcPr>
            <w:tcW w:w="5221" w:type="dxa"/>
          </w:tcPr>
          <w:p w14:paraId="5DECB7D7">
            <w:pPr>
              <w:pStyle w:val="2"/>
              <w:rPr>
                <w:rFonts w:ascii="宋体" w:hAnsi="宋体" w:eastAsia="宋体" w:cs="宋体"/>
                <w:b/>
                <w:bCs/>
                <w:color w:val="auto"/>
                <w:sz w:val="21"/>
                <w:szCs w:val="21"/>
              </w:rPr>
            </w:pPr>
            <w:r>
              <w:rPr>
                <w:rFonts w:hint="eastAsia" w:ascii="宋体" w:hAnsi="宋体" w:cs="宋体"/>
                <w:b/>
                <w:bCs/>
                <w:color w:val="auto"/>
                <w:szCs w:val="21"/>
              </w:rPr>
              <w:t>未按时反馈或反馈配送进度、货物交付情况等信息不准确，按100元/次支付违约金；导致甲方决策失误或客户服务不到位，承担全部损失</w:t>
            </w:r>
          </w:p>
        </w:tc>
        <w:tc>
          <w:tcPr>
            <w:tcW w:w="1787" w:type="dxa"/>
          </w:tcPr>
          <w:p w14:paraId="38446253">
            <w:pPr>
              <w:pStyle w:val="2"/>
              <w:rPr>
                <w:rFonts w:hint="eastAsia" w:ascii="宋体" w:hAnsi="宋体" w:cs="宋体"/>
                <w:b/>
                <w:bCs/>
                <w:color w:val="auto"/>
                <w:szCs w:val="21"/>
                <w:lang w:eastAsia="zh-CN"/>
              </w:rPr>
            </w:pPr>
            <w:r>
              <w:rPr>
                <w:rFonts w:hint="eastAsia" w:ascii="宋体" w:hAnsi="宋体" w:cs="宋体"/>
                <w:b/>
                <w:bCs/>
                <w:color w:val="auto"/>
                <w:szCs w:val="21"/>
                <w:lang w:eastAsia="zh-CN"/>
              </w:rPr>
              <w:t>□</w:t>
            </w:r>
            <w:r>
              <w:rPr>
                <w:rFonts w:hint="eastAsia" w:ascii="宋体" w:hAnsi="宋体" w:cs="宋体"/>
                <w:b/>
                <w:bCs/>
                <w:color w:val="auto"/>
                <w:szCs w:val="21"/>
              </w:rPr>
              <w:t xml:space="preserve">完全响应 </w:t>
            </w:r>
            <w:r>
              <w:rPr>
                <w:rFonts w:hint="eastAsia" w:ascii="宋体" w:hAnsi="宋体" w:cs="宋体"/>
                <w:b/>
                <w:bCs/>
                <w:color w:val="auto"/>
                <w:szCs w:val="21"/>
                <w:lang w:val="en-US" w:eastAsia="zh-CN"/>
              </w:rPr>
              <w:t xml:space="preserve">    </w:t>
            </w:r>
            <w:r>
              <w:rPr>
                <w:rFonts w:hint="eastAsia" w:ascii="宋体" w:hAnsi="宋体" w:cs="宋体"/>
                <w:b/>
                <w:bCs/>
                <w:color w:val="auto"/>
                <w:szCs w:val="21"/>
              </w:rPr>
              <w:t xml:space="preserve"> □不响应</w:t>
            </w:r>
          </w:p>
        </w:tc>
      </w:tr>
    </w:tbl>
    <w:p w14:paraId="71E3EA22">
      <w:pPr>
        <w:pStyle w:val="2"/>
        <w:rPr>
          <w:rFonts w:hint="default"/>
          <w:lang w:val="en-US" w:eastAsia="zh-CN"/>
        </w:rPr>
      </w:pPr>
    </w:p>
    <w:p w14:paraId="5DBA83A5">
      <w:pPr>
        <w:ind w:left="0" w:leftChars="0" w:firstLine="4410" w:firstLineChars="2100"/>
        <w:rPr>
          <w:rFonts w:hint="default" w:ascii="Times New Roman" w:hAnsi="Times New Roman" w:cs="Times New Roman"/>
          <w:szCs w:val="21"/>
          <w:highlight w:val="none"/>
        </w:rPr>
      </w:pPr>
      <w:bookmarkStart w:id="46" w:name="_GoBack"/>
      <w:bookmarkEnd w:id="46"/>
      <w:r>
        <w:rPr>
          <w:rFonts w:hint="default" w:ascii="Times New Roman" w:hAnsi="Times New Roman" w:cs="Times New Roman"/>
          <w:szCs w:val="21"/>
          <w:highlight w:val="none"/>
        </w:rPr>
        <w:t>供应商名称（加盖公章）：</w:t>
      </w:r>
    </w:p>
    <w:p w14:paraId="74CAC44D">
      <w:pPr>
        <w:ind w:firstLine="4410" w:firstLineChars="2100"/>
        <w:jc w:val="left"/>
        <w:rPr>
          <w:rFonts w:hint="default" w:ascii="Times New Roman" w:hAnsi="Times New Roman" w:cs="Times New Roman"/>
          <w:color w:val="000000"/>
          <w:kern w:val="2"/>
          <w:szCs w:val="28"/>
          <w:highlight w:val="none"/>
          <w:lang w:val="zh-CN"/>
        </w:rPr>
      </w:pPr>
      <w:r>
        <w:rPr>
          <w:rFonts w:hint="default" w:ascii="Times New Roman" w:hAnsi="Times New Roman" w:cs="Times New Roman"/>
          <w:szCs w:val="21"/>
          <w:highlight w:val="none"/>
        </w:rPr>
        <w:t>日期：    年  月  日</w:t>
      </w:r>
    </w:p>
    <w:p w14:paraId="50DB1B5E">
      <w:pPr>
        <w:rPr>
          <w:rFonts w:hint="eastAsia" w:cs="Times New Roman"/>
          <w:b/>
          <w:color w:val="000000"/>
          <w:sz w:val="28"/>
          <w:szCs w:val="28"/>
          <w:highlight w:val="none"/>
          <w:lang w:val="en-US" w:eastAsia="zh-CN"/>
        </w:rPr>
      </w:pPr>
    </w:p>
    <w:p w14:paraId="236321C1">
      <w:pPr>
        <w:rPr>
          <w:rFonts w:hint="eastAsia" w:cs="Times New Roman"/>
          <w:b/>
          <w:color w:val="000000"/>
          <w:sz w:val="28"/>
          <w:szCs w:val="28"/>
          <w:highlight w:val="none"/>
          <w:lang w:val="en-US" w:eastAsia="zh-CN"/>
        </w:rPr>
      </w:pPr>
    </w:p>
    <w:p w14:paraId="706266D6">
      <w:pPr>
        <w:rPr>
          <w:rFonts w:hint="default" w:ascii="Times New Roman" w:hAnsi="Times New Roman" w:cs="Times New Roman"/>
          <w:b/>
          <w:color w:val="000000"/>
          <w:sz w:val="28"/>
          <w:szCs w:val="28"/>
          <w:highlight w:val="none"/>
        </w:rPr>
      </w:pPr>
      <w:r>
        <w:rPr>
          <w:rFonts w:hint="eastAsia" w:cs="Times New Roman"/>
          <w:b/>
          <w:color w:val="000000"/>
          <w:sz w:val="28"/>
          <w:szCs w:val="28"/>
          <w:highlight w:val="none"/>
          <w:lang w:val="en-US" w:eastAsia="zh-CN"/>
        </w:rPr>
        <w:t>3</w:t>
      </w:r>
      <w:r>
        <w:rPr>
          <w:rFonts w:hint="default" w:ascii="Times New Roman" w:hAnsi="Times New Roman" w:cs="Times New Roman"/>
          <w:b/>
          <w:color w:val="000000"/>
          <w:sz w:val="28"/>
          <w:szCs w:val="28"/>
          <w:highlight w:val="none"/>
        </w:rPr>
        <w:t>.</w:t>
      </w:r>
      <w:bookmarkStart w:id="38" w:name="_Hlk40432212"/>
      <w:r>
        <w:rPr>
          <w:rFonts w:hint="default" w:ascii="Times New Roman" w:hAnsi="Times New Roman" w:cs="Times New Roman"/>
          <w:b/>
          <w:color w:val="000000"/>
          <w:sz w:val="28"/>
          <w:szCs w:val="28"/>
          <w:highlight w:val="none"/>
        </w:rPr>
        <w:t>项目响应声明</w:t>
      </w:r>
      <w:bookmarkEnd w:id="38"/>
    </w:p>
    <w:p w14:paraId="2A10A284">
      <w:pPr>
        <w:spacing w:line="360" w:lineRule="auto"/>
        <w:ind w:firstLine="420" w:firstLineChars="200"/>
        <w:rPr>
          <w:rFonts w:hint="default" w:ascii="Times New Roman" w:hAnsi="Times New Roman" w:cs="Times New Roman"/>
          <w:color w:val="000000"/>
          <w:sz w:val="21"/>
          <w:szCs w:val="21"/>
          <w:highlight w:val="none"/>
        </w:rPr>
      </w:pPr>
    </w:p>
    <w:p w14:paraId="0BA8E9EF">
      <w:pPr>
        <w:spacing w:line="360" w:lineRule="auto"/>
        <w:ind w:left="-2" w:leftChars="-1" w:firstLine="1"/>
        <w:jc w:val="center"/>
        <w:rPr>
          <w:rFonts w:hint="default" w:ascii="Times New Roman" w:hAnsi="Times New Roman" w:cs="Times New Roman"/>
          <w:b/>
          <w:bCs/>
          <w:kern w:val="2"/>
          <w:sz w:val="32"/>
          <w:szCs w:val="32"/>
          <w:highlight w:val="none"/>
          <w:lang w:val="zh-CN"/>
        </w:rPr>
      </w:pPr>
    </w:p>
    <w:p w14:paraId="7FB805AB">
      <w:pPr>
        <w:spacing w:line="360" w:lineRule="auto"/>
        <w:ind w:left="-2" w:leftChars="-1" w:firstLine="1"/>
        <w:jc w:val="center"/>
        <w:rPr>
          <w:rFonts w:hint="default" w:ascii="Times New Roman" w:hAnsi="Times New Roman" w:cs="Times New Roman"/>
          <w:b/>
          <w:bCs/>
          <w:kern w:val="2"/>
          <w:sz w:val="28"/>
          <w:szCs w:val="28"/>
          <w:highlight w:val="none"/>
          <w:lang w:val="zh-CN"/>
        </w:rPr>
      </w:pPr>
      <w:r>
        <w:rPr>
          <w:rFonts w:hint="default" w:ascii="Times New Roman" w:hAnsi="Times New Roman" w:cs="Times New Roman"/>
          <w:b/>
          <w:bCs/>
          <w:kern w:val="2"/>
          <w:sz w:val="28"/>
          <w:szCs w:val="28"/>
          <w:highlight w:val="none"/>
          <w:lang w:val="zh-CN"/>
        </w:rPr>
        <w:t>响应声明</w:t>
      </w:r>
    </w:p>
    <w:p w14:paraId="35B0A6B2">
      <w:pPr>
        <w:spacing w:line="360" w:lineRule="auto"/>
        <w:ind w:firstLine="424" w:firstLineChars="202"/>
        <w:rPr>
          <w:rFonts w:hint="default" w:ascii="Times New Roman" w:hAnsi="Times New Roman" w:cs="Times New Roman"/>
          <w:highlight w:val="none"/>
        </w:rPr>
      </w:pPr>
      <w:r>
        <w:rPr>
          <w:rFonts w:hint="default" w:ascii="Times New Roman" w:hAnsi="Times New Roman" w:cs="Times New Roman"/>
          <w:highlight w:val="none"/>
        </w:rPr>
        <w:t>我方已详细查阅了询价文件的所有内容，对询价文件中的“第三篇</w:t>
      </w:r>
      <w:r>
        <w:rPr>
          <w:rFonts w:hint="eastAsia" w:cs="Times New Roman"/>
          <w:highlight w:val="none"/>
          <w:lang w:val="en-US" w:eastAsia="zh-CN"/>
        </w:rPr>
        <w:t xml:space="preserve"> </w:t>
      </w:r>
      <w:r>
        <w:rPr>
          <w:rFonts w:hint="default" w:ascii="Times New Roman" w:hAnsi="Times New Roman" w:cs="Times New Roman"/>
          <w:highlight w:val="none"/>
        </w:rPr>
        <w:t>用户需求”和“第四篇 合同条款”完全响应。一旦我方成交，将保证按质、按量、按期地完成项目中的全部责任和义务。我方在接收成交通知书（直接送达或邮寄方式，以实际收到的时间为送达时间）或成交邮件送达（发出之日即视为送达）后，愿意按询价文件中的合同条款执行。</w:t>
      </w:r>
    </w:p>
    <w:p w14:paraId="68FF1658">
      <w:pPr>
        <w:spacing w:line="360" w:lineRule="auto"/>
        <w:ind w:firstLine="424" w:firstLineChars="202"/>
        <w:rPr>
          <w:rFonts w:hint="default" w:ascii="Times New Roman" w:hAnsi="Times New Roman" w:cs="Times New Roman"/>
          <w:highlight w:val="none"/>
        </w:rPr>
      </w:pPr>
      <w:r>
        <w:rPr>
          <w:rFonts w:hint="default" w:ascii="Times New Roman" w:hAnsi="Times New Roman" w:cs="Times New Roman"/>
          <w:highlight w:val="none"/>
        </w:rPr>
        <w:t>特此声明！</w:t>
      </w:r>
    </w:p>
    <w:p w14:paraId="6230106A">
      <w:pPr>
        <w:spacing w:line="360" w:lineRule="auto"/>
        <w:ind w:firstLine="420" w:firstLineChars="200"/>
        <w:rPr>
          <w:rFonts w:hint="default" w:ascii="Times New Roman" w:hAnsi="Times New Roman" w:cs="Times New Roman"/>
          <w:color w:val="000000"/>
          <w:highlight w:val="none"/>
        </w:rPr>
      </w:pPr>
    </w:p>
    <w:p w14:paraId="277E79F4">
      <w:pPr>
        <w:spacing w:line="360" w:lineRule="auto"/>
        <w:ind w:firstLine="4464" w:firstLineChars="2126"/>
        <w:rPr>
          <w:rFonts w:hint="default" w:ascii="Times New Roman" w:hAnsi="Times New Roman" w:cs="Times New Roman"/>
          <w:highlight w:val="none"/>
        </w:rPr>
      </w:pPr>
      <w:r>
        <w:rPr>
          <w:rFonts w:hint="default" w:ascii="Times New Roman" w:hAnsi="Times New Roman" w:cs="Times New Roman"/>
          <w:highlight w:val="none"/>
        </w:rPr>
        <w:t>供应商名称（加盖公章）：</w:t>
      </w:r>
    </w:p>
    <w:p w14:paraId="66FA6F3D">
      <w:pPr>
        <w:spacing w:line="360" w:lineRule="auto"/>
        <w:ind w:firstLine="4464" w:firstLineChars="2126"/>
        <w:rPr>
          <w:rFonts w:hint="default" w:ascii="Times New Roman" w:hAnsi="Times New Roman" w:cs="Times New Roman"/>
          <w:color w:val="FF0000"/>
          <w:highlight w:val="none"/>
        </w:rPr>
      </w:pPr>
      <w:r>
        <w:rPr>
          <w:rFonts w:hint="default" w:ascii="Times New Roman" w:hAnsi="Times New Roman" w:cs="Times New Roman"/>
          <w:highlight w:val="none"/>
        </w:rPr>
        <w:t>日期：    年  月  日</w:t>
      </w:r>
    </w:p>
    <w:p w14:paraId="47BB2ECA">
      <w:pPr>
        <w:spacing w:line="360" w:lineRule="auto"/>
        <w:rPr>
          <w:rFonts w:hint="default" w:ascii="Times New Roman" w:hAnsi="Times New Roman" w:cs="Times New Roman"/>
          <w:color w:val="FF0000"/>
          <w:szCs w:val="22"/>
          <w:highlight w:val="none"/>
        </w:rPr>
      </w:pPr>
    </w:p>
    <w:p w14:paraId="44D7CD1F">
      <w:pPr>
        <w:spacing w:line="360" w:lineRule="auto"/>
        <w:rPr>
          <w:rFonts w:hint="default" w:ascii="Times New Roman" w:hAnsi="Times New Roman" w:cs="Times New Roman"/>
          <w:color w:val="FF0000"/>
          <w:szCs w:val="22"/>
          <w:highlight w:val="none"/>
        </w:rPr>
      </w:pPr>
    </w:p>
    <w:p w14:paraId="044934CC">
      <w:pPr>
        <w:spacing w:line="360" w:lineRule="auto"/>
        <w:rPr>
          <w:rFonts w:hint="default" w:ascii="Times New Roman" w:hAnsi="Times New Roman" w:cs="Times New Roman"/>
          <w:color w:val="FF0000"/>
          <w:szCs w:val="22"/>
          <w:highlight w:val="none"/>
        </w:rPr>
      </w:pPr>
    </w:p>
    <w:p w14:paraId="3ACC6725">
      <w:pPr>
        <w:spacing w:line="360" w:lineRule="auto"/>
        <w:jc w:val="center"/>
        <w:rPr>
          <w:rFonts w:hint="default" w:ascii="Times New Roman" w:hAnsi="Times New Roman" w:cs="Times New Roman"/>
          <w:color w:val="FF0000"/>
          <w:szCs w:val="22"/>
          <w:highlight w:val="none"/>
        </w:rPr>
      </w:pPr>
    </w:p>
    <w:p w14:paraId="66CC6A08">
      <w:pPr>
        <w:spacing w:line="360" w:lineRule="auto"/>
        <w:jc w:val="center"/>
        <w:rPr>
          <w:rFonts w:hint="default" w:ascii="Times New Roman" w:hAnsi="Times New Roman" w:cs="Times New Roman"/>
          <w:color w:val="FF0000"/>
          <w:szCs w:val="22"/>
          <w:highlight w:val="none"/>
        </w:rPr>
      </w:pPr>
    </w:p>
    <w:p w14:paraId="012ED9C5">
      <w:pPr>
        <w:spacing w:line="360" w:lineRule="auto"/>
        <w:rPr>
          <w:rFonts w:hint="default" w:ascii="Times New Roman" w:hAnsi="Times New Roman" w:cs="Times New Roman"/>
          <w:sz w:val="32"/>
          <w:szCs w:val="28"/>
          <w:highlight w:val="none"/>
        </w:rPr>
      </w:pPr>
    </w:p>
    <w:p w14:paraId="33527F95">
      <w:pPr>
        <w:spacing w:line="360" w:lineRule="auto"/>
        <w:ind w:firstLine="640" w:firstLineChars="200"/>
        <w:rPr>
          <w:rFonts w:hint="default" w:ascii="Times New Roman" w:hAnsi="Times New Roman" w:cs="Times New Roman"/>
          <w:sz w:val="32"/>
          <w:szCs w:val="28"/>
          <w:highlight w:val="none"/>
        </w:rPr>
        <w:sectPr>
          <w:footerReference r:id="rId4" w:type="first"/>
          <w:footerReference r:id="rId3" w:type="default"/>
          <w:pgSz w:w="11906" w:h="16838"/>
          <w:pgMar w:top="1418" w:right="1134" w:bottom="1134" w:left="1134" w:header="851" w:footer="992" w:gutter="0"/>
          <w:pgBorders>
            <w:top w:val="none" w:sz="0" w:space="0"/>
            <w:left w:val="none" w:sz="0" w:space="0"/>
            <w:bottom w:val="none" w:sz="0" w:space="0"/>
            <w:right w:val="none" w:sz="0" w:space="0"/>
          </w:pgBorders>
          <w:cols w:space="425" w:num="1"/>
          <w:docGrid w:linePitch="326" w:charSpace="0"/>
        </w:sectPr>
      </w:pPr>
    </w:p>
    <w:p w14:paraId="7BC253DE">
      <w:pPr>
        <w:rPr>
          <w:rFonts w:hint="default" w:ascii="Times New Roman" w:hAnsi="Times New Roman" w:cs="Times New Roman"/>
          <w:b/>
          <w:color w:val="000000"/>
          <w:sz w:val="28"/>
          <w:szCs w:val="28"/>
          <w:highlight w:val="none"/>
        </w:rPr>
      </w:pPr>
      <w:bookmarkStart w:id="39" w:name="_Toc27491776"/>
      <w:bookmarkStart w:id="40" w:name="_Toc29476709"/>
      <w:bookmarkStart w:id="41" w:name="_Toc27494836"/>
      <w:bookmarkStart w:id="42" w:name="_Toc27494730"/>
      <w:bookmarkStart w:id="43" w:name="_Hlk27495409"/>
      <w:r>
        <w:rPr>
          <w:rFonts w:hint="eastAsia" w:cs="Times New Roman"/>
          <w:b/>
          <w:color w:val="000000"/>
          <w:sz w:val="28"/>
          <w:szCs w:val="28"/>
          <w:highlight w:val="none"/>
          <w:lang w:val="en-US" w:eastAsia="zh-CN"/>
        </w:rPr>
        <w:t>4</w:t>
      </w:r>
      <w:r>
        <w:rPr>
          <w:rFonts w:hint="default" w:ascii="Times New Roman" w:hAnsi="Times New Roman" w:cs="Times New Roman"/>
          <w:b/>
          <w:color w:val="000000"/>
          <w:sz w:val="28"/>
          <w:szCs w:val="28"/>
          <w:highlight w:val="none"/>
        </w:rPr>
        <w:t>.</w:t>
      </w:r>
      <w:bookmarkStart w:id="44" w:name="_Hlk39768853"/>
      <w:r>
        <w:rPr>
          <w:rFonts w:hint="default" w:ascii="Times New Roman" w:hAnsi="Times New Roman" w:cs="Times New Roman"/>
          <w:b/>
          <w:color w:val="000000"/>
          <w:sz w:val="28"/>
          <w:szCs w:val="28"/>
          <w:highlight w:val="none"/>
        </w:rPr>
        <w:t>营业执照</w:t>
      </w:r>
      <w:bookmarkStart w:id="45" w:name="_Hlk39769813"/>
      <w:r>
        <w:rPr>
          <w:rFonts w:hint="default" w:ascii="Times New Roman" w:hAnsi="Times New Roman" w:cs="Times New Roman"/>
          <w:b/>
          <w:color w:val="000000"/>
          <w:sz w:val="28"/>
          <w:szCs w:val="28"/>
          <w:highlight w:val="none"/>
        </w:rPr>
        <w:t>及相关资质证书</w:t>
      </w:r>
      <w:bookmarkEnd w:id="44"/>
      <w:bookmarkEnd w:id="45"/>
    </w:p>
    <w:p w14:paraId="7F1E1A13">
      <w:pPr>
        <w:jc w:val="center"/>
        <w:rPr>
          <w:rFonts w:hint="default" w:ascii="Times New Roman" w:hAnsi="Times New Roman" w:cs="Times New Roman"/>
          <w:bCs/>
          <w:color w:val="FF0000"/>
          <w:highlight w:val="none"/>
        </w:rPr>
      </w:pPr>
    </w:p>
    <w:p w14:paraId="70CD8A37">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请附上营业执照及相关资质证书，需加盖公章</w:t>
      </w:r>
      <w:r>
        <w:rPr>
          <w:rFonts w:hint="default" w:ascii="Times New Roman" w:hAnsi="Times New Roman" w:cs="Times New Roman"/>
          <w:bCs/>
          <w:color w:val="FF0000"/>
          <w:highlight w:val="none"/>
        </w:rPr>
        <w:t>）</w:t>
      </w:r>
    </w:p>
    <w:p w14:paraId="53A9D812">
      <w:pPr>
        <w:jc w:val="center"/>
        <w:rPr>
          <w:rFonts w:hint="default" w:ascii="Times New Roman" w:hAnsi="Times New Roman" w:cs="Times New Roman"/>
          <w:bCs/>
          <w:color w:val="FF0000"/>
          <w:highlight w:val="none"/>
        </w:rPr>
      </w:pPr>
    </w:p>
    <w:p w14:paraId="6BB42C95">
      <w:pPr>
        <w:widowControl/>
        <w:autoSpaceDE/>
        <w:autoSpaceDN/>
        <w:adjustRightInd/>
        <w:rPr>
          <w:rFonts w:hint="default" w:ascii="Times New Roman" w:hAnsi="Times New Roman" w:cs="Times New Roman"/>
          <w:bCs/>
          <w:color w:val="FF0000"/>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92E2AEB">
      <w:pPr>
        <w:rPr>
          <w:rFonts w:hint="default" w:ascii="Times New Roman" w:hAnsi="Times New Roman" w:cs="Times New Roman"/>
          <w:b/>
          <w:color w:val="000000"/>
          <w:sz w:val="28"/>
          <w:szCs w:val="28"/>
          <w:highlight w:val="none"/>
        </w:rPr>
      </w:pPr>
      <w:r>
        <w:rPr>
          <w:rFonts w:hint="eastAsia" w:cs="Times New Roman"/>
          <w:b/>
          <w:color w:val="000000"/>
          <w:sz w:val="28"/>
          <w:szCs w:val="28"/>
          <w:highlight w:val="none"/>
          <w:lang w:val="en-US" w:eastAsia="zh-CN"/>
        </w:rPr>
        <w:t>5</w:t>
      </w:r>
      <w:r>
        <w:rPr>
          <w:rFonts w:hint="default" w:ascii="Times New Roman" w:hAnsi="Times New Roman" w:cs="Times New Roman"/>
          <w:b/>
          <w:color w:val="000000"/>
          <w:sz w:val="28"/>
          <w:szCs w:val="28"/>
          <w:highlight w:val="none"/>
        </w:rPr>
        <w:t>.企业法定代表人证明及法人身份证复印件</w:t>
      </w:r>
    </w:p>
    <w:p w14:paraId="759869B6">
      <w:pPr>
        <w:jc w:val="center"/>
        <w:rPr>
          <w:rFonts w:hint="default" w:ascii="Times New Roman" w:hAnsi="Times New Roman" w:cs="Times New Roman"/>
          <w:bCs/>
          <w:color w:val="FF0000"/>
          <w:highlight w:val="none"/>
        </w:rPr>
      </w:pPr>
    </w:p>
    <w:p w14:paraId="7E0E7478">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u w:val="single"/>
          <w:lang w:val="en-US" w:eastAsia="zh-CN"/>
        </w:rPr>
        <w:t xml:space="preserve">       </w:t>
      </w:r>
      <w:r>
        <w:rPr>
          <w:rFonts w:hint="eastAsia" w:ascii="Times New Roman" w:hAnsi="Times New Roman" w:cs="Times New Roman"/>
          <w:b w:val="0"/>
          <w:bCs w:val="0"/>
          <w:color w:val="auto"/>
          <w:sz w:val="24"/>
          <w:szCs w:val="24"/>
          <w:highlight w:val="none"/>
          <w:lang w:val="en-US" w:eastAsia="zh-CN"/>
        </w:rPr>
        <w:t>先生／女士：现任我单位</w:t>
      </w:r>
      <w:r>
        <w:rPr>
          <w:rFonts w:hint="eastAsia" w:ascii="Times New Roman" w:hAnsi="Times New Roman" w:cs="Times New Roman"/>
          <w:b w:val="0"/>
          <w:bCs w:val="0"/>
          <w:color w:val="auto"/>
          <w:sz w:val="24"/>
          <w:szCs w:val="24"/>
          <w:highlight w:val="none"/>
          <w:u w:val="single"/>
          <w:lang w:val="en-US" w:eastAsia="zh-CN"/>
        </w:rPr>
        <w:t xml:space="preserve">            </w:t>
      </w:r>
      <w:r>
        <w:rPr>
          <w:rFonts w:hint="eastAsia" w:ascii="Times New Roman" w:hAnsi="Times New Roman" w:cs="Times New Roman"/>
          <w:b w:val="0"/>
          <w:bCs w:val="0"/>
          <w:color w:val="auto"/>
          <w:sz w:val="24"/>
          <w:szCs w:val="24"/>
          <w:highlight w:val="none"/>
          <w:lang w:val="en-US" w:eastAsia="zh-CN"/>
        </w:rPr>
        <w:t>职务，为法定代表人，特此证明。</w:t>
      </w:r>
    </w:p>
    <w:p w14:paraId="4BB13E76">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p>
    <w:p w14:paraId="0E57F219">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 xml:space="preserve">附：代表人性别：       年龄：         身份证号码：            </w:t>
      </w:r>
    </w:p>
    <w:p w14:paraId="03BC9790">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 xml:space="preserve">营业执照号码：         经济性质： </w:t>
      </w:r>
    </w:p>
    <w:p w14:paraId="3AB1BD5B">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主营（产）：</w:t>
      </w:r>
    </w:p>
    <w:p w14:paraId="565606BB">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兼营（产）：</w:t>
      </w:r>
    </w:p>
    <w:p w14:paraId="5C348935">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附 法定代表人身份证复印件</w:t>
      </w:r>
    </w:p>
    <w:p w14:paraId="4555A869">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p>
    <w:p w14:paraId="62FA2F5C">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p>
    <w:p w14:paraId="1DF69DDE">
      <w:pPr>
        <w:spacing w:line="360" w:lineRule="auto"/>
        <w:ind w:firstLine="480" w:firstLineChars="200"/>
        <w:jc w:val="both"/>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 xml:space="preserve"> </w:t>
      </w:r>
    </w:p>
    <w:p w14:paraId="34192E5B">
      <w:pPr>
        <w:spacing w:line="360" w:lineRule="auto"/>
        <w:ind w:left="0" w:leftChars="0" w:firstLine="4800" w:firstLineChars="2000"/>
        <w:jc w:val="both"/>
        <w:rPr>
          <w:rFonts w:hint="eastAsia" w:ascii="Times New Roman" w:hAnsi="Times New Roman" w:cs="Times New Roman"/>
          <w:b w:val="0"/>
          <w:bCs w:val="0"/>
          <w:color w:val="auto"/>
          <w:sz w:val="24"/>
          <w:szCs w:val="24"/>
          <w:highlight w:val="none"/>
          <w:lang w:val="zh-CN" w:eastAsia="zh-CN"/>
        </w:rPr>
      </w:pPr>
      <w:r>
        <w:rPr>
          <w:rFonts w:hint="eastAsia" w:ascii="Times New Roman" w:hAnsi="Times New Roman" w:cs="Times New Roman"/>
          <w:b w:val="0"/>
          <w:bCs w:val="0"/>
          <w:color w:val="auto"/>
          <w:sz w:val="24"/>
          <w:szCs w:val="24"/>
          <w:highlight w:val="none"/>
          <w:lang w:val="zh-CN" w:eastAsia="zh-CN"/>
        </w:rPr>
        <w:t>供应商：（加盖供应商法人公章）</w:t>
      </w:r>
    </w:p>
    <w:p w14:paraId="0882DEB7">
      <w:pPr>
        <w:spacing w:line="360" w:lineRule="auto"/>
        <w:ind w:left="0" w:leftChars="0" w:firstLine="4800" w:firstLineChars="2000"/>
        <w:jc w:val="both"/>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日期：   年   月   日</w:t>
      </w:r>
    </w:p>
    <w:p w14:paraId="01884DCC">
      <w:pPr>
        <w:spacing w:line="360" w:lineRule="auto"/>
        <w:ind w:left="0" w:leftChars="0" w:firstLine="0" w:firstLineChars="0"/>
        <w:jc w:val="both"/>
        <w:rPr>
          <w:rFonts w:hint="eastAsia" w:ascii="Times New Roman" w:hAnsi="Times New Roman" w:cs="Times New Roman"/>
          <w:b w:val="0"/>
          <w:bCs w:val="0"/>
          <w:color w:val="auto"/>
          <w:sz w:val="24"/>
          <w:szCs w:val="24"/>
          <w:highlight w:val="none"/>
          <w:lang w:val="en-US" w:eastAsia="zh-CN"/>
        </w:rPr>
      </w:pPr>
    </w:p>
    <w:p w14:paraId="29514AF9">
      <w:pPr>
        <w:spacing w:line="360" w:lineRule="auto"/>
        <w:ind w:left="0" w:leftChars="0" w:firstLine="0" w:firstLineChars="0"/>
        <w:jc w:val="both"/>
        <w:rPr>
          <w:rFonts w:hint="eastAsia" w:ascii="Times New Roman" w:hAnsi="Times New Roman" w:cs="Times New Roman"/>
          <w:b w:val="0"/>
          <w:bCs w:val="0"/>
          <w:color w:val="auto"/>
          <w:sz w:val="24"/>
          <w:szCs w:val="24"/>
          <w:highlight w:val="none"/>
          <w:lang w:val="en-US" w:eastAsia="zh-CN"/>
        </w:rPr>
      </w:pPr>
    </w:p>
    <w:p w14:paraId="5A88608A">
      <w:pPr>
        <w:spacing w:line="360" w:lineRule="auto"/>
        <w:ind w:left="0" w:leftChars="0" w:firstLine="0" w:firstLineChars="0"/>
        <w:jc w:val="both"/>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附 法定代表人身份证复印件</w:t>
      </w:r>
    </w:p>
    <w:p w14:paraId="0A34A5BE">
      <w:pPr>
        <w:spacing w:line="360" w:lineRule="auto"/>
        <w:ind w:left="0" w:lef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inline distT="0" distB="0" distL="114300" distR="114300">
            <wp:extent cx="2512695" cy="1842770"/>
            <wp:effectExtent l="0" t="0" r="190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2512695" cy="1842770"/>
                    </a:xfrm>
                    <a:prstGeom prst="rect">
                      <a:avLst/>
                    </a:prstGeom>
                    <a:noFill/>
                    <a:ln>
                      <a:noFill/>
                    </a:ln>
                  </pic:spPr>
                </pic:pic>
              </a:graphicData>
            </a:graphic>
          </wp:inline>
        </w:drawing>
      </w:r>
      <w:r>
        <w:rPr>
          <w:rFonts w:hint="eastAsia" w:asciiTheme="minorEastAsia" w:hAnsiTheme="minorEastAsia" w:eastAsiaTheme="minorEastAsia" w:cstheme="minorEastAsia"/>
          <w:sz w:val="21"/>
          <w:szCs w:val="21"/>
        </w:rPr>
        <w:drawing>
          <wp:inline distT="0" distB="0" distL="114300" distR="114300">
            <wp:extent cx="2572385" cy="1854200"/>
            <wp:effectExtent l="0" t="0" r="1841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2572385" cy="1854200"/>
                    </a:xfrm>
                    <a:prstGeom prst="rect">
                      <a:avLst/>
                    </a:prstGeom>
                    <a:noFill/>
                    <a:ln>
                      <a:noFill/>
                    </a:ln>
                  </pic:spPr>
                </pic:pic>
              </a:graphicData>
            </a:graphic>
          </wp:inline>
        </w:drawing>
      </w:r>
    </w:p>
    <w:p w14:paraId="77110C3A">
      <w:pPr>
        <w:jc w:val="center"/>
        <w:rPr>
          <w:rFonts w:hint="default" w:ascii="Times New Roman" w:hAnsi="Times New Roman" w:cs="Times New Roman"/>
          <w:bCs/>
          <w:color w:val="FF0000"/>
          <w:highlight w:val="none"/>
        </w:rPr>
      </w:pPr>
      <w:r>
        <w:rPr>
          <w:rFonts w:hint="eastAsia" w:ascii="Times New Roman" w:hAnsi="Times New Roman" w:cs="Times New Roman"/>
          <w:b/>
          <w:bCs/>
          <w:color w:val="FF0000"/>
          <w:sz w:val="24"/>
          <w:szCs w:val="24"/>
          <w:highlight w:val="none"/>
          <w:lang w:val="en-US" w:eastAsia="zh-CN"/>
        </w:rPr>
        <w:t>注：法定代表人身份证须在有效期限内。</w:t>
      </w:r>
    </w:p>
    <w:p w14:paraId="65ED4D44">
      <w:pPr>
        <w:rPr>
          <w:rFonts w:hint="default" w:ascii="Times New Roman" w:hAnsi="Times New Roman" w:cs="Times New Roman"/>
          <w:b/>
          <w:color w:val="000000"/>
          <w:sz w:val="28"/>
          <w:szCs w:val="28"/>
          <w:highlight w:val="none"/>
        </w:rPr>
      </w:pPr>
    </w:p>
    <w:p w14:paraId="06EABD74">
      <w:pPr>
        <w:rPr>
          <w:rFonts w:hint="default" w:ascii="Times New Roman" w:hAnsi="Times New Roman" w:cs="Times New Roman"/>
          <w:b/>
          <w:color w:val="000000"/>
          <w:sz w:val="28"/>
          <w:szCs w:val="28"/>
          <w:highlight w:val="none"/>
        </w:rPr>
      </w:pPr>
    </w:p>
    <w:p w14:paraId="0B1DB08B">
      <w:pPr>
        <w:rPr>
          <w:rFonts w:hint="default" w:ascii="Times New Roman" w:hAnsi="Times New Roman" w:cs="Times New Roman"/>
          <w:b/>
          <w:color w:val="000000"/>
          <w:sz w:val="28"/>
          <w:szCs w:val="28"/>
          <w:highlight w:val="none"/>
        </w:rPr>
      </w:pPr>
    </w:p>
    <w:p w14:paraId="501E0400">
      <w:pPr>
        <w:rPr>
          <w:rFonts w:hint="default" w:ascii="Times New Roman" w:hAnsi="Times New Roman" w:cs="Times New Roman"/>
          <w:b/>
          <w:color w:val="000000"/>
          <w:sz w:val="28"/>
          <w:szCs w:val="28"/>
          <w:highlight w:val="none"/>
          <w:lang w:val="en-US" w:eastAsia="zh-CN"/>
        </w:rPr>
      </w:pPr>
      <w:r>
        <w:rPr>
          <w:rFonts w:hint="eastAsia" w:cs="Times New Roman"/>
          <w:b/>
          <w:color w:val="000000"/>
          <w:sz w:val="28"/>
          <w:szCs w:val="28"/>
          <w:highlight w:val="none"/>
          <w:lang w:val="en-US" w:eastAsia="zh-CN"/>
        </w:rPr>
        <w:t>6.</w:t>
      </w:r>
      <w:r>
        <w:rPr>
          <w:rFonts w:hint="default" w:ascii="Times New Roman" w:hAnsi="Times New Roman" w:cs="Times New Roman"/>
          <w:b/>
          <w:color w:val="000000"/>
          <w:sz w:val="28"/>
          <w:szCs w:val="28"/>
          <w:highlight w:val="none"/>
          <w:lang w:val="en-US" w:eastAsia="zh-CN"/>
        </w:rPr>
        <w:t>近一年公司主要业绩证明文件</w:t>
      </w:r>
    </w:p>
    <w:p w14:paraId="1CE87545">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提供</w:t>
      </w:r>
      <w:r>
        <w:rPr>
          <w:rFonts w:hint="eastAsia" w:ascii="Times New Roman" w:hAnsi="Times New Roman" w:cs="Times New Roman"/>
          <w:bCs/>
          <w:color w:val="FF0000"/>
          <w:highlight w:val="none"/>
          <w:lang w:val="en-US" w:eastAsia="zh-CN"/>
        </w:rPr>
        <w:t>至少一份同类似的业绩证明文件，</w:t>
      </w:r>
      <w:r>
        <w:rPr>
          <w:rFonts w:hint="default" w:ascii="Times New Roman" w:hAnsi="Times New Roman" w:cs="Times New Roman"/>
          <w:bCs/>
          <w:color w:val="FF0000"/>
          <w:highlight w:val="none"/>
        </w:rPr>
        <w:t>如合同、中标通知书、框架协议书等等</w:t>
      </w:r>
      <w:r>
        <w:rPr>
          <w:rFonts w:hint="eastAsia" w:ascii="Times New Roman" w:hAnsi="Times New Roman" w:cs="Times New Roman"/>
          <w:bCs/>
          <w:color w:val="FF0000"/>
          <w:highlight w:val="none"/>
          <w:lang w:eastAsia="zh-CN"/>
        </w:rPr>
        <w:t>，</w:t>
      </w:r>
      <w:r>
        <w:rPr>
          <w:rFonts w:hint="eastAsia" w:ascii="Times New Roman" w:hAnsi="Times New Roman" w:cs="Times New Roman"/>
          <w:bCs/>
          <w:color w:val="FF0000"/>
          <w:highlight w:val="none"/>
          <w:lang w:val="en-US" w:eastAsia="zh-CN"/>
        </w:rPr>
        <w:t>如提供资料涉及保密信息，相关信息可以打马赛克或模糊处理，但要体现本公司的有关信息。</w:t>
      </w:r>
    </w:p>
    <w:p w14:paraId="2063FC1E">
      <w:pPr>
        <w:rPr>
          <w:rFonts w:hint="default" w:ascii="Times New Roman" w:hAnsi="Times New Roman" w:cs="Times New Roman"/>
          <w:b/>
          <w:color w:val="000000"/>
          <w:sz w:val="28"/>
          <w:szCs w:val="28"/>
          <w:highlight w:val="none"/>
        </w:rPr>
      </w:pPr>
    </w:p>
    <w:p w14:paraId="1213790A">
      <w:pPr>
        <w:rPr>
          <w:rFonts w:hint="default" w:ascii="Times New Roman" w:hAnsi="Times New Roman" w:cs="Times New Roman"/>
          <w:b/>
          <w:color w:val="000000"/>
          <w:sz w:val="28"/>
          <w:szCs w:val="28"/>
          <w:highlight w:val="none"/>
        </w:rPr>
      </w:pPr>
    </w:p>
    <w:p w14:paraId="622C2C0F">
      <w:pPr>
        <w:rPr>
          <w:rFonts w:hint="default" w:ascii="Times New Roman" w:hAnsi="Times New Roman" w:cs="Times New Roman"/>
          <w:b/>
          <w:color w:val="000000"/>
          <w:sz w:val="28"/>
          <w:szCs w:val="28"/>
          <w:highlight w:val="none"/>
        </w:rPr>
      </w:pPr>
    </w:p>
    <w:p w14:paraId="6C1DDF24">
      <w:pPr>
        <w:rPr>
          <w:rFonts w:hint="default" w:ascii="Times New Roman" w:hAnsi="Times New Roman" w:cs="Times New Roman"/>
          <w:b/>
          <w:color w:val="000000"/>
          <w:sz w:val="28"/>
          <w:szCs w:val="28"/>
          <w:highlight w:val="none"/>
        </w:rPr>
      </w:pPr>
    </w:p>
    <w:p w14:paraId="75C2D9F2">
      <w:pPr>
        <w:rPr>
          <w:rFonts w:hint="default" w:ascii="Times New Roman" w:hAnsi="Times New Roman" w:cs="Times New Roman"/>
          <w:b/>
          <w:color w:val="000000"/>
          <w:sz w:val="28"/>
          <w:szCs w:val="28"/>
          <w:highlight w:val="none"/>
        </w:rPr>
      </w:pPr>
    </w:p>
    <w:p w14:paraId="4E4BEF9E">
      <w:pPr>
        <w:rPr>
          <w:rFonts w:hint="default" w:ascii="Times New Roman" w:hAnsi="Times New Roman" w:cs="Times New Roman"/>
          <w:b/>
          <w:color w:val="000000"/>
          <w:sz w:val="28"/>
          <w:szCs w:val="28"/>
          <w:highlight w:val="none"/>
        </w:rPr>
      </w:pPr>
    </w:p>
    <w:p w14:paraId="5BFDA9FC">
      <w:pPr>
        <w:rPr>
          <w:rFonts w:hint="default" w:ascii="Times New Roman" w:hAnsi="Times New Roman" w:cs="Times New Roman"/>
          <w:b/>
          <w:color w:val="000000"/>
          <w:sz w:val="28"/>
          <w:szCs w:val="28"/>
          <w:highlight w:val="none"/>
        </w:rPr>
      </w:pPr>
    </w:p>
    <w:p w14:paraId="13860587">
      <w:pPr>
        <w:rPr>
          <w:rFonts w:hint="default" w:ascii="Times New Roman" w:hAnsi="Times New Roman" w:cs="Times New Roman"/>
          <w:b/>
          <w:color w:val="000000"/>
          <w:sz w:val="28"/>
          <w:szCs w:val="28"/>
          <w:highlight w:val="none"/>
        </w:rPr>
      </w:pPr>
    </w:p>
    <w:p w14:paraId="582ED925">
      <w:pPr>
        <w:rPr>
          <w:rFonts w:hint="default" w:ascii="Times New Roman" w:hAnsi="Times New Roman" w:cs="Times New Roman"/>
          <w:b/>
          <w:color w:val="000000"/>
          <w:sz w:val="28"/>
          <w:szCs w:val="28"/>
          <w:highlight w:val="none"/>
        </w:rPr>
      </w:pPr>
    </w:p>
    <w:p w14:paraId="1DDDB9D3">
      <w:pPr>
        <w:rPr>
          <w:rFonts w:hint="default" w:ascii="Times New Roman" w:hAnsi="Times New Roman" w:cs="Times New Roman"/>
          <w:b/>
          <w:color w:val="000000"/>
          <w:sz w:val="28"/>
          <w:szCs w:val="28"/>
          <w:highlight w:val="none"/>
        </w:rPr>
      </w:pPr>
    </w:p>
    <w:p w14:paraId="2B590460">
      <w:pPr>
        <w:rPr>
          <w:rFonts w:hint="default" w:ascii="Times New Roman" w:hAnsi="Times New Roman" w:cs="Times New Roman"/>
          <w:b/>
          <w:color w:val="000000"/>
          <w:sz w:val="28"/>
          <w:szCs w:val="28"/>
          <w:highlight w:val="none"/>
        </w:rPr>
      </w:pPr>
    </w:p>
    <w:p w14:paraId="25821807">
      <w:pPr>
        <w:rPr>
          <w:rFonts w:hint="default" w:ascii="Times New Roman" w:hAnsi="Times New Roman" w:cs="Times New Roman"/>
          <w:b/>
          <w:color w:val="000000"/>
          <w:sz w:val="28"/>
          <w:szCs w:val="28"/>
          <w:highlight w:val="none"/>
        </w:rPr>
      </w:pPr>
    </w:p>
    <w:p w14:paraId="5A22EF6C">
      <w:pPr>
        <w:rPr>
          <w:rFonts w:hint="default" w:ascii="Times New Roman" w:hAnsi="Times New Roman" w:cs="Times New Roman"/>
          <w:b/>
          <w:color w:val="000000"/>
          <w:sz w:val="28"/>
          <w:szCs w:val="28"/>
          <w:highlight w:val="none"/>
        </w:rPr>
      </w:pPr>
    </w:p>
    <w:p w14:paraId="5FD69321">
      <w:pPr>
        <w:rPr>
          <w:rFonts w:hint="default" w:ascii="Times New Roman" w:hAnsi="Times New Roman" w:cs="Times New Roman"/>
          <w:b/>
          <w:color w:val="000000"/>
          <w:sz w:val="28"/>
          <w:szCs w:val="28"/>
          <w:highlight w:val="none"/>
        </w:rPr>
      </w:pPr>
    </w:p>
    <w:p w14:paraId="6ABB9894">
      <w:pPr>
        <w:rPr>
          <w:rFonts w:hint="default" w:ascii="Times New Roman" w:hAnsi="Times New Roman" w:cs="Times New Roman"/>
          <w:b/>
          <w:color w:val="000000"/>
          <w:sz w:val="28"/>
          <w:szCs w:val="28"/>
          <w:highlight w:val="none"/>
        </w:rPr>
      </w:pPr>
    </w:p>
    <w:p w14:paraId="4B73132A">
      <w:pPr>
        <w:rPr>
          <w:rFonts w:hint="default" w:ascii="Times New Roman" w:hAnsi="Times New Roman" w:cs="Times New Roman"/>
          <w:b/>
          <w:color w:val="000000"/>
          <w:sz w:val="28"/>
          <w:szCs w:val="28"/>
          <w:highlight w:val="none"/>
        </w:rPr>
      </w:pPr>
    </w:p>
    <w:p w14:paraId="3195B525">
      <w:pPr>
        <w:rPr>
          <w:rFonts w:hint="default" w:ascii="Times New Roman" w:hAnsi="Times New Roman" w:cs="Times New Roman"/>
          <w:b/>
          <w:color w:val="000000"/>
          <w:sz w:val="28"/>
          <w:szCs w:val="28"/>
          <w:highlight w:val="none"/>
        </w:rPr>
      </w:pPr>
    </w:p>
    <w:p w14:paraId="2DB448BE">
      <w:pPr>
        <w:rPr>
          <w:rFonts w:hint="default" w:ascii="Times New Roman" w:hAnsi="Times New Roman" w:cs="Times New Roman"/>
          <w:b/>
          <w:color w:val="000000"/>
          <w:sz w:val="28"/>
          <w:szCs w:val="28"/>
          <w:highlight w:val="none"/>
        </w:rPr>
      </w:pPr>
    </w:p>
    <w:p w14:paraId="797DED40">
      <w:pPr>
        <w:rPr>
          <w:rFonts w:hint="default" w:ascii="Times New Roman" w:hAnsi="Times New Roman" w:cs="Times New Roman"/>
          <w:b/>
          <w:color w:val="000000"/>
          <w:sz w:val="28"/>
          <w:szCs w:val="28"/>
          <w:highlight w:val="none"/>
        </w:rPr>
      </w:pPr>
    </w:p>
    <w:p w14:paraId="042FB2D9">
      <w:pPr>
        <w:rPr>
          <w:rFonts w:hint="default" w:ascii="Times New Roman" w:hAnsi="Times New Roman" w:cs="Times New Roman"/>
          <w:b/>
          <w:color w:val="000000"/>
          <w:sz w:val="28"/>
          <w:szCs w:val="28"/>
          <w:highlight w:val="none"/>
        </w:rPr>
      </w:pPr>
    </w:p>
    <w:p w14:paraId="53B27811">
      <w:pPr>
        <w:rPr>
          <w:rFonts w:hint="default" w:ascii="Times New Roman" w:hAnsi="Times New Roman" w:cs="Times New Roman"/>
          <w:b/>
          <w:color w:val="000000"/>
          <w:sz w:val="28"/>
          <w:szCs w:val="28"/>
          <w:highlight w:val="none"/>
          <w:lang w:val="en-US" w:eastAsia="zh-CN"/>
        </w:rPr>
      </w:pPr>
      <w:r>
        <w:rPr>
          <w:rFonts w:hint="eastAsia" w:cs="Times New Roman"/>
          <w:b/>
          <w:color w:val="000000"/>
          <w:sz w:val="28"/>
          <w:szCs w:val="28"/>
          <w:highlight w:val="none"/>
          <w:lang w:val="en-US" w:eastAsia="zh-CN"/>
        </w:rPr>
        <w:t>7.</w:t>
      </w:r>
      <w:r>
        <w:rPr>
          <w:rFonts w:hint="eastAsia" w:ascii="Times New Roman" w:hAnsi="Times New Roman" w:cs="Times New Roman"/>
          <w:b/>
          <w:color w:val="000000"/>
          <w:sz w:val="28"/>
          <w:szCs w:val="28"/>
          <w:highlight w:val="none"/>
          <w:lang w:val="en-US" w:eastAsia="zh-CN"/>
        </w:rPr>
        <w:t>诚信方面相关证明文件</w:t>
      </w:r>
    </w:p>
    <w:p w14:paraId="5CBC6F11">
      <w:pPr>
        <w:rPr>
          <w:rFonts w:hint="default" w:ascii="Times New Roman" w:hAnsi="Times New Roman" w:cs="Times New Roman"/>
          <w:b/>
          <w:color w:val="000000"/>
          <w:sz w:val="28"/>
          <w:szCs w:val="28"/>
          <w:highlight w:val="none"/>
        </w:rPr>
      </w:pPr>
      <w:r>
        <w:rPr>
          <w:rFonts w:hint="eastAsia" w:ascii="Times New Roman" w:hAnsi="Times New Roman" w:cs="Times New Roman"/>
          <w:bCs/>
          <w:color w:val="FF0000"/>
          <w:highlight w:val="none"/>
          <w:lang w:val="en-US" w:eastAsia="zh-CN"/>
        </w:rPr>
        <w:t>提供：在“信用中国”</w:t>
      </w:r>
      <w:r>
        <w:rPr>
          <w:rFonts w:hint="eastAsia" w:ascii="Times New Roman" w:cs="Times New Roman"/>
          <w:bCs/>
          <w:color w:val="FF0000"/>
          <w:highlight w:val="none"/>
          <w:lang w:val="en-US" w:eastAsia="zh-CN"/>
        </w:rPr>
        <w:t>和</w:t>
      </w:r>
      <w:r>
        <w:rPr>
          <w:rFonts w:hint="eastAsia" w:ascii="Times New Roman" w:hAnsi="Times New Roman" w:cs="Times New Roman"/>
          <w:bCs/>
          <w:color w:val="FF0000"/>
          <w:highlight w:val="none"/>
          <w:lang w:val="en-US" w:eastAsia="zh-CN"/>
        </w:rPr>
        <w:t>“国家企业信用信息公示系统”等网站的“信用信息”查询结果截图并加盖公章</w:t>
      </w:r>
      <w:r>
        <w:rPr>
          <w:rFonts w:hint="default" w:ascii="Times New Roman" w:hAnsi="Times New Roman" w:cs="Times New Roman"/>
          <w:bCs/>
          <w:color w:val="FF0000"/>
          <w:highlight w:val="none"/>
          <w:lang w:val="en-US" w:eastAsia="zh-CN"/>
        </w:rPr>
        <w:t>。</w:t>
      </w:r>
    </w:p>
    <w:p w14:paraId="4F2F7C42">
      <w:pPr>
        <w:rPr>
          <w:rFonts w:hint="default" w:ascii="Times New Roman" w:hAnsi="Times New Roman" w:cs="Times New Roman"/>
          <w:b/>
          <w:color w:val="000000"/>
          <w:sz w:val="28"/>
          <w:szCs w:val="28"/>
          <w:highlight w:val="none"/>
        </w:rPr>
      </w:pPr>
    </w:p>
    <w:p w14:paraId="495B2993">
      <w:pPr>
        <w:rPr>
          <w:rFonts w:hint="default" w:ascii="Times New Roman" w:hAnsi="Times New Roman" w:cs="Times New Roman"/>
          <w:b/>
          <w:color w:val="000000"/>
          <w:sz w:val="28"/>
          <w:szCs w:val="28"/>
          <w:highlight w:val="none"/>
        </w:rPr>
      </w:pPr>
    </w:p>
    <w:p w14:paraId="302D5367">
      <w:pPr>
        <w:rPr>
          <w:rFonts w:hint="default" w:ascii="Times New Roman" w:hAnsi="Times New Roman" w:cs="Times New Roman"/>
          <w:b/>
          <w:color w:val="000000"/>
          <w:sz w:val="28"/>
          <w:szCs w:val="28"/>
          <w:highlight w:val="none"/>
        </w:rPr>
      </w:pPr>
    </w:p>
    <w:p w14:paraId="1A625D8D">
      <w:pPr>
        <w:rPr>
          <w:rFonts w:hint="default" w:ascii="Times New Roman" w:hAnsi="Times New Roman" w:cs="Times New Roman"/>
          <w:b/>
          <w:color w:val="000000"/>
          <w:sz w:val="28"/>
          <w:szCs w:val="28"/>
          <w:highlight w:val="none"/>
        </w:rPr>
      </w:pPr>
    </w:p>
    <w:p w14:paraId="54C78F8E">
      <w:pPr>
        <w:rPr>
          <w:rFonts w:hint="default" w:ascii="Times New Roman" w:hAnsi="Times New Roman" w:cs="Times New Roman"/>
          <w:b/>
          <w:color w:val="000000"/>
          <w:sz w:val="28"/>
          <w:szCs w:val="28"/>
          <w:highlight w:val="none"/>
        </w:rPr>
      </w:pPr>
    </w:p>
    <w:p w14:paraId="6E906159">
      <w:pPr>
        <w:rPr>
          <w:rFonts w:hint="default" w:ascii="Times New Roman" w:hAnsi="Times New Roman" w:cs="Times New Roman"/>
          <w:b/>
          <w:color w:val="000000"/>
          <w:sz w:val="28"/>
          <w:szCs w:val="28"/>
          <w:highlight w:val="none"/>
        </w:rPr>
      </w:pPr>
    </w:p>
    <w:p w14:paraId="1B12CE12">
      <w:pPr>
        <w:rPr>
          <w:rFonts w:hint="default" w:ascii="Times New Roman" w:hAnsi="Times New Roman" w:cs="Times New Roman"/>
          <w:b/>
          <w:color w:val="000000"/>
          <w:sz w:val="28"/>
          <w:szCs w:val="28"/>
          <w:highlight w:val="none"/>
        </w:rPr>
      </w:pPr>
    </w:p>
    <w:p w14:paraId="57A594C4">
      <w:pPr>
        <w:rPr>
          <w:rFonts w:hint="default" w:ascii="Times New Roman" w:hAnsi="Times New Roman" w:cs="Times New Roman"/>
          <w:b/>
          <w:color w:val="000000"/>
          <w:sz w:val="28"/>
          <w:szCs w:val="28"/>
          <w:highlight w:val="none"/>
        </w:rPr>
      </w:pPr>
    </w:p>
    <w:p w14:paraId="413685B2">
      <w:pPr>
        <w:rPr>
          <w:rFonts w:hint="default" w:ascii="Times New Roman" w:hAnsi="Times New Roman" w:cs="Times New Roman"/>
          <w:b/>
          <w:color w:val="000000"/>
          <w:sz w:val="28"/>
          <w:szCs w:val="28"/>
          <w:highlight w:val="none"/>
        </w:rPr>
      </w:pPr>
    </w:p>
    <w:p w14:paraId="14CFECB0">
      <w:pPr>
        <w:rPr>
          <w:rFonts w:hint="default" w:ascii="Times New Roman" w:hAnsi="Times New Roman" w:cs="Times New Roman"/>
          <w:b/>
          <w:color w:val="000000"/>
          <w:sz w:val="28"/>
          <w:szCs w:val="28"/>
          <w:highlight w:val="none"/>
        </w:rPr>
      </w:pPr>
    </w:p>
    <w:p w14:paraId="49D8607A">
      <w:pPr>
        <w:rPr>
          <w:rFonts w:hint="default" w:ascii="Times New Roman" w:hAnsi="Times New Roman" w:cs="Times New Roman"/>
          <w:b/>
          <w:color w:val="000000"/>
          <w:sz w:val="28"/>
          <w:szCs w:val="28"/>
          <w:highlight w:val="none"/>
        </w:rPr>
      </w:pPr>
    </w:p>
    <w:p w14:paraId="7134E7DB">
      <w:pPr>
        <w:rPr>
          <w:rFonts w:hint="default" w:ascii="Times New Roman" w:hAnsi="Times New Roman" w:cs="Times New Roman"/>
          <w:b/>
          <w:color w:val="000000"/>
          <w:sz w:val="28"/>
          <w:szCs w:val="28"/>
          <w:highlight w:val="none"/>
        </w:rPr>
      </w:pPr>
    </w:p>
    <w:p w14:paraId="0225197D">
      <w:pPr>
        <w:rPr>
          <w:rFonts w:hint="default" w:ascii="Times New Roman" w:hAnsi="Times New Roman" w:cs="Times New Roman"/>
          <w:b/>
          <w:color w:val="000000"/>
          <w:sz w:val="28"/>
          <w:szCs w:val="28"/>
          <w:highlight w:val="none"/>
        </w:rPr>
      </w:pPr>
    </w:p>
    <w:p w14:paraId="4D5CE1B0">
      <w:pPr>
        <w:rPr>
          <w:rFonts w:hint="default" w:ascii="Times New Roman" w:hAnsi="Times New Roman" w:cs="Times New Roman"/>
          <w:b/>
          <w:color w:val="000000"/>
          <w:sz w:val="28"/>
          <w:szCs w:val="28"/>
          <w:highlight w:val="none"/>
        </w:rPr>
      </w:pPr>
    </w:p>
    <w:p w14:paraId="598CAA2E">
      <w:pPr>
        <w:rPr>
          <w:rFonts w:hint="default" w:ascii="Times New Roman" w:hAnsi="Times New Roman" w:cs="Times New Roman"/>
          <w:b/>
          <w:color w:val="000000"/>
          <w:sz w:val="28"/>
          <w:szCs w:val="28"/>
          <w:highlight w:val="none"/>
        </w:rPr>
      </w:pPr>
    </w:p>
    <w:p w14:paraId="5D43FD09">
      <w:pPr>
        <w:rPr>
          <w:rFonts w:hint="default" w:ascii="Times New Roman" w:hAnsi="Times New Roman" w:cs="Times New Roman"/>
          <w:b/>
          <w:color w:val="000000"/>
          <w:sz w:val="28"/>
          <w:szCs w:val="28"/>
          <w:highlight w:val="none"/>
        </w:rPr>
      </w:pPr>
    </w:p>
    <w:p w14:paraId="17959B1C">
      <w:pPr>
        <w:rPr>
          <w:rFonts w:hint="default" w:ascii="Times New Roman" w:hAnsi="Times New Roman" w:cs="Times New Roman"/>
          <w:b/>
          <w:color w:val="000000"/>
          <w:sz w:val="28"/>
          <w:szCs w:val="28"/>
          <w:highlight w:val="none"/>
        </w:rPr>
      </w:pPr>
    </w:p>
    <w:p w14:paraId="7282D72D">
      <w:pPr>
        <w:rPr>
          <w:rFonts w:hint="default" w:ascii="Times New Roman" w:hAnsi="Times New Roman" w:cs="Times New Roman"/>
          <w:b/>
          <w:color w:val="000000"/>
          <w:sz w:val="28"/>
          <w:szCs w:val="28"/>
          <w:highlight w:val="none"/>
        </w:rPr>
      </w:pPr>
    </w:p>
    <w:p w14:paraId="18C5A475">
      <w:pPr>
        <w:rPr>
          <w:rFonts w:hint="default" w:ascii="Times New Roman" w:hAnsi="Times New Roman" w:cs="Times New Roman"/>
          <w:b/>
          <w:color w:val="000000"/>
          <w:sz w:val="28"/>
          <w:szCs w:val="28"/>
          <w:highlight w:val="none"/>
        </w:rPr>
      </w:pPr>
    </w:p>
    <w:p w14:paraId="791E9F02">
      <w:pPr>
        <w:rPr>
          <w:rFonts w:hint="default" w:ascii="Times New Roman" w:hAnsi="Times New Roman" w:cs="Times New Roman"/>
          <w:b/>
          <w:color w:val="000000"/>
          <w:sz w:val="28"/>
          <w:szCs w:val="28"/>
          <w:highlight w:val="none"/>
        </w:rPr>
      </w:pPr>
    </w:p>
    <w:p w14:paraId="72170AE0">
      <w:pPr>
        <w:rPr>
          <w:rFonts w:hint="default" w:ascii="Times New Roman" w:hAnsi="Times New Roman" w:cs="Times New Roman"/>
          <w:b/>
          <w:color w:val="000000"/>
          <w:sz w:val="28"/>
          <w:szCs w:val="28"/>
          <w:highlight w:val="none"/>
        </w:rPr>
      </w:pPr>
      <w:r>
        <w:rPr>
          <w:rFonts w:hint="eastAsia" w:cs="Times New Roman"/>
          <w:b/>
          <w:color w:val="000000"/>
          <w:sz w:val="28"/>
          <w:szCs w:val="28"/>
          <w:highlight w:val="none"/>
          <w:lang w:val="en-US" w:eastAsia="zh-CN"/>
        </w:rPr>
        <w:t>8.</w:t>
      </w:r>
      <w:r>
        <w:rPr>
          <w:rFonts w:hint="default" w:ascii="Times New Roman" w:hAnsi="Times New Roman" w:cs="Times New Roman"/>
          <w:b/>
          <w:color w:val="000000"/>
          <w:sz w:val="28"/>
          <w:szCs w:val="28"/>
          <w:highlight w:val="none"/>
        </w:rPr>
        <w:t>开户信息及开户许可证</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550"/>
        <w:gridCol w:w="3419"/>
        <w:gridCol w:w="2205"/>
      </w:tblGrid>
      <w:tr w14:paraId="5038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22" w:type="dxa"/>
            <w:vAlign w:val="center"/>
          </w:tcPr>
          <w:p w14:paraId="3FD2051E">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1550" w:type="dxa"/>
            <w:vAlign w:val="center"/>
          </w:tcPr>
          <w:p w14:paraId="50318AD6">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信息名称</w:t>
            </w:r>
          </w:p>
        </w:tc>
        <w:tc>
          <w:tcPr>
            <w:tcW w:w="3419" w:type="dxa"/>
            <w:vAlign w:val="center"/>
          </w:tcPr>
          <w:p w14:paraId="22948A09">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信息内容</w:t>
            </w:r>
          </w:p>
        </w:tc>
        <w:tc>
          <w:tcPr>
            <w:tcW w:w="2205" w:type="dxa"/>
            <w:vAlign w:val="center"/>
          </w:tcPr>
          <w:p w14:paraId="515709E9">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备注</w:t>
            </w:r>
          </w:p>
        </w:tc>
      </w:tr>
      <w:tr w14:paraId="0D3B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2" w:type="dxa"/>
            <w:vAlign w:val="center"/>
          </w:tcPr>
          <w:p w14:paraId="62D4F165">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1</w:t>
            </w:r>
          </w:p>
        </w:tc>
        <w:tc>
          <w:tcPr>
            <w:tcW w:w="1550" w:type="dxa"/>
            <w:vAlign w:val="center"/>
          </w:tcPr>
          <w:p w14:paraId="6C614CC3">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开户名</w:t>
            </w:r>
          </w:p>
        </w:tc>
        <w:tc>
          <w:tcPr>
            <w:tcW w:w="3419" w:type="dxa"/>
            <w:vAlign w:val="center"/>
          </w:tcPr>
          <w:p w14:paraId="14746EC9">
            <w:pPr>
              <w:widowControl/>
              <w:autoSpaceDE/>
              <w:autoSpaceDN/>
              <w:adjustRightInd/>
              <w:jc w:val="center"/>
              <w:rPr>
                <w:rFonts w:hint="default" w:ascii="Times New Roman" w:hAnsi="Times New Roman" w:cs="Times New Roman"/>
                <w:bCs/>
                <w:highlight w:val="none"/>
              </w:rPr>
            </w:pPr>
          </w:p>
        </w:tc>
        <w:tc>
          <w:tcPr>
            <w:tcW w:w="2205" w:type="dxa"/>
            <w:vAlign w:val="center"/>
          </w:tcPr>
          <w:p w14:paraId="66C2286F">
            <w:pPr>
              <w:widowControl/>
              <w:autoSpaceDE/>
              <w:autoSpaceDN/>
              <w:adjustRightInd/>
              <w:jc w:val="center"/>
              <w:rPr>
                <w:rFonts w:hint="default" w:ascii="Times New Roman" w:hAnsi="Times New Roman" w:cs="Times New Roman"/>
                <w:bCs/>
                <w:highlight w:val="none"/>
              </w:rPr>
            </w:pPr>
          </w:p>
        </w:tc>
      </w:tr>
      <w:tr w14:paraId="5887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2" w:type="dxa"/>
            <w:vAlign w:val="center"/>
          </w:tcPr>
          <w:p w14:paraId="2624C424">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2</w:t>
            </w:r>
          </w:p>
        </w:tc>
        <w:tc>
          <w:tcPr>
            <w:tcW w:w="1550" w:type="dxa"/>
            <w:vAlign w:val="center"/>
          </w:tcPr>
          <w:p w14:paraId="46C61B69">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开户行</w:t>
            </w:r>
          </w:p>
        </w:tc>
        <w:tc>
          <w:tcPr>
            <w:tcW w:w="3419" w:type="dxa"/>
            <w:vAlign w:val="center"/>
          </w:tcPr>
          <w:p w14:paraId="3B27D99A">
            <w:pPr>
              <w:widowControl/>
              <w:autoSpaceDE/>
              <w:autoSpaceDN/>
              <w:adjustRightInd/>
              <w:jc w:val="center"/>
              <w:rPr>
                <w:rFonts w:hint="default" w:ascii="Times New Roman" w:hAnsi="Times New Roman" w:cs="Times New Roman"/>
                <w:bCs/>
                <w:highlight w:val="none"/>
              </w:rPr>
            </w:pPr>
          </w:p>
        </w:tc>
        <w:tc>
          <w:tcPr>
            <w:tcW w:w="2205" w:type="dxa"/>
            <w:vAlign w:val="center"/>
          </w:tcPr>
          <w:p w14:paraId="77B85B82">
            <w:pPr>
              <w:widowControl/>
              <w:autoSpaceDE/>
              <w:autoSpaceDN/>
              <w:adjustRightInd/>
              <w:jc w:val="center"/>
              <w:rPr>
                <w:rFonts w:hint="default" w:ascii="Times New Roman" w:hAnsi="Times New Roman" w:cs="Times New Roman"/>
                <w:bCs/>
                <w:highlight w:val="none"/>
              </w:rPr>
            </w:pPr>
          </w:p>
        </w:tc>
      </w:tr>
      <w:tr w14:paraId="5D3D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22" w:type="dxa"/>
            <w:vAlign w:val="center"/>
          </w:tcPr>
          <w:p w14:paraId="49A6CB45">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3</w:t>
            </w:r>
          </w:p>
        </w:tc>
        <w:tc>
          <w:tcPr>
            <w:tcW w:w="1550" w:type="dxa"/>
            <w:vAlign w:val="center"/>
          </w:tcPr>
          <w:p w14:paraId="5B267F59">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开户账号</w:t>
            </w:r>
          </w:p>
        </w:tc>
        <w:tc>
          <w:tcPr>
            <w:tcW w:w="3419" w:type="dxa"/>
            <w:vAlign w:val="center"/>
          </w:tcPr>
          <w:p w14:paraId="646B20CE">
            <w:pPr>
              <w:widowControl/>
              <w:autoSpaceDE/>
              <w:autoSpaceDN/>
              <w:adjustRightInd/>
              <w:jc w:val="center"/>
              <w:rPr>
                <w:rFonts w:hint="default" w:ascii="Times New Roman" w:hAnsi="Times New Roman" w:cs="Times New Roman"/>
                <w:bCs/>
                <w:highlight w:val="none"/>
              </w:rPr>
            </w:pPr>
          </w:p>
        </w:tc>
        <w:tc>
          <w:tcPr>
            <w:tcW w:w="2205" w:type="dxa"/>
            <w:vAlign w:val="center"/>
          </w:tcPr>
          <w:p w14:paraId="0A41D900">
            <w:pPr>
              <w:widowControl/>
              <w:autoSpaceDE/>
              <w:autoSpaceDN/>
              <w:adjustRightInd/>
              <w:jc w:val="center"/>
              <w:rPr>
                <w:rFonts w:hint="default" w:ascii="Times New Roman" w:hAnsi="Times New Roman" w:cs="Times New Roman"/>
                <w:bCs/>
                <w:highlight w:val="none"/>
              </w:rPr>
            </w:pPr>
          </w:p>
        </w:tc>
      </w:tr>
    </w:tbl>
    <w:p w14:paraId="30BA8166">
      <w:pPr>
        <w:widowControl/>
        <w:autoSpaceDE/>
        <w:autoSpaceDN/>
        <w:adjustRightInd/>
        <w:rPr>
          <w:rFonts w:hint="default" w:ascii="Times New Roman" w:hAnsi="Times New Roman" w:cs="Times New Roman"/>
          <w:bCs/>
          <w:color w:val="FF0000"/>
          <w:highlight w:val="none"/>
        </w:rPr>
      </w:pPr>
    </w:p>
    <w:p w14:paraId="02716CDD">
      <w:pPr>
        <w:widowControl/>
        <w:autoSpaceDE/>
        <w:autoSpaceDN/>
        <w:adjustRightInd/>
        <w:rPr>
          <w:rFonts w:hint="default" w:ascii="Times New Roman" w:hAnsi="Times New Roman" w:cs="Times New Roman"/>
          <w:bCs/>
          <w:color w:val="FF0000"/>
          <w:highlight w:val="none"/>
        </w:rPr>
      </w:pPr>
    </w:p>
    <w:p w14:paraId="60565C9B">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请附上开户许可证，需加盖公章</w:t>
      </w:r>
      <w:r>
        <w:rPr>
          <w:rFonts w:hint="default" w:ascii="Times New Roman" w:hAnsi="Times New Roman" w:cs="Times New Roman"/>
          <w:bCs/>
          <w:color w:val="FF0000"/>
          <w:highlight w:val="none"/>
        </w:rPr>
        <w:t>）</w:t>
      </w:r>
    </w:p>
    <w:p w14:paraId="35A15D62">
      <w:pPr>
        <w:widowControl/>
        <w:autoSpaceDE/>
        <w:autoSpaceDN/>
        <w:adjustRightInd/>
        <w:rPr>
          <w:rFonts w:hint="default" w:ascii="Times New Roman" w:hAnsi="Times New Roman" w:cs="Times New Roman"/>
          <w:bCs/>
          <w:color w:val="FF0000"/>
          <w:highlight w:val="none"/>
        </w:rPr>
      </w:pPr>
    </w:p>
    <w:p w14:paraId="7DF6B71D">
      <w:pPr>
        <w:rPr>
          <w:rFonts w:hint="eastAsia" w:ascii="Times New Roman" w:cs="Times New Roman"/>
          <w:b/>
          <w:color w:val="000000"/>
          <w:sz w:val="28"/>
          <w:szCs w:val="28"/>
          <w:highlight w:val="none"/>
          <w:lang w:val="en-US" w:eastAsia="zh-CN"/>
        </w:rPr>
      </w:pPr>
    </w:p>
    <w:p w14:paraId="0593E4A6">
      <w:pPr>
        <w:rPr>
          <w:rFonts w:hint="default" w:ascii="Times New Roman" w:cs="Times New Roman"/>
          <w:b/>
          <w:color w:val="000000"/>
          <w:sz w:val="28"/>
          <w:szCs w:val="28"/>
          <w:highlight w:val="none"/>
          <w:lang w:val="en-US" w:eastAsia="zh-CN"/>
        </w:rPr>
      </w:pPr>
      <w:r>
        <w:rPr>
          <w:rFonts w:hint="default" w:ascii="Times New Roman" w:cs="Times New Roman"/>
          <w:b/>
          <w:color w:val="000000"/>
          <w:sz w:val="28"/>
          <w:szCs w:val="28"/>
          <w:highlight w:val="none"/>
          <w:lang w:val="en-US" w:eastAsia="zh-CN"/>
        </w:rPr>
        <w:br w:type="page"/>
      </w:r>
    </w:p>
    <w:p w14:paraId="451DF8CF">
      <w:pPr>
        <w:rPr>
          <w:rFonts w:hint="default" w:ascii="Times New Roman" w:hAnsi="Times New Roman" w:cs="Times New Roman"/>
          <w:b/>
          <w:color w:val="000000"/>
          <w:sz w:val="28"/>
          <w:szCs w:val="28"/>
          <w:highlight w:val="none"/>
        </w:rPr>
      </w:pPr>
      <w:r>
        <w:rPr>
          <w:rFonts w:hint="eastAsia" w:cs="Times New Roman"/>
          <w:b/>
          <w:color w:val="000000"/>
          <w:sz w:val="28"/>
          <w:szCs w:val="28"/>
          <w:highlight w:val="none"/>
          <w:lang w:val="en-US" w:eastAsia="zh-CN"/>
        </w:rPr>
        <w:t>9</w:t>
      </w:r>
      <w:r>
        <w:rPr>
          <w:rFonts w:hint="eastAsia" w:ascii="Times New Roman" w:cs="Times New Roman"/>
          <w:b/>
          <w:color w:val="000000"/>
          <w:sz w:val="28"/>
          <w:szCs w:val="28"/>
          <w:highlight w:val="none"/>
          <w:lang w:val="en-US" w:eastAsia="zh-CN"/>
        </w:rPr>
        <w:t>.</w:t>
      </w:r>
      <w:r>
        <w:rPr>
          <w:rFonts w:hint="default" w:ascii="Times New Roman" w:hAnsi="Times New Roman" w:cs="Times New Roman"/>
          <w:b/>
          <w:color w:val="000000"/>
          <w:sz w:val="28"/>
          <w:szCs w:val="28"/>
          <w:highlight w:val="none"/>
        </w:rPr>
        <w:t>回 执（格式）</w:t>
      </w:r>
      <w:bookmarkEnd w:id="39"/>
      <w:bookmarkEnd w:id="40"/>
      <w:bookmarkEnd w:id="41"/>
      <w:bookmarkEnd w:id="42"/>
    </w:p>
    <w:p w14:paraId="734BB52F">
      <w:pPr>
        <w:spacing w:line="360" w:lineRule="auto"/>
        <w:ind w:left="-2" w:leftChars="-1" w:firstLine="1"/>
        <w:jc w:val="center"/>
        <w:rPr>
          <w:rFonts w:hint="default" w:ascii="Times New Roman" w:hAnsi="Times New Roman" w:cs="Times New Roman"/>
          <w:b/>
          <w:bCs/>
          <w:kern w:val="2"/>
          <w:sz w:val="32"/>
          <w:szCs w:val="32"/>
          <w:highlight w:val="none"/>
        </w:rPr>
      </w:pPr>
    </w:p>
    <w:p w14:paraId="262D1A36">
      <w:pPr>
        <w:spacing w:line="360" w:lineRule="auto"/>
        <w:ind w:left="-2" w:leftChars="-1" w:firstLine="1"/>
        <w:jc w:val="center"/>
        <w:rPr>
          <w:rFonts w:hint="default" w:ascii="Times New Roman" w:hAnsi="Times New Roman" w:cs="Times New Roman"/>
          <w:b/>
          <w:bCs/>
          <w:kern w:val="2"/>
          <w:sz w:val="32"/>
          <w:szCs w:val="32"/>
          <w:highlight w:val="none"/>
          <w:lang w:val="zh-CN"/>
        </w:rPr>
      </w:pPr>
      <w:r>
        <w:rPr>
          <w:rFonts w:hint="default" w:ascii="Times New Roman" w:hAnsi="Times New Roman" w:cs="Times New Roman"/>
          <w:b/>
          <w:bCs/>
          <w:kern w:val="2"/>
          <w:sz w:val="32"/>
          <w:szCs w:val="32"/>
          <w:highlight w:val="none"/>
          <w:lang w:val="zh-CN"/>
        </w:rPr>
        <w:t>回  执</w:t>
      </w:r>
    </w:p>
    <w:p w14:paraId="1855706C">
      <w:pPr>
        <w:spacing w:line="360" w:lineRule="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致：东莞市福地饮用水有限公司</w:t>
      </w:r>
    </w:p>
    <w:p w14:paraId="6DBD5B8B">
      <w:pPr>
        <w:spacing w:line="360" w:lineRule="auto"/>
        <w:ind w:firstLine="565" w:firstLineChars="202"/>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我方</w:t>
      </w:r>
      <w:r>
        <w:rPr>
          <w:rFonts w:hint="default" w:ascii="Times New Roman" w:hAnsi="Times New Roman" w:cs="Times New Roman"/>
          <w:sz w:val="28"/>
          <w:szCs w:val="28"/>
          <w:highlight w:val="none"/>
        </w:rPr>
        <w:t>收到贵司</w:t>
      </w:r>
      <w:r>
        <w:rPr>
          <w:rFonts w:hint="default" w:ascii="Times New Roman" w:hAnsi="Times New Roman" w:cs="Times New Roman"/>
          <w:sz w:val="28"/>
          <w:szCs w:val="28"/>
          <w:highlight w:val="none"/>
          <w:lang w:eastAsia="zh-CN"/>
        </w:rPr>
        <w:t>202</w:t>
      </w:r>
      <w:r>
        <w:rPr>
          <w:rFonts w:hint="eastAsia" w:cs="Times New Roman"/>
          <w:sz w:val="28"/>
          <w:szCs w:val="28"/>
          <w:highlight w:val="none"/>
          <w:lang w:val="en-US" w:eastAsia="zh-CN"/>
        </w:rPr>
        <w:t>6</w:t>
      </w:r>
      <w:r>
        <w:rPr>
          <w:rFonts w:hint="default" w:ascii="Times New Roman" w:hAnsi="Times New Roman" w:cs="Times New Roman"/>
          <w:sz w:val="28"/>
          <w:szCs w:val="28"/>
          <w:highlight w:val="none"/>
        </w:rPr>
        <w:t>年</w:t>
      </w:r>
      <w:r>
        <w:rPr>
          <w:rFonts w:hint="eastAsia" w:cs="Times New Roman"/>
          <w:sz w:val="28"/>
          <w:szCs w:val="28"/>
          <w:highlight w:val="none"/>
          <w:lang w:val="en-US" w:eastAsia="zh-CN"/>
        </w:rPr>
        <w:t>X</w:t>
      </w:r>
      <w:r>
        <w:rPr>
          <w:rFonts w:hint="eastAsia" w:ascii="Times New Roman" w:cs="Times New Roman"/>
          <w:sz w:val="28"/>
          <w:szCs w:val="28"/>
          <w:highlight w:val="none"/>
          <w:lang w:val="en-US" w:eastAsia="zh-CN"/>
        </w:rPr>
        <w:t>月</w:t>
      </w:r>
      <w:r>
        <w:rPr>
          <w:rFonts w:hint="eastAsia" w:cs="Times New Roman"/>
          <w:sz w:val="28"/>
          <w:szCs w:val="28"/>
          <w:highlight w:val="none"/>
          <w:lang w:val="en-US" w:eastAsia="zh-CN"/>
        </w:rPr>
        <w:t>X</w:t>
      </w:r>
      <w:r>
        <w:rPr>
          <w:rFonts w:hint="eastAsia" w:ascii="Times New Roman" w:cs="Times New Roman"/>
          <w:sz w:val="28"/>
          <w:szCs w:val="28"/>
          <w:highlight w:val="none"/>
          <w:lang w:val="en-US" w:eastAsia="zh-CN"/>
        </w:rPr>
        <w:t>日</w:t>
      </w:r>
      <w:r>
        <w:rPr>
          <w:rFonts w:hint="default" w:ascii="Times New Roman" w:hAnsi="Times New Roman" w:cs="Times New Roman"/>
          <w:sz w:val="28"/>
          <w:szCs w:val="28"/>
          <w:highlight w:val="none"/>
        </w:rPr>
        <w:t>发出</w:t>
      </w:r>
      <w:r>
        <w:rPr>
          <w:rFonts w:hint="eastAsia" w:ascii="Times New Roman" w:hAnsi="Times New Roman" w:eastAsia="宋体" w:cs="Times New Roman"/>
          <w:sz w:val="28"/>
          <w:szCs w:val="28"/>
          <w:highlight w:val="none"/>
        </w:rPr>
        <w:t>的“</w:t>
      </w:r>
      <w:r>
        <w:rPr>
          <w:rFonts w:hint="eastAsia" w:ascii="Times New Roman" w:hAnsi="Times New Roman" w:eastAsia="宋体" w:cs="Times New Roman"/>
          <w:bCs w:val="0"/>
          <w:sz w:val="28"/>
          <w:szCs w:val="28"/>
          <w:highlight w:val="none"/>
        </w:rPr>
        <w:t>东莞市福地饮用水有限公司202</w:t>
      </w:r>
      <w:r>
        <w:rPr>
          <w:rFonts w:hint="eastAsia" w:cs="Times New Roman"/>
          <w:bCs w:val="0"/>
          <w:sz w:val="28"/>
          <w:szCs w:val="28"/>
          <w:highlight w:val="none"/>
          <w:lang w:val="en-US" w:eastAsia="zh-CN"/>
        </w:rPr>
        <w:t>6</w:t>
      </w:r>
      <w:r>
        <w:rPr>
          <w:rFonts w:hint="eastAsia" w:ascii="Times New Roman" w:hAnsi="Times New Roman" w:eastAsia="宋体" w:cs="Times New Roman"/>
          <w:bCs w:val="0"/>
          <w:sz w:val="28"/>
          <w:szCs w:val="28"/>
          <w:highlight w:val="none"/>
        </w:rPr>
        <w:t>年包装水物流配送服务采购项目</w:t>
      </w:r>
      <w:r>
        <w:rPr>
          <w:rFonts w:hint="eastAsia" w:ascii="Times New Roman" w:hAnsi="Times New Roman" w:eastAsia="宋体" w:cs="Times New Roman"/>
          <w:sz w:val="28"/>
          <w:szCs w:val="28"/>
          <w:highlight w:val="none"/>
        </w:rPr>
        <w:t>”的询价文件</w:t>
      </w:r>
      <w:r>
        <w:rPr>
          <w:rFonts w:hint="default" w:ascii="Times New Roman" w:hAnsi="Times New Roman" w:cs="Times New Roman"/>
          <w:sz w:val="28"/>
          <w:szCs w:val="28"/>
          <w:highlight w:val="none"/>
        </w:rPr>
        <w:t>。</w:t>
      </w:r>
    </w:p>
    <w:p w14:paraId="23B44077">
      <w:pPr>
        <w:spacing w:line="360" w:lineRule="auto"/>
        <w:ind w:firstLine="565" w:firstLineChars="202"/>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特此函告！</w:t>
      </w:r>
    </w:p>
    <w:p w14:paraId="3A45F9F4">
      <w:pPr>
        <w:ind w:firstLine="435"/>
        <w:rPr>
          <w:rFonts w:hint="default" w:ascii="Times New Roman" w:hAnsi="Times New Roman" w:cs="Times New Roman"/>
          <w:sz w:val="28"/>
          <w:szCs w:val="28"/>
          <w:highlight w:val="none"/>
        </w:rPr>
      </w:pPr>
    </w:p>
    <w:p w14:paraId="1585BB8E">
      <w:pPr>
        <w:spacing w:line="360" w:lineRule="auto"/>
        <w:ind w:firstLine="6658" w:firstLineChars="2378"/>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公司盖章</w:t>
      </w:r>
    </w:p>
    <w:p w14:paraId="03DE1519">
      <w:pPr>
        <w:spacing w:line="360" w:lineRule="auto"/>
        <w:ind w:firstLine="6378" w:firstLineChars="2278"/>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年  月  日</w:t>
      </w:r>
    </w:p>
    <w:p w14:paraId="1D830688">
      <w:pPr>
        <w:rPr>
          <w:rFonts w:hint="default" w:ascii="Times New Roman" w:hAnsi="Times New Roman" w:cs="Times New Roman"/>
          <w:highlight w:val="none"/>
        </w:rPr>
      </w:pPr>
    </w:p>
    <w:p w14:paraId="6781CB99">
      <w:pPr>
        <w:rPr>
          <w:rFonts w:hint="default" w:ascii="Times New Roman" w:hAnsi="Times New Roman" w:cs="Times New Roman"/>
          <w:highlight w:val="none"/>
        </w:rPr>
      </w:pPr>
    </w:p>
    <w:p w14:paraId="53463746">
      <w:pPr>
        <w:rPr>
          <w:rFonts w:hint="default" w:ascii="Times New Roman" w:hAnsi="Times New Roman" w:cs="Times New Roman"/>
          <w:highlight w:val="none"/>
        </w:rPr>
      </w:pPr>
    </w:p>
    <w:p w14:paraId="1161DDEB">
      <w:pPr>
        <w:rPr>
          <w:rFonts w:hint="default" w:ascii="Times New Roman" w:hAnsi="Times New Roman" w:cs="Times New Roman"/>
          <w:highlight w:val="none"/>
        </w:rPr>
      </w:pPr>
    </w:p>
    <w:bookmarkEnd w:id="43"/>
    <w:p w14:paraId="41159FD9">
      <w:pPr>
        <w:jc w:val="center"/>
        <w:rPr>
          <w:rFonts w:hint="default" w:ascii="Times New Roman" w:hAnsi="Times New Roman" w:cs="Times New Roman"/>
          <w:color w:val="FF0000"/>
          <w:highlight w:val="none"/>
        </w:rPr>
      </w:pPr>
    </w:p>
    <w:bookmarkEnd w:id="35"/>
    <w:bookmarkEnd w:id="36"/>
    <w:bookmarkEnd w:id="37"/>
    <w:p w14:paraId="6F830636">
      <w:pPr>
        <w:rPr>
          <w:rFonts w:ascii="宋体" w:hAnsi="宋体"/>
          <w:color w:val="auto"/>
          <w:highlight w:val="none"/>
        </w:rPr>
      </w:pPr>
    </w:p>
    <w:sectPr>
      <w:headerReference r:id="rId5" w:type="default"/>
      <w:footerReference r:id="rId6" w:type="default"/>
      <w:footerReference r:id="rId7" w:type="even"/>
      <w:pgSz w:w="11906" w:h="16838"/>
      <w:pgMar w:top="1440" w:right="1983" w:bottom="1440" w:left="162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7305209"/>
      <w:docPartObj>
        <w:docPartGallery w:val="autotext"/>
      </w:docPartObj>
    </w:sdtPr>
    <w:sdtContent>
      <w:p w14:paraId="0D5AD86B">
        <w:pPr>
          <w:pStyle w:val="12"/>
          <w:jc w:val="center"/>
        </w:pPr>
        <w:r>
          <w:fldChar w:fldCharType="begin"/>
        </w:r>
        <w:r>
          <w:instrText xml:space="preserve">PAGE   \* MERGEFORMAT</w:instrText>
        </w:r>
        <w:r>
          <w:fldChar w:fldCharType="separate"/>
        </w:r>
        <w:r>
          <w:rPr>
            <w:lang w:val="zh-CN"/>
          </w:rPr>
          <w:t>11</w:t>
        </w:r>
        <w:r>
          <w:fldChar w:fldCharType="end"/>
        </w:r>
      </w:p>
    </w:sdtContent>
  </w:sdt>
  <w:p w14:paraId="25EBB641">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3AF2D">
    <w:pPr>
      <w:pStyle w:val="12"/>
      <w:jc w:val="center"/>
      <w:rPr>
        <w:rFonts w:hint="default" w:eastAsiaTheme="minorEastAsia"/>
        <w:lang w:val="en-US" w:eastAsia="zh-CN"/>
      </w:rPr>
    </w:pPr>
    <w:r>
      <w:rPr>
        <w:rFonts w:hint="eastAsia"/>
        <w:lang w:val="en-US" w:eastAsia="zh-CN"/>
      </w:rPr>
      <w:t>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11146">
    <w:pPr>
      <w:pStyle w:val="12"/>
      <w:jc w:val="center"/>
      <w:rPr>
        <w:rFonts w:hint="eastAsia" w:eastAsiaTheme="minorEastAsia"/>
        <w:lang w:val="en-US" w:eastAsia="zh-CN"/>
      </w:rPr>
    </w:pPr>
    <w:r>
      <w:fldChar w:fldCharType="begin"/>
    </w:r>
    <w:r>
      <w:instrText xml:space="preserve">PAGE   \* MERGEFORMAT</w:instrText>
    </w:r>
    <w:r>
      <w:fldChar w:fldCharType="separate"/>
    </w:r>
    <w:r>
      <w:rPr>
        <w:lang w:val="zh-CN"/>
      </w:rPr>
      <w:t>4</w:t>
    </w:r>
    <w:r>
      <w:rPr>
        <w:lang w:val="zh-CN"/>
      </w:rPr>
      <w:fldChar w:fldCharType="end"/>
    </w:r>
    <w:r>
      <w:rPr>
        <w:rFonts w:hint="eastAsia"/>
        <w:lang w:val="en-US" w:eastAsia="zh-CN"/>
      </w:rPr>
      <w:t>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841F">
    <w:pPr>
      <w:pStyle w:val="12"/>
      <w:framePr w:wrap="around" w:vAnchor="text" w:hAnchor="margin" w:xAlign="center" w:y="1"/>
      <w:jc w:val="center"/>
      <w:rPr>
        <w:rStyle w:val="22"/>
      </w:rPr>
    </w:pPr>
    <w:r>
      <w:fldChar w:fldCharType="begin"/>
    </w:r>
    <w:r>
      <w:rPr>
        <w:rStyle w:val="22"/>
      </w:rPr>
      <w:instrText xml:space="preserve">PAGE  </w:instrText>
    </w:r>
    <w:r>
      <w:fldChar w:fldCharType="end"/>
    </w:r>
  </w:p>
  <w:p w14:paraId="1D5A44DE">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E01C7">
    <w:pPr>
      <w:pStyle w:val="13"/>
      <w:rPr>
        <w:rFonts w:hint="eastAsia" w:cs="Calibri" w:asciiTheme="minorEastAsia" w:hAnsiTheme="minorEastAsia"/>
        <w:color w:val="000000"/>
        <w:kern w:val="0"/>
        <w:lang w:eastAsia="zh-CN"/>
      </w:rPr>
    </w:pPr>
    <w:r>
      <w:rPr>
        <w:rFonts w:hint="eastAsia" w:cs="Calibri" w:asciiTheme="minorEastAsia" w:hAnsiTheme="minorEastAsia"/>
        <w:color w:val="000000"/>
        <w:kern w:val="0"/>
        <w:lang w:eastAsia="zh-CN"/>
      </w:rPr>
      <w:t>东莞市福地饮用水有限公司包装水物流配送服务采购项目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042E3D"/>
    <w:multiLevelType w:val="singleLevel"/>
    <w:tmpl w:val="64042E3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4Mjk1Y2NjNDFjYjg4NTA2YWZjZmU3YmU0M2Q3ZTUifQ=="/>
  </w:docVars>
  <w:rsids>
    <w:rsidRoot w:val="006821B7"/>
    <w:rsid w:val="00002255"/>
    <w:rsid w:val="00002D33"/>
    <w:rsid w:val="000063B8"/>
    <w:rsid w:val="00010FA5"/>
    <w:rsid w:val="000143BD"/>
    <w:rsid w:val="00023C04"/>
    <w:rsid w:val="00031998"/>
    <w:rsid w:val="000319AB"/>
    <w:rsid w:val="00032993"/>
    <w:rsid w:val="00032C0A"/>
    <w:rsid w:val="000346F5"/>
    <w:rsid w:val="0003577B"/>
    <w:rsid w:val="00035B3E"/>
    <w:rsid w:val="00036A26"/>
    <w:rsid w:val="000370A9"/>
    <w:rsid w:val="00037B36"/>
    <w:rsid w:val="00037B60"/>
    <w:rsid w:val="000433EE"/>
    <w:rsid w:val="0004448C"/>
    <w:rsid w:val="000459E1"/>
    <w:rsid w:val="00046838"/>
    <w:rsid w:val="00046A5B"/>
    <w:rsid w:val="00046BC0"/>
    <w:rsid w:val="00046BC1"/>
    <w:rsid w:val="00051FFE"/>
    <w:rsid w:val="0005490D"/>
    <w:rsid w:val="000565B8"/>
    <w:rsid w:val="00062090"/>
    <w:rsid w:val="00066AD6"/>
    <w:rsid w:val="0006716D"/>
    <w:rsid w:val="00067776"/>
    <w:rsid w:val="0007043B"/>
    <w:rsid w:val="00073E70"/>
    <w:rsid w:val="000746BC"/>
    <w:rsid w:val="00074719"/>
    <w:rsid w:val="00080CD3"/>
    <w:rsid w:val="000832C8"/>
    <w:rsid w:val="000839BA"/>
    <w:rsid w:val="000843DF"/>
    <w:rsid w:val="00085ED5"/>
    <w:rsid w:val="00087B7B"/>
    <w:rsid w:val="000904C2"/>
    <w:rsid w:val="0009307F"/>
    <w:rsid w:val="00093EE9"/>
    <w:rsid w:val="000979EE"/>
    <w:rsid w:val="000A0536"/>
    <w:rsid w:val="000A0B4E"/>
    <w:rsid w:val="000A5FEB"/>
    <w:rsid w:val="000B0D09"/>
    <w:rsid w:val="000B3892"/>
    <w:rsid w:val="000B4A0F"/>
    <w:rsid w:val="000B58DC"/>
    <w:rsid w:val="000B6658"/>
    <w:rsid w:val="000B79CA"/>
    <w:rsid w:val="000C1A3C"/>
    <w:rsid w:val="000C1D56"/>
    <w:rsid w:val="000C1D83"/>
    <w:rsid w:val="000C3280"/>
    <w:rsid w:val="000C43BA"/>
    <w:rsid w:val="000D4E1C"/>
    <w:rsid w:val="000D50BF"/>
    <w:rsid w:val="000D6C42"/>
    <w:rsid w:val="000F098A"/>
    <w:rsid w:val="000F112D"/>
    <w:rsid w:val="000F4EF0"/>
    <w:rsid w:val="000F5C2A"/>
    <w:rsid w:val="000F7014"/>
    <w:rsid w:val="0010351F"/>
    <w:rsid w:val="001037BB"/>
    <w:rsid w:val="00103E50"/>
    <w:rsid w:val="001045B4"/>
    <w:rsid w:val="001050B0"/>
    <w:rsid w:val="001056B9"/>
    <w:rsid w:val="00105856"/>
    <w:rsid w:val="00107267"/>
    <w:rsid w:val="00110B09"/>
    <w:rsid w:val="00110E89"/>
    <w:rsid w:val="001115D5"/>
    <w:rsid w:val="001165D2"/>
    <w:rsid w:val="00116603"/>
    <w:rsid w:val="0012157D"/>
    <w:rsid w:val="001231D7"/>
    <w:rsid w:val="00124102"/>
    <w:rsid w:val="00124E92"/>
    <w:rsid w:val="001260AE"/>
    <w:rsid w:val="00127604"/>
    <w:rsid w:val="00131300"/>
    <w:rsid w:val="00135B4A"/>
    <w:rsid w:val="00142750"/>
    <w:rsid w:val="001439FB"/>
    <w:rsid w:val="00147E11"/>
    <w:rsid w:val="00150CA9"/>
    <w:rsid w:val="001511D6"/>
    <w:rsid w:val="00154242"/>
    <w:rsid w:val="0015743C"/>
    <w:rsid w:val="001602AA"/>
    <w:rsid w:val="0016242B"/>
    <w:rsid w:val="00167FC1"/>
    <w:rsid w:val="00171AA4"/>
    <w:rsid w:val="00173CE4"/>
    <w:rsid w:val="00176B0E"/>
    <w:rsid w:val="00176BA4"/>
    <w:rsid w:val="001771AC"/>
    <w:rsid w:val="00180B96"/>
    <w:rsid w:val="0018443D"/>
    <w:rsid w:val="0018485B"/>
    <w:rsid w:val="00190457"/>
    <w:rsid w:val="00192562"/>
    <w:rsid w:val="00192618"/>
    <w:rsid w:val="001952A2"/>
    <w:rsid w:val="00195C1D"/>
    <w:rsid w:val="001975E3"/>
    <w:rsid w:val="001A1558"/>
    <w:rsid w:val="001A31D5"/>
    <w:rsid w:val="001A68F7"/>
    <w:rsid w:val="001B171F"/>
    <w:rsid w:val="001B6379"/>
    <w:rsid w:val="001B6875"/>
    <w:rsid w:val="001B7F42"/>
    <w:rsid w:val="001C2C37"/>
    <w:rsid w:val="001D05B2"/>
    <w:rsid w:val="001D10DB"/>
    <w:rsid w:val="001D2388"/>
    <w:rsid w:val="001D2432"/>
    <w:rsid w:val="001D56AF"/>
    <w:rsid w:val="001E0122"/>
    <w:rsid w:val="001E105C"/>
    <w:rsid w:val="001E40C6"/>
    <w:rsid w:val="001E5572"/>
    <w:rsid w:val="001E71C0"/>
    <w:rsid w:val="001F5240"/>
    <w:rsid w:val="001F6E53"/>
    <w:rsid w:val="001F7A2B"/>
    <w:rsid w:val="0020493A"/>
    <w:rsid w:val="00212470"/>
    <w:rsid w:val="00215185"/>
    <w:rsid w:val="002152DD"/>
    <w:rsid w:val="002159FF"/>
    <w:rsid w:val="002177F2"/>
    <w:rsid w:val="002231A7"/>
    <w:rsid w:val="00226754"/>
    <w:rsid w:val="002345E7"/>
    <w:rsid w:val="0023619A"/>
    <w:rsid w:val="002366FC"/>
    <w:rsid w:val="002376EB"/>
    <w:rsid w:val="00241923"/>
    <w:rsid w:val="00242C7B"/>
    <w:rsid w:val="002447E5"/>
    <w:rsid w:val="0025198E"/>
    <w:rsid w:val="00256551"/>
    <w:rsid w:val="002614FE"/>
    <w:rsid w:val="00267516"/>
    <w:rsid w:val="00267D31"/>
    <w:rsid w:val="00277D60"/>
    <w:rsid w:val="00280366"/>
    <w:rsid w:val="00281D54"/>
    <w:rsid w:val="00285152"/>
    <w:rsid w:val="00286F31"/>
    <w:rsid w:val="0029079F"/>
    <w:rsid w:val="0029319C"/>
    <w:rsid w:val="00294955"/>
    <w:rsid w:val="00297041"/>
    <w:rsid w:val="00297891"/>
    <w:rsid w:val="002A3015"/>
    <w:rsid w:val="002A3E70"/>
    <w:rsid w:val="002A6767"/>
    <w:rsid w:val="002A6CCF"/>
    <w:rsid w:val="002A72C3"/>
    <w:rsid w:val="002A7C36"/>
    <w:rsid w:val="002B0348"/>
    <w:rsid w:val="002B4E99"/>
    <w:rsid w:val="002C2180"/>
    <w:rsid w:val="002C21F3"/>
    <w:rsid w:val="002C2D9F"/>
    <w:rsid w:val="002C41EC"/>
    <w:rsid w:val="002C4A22"/>
    <w:rsid w:val="002C7E37"/>
    <w:rsid w:val="002D0D59"/>
    <w:rsid w:val="002D6CE2"/>
    <w:rsid w:val="002D7C1A"/>
    <w:rsid w:val="002E002A"/>
    <w:rsid w:val="002E052C"/>
    <w:rsid w:val="002F111C"/>
    <w:rsid w:val="002F3369"/>
    <w:rsid w:val="002F5386"/>
    <w:rsid w:val="002F5ED7"/>
    <w:rsid w:val="002F7464"/>
    <w:rsid w:val="00302626"/>
    <w:rsid w:val="003105AA"/>
    <w:rsid w:val="003112CB"/>
    <w:rsid w:val="00312F99"/>
    <w:rsid w:val="00313208"/>
    <w:rsid w:val="00314C39"/>
    <w:rsid w:val="00325423"/>
    <w:rsid w:val="0033340B"/>
    <w:rsid w:val="0033656B"/>
    <w:rsid w:val="00344F0E"/>
    <w:rsid w:val="00352382"/>
    <w:rsid w:val="003536F9"/>
    <w:rsid w:val="003540C9"/>
    <w:rsid w:val="00354597"/>
    <w:rsid w:val="00360013"/>
    <w:rsid w:val="0036102D"/>
    <w:rsid w:val="003615AE"/>
    <w:rsid w:val="0036180D"/>
    <w:rsid w:val="00363B45"/>
    <w:rsid w:val="003645E9"/>
    <w:rsid w:val="00365024"/>
    <w:rsid w:val="003715DD"/>
    <w:rsid w:val="00371E2C"/>
    <w:rsid w:val="0037277F"/>
    <w:rsid w:val="00372B75"/>
    <w:rsid w:val="003748F2"/>
    <w:rsid w:val="003752FD"/>
    <w:rsid w:val="0037717D"/>
    <w:rsid w:val="0037763E"/>
    <w:rsid w:val="00377683"/>
    <w:rsid w:val="003810CC"/>
    <w:rsid w:val="003820F6"/>
    <w:rsid w:val="00390D6D"/>
    <w:rsid w:val="0039692A"/>
    <w:rsid w:val="00396C8E"/>
    <w:rsid w:val="0039729B"/>
    <w:rsid w:val="003A0AF7"/>
    <w:rsid w:val="003A1EA3"/>
    <w:rsid w:val="003A57B4"/>
    <w:rsid w:val="003A76D1"/>
    <w:rsid w:val="003B1678"/>
    <w:rsid w:val="003B5922"/>
    <w:rsid w:val="003B5FE2"/>
    <w:rsid w:val="003B6242"/>
    <w:rsid w:val="003C018C"/>
    <w:rsid w:val="003C06C9"/>
    <w:rsid w:val="003C14CE"/>
    <w:rsid w:val="003C3EA5"/>
    <w:rsid w:val="003D10F7"/>
    <w:rsid w:val="003D2A14"/>
    <w:rsid w:val="003D3A30"/>
    <w:rsid w:val="003D59B2"/>
    <w:rsid w:val="003D5EB6"/>
    <w:rsid w:val="003E0860"/>
    <w:rsid w:val="003F12BC"/>
    <w:rsid w:val="003F1839"/>
    <w:rsid w:val="003F2208"/>
    <w:rsid w:val="003F3784"/>
    <w:rsid w:val="003F40A9"/>
    <w:rsid w:val="00412562"/>
    <w:rsid w:val="0042243F"/>
    <w:rsid w:val="00422947"/>
    <w:rsid w:val="004257B2"/>
    <w:rsid w:val="00425EDC"/>
    <w:rsid w:val="0042725D"/>
    <w:rsid w:val="00427582"/>
    <w:rsid w:val="004305E6"/>
    <w:rsid w:val="00432BDE"/>
    <w:rsid w:val="004425C5"/>
    <w:rsid w:val="00442A4B"/>
    <w:rsid w:val="004434CB"/>
    <w:rsid w:val="00444BAF"/>
    <w:rsid w:val="00446CEA"/>
    <w:rsid w:val="00447537"/>
    <w:rsid w:val="00447FFB"/>
    <w:rsid w:val="00466FDD"/>
    <w:rsid w:val="004702CA"/>
    <w:rsid w:val="00475745"/>
    <w:rsid w:val="004810DE"/>
    <w:rsid w:val="004824B8"/>
    <w:rsid w:val="00483C73"/>
    <w:rsid w:val="00485D98"/>
    <w:rsid w:val="00486F50"/>
    <w:rsid w:val="00495A56"/>
    <w:rsid w:val="00495D22"/>
    <w:rsid w:val="00497C56"/>
    <w:rsid w:val="004A2839"/>
    <w:rsid w:val="004A2C69"/>
    <w:rsid w:val="004A63C3"/>
    <w:rsid w:val="004B2687"/>
    <w:rsid w:val="004B4B67"/>
    <w:rsid w:val="004B7880"/>
    <w:rsid w:val="004C1476"/>
    <w:rsid w:val="004C1CEB"/>
    <w:rsid w:val="004C2560"/>
    <w:rsid w:val="004C3682"/>
    <w:rsid w:val="004C3E15"/>
    <w:rsid w:val="004D5779"/>
    <w:rsid w:val="004E239E"/>
    <w:rsid w:val="004F5EA3"/>
    <w:rsid w:val="004F796B"/>
    <w:rsid w:val="00502289"/>
    <w:rsid w:val="005025BE"/>
    <w:rsid w:val="00503173"/>
    <w:rsid w:val="0050612D"/>
    <w:rsid w:val="00507248"/>
    <w:rsid w:val="00507976"/>
    <w:rsid w:val="005079C1"/>
    <w:rsid w:val="0051623A"/>
    <w:rsid w:val="005168B3"/>
    <w:rsid w:val="00521CC6"/>
    <w:rsid w:val="00532AAA"/>
    <w:rsid w:val="00536CA9"/>
    <w:rsid w:val="00537A45"/>
    <w:rsid w:val="0054338B"/>
    <w:rsid w:val="00544AD8"/>
    <w:rsid w:val="00547EE0"/>
    <w:rsid w:val="00554E5B"/>
    <w:rsid w:val="00562C6F"/>
    <w:rsid w:val="00563D82"/>
    <w:rsid w:val="00564142"/>
    <w:rsid w:val="005654E7"/>
    <w:rsid w:val="005712AE"/>
    <w:rsid w:val="005717BF"/>
    <w:rsid w:val="005745AD"/>
    <w:rsid w:val="00580A1C"/>
    <w:rsid w:val="00582D04"/>
    <w:rsid w:val="00585ED1"/>
    <w:rsid w:val="00586C96"/>
    <w:rsid w:val="0059394A"/>
    <w:rsid w:val="00595006"/>
    <w:rsid w:val="005958F6"/>
    <w:rsid w:val="00596D33"/>
    <w:rsid w:val="00596F61"/>
    <w:rsid w:val="005976C2"/>
    <w:rsid w:val="005A66E9"/>
    <w:rsid w:val="005B3685"/>
    <w:rsid w:val="005C0480"/>
    <w:rsid w:val="005C1D25"/>
    <w:rsid w:val="005C24C1"/>
    <w:rsid w:val="005C31E4"/>
    <w:rsid w:val="005C35B5"/>
    <w:rsid w:val="005C3F58"/>
    <w:rsid w:val="005C4D7D"/>
    <w:rsid w:val="005C4E63"/>
    <w:rsid w:val="005D08D9"/>
    <w:rsid w:val="005D1913"/>
    <w:rsid w:val="005D26F4"/>
    <w:rsid w:val="005D55C3"/>
    <w:rsid w:val="005E0907"/>
    <w:rsid w:val="005E103C"/>
    <w:rsid w:val="005E7646"/>
    <w:rsid w:val="005E7969"/>
    <w:rsid w:val="005E7C33"/>
    <w:rsid w:val="005F7816"/>
    <w:rsid w:val="0060335E"/>
    <w:rsid w:val="00604681"/>
    <w:rsid w:val="00606D2D"/>
    <w:rsid w:val="00607543"/>
    <w:rsid w:val="00613EE9"/>
    <w:rsid w:val="00615086"/>
    <w:rsid w:val="00617104"/>
    <w:rsid w:val="00620843"/>
    <w:rsid w:val="006237C5"/>
    <w:rsid w:val="00625ABA"/>
    <w:rsid w:val="00625DFE"/>
    <w:rsid w:val="00627F04"/>
    <w:rsid w:val="0063111D"/>
    <w:rsid w:val="006312AA"/>
    <w:rsid w:val="00631862"/>
    <w:rsid w:val="006346E5"/>
    <w:rsid w:val="006412C1"/>
    <w:rsid w:val="00642D13"/>
    <w:rsid w:val="00643150"/>
    <w:rsid w:val="00643B86"/>
    <w:rsid w:val="00643CBD"/>
    <w:rsid w:val="00647F1A"/>
    <w:rsid w:val="006521C2"/>
    <w:rsid w:val="006607EC"/>
    <w:rsid w:val="0066094D"/>
    <w:rsid w:val="00661045"/>
    <w:rsid w:val="00663347"/>
    <w:rsid w:val="0066353A"/>
    <w:rsid w:val="00667ED1"/>
    <w:rsid w:val="006701D5"/>
    <w:rsid w:val="00672ACD"/>
    <w:rsid w:val="006821B7"/>
    <w:rsid w:val="00682DCB"/>
    <w:rsid w:val="00683CF1"/>
    <w:rsid w:val="00685A47"/>
    <w:rsid w:val="006904DF"/>
    <w:rsid w:val="006909F7"/>
    <w:rsid w:val="0069143A"/>
    <w:rsid w:val="006954F0"/>
    <w:rsid w:val="00695AAB"/>
    <w:rsid w:val="006970BC"/>
    <w:rsid w:val="00697BE0"/>
    <w:rsid w:val="006A0154"/>
    <w:rsid w:val="006A0FAE"/>
    <w:rsid w:val="006A3442"/>
    <w:rsid w:val="006A5218"/>
    <w:rsid w:val="006A7D08"/>
    <w:rsid w:val="006B0144"/>
    <w:rsid w:val="006B1AA2"/>
    <w:rsid w:val="006B1FF4"/>
    <w:rsid w:val="006B4636"/>
    <w:rsid w:val="006B49D7"/>
    <w:rsid w:val="006B70F0"/>
    <w:rsid w:val="006B7C97"/>
    <w:rsid w:val="006C0901"/>
    <w:rsid w:val="006C224A"/>
    <w:rsid w:val="006C56B4"/>
    <w:rsid w:val="006D06E1"/>
    <w:rsid w:val="006D090B"/>
    <w:rsid w:val="006D17FD"/>
    <w:rsid w:val="006D2590"/>
    <w:rsid w:val="006D2E47"/>
    <w:rsid w:val="006D5EB1"/>
    <w:rsid w:val="006D6AB2"/>
    <w:rsid w:val="006E3010"/>
    <w:rsid w:val="006E4FB7"/>
    <w:rsid w:val="006E544E"/>
    <w:rsid w:val="006F0EC3"/>
    <w:rsid w:val="006F1C1F"/>
    <w:rsid w:val="006F1FC4"/>
    <w:rsid w:val="006F3EAD"/>
    <w:rsid w:val="006F6E0B"/>
    <w:rsid w:val="0070341F"/>
    <w:rsid w:val="00704ED1"/>
    <w:rsid w:val="0070692E"/>
    <w:rsid w:val="00713317"/>
    <w:rsid w:val="00721FF9"/>
    <w:rsid w:val="00724767"/>
    <w:rsid w:val="00727403"/>
    <w:rsid w:val="00732ECB"/>
    <w:rsid w:val="00737B5F"/>
    <w:rsid w:val="00741632"/>
    <w:rsid w:val="007428FB"/>
    <w:rsid w:val="00745C4B"/>
    <w:rsid w:val="00745EC7"/>
    <w:rsid w:val="0075121E"/>
    <w:rsid w:val="007523CA"/>
    <w:rsid w:val="00754B9D"/>
    <w:rsid w:val="00755FC7"/>
    <w:rsid w:val="00756923"/>
    <w:rsid w:val="00757718"/>
    <w:rsid w:val="0076022E"/>
    <w:rsid w:val="007618A4"/>
    <w:rsid w:val="007623F1"/>
    <w:rsid w:val="007654ED"/>
    <w:rsid w:val="00765FBF"/>
    <w:rsid w:val="007667F9"/>
    <w:rsid w:val="007701A3"/>
    <w:rsid w:val="007706BB"/>
    <w:rsid w:val="00776352"/>
    <w:rsid w:val="00782C67"/>
    <w:rsid w:val="00783E47"/>
    <w:rsid w:val="00786F44"/>
    <w:rsid w:val="0079157B"/>
    <w:rsid w:val="00792213"/>
    <w:rsid w:val="00792815"/>
    <w:rsid w:val="00794F9E"/>
    <w:rsid w:val="00795865"/>
    <w:rsid w:val="007A085F"/>
    <w:rsid w:val="007A2EAF"/>
    <w:rsid w:val="007A5DA0"/>
    <w:rsid w:val="007A7930"/>
    <w:rsid w:val="007B422D"/>
    <w:rsid w:val="007B50E9"/>
    <w:rsid w:val="007B655F"/>
    <w:rsid w:val="007B76BE"/>
    <w:rsid w:val="007C0353"/>
    <w:rsid w:val="007C1CBC"/>
    <w:rsid w:val="007C37BE"/>
    <w:rsid w:val="007C3CD9"/>
    <w:rsid w:val="007C3FFA"/>
    <w:rsid w:val="007C4DDE"/>
    <w:rsid w:val="007C7BD3"/>
    <w:rsid w:val="007D120D"/>
    <w:rsid w:val="007D16B6"/>
    <w:rsid w:val="007D1828"/>
    <w:rsid w:val="007D3814"/>
    <w:rsid w:val="007D6935"/>
    <w:rsid w:val="007D7C44"/>
    <w:rsid w:val="007E13F4"/>
    <w:rsid w:val="007F15A1"/>
    <w:rsid w:val="007F32B3"/>
    <w:rsid w:val="007F3504"/>
    <w:rsid w:val="007F464A"/>
    <w:rsid w:val="007F585F"/>
    <w:rsid w:val="00802F1B"/>
    <w:rsid w:val="00805016"/>
    <w:rsid w:val="00806201"/>
    <w:rsid w:val="008111DB"/>
    <w:rsid w:val="00813423"/>
    <w:rsid w:val="00822B27"/>
    <w:rsid w:val="00823C97"/>
    <w:rsid w:val="00823EF8"/>
    <w:rsid w:val="00830286"/>
    <w:rsid w:val="00830F82"/>
    <w:rsid w:val="00832DF0"/>
    <w:rsid w:val="00833E58"/>
    <w:rsid w:val="008346A4"/>
    <w:rsid w:val="00836D74"/>
    <w:rsid w:val="008424B2"/>
    <w:rsid w:val="008441CB"/>
    <w:rsid w:val="00850725"/>
    <w:rsid w:val="00853017"/>
    <w:rsid w:val="00854D29"/>
    <w:rsid w:val="00860CBF"/>
    <w:rsid w:val="00860E1D"/>
    <w:rsid w:val="0086424B"/>
    <w:rsid w:val="00870F9B"/>
    <w:rsid w:val="00871BE0"/>
    <w:rsid w:val="008753D9"/>
    <w:rsid w:val="008760B0"/>
    <w:rsid w:val="00876421"/>
    <w:rsid w:val="008819D8"/>
    <w:rsid w:val="008831A4"/>
    <w:rsid w:val="00883589"/>
    <w:rsid w:val="00885A55"/>
    <w:rsid w:val="00885AB0"/>
    <w:rsid w:val="008877F9"/>
    <w:rsid w:val="00890B9B"/>
    <w:rsid w:val="008917C6"/>
    <w:rsid w:val="00892A5E"/>
    <w:rsid w:val="00897067"/>
    <w:rsid w:val="008A1A38"/>
    <w:rsid w:val="008A4C32"/>
    <w:rsid w:val="008A5F94"/>
    <w:rsid w:val="008A70DC"/>
    <w:rsid w:val="008B2555"/>
    <w:rsid w:val="008B323F"/>
    <w:rsid w:val="008B60D1"/>
    <w:rsid w:val="008C0B5B"/>
    <w:rsid w:val="008C19C5"/>
    <w:rsid w:val="008C2030"/>
    <w:rsid w:val="008C2B7C"/>
    <w:rsid w:val="008C4C76"/>
    <w:rsid w:val="008C54BC"/>
    <w:rsid w:val="008D0E9F"/>
    <w:rsid w:val="008D1F4E"/>
    <w:rsid w:val="008D5472"/>
    <w:rsid w:val="008D5AE5"/>
    <w:rsid w:val="008D5F63"/>
    <w:rsid w:val="008D6E87"/>
    <w:rsid w:val="008D7D29"/>
    <w:rsid w:val="008E325A"/>
    <w:rsid w:val="008E4BE9"/>
    <w:rsid w:val="008E7616"/>
    <w:rsid w:val="008E7F6F"/>
    <w:rsid w:val="008F4F61"/>
    <w:rsid w:val="008F5D02"/>
    <w:rsid w:val="008F6EB2"/>
    <w:rsid w:val="008F7040"/>
    <w:rsid w:val="008F73ED"/>
    <w:rsid w:val="009011FF"/>
    <w:rsid w:val="0090192D"/>
    <w:rsid w:val="00901A5D"/>
    <w:rsid w:val="00904404"/>
    <w:rsid w:val="0090473B"/>
    <w:rsid w:val="00904EA6"/>
    <w:rsid w:val="009061A0"/>
    <w:rsid w:val="00906814"/>
    <w:rsid w:val="00910429"/>
    <w:rsid w:val="009148F3"/>
    <w:rsid w:val="00915FD4"/>
    <w:rsid w:val="0091764B"/>
    <w:rsid w:val="00922827"/>
    <w:rsid w:val="00922B6B"/>
    <w:rsid w:val="0092469F"/>
    <w:rsid w:val="00930F55"/>
    <w:rsid w:val="009334E0"/>
    <w:rsid w:val="0093614C"/>
    <w:rsid w:val="00936E2D"/>
    <w:rsid w:val="009419B0"/>
    <w:rsid w:val="009428B3"/>
    <w:rsid w:val="009462F6"/>
    <w:rsid w:val="009466F7"/>
    <w:rsid w:val="00946BAF"/>
    <w:rsid w:val="009534C0"/>
    <w:rsid w:val="009566D9"/>
    <w:rsid w:val="00956816"/>
    <w:rsid w:val="0097262B"/>
    <w:rsid w:val="00975409"/>
    <w:rsid w:val="00975435"/>
    <w:rsid w:val="0097710D"/>
    <w:rsid w:val="0098255D"/>
    <w:rsid w:val="00983CAA"/>
    <w:rsid w:val="00987C17"/>
    <w:rsid w:val="0099161F"/>
    <w:rsid w:val="009939F4"/>
    <w:rsid w:val="00994C73"/>
    <w:rsid w:val="009A0271"/>
    <w:rsid w:val="009A08E1"/>
    <w:rsid w:val="009A188C"/>
    <w:rsid w:val="009A44B8"/>
    <w:rsid w:val="009A4EB4"/>
    <w:rsid w:val="009B3FFB"/>
    <w:rsid w:val="009B4044"/>
    <w:rsid w:val="009B4692"/>
    <w:rsid w:val="009B4B77"/>
    <w:rsid w:val="009C6713"/>
    <w:rsid w:val="009D18A7"/>
    <w:rsid w:val="009D346B"/>
    <w:rsid w:val="009D67B1"/>
    <w:rsid w:val="009E12B3"/>
    <w:rsid w:val="009F0DEE"/>
    <w:rsid w:val="009F2125"/>
    <w:rsid w:val="009F2B02"/>
    <w:rsid w:val="009F2F49"/>
    <w:rsid w:val="009F50DA"/>
    <w:rsid w:val="009F6B97"/>
    <w:rsid w:val="00A00ACA"/>
    <w:rsid w:val="00A01613"/>
    <w:rsid w:val="00A030C0"/>
    <w:rsid w:val="00A0464B"/>
    <w:rsid w:val="00A04E90"/>
    <w:rsid w:val="00A06095"/>
    <w:rsid w:val="00A103A4"/>
    <w:rsid w:val="00A111D0"/>
    <w:rsid w:val="00A12F98"/>
    <w:rsid w:val="00A15B85"/>
    <w:rsid w:val="00A20919"/>
    <w:rsid w:val="00A24142"/>
    <w:rsid w:val="00A241D4"/>
    <w:rsid w:val="00A2441F"/>
    <w:rsid w:val="00A25D61"/>
    <w:rsid w:val="00A26980"/>
    <w:rsid w:val="00A27C63"/>
    <w:rsid w:val="00A31C5D"/>
    <w:rsid w:val="00A34F61"/>
    <w:rsid w:val="00A362C5"/>
    <w:rsid w:val="00A364B9"/>
    <w:rsid w:val="00A40AFC"/>
    <w:rsid w:val="00A440BB"/>
    <w:rsid w:val="00A463D2"/>
    <w:rsid w:val="00A50CF1"/>
    <w:rsid w:val="00A52866"/>
    <w:rsid w:val="00A5462A"/>
    <w:rsid w:val="00A60C3F"/>
    <w:rsid w:val="00A61F8A"/>
    <w:rsid w:val="00A61F9E"/>
    <w:rsid w:val="00A701CF"/>
    <w:rsid w:val="00A70B14"/>
    <w:rsid w:val="00A71857"/>
    <w:rsid w:val="00A72840"/>
    <w:rsid w:val="00A744E6"/>
    <w:rsid w:val="00A746A5"/>
    <w:rsid w:val="00A769C0"/>
    <w:rsid w:val="00A776BD"/>
    <w:rsid w:val="00A779F5"/>
    <w:rsid w:val="00A82156"/>
    <w:rsid w:val="00A83ED0"/>
    <w:rsid w:val="00A84125"/>
    <w:rsid w:val="00A90135"/>
    <w:rsid w:val="00A93EF0"/>
    <w:rsid w:val="00AA02DD"/>
    <w:rsid w:val="00AA0BA2"/>
    <w:rsid w:val="00AA46C0"/>
    <w:rsid w:val="00AA548F"/>
    <w:rsid w:val="00AB103A"/>
    <w:rsid w:val="00AB1CD7"/>
    <w:rsid w:val="00AB3462"/>
    <w:rsid w:val="00AB45C2"/>
    <w:rsid w:val="00AB686C"/>
    <w:rsid w:val="00AC1A48"/>
    <w:rsid w:val="00AC2241"/>
    <w:rsid w:val="00AC4641"/>
    <w:rsid w:val="00AC758E"/>
    <w:rsid w:val="00AC78C8"/>
    <w:rsid w:val="00AC7B37"/>
    <w:rsid w:val="00AD67CC"/>
    <w:rsid w:val="00AD71C6"/>
    <w:rsid w:val="00AD79F0"/>
    <w:rsid w:val="00AE0351"/>
    <w:rsid w:val="00AE44D6"/>
    <w:rsid w:val="00AF08AC"/>
    <w:rsid w:val="00AF2203"/>
    <w:rsid w:val="00AF3B00"/>
    <w:rsid w:val="00AF4DC3"/>
    <w:rsid w:val="00B05CC6"/>
    <w:rsid w:val="00B05D84"/>
    <w:rsid w:val="00B06E7C"/>
    <w:rsid w:val="00B11985"/>
    <w:rsid w:val="00B13693"/>
    <w:rsid w:val="00B20FC3"/>
    <w:rsid w:val="00B2197E"/>
    <w:rsid w:val="00B23DC4"/>
    <w:rsid w:val="00B24A67"/>
    <w:rsid w:val="00B2572E"/>
    <w:rsid w:val="00B31DC4"/>
    <w:rsid w:val="00B41629"/>
    <w:rsid w:val="00B43EC1"/>
    <w:rsid w:val="00B511ED"/>
    <w:rsid w:val="00B54A37"/>
    <w:rsid w:val="00B551D9"/>
    <w:rsid w:val="00B55F68"/>
    <w:rsid w:val="00B567C2"/>
    <w:rsid w:val="00B61CA0"/>
    <w:rsid w:val="00B63233"/>
    <w:rsid w:val="00B63853"/>
    <w:rsid w:val="00B675D8"/>
    <w:rsid w:val="00B679E5"/>
    <w:rsid w:val="00B81581"/>
    <w:rsid w:val="00B82025"/>
    <w:rsid w:val="00B82E05"/>
    <w:rsid w:val="00B83A27"/>
    <w:rsid w:val="00B83AB9"/>
    <w:rsid w:val="00B86158"/>
    <w:rsid w:val="00B92E4C"/>
    <w:rsid w:val="00B93F26"/>
    <w:rsid w:val="00B94AA2"/>
    <w:rsid w:val="00B960CA"/>
    <w:rsid w:val="00B975D7"/>
    <w:rsid w:val="00BA2C57"/>
    <w:rsid w:val="00BA5334"/>
    <w:rsid w:val="00BA5559"/>
    <w:rsid w:val="00BA7B76"/>
    <w:rsid w:val="00BB0757"/>
    <w:rsid w:val="00BB5B13"/>
    <w:rsid w:val="00BB5DA1"/>
    <w:rsid w:val="00BC432E"/>
    <w:rsid w:val="00BD1DF8"/>
    <w:rsid w:val="00BD2554"/>
    <w:rsid w:val="00BD5CC8"/>
    <w:rsid w:val="00BD680A"/>
    <w:rsid w:val="00BD74B4"/>
    <w:rsid w:val="00BE1500"/>
    <w:rsid w:val="00BE346F"/>
    <w:rsid w:val="00BE3656"/>
    <w:rsid w:val="00BE4C69"/>
    <w:rsid w:val="00C01090"/>
    <w:rsid w:val="00C036C6"/>
    <w:rsid w:val="00C05428"/>
    <w:rsid w:val="00C07BBA"/>
    <w:rsid w:val="00C10476"/>
    <w:rsid w:val="00C11D6A"/>
    <w:rsid w:val="00C13ED2"/>
    <w:rsid w:val="00C15D73"/>
    <w:rsid w:val="00C22510"/>
    <w:rsid w:val="00C234AF"/>
    <w:rsid w:val="00C23EA9"/>
    <w:rsid w:val="00C2429E"/>
    <w:rsid w:val="00C249DB"/>
    <w:rsid w:val="00C25AD2"/>
    <w:rsid w:val="00C27EDE"/>
    <w:rsid w:val="00C309D9"/>
    <w:rsid w:val="00C30C43"/>
    <w:rsid w:val="00C30D10"/>
    <w:rsid w:val="00C30DB2"/>
    <w:rsid w:val="00C32D93"/>
    <w:rsid w:val="00C3583C"/>
    <w:rsid w:val="00C358B1"/>
    <w:rsid w:val="00C35CD9"/>
    <w:rsid w:val="00C400D0"/>
    <w:rsid w:val="00C41200"/>
    <w:rsid w:val="00C4128A"/>
    <w:rsid w:val="00C4430A"/>
    <w:rsid w:val="00C46CB4"/>
    <w:rsid w:val="00C50DFB"/>
    <w:rsid w:val="00C52664"/>
    <w:rsid w:val="00C572EF"/>
    <w:rsid w:val="00C57691"/>
    <w:rsid w:val="00C6385D"/>
    <w:rsid w:val="00C64A3C"/>
    <w:rsid w:val="00C66595"/>
    <w:rsid w:val="00C70AC7"/>
    <w:rsid w:val="00C7540F"/>
    <w:rsid w:val="00C763D1"/>
    <w:rsid w:val="00C8060A"/>
    <w:rsid w:val="00C8087E"/>
    <w:rsid w:val="00C813C1"/>
    <w:rsid w:val="00C82DDD"/>
    <w:rsid w:val="00C862FC"/>
    <w:rsid w:val="00C87761"/>
    <w:rsid w:val="00CA31E7"/>
    <w:rsid w:val="00CA436E"/>
    <w:rsid w:val="00CA53F3"/>
    <w:rsid w:val="00CB16FB"/>
    <w:rsid w:val="00CB4778"/>
    <w:rsid w:val="00CB7B9E"/>
    <w:rsid w:val="00CC5633"/>
    <w:rsid w:val="00CC5814"/>
    <w:rsid w:val="00CC661E"/>
    <w:rsid w:val="00CD0C66"/>
    <w:rsid w:val="00CD2403"/>
    <w:rsid w:val="00CD5E14"/>
    <w:rsid w:val="00CE08B5"/>
    <w:rsid w:val="00CE0DF9"/>
    <w:rsid w:val="00CE4A27"/>
    <w:rsid w:val="00CE7299"/>
    <w:rsid w:val="00CE7BCF"/>
    <w:rsid w:val="00CF08EE"/>
    <w:rsid w:val="00CF1115"/>
    <w:rsid w:val="00D022EA"/>
    <w:rsid w:val="00D03F90"/>
    <w:rsid w:val="00D04D6C"/>
    <w:rsid w:val="00D07A38"/>
    <w:rsid w:val="00D1155B"/>
    <w:rsid w:val="00D11714"/>
    <w:rsid w:val="00D11DF1"/>
    <w:rsid w:val="00D1329D"/>
    <w:rsid w:val="00D143AF"/>
    <w:rsid w:val="00D15481"/>
    <w:rsid w:val="00D21DC7"/>
    <w:rsid w:val="00D2466C"/>
    <w:rsid w:val="00D2515C"/>
    <w:rsid w:val="00D31321"/>
    <w:rsid w:val="00D32C1B"/>
    <w:rsid w:val="00D33E1E"/>
    <w:rsid w:val="00D40EDC"/>
    <w:rsid w:val="00D41021"/>
    <w:rsid w:val="00D5041B"/>
    <w:rsid w:val="00D5043C"/>
    <w:rsid w:val="00D51564"/>
    <w:rsid w:val="00D52A8D"/>
    <w:rsid w:val="00D53EDE"/>
    <w:rsid w:val="00D56A62"/>
    <w:rsid w:val="00D57CE0"/>
    <w:rsid w:val="00D637D0"/>
    <w:rsid w:val="00D66E2F"/>
    <w:rsid w:val="00D7627E"/>
    <w:rsid w:val="00D7656F"/>
    <w:rsid w:val="00D77B60"/>
    <w:rsid w:val="00D77C2E"/>
    <w:rsid w:val="00D80280"/>
    <w:rsid w:val="00D8099B"/>
    <w:rsid w:val="00D822DC"/>
    <w:rsid w:val="00D872C2"/>
    <w:rsid w:val="00D87419"/>
    <w:rsid w:val="00D92320"/>
    <w:rsid w:val="00D94DD0"/>
    <w:rsid w:val="00DA0DF3"/>
    <w:rsid w:val="00DA4C6E"/>
    <w:rsid w:val="00DA7DEC"/>
    <w:rsid w:val="00DB02B6"/>
    <w:rsid w:val="00DB0C45"/>
    <w:rsid w:val="00DB0FAE"/>
    <w:rsid w:val="00DB1AF8"/>
    <w:rsid w:val="00DB28A6"/>
    <w:rsid w:val="00DB50BD"/>
    <w:rsid w:val="00DB5344"/>
    <w:rsid w:val="00DB587E"/>
    <w:rsid w:val="00DB6C71"/>
    <w:rsid w:val="00DC1DCB"/>
    <w:rsid w:val="00DC21E9"/>
    <w:rsid w:val="00DD22C4"/>
    <w:rsid w:val="00DE0FC1"/>
    <w:rsid w:val="00DE23BC"/>
    <w:rsid w:val="00DE398C"/>
    <w:rsid w:val="00DE628C"/>
    <w:rsid w:val="00DF3FC8"/>
    <w:rsid w:val="00DF7107"/>
    <w:rsid w:val="00E01CA9"/>
    <w:rsid w:val="00E020A2"/>
    <w:rsid w:val="00E059A5"/>
    <w:rsid w:val="00E11EC1"/>
    <w:rsid w:val="00E12956"/>
    <w:rsid w:val="00E15FF7"/>
    <w:rsid w:val="00E16907"/>
    <w:rsid w:val="00E17A07"/>
    <w:rsid w:val="00E200E5"/>
    <w:rsid w:val="00E26FA7"/>
    <w:rsid w:val="00E278C2"/>
    <w:rsid w:val="00E31AD6"/>
    <w:rsid w:val="00E31FBD"/>
    <w:rsid w:val="00E3796A"/>
    <w:rsid w:val="00E37AC5"/>
    <w:rsid w:val="00E40435"/>
    <w:rsid w:val="00E42671"/>
    <w:rsid w:val="00E43CFD"/>
    <w:rsid w:val="00E44190"/>
    <w:rsid w:val="00E538AA"/>
    <w:rsid w:val="00E60770"/>
    <w:rsid w:val="00E6339B"/>
    <w:rsid w:val="00E63AFC"/>
    <w:rsid w:val="00E640EB"/>
    <w:rsid w:val="00E64E9E"/>
    <w:rsid w:val="00E72C55"/>
    <w:rsid w:val="00E76846"/>
    <w:rsid w:val="00E85F95"/>
    <w:rsid w:val="00E8644F"/>
    <w:rsid w:val="00E9226D"/>
    <w:rsid w:val="00E94936"/>
    <w:rsid w:val="00E95351"/>
    <w:rsid w:val="00E95C0F"/>
    <w:rsid w:val="00E96AE6"/>
    <w:rsid w:val="00EA5569"/>
    <w:rsid w:val="00EA708B"/>
    <w:rsid w:val="00EB4244"/>
    <w:rsid w:val="00EB4D9C"/>
    <w:rsid w:val="00EB524E"/>
    <w:rsid w:val="00EC6BEA"/>
    <w:rsid w:val="00EC746C"/>
    <w:rsid w:val="00EC7618"/>
    <w:rsid w:val="00ED152E"/>
    <w:rsid w:val="00EE0177"/>
    <w:rsid w:val="00EE3F18"/>
    <w:rsid w:val="00EE449C"/>
    <w:rsid w:val="00EE48AE"/>
    <w:rsid w:val="00EE5DAB"/>
    <w:rsid w:val="00EE70AF"/>
    <w:rsid w:val="00EE73B3"/>
    <w:rsid w:val="00EF30A9"/>
    <w:rsid w:val="00EF48DA"/>
    <w:rsid w:val="00EF4F06"/>
    <w:rsid w:val="00EF6E2E"/>
    <w:rsid w:val="00F10E9F"/>
    <w:rsid w:val="00F13E68"/>
    <w:rsid w:val="00F15B74"/>
    <w:rsid w:val="00F233D0"/>
    <w:rsid w:val="00F24AAA"/>
    <w:rsid w:val="00F271C0"/>
    <w:rsid w:val="00F33950"/>
    <w:rsid w:val="00F34A4A"/>
    <w:rsid w:val="00F35669"/>
    <w:rsid w:val="00F4187B"/>
    <w:rsid w:val="00F438B7"/>
    <w:rsid w:val="00F44F3F"/>
    <w:rsid w:val="00F465C0"/>
    <w:rsid w:val="00F55956"/>
    <w:rsid w:val="00F578BF"/>
    <w:rsid w:val="00F57ADB"/>
    <w:rsid w:val="00F61C07"/>
    <w:rsid w:val="00F70C56"/>
    <w:rsid w:val="00F71D05"/>
    <w:rsid w:val="00F7420F"/>
    <w:rsid w:val="00F772A5"/>
    <w:rsid w:val="00F8061A"/>
    <w:rsid w:val="00F82718"/>
    <w:rsid w:val="00F8419C"/>
    <w:rsid w:val="00F86168"/>
    <w:rsid w:val="00F87FAF"/>
    <w:rsid w:val="00F922D5"/>
    <w:rsid w:val="00F95B61"/>
    <w:rsid w:val="00F95F8B"/>
    <w:rsid w:val="00F96A1E"/>
    <w:rsid w:val="00FA0301"/>
    <w:rsid w:val="00FA6E89"/>
    <w:rsid w:val="00FA71EB"/>
    <w:rsid w:val="00FB3872"/>
    <w:rsid w:val="00FB4A4E"/>
    <w:rsid w:val="00FC0C9B"/>
    <w:rsid w:val="00FC102A"/>
    <w:rsid w:val="00FC18A4"/>
    <w:rsid w:val="00FC5A5A"/>
    <w:rsid w:val="00FD01B9"/>
    <w:rsid w:val="00FD0867"/>
    <w:rsid w:val="00FD1A80"/>
    <w:rsid w:val="00FD1D06"/>
    <w:rsid w:val="00FD3AC2"/>
    <w:rsid w:val="00FD5DA9"/>
    <w:rsid w:val="00FD6130"/>
    <w:rsid w:val="00FD6569"/>
    <w:rsid w:val="00FD7533"/>
    <w:rsid w:val="00FE285C"/>
    <w:rsid w:val="00FE3396"/>
    <w:rsid w:val="00FE54D9"/>
    <w:rsid w:val="00FF1F8D"/>
    <w:rsid w:val="00FF2333"/>
    <w:rsid w:val="00FF500A"/>
    <w:rsid w:val="00FF515D"/>
    <w:rsid w:val="00FF56BA"/>
    <w:rsid w:val="00FF5780"/>
    <w:rsid w:val="00FF5C4E"/>
    <w:rsid w:val="00FF5E6E"/>
    <w:rsid w:val="01473B13"/>
    <w:rsid w:val="017B5688"/>
    <w:rsid w:val="01974DE5"/>
    <w:rsid w:val="02A813BE"/>
    <w:rsid w:val="03215DBB"/>
    <w:rsid w:val="033578FA"/>
    <w:rsid w:val="035D5442"/>
    <w:rsid w:val="038D16A3"/>
    <w:rsid w:val="03CB5F98"/>
    <w:rsid w:val="04575F38"/>
    <w:rsid w:val="045B64CD"/>
    <w:rsid w:val="048900BC"/>
    <w:rsid w:val="04B213C1"/>
    <w:rsid w:val="04E83035"/>
    <w:rsid w:val="050E411D"/>
    <w:rsid w:val="05415488"/>
    <w:rsid w:val="054B1B12"/>
    <w:rsid w:val="058F40B3"/>
    <w:rsid w:val="05E51FE4"/>
    <w:rsid w:val="06530982"/>
    <w:rsid w:val="06A50C23"/>
    <w:rsid w:val="06B807E5"/>
    <w:rsid w:val="06BC4ED0"/>
    <w:rsid w:val="06C62F02"/>
    <w:rsid w:val="06F1065B"/>
    <w:rsid w:val="071874D5"/>
    <w:rsid w:val="073D0CEA"/>
    <w:rsid w:val="073E0AC1"/>
    <w:rsid w:val="07911761"/>
    <w:rsid w:val="07EB15C4"/>
    <w:rsid w:val="07FA25E2"/>
    <w:rsid w:val="08143C2A"/>
    <w:rsid w:val="08283AEA"/>
    <w:rsid w:val="083D1A72"/>
    <w:rsid w:val="08512C9F"/>
    <w:rsid w:val="08713EBD"/>
    <w:rsid w:val="08B96833"/>
    <w:rsid w:val="08FA3336"/>
    <w:rsid w:val="0958005D"/>
    <w:rsid w:val="097951E0"/>
    <w:rsid w:val="0A52450C"/>
    <w:rsid w:val="0A5B7DD0"/>
    <w:rsid w:val="0AAE4AD0"/>
    <w:rsid w:val="0B0220BB"/>
    <w:rsid w:val="0B1C137E"/>
    <w:rsid w:val="0B24469B"/>
    <w:rsid w:val="0B32384A"/>
    <w:rsid w:val="0B8D0492"/>
    <w:rsid w:val="0B976326"/>
    <w:rsid w:val="0BEE162F"/>
    <w:rsid w:val="0C117376"/>
    <w:rsid w:val="0C654DF9"/>
    <w:rsid w:val="0CCD2981"/>
    <w:rsid w:val="0D3678AD"/>
    <w:rsid w:val="0D43599F"/>
    <w:rsid w:val="0D605384"/>
    <w:rsid w:val="0DA85CA6"/>
    <w:rsid w:val="0DBE1C14"/>
    <w:rsid w:val="0DEA598B"/>
    <w:rsid w:val="0DFB537D"/>
    <w:rsid w:val="0E1331F5"/>
    <w:rsid w:val="0E4B1576"/>
    <w:rsid w:val="0E71409B"/>
    <w:rsid w:val="0F1716BD"/>
    <w:rsid w:val="0F4D37BA"/>
    <w:rsid w:val="0F5B2655"/>
    <w:rsid w:val="0FE97C61"/>
    <w:rsid w:val="0FEB36FE"/>
    <w:rsid w:val="0FFC1B10"/>
    <w:rsid w:val="10402AC9"/>
    <w:rsid w:val="10655129"/>
    <w:rsid w:val="107F4CF8"/>
    <w:rsid w:val="10DD167F"/>
    <w:rsid w:val="10DD77C5"/>
    <w:rsid w:val="112179BF"/>
    <w:rsid w:val="116F3FC8"/>
    <w:rsid w:val="121865DB"/>
    <w:rsid w:val="12487DDB"/>
    <w:rsid w:val="13280AA0"/>
    <w:rsid w:val="13F111F5"/>
    <w:rsid w:val="141F00B4"/>
    <w:rsid w:val="14270D58"/>
    <w:rsid w:val="14DE1D5E"/>
    <w:rsid w:val="154C0F75"/>
    <w:rsid w:val="154F7C69"/>
    <w:rsid w:val="156A02BB"/>
    <w:rsid w:val="159A0C03"/>
    <w:rsid w:val="159E329B"/>
    <w:rsid w:val="15A308B2"/>
    <w:rsid w:val="15C50828"/>
    <w:rsid w:val="1643128F"/>
    <w:rsid w:val="16A07660"/>
    <w:rsid w:val="16A42B33"/>
    <w:rsid w:val="16AC543F"/>
    <w:rsid w:val="16C531D6"/>
    <w:rsid w:val="16DE18DD"/>
    <w:rsid w:val="170340EA"/>
    <w:rsid w:val="17091311"/>
    <w:rsid w:val="170E3180"/>
    <w:rsid w:val="178C7E53"/>
    <w:rsid w:val="178F5592"/>
    <w:rsid w:val="17B16D61"/>
    <w:rsid w:val="17F03127"/>
    <w:rsid w:val="180C6316"/>
    <w:rsid w:val="1872050C"/>
    <w:rsid w:val="187736FD"/>
    <w:rsid w:val="187D188E"/>
    <w:rsid w:val="18836C66"/>
    <w:rsid w:val="189E5351"/>
    <w:rsid w:val="18A42854"/>
    <w:rsid w:val="19023500"/>
    <w:rsid w:val="194A2173"/>
    <w:rsid w:val="19746A29"/>
    <w:rsid w:val="1A136006"/>
    <w:rsid w:val="1A1A1BD8"/>
    <w:rsid w:val="1A7D7923"/>
    <w:rsid w:val="1AA17AB6"/>
    <w:rsid w:val="1AED4B38"/>
    <w:rsid w:val="1B1738D4"/>
    <w:rsid w:val="1B6A063C"/>
    <w:rsid w:val="1B940D77"/>
    <w:rsid w:val="1BC021BE"/>
    <w:rsid w:val="1BC85FA4"/>
    <w:rsid w:val="1BEC6B0F"/>
    <w:rsid w:val="1C105D34"/>
    <w:rsid w:val="1C16314D"/>
    <w:rsid w:val="1C382524"/>
    <w:rsid w:val="1C434466"/>
    <w:rsid w:val="1CE92A10"/>
    <w:rsid w:val="1D4E6511"/>
    <w:rsid w:val="1D534C64"/>
    <w:rsid w:val="1D9F1315"/>
    <w:rsid w:val="1E0738E5"/>
    <w:rsid w:val="1E201B9E"/>
    <w:rsid w:val="1E462C80"/>
    <w:rsid w:val="1E6029D2"/>
    <w:rsid w:val="1ED41ADC"/>
    <w:rsid w:val="1EF53F2C"/>
    <w:rsid w:val="1F0B19A2"/>
    <w:rsid w:val="1F1C595D"/>
    <w:rsid w:val="1F2C3955"/>
    <w:rsid w:val="1F4E749F"/>
    <w:rsid w:val="1F501C38"/>
    <w:rsid w:val="1F673F85"/>
    <w:rsid w:val="1F7946A8"/>
    <w:rsid w:val="1FE43FA1"/>
    <w:rsid w:val="200563F1"/>
    <w:rsid w:val="201D0697"/>
    <w:rsid w:val="202820DF"/>
    <w:rsid w:val="202F7912"/>
    <w:rsid w:val="20457135"/>
    <w:rsid w:val="2052555B"/>
    <w:rsid w:val="21B52099"/>
    <w:rsid w:val="22553D29"/>
    <w:rsid w:val="22943A5C"/>
    <w:rsid w:val="22A334B0"/>
    <w:rsid w:val="22AC6603"/>
    <w:rsid w:val="22D24CAD"/>
    <w:rsid w:val="22E07461"/>
    <w:rsid w:val="22E9024C"/>
    <w:rsid w:val="23103A2A"/>
    <w:rsid w:val="231B1EC8"/>
    <w:rsid w:val="233E2D80"/>
    <w:rsid w:val="2370208A"/>
    <w:rsid w:val="23AE3635"/>
    <w:rsid w:val="23D64F4F"/>
    <w:rsid w:val="248B0E8F"/>
    <w:rsid w:val="248E27E6"/>
    <w:rsid w:val="249B2C10"/>
    <w:rsid w:val="24B86128"/>
    <w:rsid w:val="24B866C3"/>
    <w:rsid w:val="24DA53F4"/>
    <w:rsid w:val="253D0E1C"/>
    <w:rsid w:val="25772E03"/>
    <w:rsid w:val="25781D85"/>
    <w:rsid w:val="259F4BF2"/>
    <w:rsid w:val="26076608"/>
    <w:rsid w:val="26355721"/>
    <w:rsid w:val="263E643D"/>
    <w:rsid w:val="26502390"/>
    <w:rsid w:val="26517B98"/>
    <w:rsid w:val="26A050C5"/>
    <w:rsid w:val="26A84219"/>
    <w:rsid w:val="26F50752"/>
    <w:rsid w:val="27147861"/>
    <w:rsid w:val="274A5031"/>
    <w:rsid w:val="276E0D20"/>
    <w:rsid w:val="278407FB"/>
    <w:rsid w:val="280F0E6B"/>
    <w:rsid w:val="283A32F8"/>
    <w:rsid w:val="28732536"/>
    <w:rsid w:val="28CA1820"/>
    <w:rsid w:val="28E82D54"/>
    <w:rsid w:val="28EC566D"/>
    <w:rsid w:val="29341AF5"/>
    <w:rsid w:val="295757E3"/>
    <w:rsid w:val="2999547A"/>
    <w:rsid w:val="299B7100"/>
    <w:rsid w:val="29CF0173"/>
    <w:rsid w:val="2A2C7F02"/>
    <w:rsid w:val="2AD678EF"/>
    <w:rsid w:val="2B5D17D7"/>
    <w:rsid w:val="2B8A1EA0"/>
    <w:rsid w:val="2BAE2033"/>
    <w:rsid w:val="2BE041B6"/>
    <w:rsid w:val="2C0D32A5"/>
    <w:rsid w:val="2C1319B2"/>
    <w:rsid w:val="2C567FD4"/>
    <w:rsid w:val="2CAF3836"/>
    <w:rsid w:val="2CD4797C"/>
    <w:rsid w:val="2D360531"/>
    <w:rsid w:val="2D5C5ABE"/>
    <w:rsid w:val="2D914A72"/>
    <w:rsid w:val="2E19303F"/>
    <w:rsid w:val="2F55416A"/>
    <w:rsid w:val="2FBA494F"/>
    <w:rsid w:val="30077F63"/>
    <w:rsid w:val="3038011D"/>
    <w:rsid w:val="30693D73"/>
    <w:rsid w:val="30BF3162"/>
    <w:rsid w:val="31D65D9E"/>
    <w:rsid w:val="32110C25"/>
    <w:rsid w:val="3216623C"/>
    <w:rsid w:val="321E3342"/>
    <w:rsid w:val="32960DFA"/>
    <w:rsid w:val="32973B96"/>
    <w:rsid w:val="32F065B0"/>
    <w:rsid w:val="330D3AE3"/>
    <w:rsid w:val="332E3636"/>
    <w:rsid w:val="33596AB8"/>
    <w:rsid w:val="340053F5"/>
    <w:rsid w:val="34060532"/>
    <w:rsid w:val="34090758"/>
    <w:rsid w:val="344D6838"/>
    <w:rsid w:val="34980AE0"/>
    <w:rsid w:val="34D8363B"/>
    <w:rsid w:val="34E15227"/>
    <w:rsid w:val="35390EE7"/>
    <w:rsid w:val="355619D4"/>
    <w:rsid w:val="357177FF"/>
    <w:rsid w:val="35747B1F"/>
    <w:rsid w:val="35897434"/>
    <w:rsid w:val="35DA66E8"/>
    <w:rsid w:val="365437D6"/>
    <w:rsid w:val="366E2AEA"/>
    <w:rsid w:val="368F2BB5"/>
    <w:rsid w:val="369A461D"/>
    <w:rsid w:val="36F44ACE"/>
    <w:rsid w:val="371C6C99"/>
    <w:rsid w:val="3724064A"/>
    <w:rsid w:val="378459EF"/>
    <w:rsid w:val="379C4E4D"/>
    <w:rsid w:val="37D73D5E"/>
    <w:rsid w:val="37DA6B90"/>
    <w:rsid w:val="37DE37E1"/>
    <w:rsid w:val="37E852EE"/>
    <w:rsid w:val="37F90D08"/>
    <w:rsid w:val="382B585D"/>
    <w:rsid w:val="38380AAD"/>
    <w:rsid w:val="38663F9A"/>
    <w:rsid w:val="38E57969"/>
    <w:rsid w:val="392C2A90"/>
    <w:rsid w:val="398A2824"/>
    <w:rsid w:val="3993325E"/>
    <w:rsid w:val="39CE564E"/>
    <w:rsid w:val="3A195611"/>
    <w:rsid w:val="3A783974"/>
    <w:rsid w:val="3AEF3DAF"/>
    <w:rsid w:val="3AF722B0"/>
    <w:rsid w:val="3B1D063B"/>
    <w:rsid w:val="3B292E53"/>
    <w:rsid w:val="3B677B08"/>
    <w:rsid w:val="3B837C6D"/>
    <w:rsid w:val="3B985F13"/>
    <w:rsid w:val="3BA50630"/>
    <w:rsid w:val="3BEE558A"/>
    <w:rsid w:val="3C00262B"/>
    <w:rsid w:val="3C3629DD"/>
    <w:rsid w:val="3C414629"/>
    <w:rsid w:val="3C592D3F"/>
    <w:rsid w:val="3C642299"/>
    <w:rsid w:val="3C6A3D54"/>
    <w:rsid w:val="3C8D359F"/>
    <w:rsid w:val="3CDE2504"/>
    <w:rsid w:val="3CE46170"/>
    <w:rsid w:val="3D175F78"/>
    <w:rsid w:val="3D192343"/>
    <w:rsid w:val="3D606765"/>
    <w:rsid w:val="3D6967B2"/>
    <w:rsid w:val="3D804CB1"/>
    <w:rsid w:val="3DA140AA"/>
    <w:rsid w:val="3DBD46F4"/>
    <w:rsid w:val="3DCB0822"/>
    <w:rsid w:val="3DFD29A6"/>
    <w:rsid w:val="3DFD6502"/>
    <w:rsid w:val="3E5527E2"/>
    <w:rsid w:val="3E82530D"/>
    <w:rsid w:val="3E8677D9"/>
    <w:rsid w:val="3EA350F2"/>
    <w:rsid w:val="3EA80CBF"/>
    <w:rsid w:val="3ED252AB"/>
    <w:rsid w:val="3F165ACD"/>
    <w:rsid w:val="3F3660CC"/>
    <w:rsid w:val="3F760C61"/>
    <w:rsid w:val="3FB2105A"/>
    <w:rsid w:val="3FD22A9E"/>
    <w:rsid w:val="407D2605"/>
    <w:rsid w:val="40B732E0"/>
    <w:rsid w:val="40CA3013"/>
    <w:rsid w:val="41006A35"/>
    <w:rsid w:val="411424E0"/>
    <w:rsid w:val="417F6B65"/>
    <w:rsid w:val="41856F3A"/>
    <w:rsid w:val="41F12821"/>
    <w:rsid w:val="41F97033"/>
    <w:rsid w:val="42C628C5"/>
    <w:rsid w:val="42FF2D1C"/>
    <w:rsid w:val="433A1504"/>
    <w:rsid w:val="43600C36"/>
    <w:rsid w:val="44316F05"/>
    <w:rsid w:val="44472BCC"/>
    <w:rsid w:val="44494651"/>
    <w:rsid w:val="444B0E4F"/>
    <w:rsid w:val="44637E9B"/>
    <w:rsid w:val="44B8461E"/>
    <w:rsid w:val="44DA33D0"/>
    <w:rsid w:val="44EA2AB7"/>
    <w:rsid w:val="44F31239"/>
    <w:rsid w:val="44F71559"/>
    <w:rsid w:val="450802D5"/>
    <w:rsid w:val="451F4F4C"/>
    <w:rsid w:val="45372C41"/>
    <w:rsid w:val="453945F1"/>
    <w:rsid w:val="458E18CE"/>
    <w:rsid w:val="458F0387"/>
    <w:rsid w:val="45DB35CC"/>
    <w:rsid w:val="45F12DF0"/>
    <w:rsid w:val="461A0599"/>
    <w:rsid w:val="46380A1F"/>
    <w:rsid w:val="464E4599"/>
    <w:rsid w:val="4661409B"/>
    <w:rsid w:val="46735944"/>
    <w:rsid w:val="46A377BC"/>
    <w:rsid w:val="46C6427C"/>
    <w:rsid w:val="46D149CF"/>
    <w:rsid w:val="473D3173"/>
    <w:rsid w:val="474E7DCE"/>
    <w:rsid w:val="47BC742D"/>
    <w:rsid w:val="482C2540"/>
    <w:rsid w:val="482E20C0"/>
    <w:rsid w:val="48D367DD"/>
    <w:rsid w:val="49137521"/>
    <w:rsid w:val="491906C2"/>
    <w:rsid w:val="49217C8F"/>
    <w:rsid w:val="49792B95"/>
    <w:rsid w:val="497C13F6"/>
    <w:rsid w:val="4A31571D"/>
    <w:rsid w:val="4A3A1ADE"/>
    <w:rsid w:val="4A3C4295"/>
    <w:rsid w:val="4B1A0571"/>
    <w:rsid w:val="4B5454BD"/>
    <w:rsid w:val="4B78366B"/>
    <w:rsid w:val="4B920BD1"/>
    <w:rsid w:val="4BDC009E"/>
    <w:rsid w:val="4BF523ED"/>
    <w:rsid w:val="4BFA6B23"/>
    <w:rsid w:val="4C003290"/>
    <w:rsid w:val="4C261319"/>
    <w:rsid w:val="4C53424A"/>
    <w:rsid w:val="4C5A1416"/>
    <w:rsid w:val="4C756432"/>
    <w:rsid w:val="4CBE77A4"/>
    <w:rsid w:val="4D3708C2"/>
    <w:rsid w:val="4D5E4C9D"/>
    <w:rsid w:val="4D6319D5"/>
    <w:rsid w:val="4E221C46"/>
    <w:rsid w:val="4E485E81"/>
    <w:rsid w:val="4E564138"/>
    <w:rsid w:val="4E90378B"/>
    <w:rsid w:val="4EC77B79"/>
    <w:rsid w:val="4EDF237F"/>
    <w:rsid w:val="4F607C3C"/>
    <w:rsid w:val="4F993153"/>
    <w:rsid w:val="4FB03FD0"/>
    <w:rsid w:val="4FC633C6"/>
    <w:rsid w:val="4FE217E6"/>
    <w:rsid w:val="500208DE"/>
    <w:rsid w:val="5039400D"/>
    <w:rsid w:val="50395ABF"/>
    <w:rsid w:val="506C56BD"/>
    <w:rsid w:val="507538CB"/>
    <w:rsid w:val="50B32844"/>
    <w:rsid w:val="50E06768"/>
    <w:rsid w:val="5111148D"/>
    <w:rsid w:val="51142088"/>
    <w:rsid w:val="51C72A55"/>
    <w:rsid w:val="51E603A3"/>
    <w:rsid w:val="52570187"/>
    <w:rsid w:val="52934A87"/>
    <w:rsid w:val="52A225E9"/>
    <w:rsid w:val="52D14CD6"/>
    <w:rsid w:val="52DC2732"/>
    <w:rsid w:val="532842A1"/>
    <w:rsid w:val="534D76FB"/>
    <w:rsid w:val="53510FDF"/>
    <w:rsid w:val="536D782E"/>
    <w:rsid w:val="53715570"/>
    <w:rsid w:val="53B06098"/>
    <w:rsid w:val="53C439C2"/>
    <w:rsid w:val="53D77AC9"/>
    <w:rsid w:val="53EC4BF7"/>
    <w:rsid w:val="53F91DFC"/>
    <w:rsid w:val="541E7772"/>
    <w:rsid w:val="54557693"/>
    <w:rsid w:val="54632F33"/>
    <w:rsid w:val="54664028"/>
    <w:rsid w:val="54F239E2"/>
    <w:rsid w:val="54FC13C2"/>
    <w:rsid w:val="557D64FE"/>
    <w:rsid w:val="562803B5"/>
    <w:rsid w:val="562C1C22"/>
    <w:rsid w:val="565847C5"/>
    <w:rsid w:val="56596FC8"/>
    <w:rsid w:val="56637A98"/>
    <w:rsid w:val="56C6554D"/>
    <w:rsid w:val="56FC04D0"/>
    <w:rsid w:val="57035A47"/>
    <w:rsid w:val="571A045F"/>
    <w:rsid w:val="572E1C13"/>
    <w:rsid w:val="578F58FF"/>
    <w:rsid w:val="57B8459F"/>
    <w:rsid w:val="57DA1A83"/>
    <w:rsid w:val="589776C4"/>
    <w:rsid w:val="58A67F87"/>
    <w:rsid w:val="58B032AD"/>
    <w:rsid w:val="58C63C68"/>
    <w:rsid w:val="593A5EB6"/>
    <w:rsid w:val="596353BD"/>
    <w:rsid w:val="5979577F"/>
    <w:rsid w:val="598454B4"/>
    <w:rsid w:val="59957BA3"/>
    <w:rsid w:val="59CD742D"/>
    <w:rsid w:val="59DB028E"/>
    <w:rsid w:val="5A2570B4"/>
    <w:rsid w:val="5A517EA9"/>
    <w:rsid w:val="5A6E0A5B"/>
    <w:rsid w:val="5A70032F"/>
    <w:rsid w:val="5AD05272"/>
    <w:rsid w:val="5AD07020"/>
    <w:rsid w:val="5AF423C3"/>
    <w:rsid w:val="5B040EE3"/>
    <w:rsid w:val="5B690172"/>
    <w:rsid w:val="5BA90BEB"/>
    <w:rsid w:val="5BB10BFF"/>
    <w:rsid w:val="5BBB382C"/>
    <w:rsid w:val="5BC57C52"/>
    <w:rsid w:val="5BDB5C7C"/>
    <w:rsid w:val="5C6A5252"/>
    <w:rsid w:val="5C6D77C9"/>
    <w:rsid w:val="5C7752AC"/>
    <w:rsid w:val="5CC00E9C"/>
    <w:rsid w:val="5CFB1CCD"/>
    <w:rsid w:val="5CFF599B"/>
    <w:rsid w:val="5D005D18"/>
    <w:rsid w:val="5D1F7DEB"/>
    <w:rsid w:val="5D9E4FC5"/>
    <w:rsid w:val="5DAA3963"/>
    <w:rsid w:val="5DD60DF1"/>
    <w:rsid w:val="5E320CBA"/>
    <w:rsid w:val="5E6A126D"/>
    <w:rsid w:val="5E7D126D"/>
    <w:rsid w:val="5EAA35A6"/>
    <w:rsid w:val="5EE44E48"/>
    <w:rsid w:val="5F0E7548"/>
    <w:rsid w:val="5F5441E8"/>
    <w:rsid w:val="5F591D2C"/>
    <w:rsid w:val="5F5E3606"/>
    <w:rsid w:val="5F645F89"/>
    <w:rsid w:val="5FBE1535"/>
    <w:rsid w:val="5FC7715C"/>
    <w:rsid w:val="5FE5531C"/>
    <w:rsid w:val="5FF11F12"/>
    <w:rsid w:val="5FF8696F"/>
    <w:rsid w:val="5FF94273"/>
    <w:rsid w:val="60830691"/>
    <w:rsid w:val="60A76C38"/>
    <w:rsid w:val="60C2565D"/>
    <w:rsid w:val="60C856EA"/>
    <w:rsid w:val="60CD62A7"/>
    <w:rsid w:val="60F14AC8"/>
    <w:rsid w:val="61141E2A"/>
    <w:rsid w:val="613A1F23"/>
    <w:rsid w:val="616541C3"/>
    <w:rsid w:val="61B14546"/>
    <w:rsid w:val="61B91585"/>
    <w:rsid w:val="61D56418"/>
    <w:rsid w:val="61FE26C5"/>
    <w:rsid w:val="621A068C"/>
    <w:rsid w:val="622A465E"/>
    <w:rsid w:val="62465E1A"/>
    <w:rsid w:val="62BD2580"/>
    <w:rsid w:val="62DE42A4"/>
    <w:rsid w:val="62F259CB"/>
    <w:rsid w:val="63224191"/>
    <w:rsid w:val="636B3D52"/>
    <w:rsid w:val="642B042C"/>
    <w:rsid w:val="643D30F8"/>
    <w:rsid w:val="644665A5"/>
    <w:rsid w:val="645066B3"/>
    <w:rsid w:val="64535BAC"/>
    <w:rsid w:val="645F7290"/>
    <w:rsid w:val="64603D4A"/>
    <w:rsid w:val="646A497D"/>
    <w:rsid w:val="64CB4D1D"/>
    <w:rsid w:val="6522491C"/>
    <w:rsid w:val="6558008C"/>
    <w:rsid w:val="656C7056"/>
    <w:rsid w:val="65A02EC1"/>
    <w:rsid w:val="660179E7"/>
    <w:rsid w:val="66225BA7"/>
    <w:rsid w:val="66DA04BD"/>
    <w:rsid w:val="67421DFE"/>
    <w:rsid w:val="677D5DBD"/>
    <w:rsid w:val="680B1B92"/>
    <w:rsid w:val="68297D70"/>
    <w:rsid w:val="68386D3E"/>
    <w:rsid w:val="68425862"/>
    <w:rsid w:val="687C07E7"/>
    <w:rsid w:val="687F5BE1"/>
    <w:rsid w:val="68863414"/>
    <w:rsid w:val="689526D7"/>
    <w:rsid w:val="69066F6D"/>
    <w:rsid w:val="69085BD7"/>
    <w:rsid w:val="690F51B7"/>
    <w:rsid w:val="691C2F61"/>
    <w:rsid w:val="69220DF6"/>
    <w:rsid w:val="69421FF4"/>
    <w:rsid w:val="69855891"/>
    <w:rsid w:val="69C65AD3"/>
    <w:rsid w:val="6A4805A1"/>
    <w:rsid w:val="6A9E4E62"/>
    <w:rsid w:val="6AB60966"/>
    <w:rsid w:val="6AFD7A33"/>
    <w:rsid w:val="6B105489"/>
    <w:rsid w:val="6B2A452A"/>
    <w:rsid w:val="6B2E422E"/>
    <w:rsid w:val="6B4A0729"/>
    <w:rsid w:val="6B5F6C36"/>
    <w:rsid w:val="6B6F63E1"/>
    <w:rsid w:val="6B757AC3"/>
    <w:rsid w:val="6BC95AF1"/>
    <w:rsid w:val="6C1D5E3D"/>
    <w:rsid w:val="6C40749D"/>
    <w:rsid w:val="6C5E257D"/>
    <w:rsid w:val="6C6A1A71"/>
    <w:rsid w:val="6C6E6699"/>
    <w:rsid w:val="6C877A8D"/>
    <w:rsid w:val="6C9A748E"/>
    <w:rsid w:val="6D0773A5"/>
    <w:rsid w:val="6D851EEC"/>
    <w:rsid w:val="6DB1683D"/>
    <w:rsid w:val="6E0B0D13"/>
    <w:rsid w:val="6E14501E"/>
    <w:rsid w:val="6E204CFA"/>
    <w:rsid w:val="6E2844F9"/>
    <w:rsid w:val="6E4373BA"/>
    <w:rsid w:val="6EA23374"/>
    <w:rsid w:val="6EA25D30"/>
    <w:rsid w:val="6F08742C"/>
    <w:rsid w:val="6F1E43A6"/>
    <w:rsid w:val="6F2319BD"/>
    <w:rsid w:val="6F8D6FED"/>
    <w:rsid w:val="6F953657"/>
    <w:rsid w:val="6FB940CF"/>
    <w:rsid w:val="6FBB127E"/>
    <w:rsid w:val="6FD44168"/>
    <w:rsid w:val="702C664F"/>
    <w:rsid w:val="70413D51"/>
    <w:rsid w:val="709E5118"/>
    <w:rsid w:val="70D97D2C"/>
    <w:rsid w:val="71737246"/>
    <w:rsid w:val="71A37250"/>
    <w:rsid w:val="71CA7D6E"/>
    <w:rsid w:val="71D855D4"/>
    <w:rsid w:val="71ED62B2"/>
    <w:rsid w:val="72283DDB"/>
    <w:rsid w:val="72444124"/>
    <w:rsid w:val="724E6D50"/>
    <w:rsid w:val="72575615"/>
    <w:rsid w:val="7267287C"/>
    <w:rsid w:val="72A434DA"/>
    <w:rsid w:val="72ED1126"/>
    <w:rsid w:val="73005444"/>
    <w:rsid w:val="737D2038"/>
    <w:rsid w:val="74100036"/>
    <w:rsid w:val="74316E9D"/>
    <w:rsid w:val="74617488"/>
    <w:rsid w:val="749B1FF5"/>
    <w:rsid w:val="74E97FDD"/>
    <w:rsid w:val="757365DD"/>
    <w:rsid w:val="75890700"/>
    <w:rsid w:val="758A7662"/>
    <w:rsid w:val="75D4756D"/>
    <w:rsid w:val="7630040E"/>
    <w:rsid w:val="76387213"/>
    <w:rsid w:val="763873C7"/>
    <w:rsid w:val="769F7C04"/>
    <w:rsid w:val="76AF40FE"/>
    <w:rsid w:val="76F12CEC"/>
    <w:rsid w:val="77512E53"/>
    <w:rsid w:val="77566789"/>
    <w:rsid w:val="77585F7B"/>
    <w:rsid w:val="77B84D8E"/>
    <w:rsid w:val="77CB0E43"/>
    <w:rsid w:val="77DE2925"/>
    <w:rsid w:val="780F140D"/>
    <w:rsid w:val="787908FC"/>
    <w:rsid w:val="78A23952"/>
    <w:rsid w:val="78AA6C17"/>
    <w:rsid w:val="78E51463"/>
    <w:rsid w:val="79080911"/>
    <w:rsid w:val="79440545"/>
    <w:rsid w:val="798C7645"/>
    <w:rsid w:val="79E36E65"/>
    <w:rsid w:val="7A096B0B"/>
    <w:rsid w:val="7A3E3B4E"/>
    <w:rsid w:val="7A3F3423"/>
    <w:rsid w:val="7AC04356"/>
    <w:rsid w:val="7ADB7A2C"/>
    <w:rsid w:val="7AE2097E"/>
    <w:rsid w:val="7AFB0C03"/>
    <w:rsid w:val="7B083DE4"/>
    <w:rsid w:val="7B2125FC"/>
    <w:rsid w:val="7B2B1DC3"/>
    <w:rsid w:val="7B2C39A7"/>
    <w:rsid w:val="7B5D6256"/>
    <w:rsid w:val="7BA275E4"/>
    <w:rsid w:val="7BA53B14"/>
    <w:rsid w:val="7C0C5586"/>
    <w:rsid w:val="7C484EC4"/>
    <w:rsid w:val="7C4E06B1"/>
    <w:rsid w:val="7C8B0BA1"/>
    <w:rsid w:val="7CB15751"/>
    <w:rsid w:val="7D0818B3"/>
    <w:rsid w:val="7D384885"/>
    <w:rsid w:val="7D566C57"/>
    <w:rsid w:val="7D9127E8"/>
    <w:rsid w:val="7DBA45B5"/>
    <w:rsid w:val="7DEA5BDC"/>
    <w:rsid w:val="7E0E1A8A"/>
    <w:rsid w:val="7E140BC2"/>
    <w:rsid w:val="7E880EC6"/>
    <w:rsid w:val="7E9374BB"/>
    <w:rsid w:val="7F1344FC"/>
    <w:rsid w:val="7F2B1A18"/>
    <w:rsid w:val="7F3B68AE"/>
    <w:rsid w:val="7F662CE2"/>
    <w:rsid w:val="7FC44608"/>
    <w:rsid w:val="7FEB7A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6">
    <w:name w:val="heading 3"/>
    <w:basedOn w:val="1"/>
    <w:next w:val="1"/>
    <w:link w:val="51"/>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0"/>
    <w:qFormat/>
    <w:uiPriority w:val="0"/>
    <w:pPr>
      <w:spacing w:after="120"/>
    </w:pPr>
  </w:style>
  <w:style w:type="paragraph" w:styleId="3">
    <w:name w:val="Body Text First Indent"/>
    <w:basedOn w:val="2"/>
    <w:unhideWhenUsed/>
    <w:qFormat/>
    <w:uiPriority w:val="99"/>
    <w:pPr>
      <w:ind w:firstLine="420" w:firstLineChars="100"/>
    </w:pPr>
  </w:style>
  <w:style w:type="paragraph" w:styleId="7">
    <w:name w:val="toa heading"/>
    <w:basedOn w:val="1"/>
    <w:next w:val="1"/>
    <w:qFormat/>
    <w:uiPriority w:val="0"/>
    <w:pPr>
      <w:snapToGrid w:val="0"/>
      <w:spacing w:before="120" w:line="360" w:lineRule="auto"/>
    </w:pPr>
    <w:rPr>
      <w:rFonts w:ascii="Arial" w:hAnsi="Arial"/>
      <w:snapToGrid w:val="0"/>
      <w:color w:val="000000"/>
      <w:szCs w:val="20"/>
    </w:rPr>
  </w:style>
  <w:style w:type="paragraph" w:styleId="8">
    <w:name w:val="annotation text"/>
    <w:basedOn w:val="1"/>
    <w:link w:val="31"/>
    <w:qFormat/>
    <w:uiPriority w:val="0"/>
    <w:pPr>
      <w:jc w:val="left"/>
    </w:pPr>
  </w:style>
  <w:style w:type="paragraph" w:styleId="9">
    <w:name w:val="Plain Text"/>
    <w:basedOn w:val="1"/>
    <w:link w:val="32"/>
    <w:qFormat/>
    <w:uiPriority w:val="0"/>
    <w:rPr>
      <w:rFonts w:ascii="宋体" w:hAnsi="Courier New"/>
      <w:szCs w:val="20"/>
    </w:rPr>
  </w:style>
  <w:style w:type="paragraph" w:styleId="10">
    <w:name w:val="Date"/>
    <w:basedOn w:val="1"/>
    <w:next w:val="1"/>
    <w:link w:val="49"/>
    <w:semiHidden/>
    <w:unhideWhenUsed/>
    <w:qFormat/>
    <w:uiPriority w:val="99"/>
    <w:pPr>
      <w:ind w:left="100" w:leftChars="2500"/>
    </w:pPr>
  </w:style>
  <w:style w:type="paragraph" w:styleId="11">
    <w:name w:val="Balloon Text"/>
    <w:basedOn w:val="1"/>
    <w:link w:val="38"/>
    <w:semiHidden/>
    <w:unhideWhenUsed/>
    <w:qFormat/>
    <w:uiPriority w:val="99"/>
    <w:rPr>
      <w:sz w:val="18"/>
      <w:szCs w:val="18"/>
    </w:rPr>
  </w:style>
  <w:style w:type="paragraph" w:styleId="12">
    <w:name w:val="footer"/>
    <w:basedOn w:val="1"/>
    <w:link w:val="2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qFormat/>
    <w:uiPriority w:val="39"/>
    <w:pPr>
      <w:tabs>
        <w:tab w:val="left" w:pos="1260"/>
        <w:tab w:val="right" w:leader="dot" w:pos="8722"/>
      </w:tabs>
      <w:adjustRightInd w:val="0"/>
      <w:spacing w:line="480" w:lineRule="auto"/>
      <w:textAlignment w:val="baseline"/>
    </w:pPr>
    <w:rPr>
      <w:b/>
      <w:kern w:val="0"/>
      <w:sz w:val="24"/>
      <w:szCs w:val="20"/>
    </w:rPr>
  </w:style>
  <w:style w:type="paragraph" w:styleId="15">
    <w:name w:val="toc 2"/>
    <w:basedOn w:val="1"/>
    <w:next w:val="1"/>
    <w:qFormat/>
    <w:uiPriority w:val="39"/>
    <w:pPr>
      <w:tabs>
        <w:tab w:val="right" w:leader="dot" w:pos="8722"/>
      </w:tabs>
      <w:adjustRightInd w:val="0"/>
      <w:spacing w:before="60" w:after="60" w:line="360" w:lineRule="atLeast"/>
      <w:ind w:left="180" w:leftChars="75"/>
      <w:textAlignment w:val="baseline"/>
    </w:pPr>
    <w:rPr>
      <w:kern w:val="0"/>
      <w:sz w:val="24"/>
      <w:szCs w:val="20"/>
    </w:rPr>
  </w:style>
  <w:style w:type="paragraph" w:styleId="16">
    <w:name w:val="Normal (Web)"/>
    <w:basedOn w:val="1"/>
    <w:qFormat/>
    <w:uiPriority w:val="0"/>
    <w:pPr>
      <w:spacing w:beforeAutospacing="1" w:afterAutospacing="1"/>
      <w:jc w:val="left"/>
    </w:pPr>
    <w:rPr>
      <w:kern w:val="0"/>
      <w:sz w:val="24"/>
    </w:rPr>
  </w:style>
  <w:style w:type="paragraph" w:styleId="17">
    <w:name w:val="Title"/>
    <w:basedOn w:val="1"/>
    <w:next w:val="1"/>
    <w:link w:val="33"/>
    <w:qFormat/>
    <w:uiPriority w:val="10"/>
    <w:pPr>
      <w:autoSpaceDE w:val="0"/>
      <w:autoSpaceDN w:val="0"/>
      <w:adjustRightInd w:val="0"/>
      <w:spacing w:before="240" w:after="60"/>
      <w:jc w:val="center"/>
      <w:outlineLvl w:val="0"/>
    </w:pPr>
    <w:rPr>
      <w:rFonts w:ascii="Cambria" w:hAnsi="Cambria"/>
      <w:b/>
      <w:bCs/>
      <w:kern w:val="0"/>
      <w:sz w:val="32"/>
      <w:szCs w:val="32"/>
    </w:rPr>
  </w:style>
  <w:style w:type="paragraph" w:styleId="18">
    <w:name w:val="annotation subject"/>
    <w:basedOn w:val="8"/>
    <w:next w:val="8"/>
    <w:link w:val="43"/>
    <w:semiHidden/>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semiHidden/>
    <w:unhideWhenUsed/>
    <w:qFormat/>
    <w:uiPriority w:val="99"/>
    <w:rPr>
      <w:color w:val="800080" w:themeColor="followedHyperlink"/>
      <w:u w:val="single"/>
      <w14:textFill>
        <w14:solidFill>
          <w14:schemeClr w14:val="folHlink"/>
        </w14:solidFill>
      </w14:textFill>
    </w:rPr>
  </w:style>
  <w:style w:type="character" w:styleId="24">
    <w:name w:val="Hyperlink"/>
    <w:qFormat/>
    <w:uiPriority w:val="99"/>
    <w:rPr>
      <w:color w:val="0000FF"/>
      <w:u w:val="single"/>
    </w:rPr>
  </w:style>
  <w:style w:type="character" w:styleId="25">
    <w:name w:val="annotation reference"/>
    <w:basedOn w:val="21"/>
    <w:qFormat/>
    <w:uiPriority w:val="0"/>
    <w:rPr>
      <w:sz w:val="21"/>
      <w:szCs w:val="21"/>
    </w:rPr>
  </w:style>
  <w:style w:type="paragraph" w:customStyle="1" w:styleId="26">
    <w:name w:val="文档正文"/>
    <w:basedOn w:val="1"/>
    <w:qFormat/>
    <w:uiPriority w:val="0"/>
    <w:pPr>
      <w:spacing w:line="360" w:lineRule="auto"/>
    </w:pPr>
    <w:rPr>
      <w:rFonts w:cs="Arial"/>
      <w:bCs/>
    </w:rPr>
  </w:style>
  <w:style w:type="character" w:customStyle="1" w:styleId="27">
    <w:name w:val="页眉 字符"/>
    <w:basedOn w:val="21"/>
    <w:link w:val="13"/>
    <w:qFormat/>
    <w:uiPriority w:val="99"/>
    <w:rPr>
      <w:sz w:val="18"/>
      <w:szCs w:val="18"/>
    </w:rPr>
  </w:style>
  <w:style w:type="character" w:customStyle="1" w:styleId="28">
    <w:name w:val="页脚 字符"/>
    <w:basedOn w:val="21"/>
    <w:link w:val="12"/>
    <w:qFormat/>
    <w:uiPriority w:val="99"/>
    <w:rPr>
      <w:sz w:val="18"/>
      <w:szCs w:val="18"/>
    </w:rPr>
  </w:style>
  <w:style w:type="character" w:customStyle="1" w:styleId="29">
    <w:name w:val="标题 2 字符"/>
    <w:basedOn w:val="21"/>
    <w:link w:val="5"/>
    <w:qFormat/>
    <w:uiPriority w:val="0"/>
    <w:rPr>
      <w:rFonts w:ascii="Arial" w:hAnsi="Arial" w:eastAsia="黑体" w:cs="Times New Roman"/>
      <w:b/>
      <w:kern w:val="0"/>
      <w:sz w:val="32"/>
      <w:szCs w:val="20"/>
    </w:rPr>
  </w:style>
  <w:style w:type="character" w:customStyle="1" w:styleId="30">
    <w:name w:val="正文文本 字符"/>
    <w:basedOn w:val="21"/>
    <w:link w:val="2"/>
    <w:qFormat/>
    <w:uiPriority w:val="0"/>
    <w:rPr>
      <w:rFonts w:ascii="Times New Roman" w:hAnsi="Times New Roman" w:eastAsia="宋体" w:cs="Times New Roman"/>
      <w:szCs w:val="24"/>
    </w:rPr>
  </w:style>
  <w:style w:type="character" w:customStyle="1" w:styleId="31">
    <w:name w:val="批注文字 字符"/>
    <w:basedOn w:val="21"/>
    <w:link w:val="8"/>
    <w:qFormat/>
    <w:uiPriority w:val="0"/>
    <w:rPr>
      <w:rFonts w:ascii="Times New Roman" w:hAnsi="Times New Roman" w:eastAsia="宋体" w:cs="Times New Roman"/>
      <w:szCs w:val="24"/>
    </w:rPr>
  </w:style>
  <w:style w:type="character" w:customStyle="1" w:styleId="32">
    <w:name w:val="纯文本 字符"/>
    <w:basedOn w:val="21"/>
    <w:link w:val="9"/>
    <w:qFormat/>
    <w:uiPriority w:val="0"/>
    <w:rPr>
      <w:rFonts w:ascii="宋体" w:hAnsi="Courier New" w:eastAsia="宋体" w:cs="Times New Roman"/>
      <w:szCs w:val="20"/>
    </w:rPr>
  </w:style>
  <w:style w:type="character" w:customStyle="1" w:styleId="33">
    <w:name w:val="标题 字符"/>
    <w:basedOn w:val="21"/>
    <w:link w:val="17"/>
    <w:qFormat/>
    <w:uiPriority w:val="10"/>
    <w:rPr>
      <w:rFonts w:ascii="Cambria" w:hAnsi="Cambria" w:eastAsia="宋体" w:cs="Times New Roman"/>
      <w:b/>
      <w:bCs/>
      <w:kern w:val="0"/>
      <w:sz w:val="32"/>
      <w:szCs w:val="32"/>
    </w:rPr>
  </w:style>
  <w:style w:type="paragraph" w:customStyle="1" w:styleId="34">
    <w:name w:val="_Style 109"/>
    <w:basedOn w:val="4"/>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5">
    <w:name w:val="页眉 Char1"/>
    <w:qFormat/>
    <w:uiPriority w:val="0"/>
    <w:rPr>
      <w:kern w:val="2"/>
      <w:sz w:val="18"/>
      <w:szCs w:val="18"/>
    </w:rPr>
  </w:style>
  <w:style w:type="character" w:customStyle="1" w:styleId="36">
    <w:name w:val="页脚 Char1"/>
    <w:qFormat/>
    <w:uiPriority w:val="0"/>
    <w:rPr>
      <w:kern w:val="2"/>
      <w:sz w:val="18"/>
      <w:szCs w:val="18"/>
    </w:rPr>
  </w:style>
  <w:style w:type="character" w:customStyle="1" w:styleId="37">
    <w:name w:val="标题 1 字符"/>
    <w:basedOn w:val="21"/>
    <w:link w:val="4"/>
    <w:qFormat/>
    <w:uiPriority w:val="9"/>
    <w:rPr>
      <w:rFonts w:ascii="Times New Roman" w:hAnsi="Times New Roman" w:eastAsia="宋体" w:cs="Times New Roman"/>
      <w:b/>
      <w:bCs/>
      <w:kern w:val="44"/>
      <w:sz w:val="44"/>
      <w:szCs w:val="44"/>
    </w:rPr>
  </w:style>
  <w:style w:type="character" w:customStyle="1" w:styleId="38">
    <w:name w:val="批注框文本 字符"/>
    <w:basedOn w:val="21"/>
    <w:link w:val="11"/>
    <w:semiHidden/>
    <w:qFormat/>
    <w:uiPriority w:val="99"/>
    <w:rPr>
      <w:rFonts w:ascii="Times New Roman" w:hAnsi="Times New Roman" w:eastAsia="宋体" w:cs="Times New Roman"/>
      <w:sz w:val="18"/>
      <w:szCs w:val="18"/>
    </w:rPr>
  </w:style>
  <w:style w:type="paragraph" w:styleId="39">
    <w:name w:val="List Paragraph"/>
    <w:basedOn w:val="1"/>
    <w:qFormat/>
    <w:uiPriority w:val="34"/>
    <w:pPr>
      <w:ind w:firstLine="420" w:firstLineChars="200"/>
    </w:pPr>
    <w:rPr>
      <w:rFonts w:ascii="Calibri" w:hAnsi="Calibri"/>
      <w:szCs w:val="22"/>
    </w:rPr>
  </w:style>
  <w:style w:type="paragraph" w:customStyle="1" w:styleId="40">
    <w:name w:val="列出段落1"/>
    <w:basedOn w:val="1"/>
    <w:link w:val="42"/>
    <w:qFormat/>
    <w:uiPriority w:val="34"/>
    <w:pPr>
      <w:ind w:firstLine="420" w:firstLineChars="200"/>
    </w:pPr>
    <w:rPr>
      <w:rFonts w:ascii="Calibri" w:hAnsi="Calibri"/>
      <w:szCs w:val="22"/>
      <w:lang w:val="zh-CN"/>
    </w:rPr>
  </w:style>
  <w:style w:type="paragraph" w:customStyle="1" w:styleId="41">
    <w:name w:val="p0"/>
    <w:basedOn w:val="1"/>
    <w:qFormat/>
    <w:uiPriority w:val="99"/>
    <w:pPr>
      <w:widowControl/>
    </w:pPr>
    <w:rPr>
      <w:rFonts w:hAnsi="Calibri"/>
      <w:kern w:val="0"/>
      <w:szCs w:val="20"/>
    </w:rPr>
  </w:style>
  <w:style w:type="character" w:customStyle="1" w:styleId="42">
    <w:name w:val="List Paragraph Char"/>
    <w:link w:val="40"/>
    <w:qFormat/>
    <w:locked/>
    <w:uiPriority w:val="34"/>
    <w:rPr>
      <w:rFonts w:ascii="Calibri" w:hAnsi="Calibri" w:eastAsia="宋体" w:cs="Times New Roman"/>
      <w:lang w:val="zh-CN" w:eastAsia="zh-CN"/>
    </w:rPr>
  </w:style>
  <w:style w:type="character" w:customStyle="1" w:styleId="43">
    <w:name w:val="批注主题 字符"/>
    <w:basedOn w:val="31"/>
    <w:link w:val="18"/>
    <w:semiHidden/>
    <w:qFormat/>
    <w:uiPriority w:val="99"/>
    <w:rPr>
      <w:rFonts w:ascii="Times New Roman" w:hAnsi="Times New Roman" w:eastAsia="宋体" w:cs="Times New Roman"/>
      <w:b/>
      <w:bCs/>
      <w:szCs w:val="24"/>
    </w:rPr>
  </w:style>
  <w:style w:type="paragraph" w:customStyle="1" w:styleId="4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5">
    <w:name w:val="正文缩进2格 Char"/>
    <w:link w:val="46"/>
    <w:qFormat/>
    <w:uiPriority w:val="0"/>
    <w:rPr>
      <w:rFonts w:ascii="仿宋_GB2312" w:hAnsi="宋体" w:eastAsia="仿宋_GB2312"/>
      <w:sz w:val="31"/>
      <w:szCs w:val="28"/>
    </w:rPr>
  </w:style>
  <w:style w:type="paragraph" w:customStyle="1" w:styleId="46">
    <w:name w:val="正文缩进2格"/>
    <w:basedOn w:val="1"/>
    <w:link w:val="45"/>
    <w:qFormat/>
    <w:uiPriority w:val="0"/>
    <w:pPr>
      <w:spacing w:line="600" w:lineRule="exact"/>
      <w:ind w:firstLine="639" w:firstLineChars="206"/>
    </w:pPr>
    <w:rPr>
      <w:rFonts w:ascii="仿宋_GB2312" w:hAnsi="宋体" w:eastAsia="仿宋_GB2312" w:cstheme="minorBidi"/>
      <w:sz w:val="31"/>
      <w:szCs w:val="28"/>
    </w:rPr>
  </w:style>
  <w:style w:type="character" w:customStyle="1" w:styleId="47">
    <w:name w:val="纯文本 字符1"/>
    <w:basedOn w:val="21"/>
    <w:qFormat/>
    <w:uiPriority w:val="0"/>
    <w:rPr>
      <w:rFonts w:ascii="宋体" w:hAnsi="Courier New" w:eastAsia="宋体" w:cs="Times New Roman"/>
      <w:szCs w:val="20"/>
    </w:rPr>
  </w:style>
  <w:style w:type="character" w:customStyle="1" w:styleId="48">
    <w:name w:val="正文文本 字符1"/>
    <w:basedOn w:val="21"/>
    <w:qFormat/>
    <w:uiPriority w:val="0"/>
    <w:rPr>
      <w:rFonts w:ascii="Times New Roman" w:hAnsi="Times New Roman" w:eastAsia="宋体" w:cs="Times New Roman"/>
      <w:szCs w:val="24"/>
    </w:rPr>
  </w:style>
  <w:style w:type="character" w:customStyle="1" w:styleId="49">
    <w:name w:val="日期 字符"/>
    <w:basedOn w:val="21"/>
    <w:link w:val="10"/>
    <w:semiHidden/>
    <w:qFormat/>
    <w:uiPriority w:val="99"/>
    <w:rPr>
      <w:rFonts w:ascii="Times New Roman" w:hAnsi="Times New Roman" w:eastAsia="宋体" w:cs="Times New Roman"/>
      <w:szCs w:val="24"/>
    </w:rPr>
  </w:style>
  <w:style w:type="paragraph" w:customStyle="1" w:styleId="5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1">
    <w:name w:val="标题 3 字符"/>
    <w:basedOn w:val="21"/>
    <w:link w:val="6"/>
    <w:semiHidden/>
    <w:qFormat/>
    <w:uiPriority w:val="9"/>
    <w:rPr>
      <w:b/>
      <w:bCs/>
      <w:kern w:val="2"/>
      <w:sz w:val="32"/>
      <w:szCs w:val="32"/>
    </w:rPr>
  </w:style>
  <w:style w:type="character" w:customStyle="1" w:styleId="52">
    <w:name w:val="纯文本 Char1"/>
    <w:qFormat/>
    <w:uiPriority w:val="0"/>
    <w:rPr>
      <w:rFonts w:ascii="宋体" w:hAnsi="Courier New" w:eastAsia="宋体" w:cs="Times New Roman"/>
      <w:szCs w:val="20"/>
      <w:lang w:val="en-US" w:eastAsia="zh-CN"/>
    </w:rPr>
  </w:style>
  <w:style w:type="character" w:customStyle="1" w:styleId="53">
    <w:name w:val="font01"/>
    <w:basedOn w:val="21"/>
    <w:qFormat/>
    <w:uiPriority w:val="0"/>
    <w:rPr>
      <w:rFonts w:hint="eastAsia" w:ascii="宋体" w:hAnsi="宋体" w:eastAsia="宋体" w:cs="宋体"/>
      <w:color w:val="000000"/>
      <w:sz w:val="22"/>
      <w:szCs w:val="22"/>
      <w:u w:val="none"/>
    </w:rPr>
  </w:style>
  <w:style w:type="paragraph" w:customStyle="1" w:styleId="54">
    <w:name w:val="样式 宋体 行距: 1.5 倍行距"/>
    <w:basedOn w:val="1"/>
    <w:qFormat/>
    <w:uiPriority w:val="0"/>
    <w:pPr>
      <w:jc w:val="center"/>
    </w:pPr>
    <w:rPr>
      <w:b/>
    </w:rPr>
  </w:style>
  <w:style w:type="paragraph" w:customStyle="1" w:styleId="55">
    <w:name w:val="正文文本缩进 21"/>
    <w:basedOn w:val="1"/>
    <w:qFormat/>
    <w:uiPriority w:val="0"/>
    <w:pPr>
      <w:adjustRightInd w:val="0"/>
      <w:spacing w:line="480" w:lineRule="auto"/>
      <w:ind w:firstLine="540"/>
      <w:textAlignment w:val="baseline"/>
    </w:pPr>
    <w:rPr>
      <w:rFonts w:ascii="Calibri" w:hAnsi="Calibri"/>
      <w:szCs w:val="21"/>
    </w:rPr>
  </w:style>
  <w:style w:type="paragraph" w:customStyle="1" w:styleId="5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641CF-6923-482C-BE84-42F297877961}">
  <ds:schemaRefs/>
</ds:datastoreItem>
</file>

<file path=docProps/app.xml><?xml version="1.0" encoding="utf-8"?>
<Properties xmlns="http://schemas.openxmlformats.org/officeDocument/2006/extended-properties" xmlns:vt="http://schemas.openxmlformats.org/officeDocument/2006/docPropsVTypes">
  <Template>Normal</Template>
  <Pages>21</Pages>
  <Words>568</Words>
  <Characters>649</Characters>
  <Lines>200</Lines>
  <Paragraphs>56</Paragraphs>
  <TotalTime>3</TotalTime>
  <ScaleCrop>false</ScaleCrop>
  <LinksUpToDate>false</LinksUpToDate>
  <CharactersWithSpaces>733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2020-05-01T07:01:00Z</dcterms:created>
  <dc:creator>廖 懿富</dc:creator>
  <cp:lastModifiedBy>翟志盛</cp:lastModifiedBy>
  <cp:lastPrinted>2023-09-01T07:12:00Z</cp:lastPrinted>
  <dcterms:modified xsi:type="dcterms:W3CDTF">2026-02-08T04:19:20Z</dcterms:modified>
  <cp:revision>689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A0BCA01C29264ACFA26834A7F09031D8</vt:lpwstr>
  </property>
  <property fmtid="{D5CDD505-2E9C-101B-9397-08002B2CF9AE}" pid="4" name="KSOTemplateDocerSaveRecord">
    <vt:lpwstr>eyJoZGlkIjoiMzVmMTBiODI4MDNhNjIxNDkxZGIzZTJiNjMxMTNjNGIiLCJ1c2VySWQiOiIxNDc3OTk4ODQxIn0=</vt:lpwstr>
  </property>
</Properties>
</file>