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B004E">
      <w:pPr>
        <w:autoSpaceDE w:val="0"/>
        <w:autoSpaceDN w:val="0"/>
        <w:adjustRightInd w:val="0"/>
        <w:spacing w:line="276" w:lineRule="auto"/>
        <w:ind w:left="357" w:leftChars="170" w:right="-23" w:rightChars="-11"/>
        <w:jc w:val="center"/>
        <w:rPr>
          <w:rFonts w:hint="default"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zh-CN" w:eastAsia="zh-CN"/>
        </w:rPr>
        <w:t>东莞市供水计量设施更新项目（2026-2027年计量仪表)</w:t>
      </w:r>
      <w:r>
        <w:rPr>
          <w:rFonts w:hint="eastAsia" w:ascii="宋体" w:hAnsi="宋体" w:eastAsia="宋体" w:cs="宋体"/>
          <w:b/>
          <w:bCs/>
          <w:color w:val="auto"/>
          <w:kern w:val="0"/>
          <w:sz w:val="60"/>
          <w:szCs w:val="60"/>
          <w:highlight w:val="none"/>
          <w:lang w:val="zh-CN"/>
        </w:rPr>
        <w:t>－超声波水表</w:t>
      </w:r>
    </w:p>
    <w:p w14:paraId="44FBF2C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4D052E2C">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7315B79">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60D86FD8">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892129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6534840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5444215C">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35E68F8">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5991D17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 标 编 号：YFGL-202601011</w:t>
      </w:r>
    </w:p>
    <w:p w14:paraId="0714981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人：东莞市水务环境投资控股集团供水有限公司</w:t>
      </w:r>
    </w:p>
    <w:p w14:paraId="2DBEDC3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招标代理机构：广东一方项目管理有限公司</w:t>
      </w:r>
    </w:p>
    <w:p w14:paraId="2CE6DF5E">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5016E597">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5DEC989">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日</w:t>
      </w:r>
    </w:p>
    <w:p w14:paraId="7C9474E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500F1D8">
      <w:pPr>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1449"/>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5E4C1812">
          <w:pPr>
            <w:spacing w:before="0" w:beforeLines="0" w:after="0" w:afterLines="0" w:line="24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0F3D8A58">
          <w:pPr>
            <w:pStyle w:val="28"/>
            <w:tabs>
              <w:tab w:val="right" w:leader="dot" w:pos="10154"/>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_Toc17429 </w:instrText>
          </w:r>
          <w:r>
            <w:rPr>
              <w:highlight w:val="none"/>
            </w:rPr>
            <w:fldChar w:fldCharType="separate"/>
          </w:r>
          <w:r>
            <w:rPr>
              <w:rFonts w:hint="eastAsia" w:ascii="宋体" w:hAnsi="宋体" w:eastAsia="宋体" w:cs="宋体"/>
              <w:bCs/>
              <w:kern w:val="44"/>
              <w:szCs w:val="32"/>
              <w:highlight w:val="none"/>
              <w:lang w:val="en-US" w:eastAsia="zh-CN"/>
            </w:rPr>
            <w:t>第一篇 招标公告</w:t>
          </w:r>
          <w:r>
            <w:tab/>
          </w:r>
          <w:r>
            <w:fldChar w:fldCharType="begin"/>
          </w:r>
          <w:r>
            <w:instrText xml:space="preserve"> PAGEREF _Toc17429 \h </w:instrText>
          </w:r>
          <w:r>
            <w:fldChar w:fldCharType="separate"/>
          </w:r>
          <w:r>
            <w:t>4</w:t>
          </w:r>
          <w:r>
            <w:fldChar w:fldCharType="end"/>
          </w:r>
          <w:r>
            <w:rPr>
              <w:color w:val="auto"/>
              <w:highlight w:val="none"/>
            </w:rPr>
            <w:fldChar w:fldCharType="end"/>
          </w:r>
        </w:p>
        <w:p w14:paraId="0E6D0187">
          <w:pPr>
            <w:pStyle w:val="28"/>
            <w:tabs>
              <w:tab w:val="right" w:leader="dot" w:pos="10154"/>
            </w:tabs>
          </w:pPr>
          <w:r>
            <w:rPr>
              <w:color w:val="auto"/>
              <w:highlight w:val="none"/>
            </w:rPr>
            <w:fldChar w:fldCharType="begin"/>
          </w:r>
          <w:r>
            <w:rPr>
              <w:highlight w:val="none"/>
            </w:rPr>
            <w:instrText xml:space="preserve"> HYPERLINK \l _Toc15250 </w:instrText>
          </w:r>
          <w:r>
            <w:rPr>
              <w:highlight w:val="none"/>
            </w:rPr>
            <w:fldChar w:fldCharType="separate"/>
          </w:r>
          <w:r>
            <w:rPr>
              <w:rFonts w:hint="eastAsia" w:ascii="宋体" w:hAnsi="宋体" w:eastAsia="宋体" w:cs="宋体"/>
              <w:bCs/>
              <w:kern w:val="44"/>
              <w:szCs w:val="32"/>
              <w:highlight w:val="none"/>
              <w:lang w:val="zh-CN"/>
            </w:rPr>
            <w:t>第二篇</w:t>
          </w:r>
          <w:r>
            <w:rPr>
              <w:rFonts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tab/>
          </w:r>
          <w:r>
            <w:fldChar w:fldCharType="begin"/>
          </w:r>
          <w:r>
            <w:instrText xml:space="preserve"> PAGEREF _Toc15250 \h </w:instrText>
          </w:r>
          <w:r>
            <w:fldChar w:fldCharType="separate"/>
          </w:r>
          <w:r>
            <w:t>6</w:t>
          </w:r>
          <w:r>
            <w:fldChar w:fldCharType="end"/>
          </w:r>
          <w:r>
            <w:rPr>
              <w:color w:val="auto"/>
              <w:highlight w:val="none"/>
            </w:rPr>
            <w:fldChar w:fldCharType="end"/>
          </w:r>
        </w:p>
        <w:p w14:paraId="65F3C1D6">
          <w:pPr>
            <w:pStyle w:val="28"/>
            <w:tabs>
              <w:tab w:val="right" w:leader="dot" w:pos="10154"/>
            </w:tabs>
          </w:pPr>
          <w:r>
            <w:rPr>
              <w:color w:val="auto"/>
              <w:highlight w:val="none"/>
            </w:rPr>
            <w:fldChar w:fldCharType="begin"/>
          </w:r>
          <w:r>
            <w:rPr>
              <w:highlight w:val="none"/>
            </w:rPr>
            <w:instrText xml:space="preserve"> HYPERLINK \l _Toc27327 </w:instrText>
          </w:r>
          <w:r>
            <w:rPr>
              <w:highlight w:val="none"/>
            </w:rPr>
            <w:fldChar w:fldCharType="separate"/>
          </w:r>
          <w:r>
            <w:rPr>
              <w:rFonts w:hint="eastAsia" w:ascii="宋体" w:hAnsi="宋体" w:eastAsia="宋体" w:cs="宋体"/>
              <w:bCs/>
              <w:kern w:val="44"/>
              <w:szCs w:val="21"/>
              <w:highlight w:val="none"/>
              <w:lang w:val="zh-CN"/>
            </w:rPr>
            <w:t>一、总则</w:t>
          </w:r>
          <w:r>
            <w:tab/>
          </w:r>
          <w:r>
            <w:fldChar w:fldCharType="begin"/>
          </w:r>
          <w:r>
            <w:instrText xml:space="preserve"> PAGEREF _Toc27327 \h </w:instrText>
          </w:r>
          <w:r>
            <w:fldChar w:fldCharType="separate"/>
          </w:r>
          <w:r>
            <w:t>6</w:t>
          </w:r>
          <w:r>
            <w:fldChar w:fldCharType="end"/>
          </w:r>
          <w:r>
            <w:rPr>
              <w:color w:val="auto"/>
              <w:highlight w:val="none"/>
            </w:rPr>
            <w:fldChar w:fldCharType="end"/>
          </w:r>
        </w:p>
        <w:p w14:paraId="4D188310">
          <w:pPr>
            <w:pStyle w:val="21"/>
            <w:tabs>
              <w:tab w:val="right" w:leader="dot" w:pos="10154"/>
              <w:tab w:val="clear" w:pos="10144"/>
            </w:tabs>
          </w:pPr>
          <w:r>
            <w:rPr>
              <w:color w:val="auto"/>
              <w:highlight w:val="none"/>
            </w:rPr>
            <w:fldChar w:fldCharType="begin"/>
          </w:r>
          <w:r>
            <w:rPr>
              <w:highlight w:val="none"/>
            </w:rPr>
            <w:instrText xml:space="preserve"> HYPERLINK \l _Toc12026 </w:instrText>
          </w:r>
          <w:r>
            <w:rPr>
              <w:highlight w:val="none"/>
            </w:rPr>
            <w:fldChar w:fldCharType="separate"/>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r>
            <w:tab/>
          </w:r>
          <w:r>
            <w:fldChar w:fldCharType="begin"/>
          </w:r>
          <w:r>
            <w:instrText xml:space="preserve"> PAGEREF _Toc12026 \h </w:instrText>
          </w:r>
          <w:r>
            <w:fldChar w:fldCharType="separate"/>
          </w:r>
          <w:r>
            <w:t>6</w:t>
          </w:r>
          <w:r>
            <w:fldChar w:fldCharType="end"/>
          </w:r>
          <w:r>
            <w:rPr>
              <w:color w:val="auto"/>
              <w:highlight w:val="none"/>
            </w:rPr>
            <w:fldChar w:fldCharType="end"/>
          </w:r>
        </w:p>
        <w:p w14:paraId="741D3201">
          <w:pPr>
            <w:pStyle w:val="21"/>
            <w:tabs>
              <w:tab w:val="right" w:leader="dot" w:pos="10154"/>
              <w:tab w:val="clear" w:pos="10144"/>
            </w:tabs>
          </w:pPr>
          <w:r>
            <w:rPr>
              <w:color w:val="auto"/>
              <w:highlight w:val="none"/>
            </w:rPr>
            <w:fldChar w:fldCharType="begin"/>
          </w:r>
          <w:r>
            <w:rPr>
              <w:highlight w:val="none"/>
            </w:rPr>
            <w:instrText xml:space="preserve"> HYPERLINK \l _Toc29941 </w:instrText>
          </w:r>
          <w:r>
            <w:rPr>
              <w:highlight w:val="none"/>
            </w:rPr>
            <w:fldChar w:fldCharType="separate"/>
          </w:r>
          <w:r>
            <w:rPr>
              <w:rFonts w:hint="eastAsia" w:ascii="宋体" w:hAnsi="宋体" w:eastAsia="宋体" w:cs="宋体"/>
              <w:szCs w:val="21"/>
              <w:highlight w:val="none"/>
              <w:lang w:val="zh-CN"/>
            </w:rPr>
            <w:t>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合格的投标人</w:t>
          </w:r>
          <w:r>
            <w:tab/>
          </w:r>
          <w:r>
            <w:fldChar w:fldCharType="begin"/>
          </w:r>
          <w:r>
            <w:instrText xml:space="preserve"> PAGEREF _Toc29941 \h </w:instrText>
          </w:r>
          <w:r>
            <w:fldChar w:fldCharType="separate"/>
          </w:r>
          <w:r>
            <w:t>6</w:t>
          </w:r>
          <w:r>
            <w:fldChar w:fldCharType="end"/>
          </w:r>
          <w:r>
            <w:rPr>
              <w:color w:val="auto"/>
              <w:highlight w:val="none"/>
            </w:rPr>
            <w:fldChar w:fldCharType="end"/>
          </w:r>
        </w:p>
        <w:p w14:paraId="6114EB1F">
          <w:pPr>
            <w:pStyle w:val="21"/>
            <w:tabs>
              <w:tab w:val="right" w:leader="dot" w:pos="10154"/>
              <w:tab w:val="clear" w:pos="10144"/>
            </w:tabs>
          </w:pPr>
          <w:r>
            <w:rPr>
              <w:color w:val="auto"/>
              <w:highlight w:val="none"/>
            </w:rPr>
            <w:fldChar w:fldCharType="begin"/>
          </w:r>
          <w:r>
            <w:rPr>
              <w:highlight w:val="none"/>
            </w:rPr>
            <w:instrText xml:space="preserve"> HYPERLINK \l _Toc4912 </w:instrText>
          </w:r>
          <w:r>
            <w:rPr>
              <w:highlight w:val="none"/>
            </w:rPr>
            <w:fldChar w:fldCharType="separate"/>
          </w:r>
          <w:r>
            <w:rPr>
              <w:rFonts w:hint="eastAsia" w:ascii="宋体" w:hAnsi="宋体" w:eastAsia="宋体" w:cs="宋体"/>
              <w:szCs w:val="21"/>
              <w:highlight w:val="none"/>
              <w:lang w:val="zh-CN"/>
            </w:rPr>
            <w:t>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合格的货物</w:t>
          </w:r>
          <w:r>
            <w:tab/>
          </w:r>
          <w:r>
            <w:fldChar w:fldCharType="begin"/>
          </w:r>
          <w:r>
            <w:instrText xml:space="preserve"> PAGEREF _Toc4912 \h </w:instrText>
          </w:r>
          <w:r>
            <w:fldChar w:fldCharType="separate"/>
          </w:r>
          <w:r>
            <w:t>6</w:t>
          </w:r>
          <w:r>
            <w:fldChar w:fldCharType="end"/>
          </w:r>
          <w:r>
            <w:rPr>
              <w:color w:val="auto"/>
              <w:highlight w:val="none"/>
            </w:rPr>
            <w:fldChar w:fldCharType="end"/>
          </w:r>
        </w:p>
        <w:p w14:paraId="62DA4758">
          <w:pPr>
            <w:pStyle w:val="21"/>
            <w:tabs>
              <w:tab w:val="right" w:leader="dot" w:pos="10154"/>
              <w:tab w:val="clear" w:pos="10144"/>
            </w:tabs>
          </w:pPr>
          <w:r>
            <w:rPr>
              <w:color w:val="auto"/>
              <w:highlight w:val="none"/>
            </w:rPr>
            <w:fldChar w:fldCharType="begin"/>
          </w:r>
          <w:r>
            <w:rPr>
              <w:highlight w:val="none"/>
            </w:rPr>
            <w:instrText xml:space="preserve"> HYPERLINK \l _Toc12140 </w:instrText>
          </w:r>
          <w:r>
            <w:rPr>
              <w:highlight w:val="none"/>
            </w:rPr>
            <w:fldChar w:fldCharType="separate"/>
          </w:r>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w:t>
          </w:r>
          <w:r>
            <w:rPr>
              <w:rFonts w:hint="eastAsia" w:ascii="宋体" w:hAnsi="宋体" w:eastAsia="宋体" w:cs="宋体"/>
              <w:szCs w:val="21"/>
              <w:highlight w:val="none"/>
              <w:lang w:val="en-US" w:eastAsia="zh-CN"/>
            </w:rPr>
            <w:t>它</w:t>
          </w:r>
          <w:r>
            <w:rPr>
              <w:rFonts w:hint="eastAsia" w:ascii="宋体" w:hAnsi="宋体" w:eastAsia="宋体" w:cs="宋体"/>
              <w:szCs w:val="21"/>
              <w:highlight w:val="none"/>
              <w:lang w:val="zh-CN"/>
            </w:rPr>
            <w:t>说明</w:t>
          </w:r>
          <w:r>
            <w:tab/>
          </w:r>
          <w:r>
            <w:fldChar w:fldCharType="begin"/>
          </w:r>
          <w:r>
            <w:instrText xml:space="preserve"> PAGEREF _Toc12140 \h </w:instrText>
          </w:r>
          <w:r>
            <w:fldChar w:fldCharType="separate"/>
          </w:r>
          <w:r>
            <w:t>7</w:t>
          </w:r>
          <w:r>
            <w:fldChar w:fldCharType="end"/>
          </w:r>
          <w:r>
            <w:rPr>
              <w:color w:val="auto"/>
              <w:highlight w:val="none"/>
            </w:rPr>
            <w:fldChar w:fldCharType="end"/>
          </w:r>
        </w:p>
        <w:p w14:paraId="0A5A3D6F">
          <w:pPr>
            <w:pStyle w:val="28"/>
            <w:tabs>
              <w:tab w:val="right" w:leader="dot" w:pos="10154"/>
            </w:tabs>
          </w:pPr>
          <w:r>
            <w:rPr>
              <w:color w:val="auto"/>
              <w:highlight w:val="none"/>
            </w:rPr>
            <w:fldChar w:fldCharType="begin"/>
          </w:r>
          <w:r>
            <w:rPr>
              <w:highlight w:val="none"/>
            </w:rPr>
            <w:instrText xml:space="preserve"> HYPERLINK \l _Toc24477 </w:instrText>
          </w:r>
          <w:r>
            <w:rPr>
              <w:highlight w:val="none"/>
            </w:rPr>
            <w:fldChar w:fldCharType="separate"/>
          </w:r>
          <w:r>
            <w:rPr>
              <w:rFonts w:hint="eastAsia" w:ascii="宋体" w:hAnsi="宋体" w:eastAsia="宋体" w:cs="宋体"/>
              <w:bCs/>
              <w:kern w:val="44"/>
              <w:szCs w:val="21"/>
              <w:highlight w:val="none"/>
              <w:lang w:val="zh-CN"/>
            </w:rPr>
            <w:t>二、招标文件</w:t>
          </w:r>
          <w:r>
            <w:tab/>
          </w:r>
          <w:r>
            <w:fldChar w:fldCharType="begin"/>
          </w:r>
          <w:r>
            <w:instrText xml:space="preserve"> PAGEREF _Toc24477 \h </w:instrText>
          </w:r>
          <w:r>
            <w:fldChar w:fldCharType="separate"/>
          </w:r>
          <w:r>
            <w:t>8</w:t>
          </w:r>
          <w:r>
            <w:fldChar w:fldCharType="end"/>
          </w:r>
          <w:r>
            <w:rPr>
              <w:color w:val="auto"/>
              <w:highlight w:val="none"/>
            </w:rPr>
            <w:fldChar w:fldCharType="end"/>
          </w:r>
        </w:p>
        <w:p w14:paraId="32FAE55B">
          <w:pPr>
            <w:pStyle w:val="21"/>
            <w:tabs>
              <w:tab w:val="right" w:leader="dot" w:pos="10154"/>
              <w:tab w:val="clear" w:pos="10144"/>
            </w:tabs>
          </w:pPr>
          <w:r>
            <w:rPr>
              <w:color w:val="auto"/>
              <w:highlight w:val="none"/>
            </w:rPr>
            <w:fldChar w:fldCharType="begin"/>
          </w:r>
          <w:r>
            <w:rPr>
              <w:highlight w:val="none"/>
            </w:rPr>
            <w:instrText xml:space="preserve"> HYPERLINK \l _Toc17229 </w:instrText>
          </w:r>
          <w:r>
            <w:rPr>
              <w:highlight w:val="none"/>
            </w:rPr>
            <w:fldChar w:fldCharType="separate"/>
          </w:r>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r>
            <w:tab/>
          </w:r>
          <w:r>
            <w:fldChar w:fldCharType="begin"/>
          </w:r>
          <w:r>
            <w:instrText xml:space="preserve"> PAGEREF _Toc17229 \h </w:instrText>
          </w:r>
          <w:r>
            <w:fldChar w:fldCharType="separate"/>
          </w:r>
          <w:r>
            <w:t>8</w:t>
          </w:r>
          <w:r>
            <w:fldChar w:fldCharType="end"/>
          </w:r>
          <w:r>
            <w:rPr>
              <w:color w:val="auto"/>
              <w:highlight w:val="none"/>
            </w:rPr>
            <w:fldChar w:fldCharType="end"/>
          </w:r>
        </w:p>
        <w:p w14:paraId="4A8BEC97">
          <w:pPr>
            <w:pStyle w:val="21"/>
            <w:tabs>
              <w:tab w:val="right" w:leader="dot" w:pos="10154"/>
              <w:tab w:val="clear" w:pos="10144"/>
            </w:tabs>
          </w:pPr>
          <w:r>
            <w:rPr>
              <w:color w:val="auto"/>
              <w:highlight w:val="none"/>
            </w:rPr>
            <w:fldChar w:fldCharType="begin"/>
          </w:r>
          <w:r>
            <w:rPr>
              <w:highlight w:val="none"/>
            </w:rPr>
            <w:instrText xml:space="preserve"> HYPERLINK \l _Toc29345 </w:instrText>
          </w:r>
          <w:r>
            <w:rPr>
              <w:highlight w:val="none"/>
            </w:rPr>
            <w:fldChar w:fldCharType="separate"/>
          </w:r>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r>
            <w:tab/>
          </w:r>
          <w:r>
            <w:fldChar w:fldCharType="begin"/>
          </w:r>
          <w:r>
            <w:instrText xml:space="preserve"> PAGEREF _Toc29345 \h </w:instrText>
          </w:r>
          <w:r>
            <w:fldChar w:fldCharType="separate"/>
          </w:r>
          <w:r>
            <w:t>9</w:t>
          </w:r>
          <w:r>
            <w:fldChar w:fldCharType="end"/>
          </w:r>
          <w:r>
            <w:rPr>
              <w:color w:val="auto"/>
              <w:highlight w:val="none"/>
            </w:rPr>
            <w:fldChar w:fldCharType="end"/>
          </w:r>
        </w:p>
        <w:p w14:paraId="6121C315">
          <w:pPr>
            <w:pStyle w:val="21"/>
            <w:tabs>
              <w:tab w:val="right" w:leader="dot" w:pos="10154"/>
              <w:tab w:val="clear" w:pos="10144"/>
            </w:tabs>
          </w:pPr>
          <w:r>
            <w:rPr>
              <w:color w:val="auto"/>
              <w:highlight w:val="none"/>
            </w:rPr>
            <w:fldChar w:fldCharType="begin"/>
          </w:r>
          <w:r>
            <w:rPr>
              <w:highlight w:val="none"/>
            </w:rPr>
            <w:instrText xml:space="preserve"> HYPERLINK \l _Toc28651 </w:instrText>
          </w:r>
          <w:r>
            <w:rPr>
              <w:highlight w:val="none"/>
            </w:rPr>
            <w:fldChar w:fldCharType="separate"/>
          </w:r>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r>
            <w:tab/>
          </w:r>
          <w:r>
            <w:fldChar w:fldCharType="begin"/>
          </w:r>
          <w:r>
            <w:instrText xml:space="preserve"> PAGEREF _Toc28651 \h </w:instrText>
          </w:r>
          <w:r>
            <w:fldChar w:fldCharType="separate"/>
          </w:r>
          <w:r>
            <w:t>9</w:t>
          </w:r>
          <w:r>
            <w:fldChar w:fldCharType="end"/>
          </w:r>
          <w:r>
            <w:rPr>
              <w:color w:val="auto"/>
              <w:highlight w:val="none"/>
            </w:rPr>
            <w:fldChar w:fldCharType="end"/>
          </w:r>
        </w:p>
        <w:p w14:paraId="76605589">
          <w:pPr>
            <w:pStyle w:val="28"/>
            <w:tabs>
              <w:tab w:val="right" w:leader="dot" w:pos="10154"/>
            </w:tabs>
          </w:pPr>
          <w:r>
            <w:rPr>
              <w:color w:val="auto"/>
              <w:highlight w:val="none"/>
            </w:rPr>
            <w:fldChar w:fldCharType="begin"/>
          </w:r>
          <w:r>
            <w:rPr>
              <w:highlight w:val="none"/>
            </w:rPr>
            <w:instrText xml:space="preserve"> HYPERLINK \l _Toc18158 </w:instrText>
          </w:r>
          <w:r>
            <w:rPr>
              <w:highlight w:val="none"/>
            </w:rPr>
            <w:fldChar w:fldCharType="separate"/>
          </w:r>
          <w:r>
            <w:rPr>
              <w:rFonts w:hint="eastAsia" w:ascii="宋体" w:hAnsi="宋体" w:eastAsia="宋体" w:cs="宋体"/>
              <w:bCs/>
              <w:kern w:val="44"/>
              <w:szCs w:val="21"/>
              <w:highlight w:val="none"/>
              <w:lang w:val="zh-CN"/>
            </w:rPr>
            <w:t>三、投标文件的编制</w:t>
          </w:r>
          <w:r>
            <w:tab/>
          </w:r>
          <w:r>
            <w:fldChar w:fldCharType="begin"/>
          </w:r>
          <w:r>
            <w:instrText xml:space="preserve"> PAGEREF _Toc18158 \h </w:instrText>
          </w:r>
          <w:r>
            <w:fldChar w:fldCharType="separate"/>
          </w:r>
          <w:r>
            <w:t>9</w:t>
          </w:r>
          <w:r>
            <w:fldChar w:fldCharType="end"/>
          </w:r>
          <w:r>
            <w:rPr>
              <w:color w:val="auto"/>
              <w:highlight w:val="none"/>
            </w:rPr>
            <w:fldChar w:fldCharType="end"/>
          </w:r>
        </w:p>
        <w:p w14:paraId="54CC682B">
          <w:pPr>
            <w:pStyle w:val="21"/>
            <w:tabs>
              <w:tab w:val="right" w:leader="dot" w:pos="10154"/>
              <w:tab w:val="clear" w:pos="10144"/>
            </w:tabs>
          </w:pPr>
          <w:r>
            <w:rPr>
              <w:color w:val="auto"/>
              <w:highlight w:val="none"/>
            </w:rPr>
            <w:fldChar w:fldCharType="begin"/>
          </w:r>
          <w:r>
            <w:rPr>
              <w:highlight w:val="none"/>
            </w:rPr>
            <w:instrText xml:space="preserve"> HYPERLINK \l _Toc17197 </w:instrText>
          </w:r>
          <w:r>
            <w:rPr>
              <w:highlight w:val="none"/>
            </w:rPr>
            <w:fldChar w:fldCharType="separate"/>
          </w:r>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r>
            <w:tab/>
          </w:r>
          <w:r>
            <w:fldChar w:fldCharType="begin"/>
          </w:r>
          <w:r>
            <w:instrText xml:space="preserve"> PAGEREF _Toc17197 \h </w:instrText>
          </w:r>
          <w:r>
            <w:fldChar w:fldCharType="separate"/>
          </w:r>
          <w:r>
            <w:t>9</w:t>
          </w:r>
          <w:r>
            <w:fldChar w:fldCharType="end"/>
          </w:r>
          <w:r>
            <w:rPr>
              <w:color w:val="auto"/>
              <w:highlight w:val="none"/>
            </w:rPr>
            <w:fldChar w:fldCharType="end"/>
          </w:r>
        </w:p>
        <w:p w14:paraId="52D68954">
          <w:pPr>
            <w:pStyle w:val="21"/>
            <w:tabs>
              <w:tab w:val="right" w:leader="dot" w:pos="10154"/>
              <w:tab w:val="clear" w:pos="10144"/>
            </w:tabs>
          </w:pPr>
          <w:r>
            <w:rPr>
              <w:color w:val="auto"/>
              <w:highlight w:val="none"/>
            </w:rPr>
            <w:fldChar w:fldCharType="begin"/>
          </w:r>
          <w:r>
            <w:rPr>
              <w:highlight w:val="none"/>
            </w:rPr>
            <w:instrText xml:space="preserve"> HYPERLINK \l _Toc16587 </w:instrText>
          </w:r>
          <w:r>
            <w:rPr>
              <w:highlight w:val="none"/>
            </w:rPr>
            <w:fldChar w:fldCharType="separate"/>
          </w:r>
          <w:r>
            <w:rPr>
              <w:rFonts w:hint="eastAsia" w:ascii="宋体" w:hAnsi="宋体" w:eastAsia="宋体" w:cs="宋体"/>
              <w:szCs w:val="21"/>
              <w:highlight w:val="none"/>
              <w:lang w:val="zh-CN"/>
            </w:rPr>
            <w:t>9</w:t>
          </w:r>
          <w:r>
            <w:rPr>
              <w:rFonts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tab/>
          </w:r>
          <w:r>
            <w:fldChar w:fldCharType="begin"/>
          </w:r>
          <w:r>
            <w:instrText xml:space="preserve"> PAGEREF _Toc16587 \h </w:instrText>
          </w:r>
          <w:r>
            <w:fldChar w:fldCharType="separate"/>
          </w:r>
          <w:r>
            <w:t>9</w:t>
          </w:r>
          <w:r>
            <w:fldChar w:fldCharType="end"/>
          </w:r>
          <w:r>
            <w:rPr>
              <w:color w:val="auto"/>
              <w:highlight w:val="none"/>
            </w:rPr>
            <w:fldChar w:fldCharType="end"/>
          </w:r>
        </w:p>
        <w:p w14:paraId="04F082BA">
          <w:pPr>
            <w:pStyle w:val="21"/>
            <w:tabs>
              <w:tab w:val="right" w:leader="dot" w:pos="10154"/>
              <w:tab w:val="clear" w:pos="10144"/>
            </w:tabs>
          </w:pPr>
          <w:r>
            <w:rPr>
              <w:color w:val="auto"/>
              <w:highlight w:val="none"/>
            </w:rPr>
            <w:fldChar w:fldCharType="begin"/>
          </w:r>
          <w:r>
            <w:rPr>
              <w:highlight w:val="none"/>
            </w:rPr>
            <w:instrText xml:space="preserve"> HYPERLINK \l _Toc20054 </w:instrText>
          </w:r>
          <w:r>
            <w:rPr>
              <w:highlight w:val="none"/>
            </w:rPr>
            <w:fldChar w:fldCharType="separate"/>
          </w:r>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r>
            <w:tab/>
          </w:r>
          <w:r>
            <w:fldChar w:fldCharType="begin"/>
          </w:r>
          <w:r>
            <w:instrText xml:space="preserve"> PAGEREF _Toc20054 \h </w:instrText>
          </w:r>
          <w:r>
            <w:fldChar w:fldCharType="separate"/>
          </w:r>
          <w:r>
            <w:t>11</w:t>
          </w:r>
          <w:r>
            <w:fldChar w:fldCharType="end"/>
          </w:r>
          <w:r>
            <w:rPr>
              <w:color w:val="auto"/>
              <w:highlight w:val="none"/>
            </w:rPr>
            <w:fldChar w:fldCharType="end"/>
          </w:r>
        </w:p>
        <w:p w14:paraId="31F5F6CD">
          <w:pPr>
            <w:pStyle w:val="21"/>
            <w:tabs>
              <w:tab w:val="right" w:leader="dot" w:pos="10154"/>
              <w:tab w:val="clear" w:pos="10144"/>
            </w:tabs>
          </w:pPr>
          <w:r>
            <w:rPr>
              <w:color w:val="auto"/>
              <w:highlight w:val="none"/>
            </w:rPr>
            <w:fldChar w:fldCharType="begin"/>
          </w:r>
          <w:r>
            <w:rPr>
              <w:highlight w:val="none"/>
            </w:rPr>
            <w:instrText xml:space="preserve"> HYPERLINK \l _Toc14897 </w:instrText>
          </w:r>
          <w:r>
            <w:rPr>
              <w:highlight w:val="none"/>
            </w:rPr>
            <w:fldChar w:fldCharType="separate"/>
          </w:r>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r>
            <w:tab/>
          </w:r>
          <w:r>
            <w:fldChar w:fldCharType="begin"/>
          </w:r>
          <w:r>
            <w:instrText xml:space="preserve"> PAGEREF _Toc14897 \h </w:instrText>
          </w:r>
          <w:r>
            <w:fldChar w:fldCharType="separate"/>
          </w:r>
          <w:r>
            <w:t>11</w:t>
          </w:r>
          <w:r>
            <w:fldChar w:fldCharType="end"/>
          </w:r>
          <w:r>
            <w:rPr>
              <w:color w:val="auto"/>
              <w:highlight w:val="none"/>
            </w:rPr>
            <w:fldChar w:fldCharType="end"/>
          </w:r>
        </w:p>
        <w:p w14:paraId="593D1BD8">
          <w:pPr>
            <w:pStyle w:val="21"/>
            <w:tabs>
              <w:tab w:val="right" w:leader="dot" w:pos="10154"/>
              <w:tab w:val="clear" w:pos="10144"/>
            </w:tabs>
          </w:pPr>
          <w:r>
            <w:rPr>
              <w:color w:val="auto"/>
              <w:highlight w:val="none"/>
            </w:rPr>
            <w:fldChar w:fldCharType="begin"/>
          </w:r>
          <w:r>
            <w:rPr>
              <w:highlight w:val="none"/>
            </w:rPr>
            <w:instrText xml:space="preserve"> HYPERLINK \l _Toc537 </w:instrText>
          </w:r>
          <w:r>
            <w:rPr>
              <w:highlight w:val="none"/>
            </w:rPr>
            <w:fldChar w:fldCharType="separate"/>
          </w:r>
          <w:r>
            <w:rPr>
              <w:rFonts w:hint="eastAsia" w:ascii="宋体" w:hAnsi="宋体" w:eastAsia="宋体" w:cs="宋体"/>
              <w:szCs w:val="21"/>
              <w:highlight w:val="none"/>
              <w:lang w:val="zh-CN"/>
            </w:rPr>
            <w:t>12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投标报价货币</w:t>
          </w:r>
          <w:r>
            <w:tab/>
          </w:r>
          <w:r>
            <w:fldChar w:fldCharType="begin"/>
          </w:r>
          <w:r>
            <w:instrText xml:space="preserve"> PAGEREF _Toc537 \h </w:instrText>
          </w:r>
          <w:r>
            <w:fldChar w:fldCharType="separate"/>
          </w:r>
          <w:r>
            <w:t>12</w:t>
          </w:r>
          <w:r>
            <w:fldChar w:fldCharType="end"/>
          </w:r>
          <w:r>
            <w:rPr>
              <w:color w:val="auto"/>
              <w:highlight w:val="none"/>
            </w:rPr>
            <w:fldChar w:fldCharType="end"/>
          </w:r>
        </w:p>
        <w:p w14:paraId="61AABCBC">
          <w:pPr>
            <w:pStyle w:val="21"/>
            <w:tabs>
              <w:tab w:val="right" w:leader="dot" w:pos="10154"/>
              <w:tab w:val="clear" w:pos="10144"/>
            </w:tabs>
          </w:pPr>
          <w:r>
            <w:rPr>
              <w:color w:val="auto"/>
              <w:highlight w:val="none"/>
            </w:rPr>
            <w:fldChar w:fldCharType="begin"/>
          </w:r>
          <w:r>
            <w:rPr>
              <w:highlight w:val="none"/>
            </w:rPr>
            <w:instrText xml:space="preserve"> HYPERLINK \l _Toc27946 </w:instrText>
          </w:r>
          <w:r>
            <w:rPr>
              <w:highlight w:val="none"/>
            </w:rPr>
            <w:fldChar w:fldCharType="separate"/>
          </w:r>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r>
            <w:tab/>
          </w:r>
          <w:r>
            <w:fldChar w:fldCharType="begin"/>
          </w:r>
          <w:r>
            <w:instrText xml:space="preserve"> PAGEREF _Toc27946 \h </w:instrText>
          </w:r>
          <w:r>
            <w:fldChar w:fldCharType="separate"/>
          </w:r>
          <w:r>
            <w:t>12</w:t>
          </w:r>
          <w:r>
            <w:fldChar w:fldCharType="end"/>
          </w:r>
          <w:r>
            <w:rPr>
              <w:color w:val="auto"/>
              <w:highlight w:val="none"/>
            </w:rPr>
            <w:fldChar w:fldCharType="end"/>
          </w:r>
        </w:p>
        <w:p w14:paraId="2CD10967">
          <w:pPr>
            <w:pStyle w:val="21"/>
            <w:tabs>
              <w:tab w:val="right" w:leader="dot" w:pos="10154"/>
              <w:tab w:val="clear" w:pos="10144"/>
            </w:tabs>
          </w:pPr>
          <w:r>
            <w:rPr>
              <w:color w:val="auto"/>
              <w:highlight w:val="none"/>
            </w:rPr>
            <w:fldChar w:fldCharType="begin"/>
          </w:r>
          <w:r>
            <w:rPr>
              <w:highlight w:val="none"/>
            </w:rPr>
            <w:instrText xml:space="preserve"> HYPERLINK \l _Toc29706 </w:instrText>
          </w:r>
          <w:r>
            <w:rPr>
              <w:highlight w:val="none"/>
            </w:rPr>
            <w:fldChar w:fldCharType="separate"/>
          </w:r>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r>
            <w:tab/>
          </w:r>
          <w:r>
            <w:fldChar w:fldCharType="begin"/>
          </w:r>
          <w:r>
            <w:instrText xml:space="preserve"> PAGEREF _Toc29706 \h </w:instrText>
          </w:r>
          <w:r>
            <w:fldChar w:fldCharType="separate"/>
          </w:r>
          <w:r>
            <w:t>13</w:t>
          </w:r>
          <w:r>
            <w:fldChar w:fldCharType="end"/>
          </w:r>
          <w:r>
            <w:rPr>
              <w:color w:val="auto"/>
              <w:highlight w:val="none"/>
            </w:rPr>
            <w:fldChar w:fldCharType="end"/>
          </w:r>
        </w:p>
        <w:p w14:paraId="78E0AB75">
          <w:pPr>
            <w:pStyle w:val="21"/>
            <w:tabs>
              <w:tab w:val="right" w:leader="dot" w:pos="10154"/>
              <w:tab w:val="clear" w:pos="10144"/>
            </w:tabs>
          </w:pPr>
          <w:r>
            <w:rPr>
              <w:color w:val="auto"/>
              <w:highlight w:val="none"/>
            </w:rPr>
            <w:fldChar w:fldCharType="begin"/>
          </w:r>
          <w:r>
            <w:rPr>
              <w:highlight w:val="none"/>
            </w:rPr>
            <w:instrText xml:space="preserve"> HYPERLINK \l _Toc5598 </w:instrText>
          </w:r>
          <w:r>
            <w:rPr>
              <w:highlight w:val="none"/>
            </w:rPr>
            <w:fldChar w:fldCharType="separate"/>
          </w:r>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r>
            <w:tab/>
          </w:r>
          <w:r>
            <w:fldChar w:fldCharType="begin"/>
          </w:r>
          <w:r>
            <w:instrText xml:space="preserve"> PAGEREF _Toc5598 \h </w:instrText>
          </w:r>
          <w:r>
            <w:fldChar w:fldCharType="separate"/>
          </w:r>
          <w:r>
            <w:t>13</w:t>
          </w:r>
          <w:r>
            <w:fldChar w:fldCharType="end"/>
          </w:r>
          <w:r>
            <w:rPr>
              <w:color w:val="auto"/>
              <w:highlight w:val="none"/>
            </w:rPr>
            <w:fldChar w:fldCharType="end"/>
          </w:r>
        </w:p>
        <w:p w14:paraId="174A3237">
          <w:pPr>
            <w:pStyle w:val="21"/>
            <w:tabs>
              <w:tab w:val="right" w:leader="dot" w:pos="10154"/>
              <w:tab w:val="clear" w:pos="10144"/>
            </w:tabs>
          </w:pPr>
          <w:r>
            <w:rPr>
              <w:color w:val="auto"/>
              <w:highlight w:val="none"/>
            </w:rPr>
            <w:fldChar w:fldCharType="begin"/>
          </w:r>
          <w:r>
            <w:rPr>
              <w:highlight w:val="none"/>
            </w:rPr>
            <w:instrText xml:space="preserve"> HYPERLINK \l _Toc8438 </w:instrText>
          </w:r>
          <w:r>
            <w:rPr>
              <w:highlight w:val="none"/>
            </w:rPr>
            <w:fldChar w:fldCharType="separate"/>
          </w:r>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r>
            <w:tab/>
          </w:r>
          <w:r>
            <w:fldChar w:fldCharType="begin"/>
          </w:r>
          <w:r>
            <w:instrText xml:space="preserve"> PAGEREF _Toc8438 \h </w:instrText>
          </w:r>
          <w:r>
            <w:fldChar w:fldCharType="separate"/>
          </w:r>
          <w:r>
            <w:t>14</w:t>
          </w:r>
          <w:r>
            <w:fldChar w:fldCharType="end"/>
          </w:r>
          <w:r>
            <w:rPr>
              <w:color w:val="auto"/>
              <w:highlight w:val="none"/>
            </w:rPr>
            <w:fldChar w:fldCharType="end"/>
          </w:r>
        </w:p>
        <w:p w14:paraId="60648B18">
          <w:pPr>
            <w:pStyle w:val="21"/>
            <w:tabs>
              <w:tab w:val="right" w:leader="dot" w:pos="10154"/>
              <w:tab w:val="clear" w:pos="10144"/>
            </w:tabs>
          </w:pPr>
          <w:r>
            <w:rPr>
              <w:color w:val="auto"/>
              <w:highlight w:val="none"/>
            </w:rPr>
            <w:fldChar w:fldCharType="begin"/>
          </w:r>
          <w:r>
            <w:rPr>
              <w:highlight w:val="none"/>
            </w:rPr>
            <w:instrText xml:space="preserve"> HYPERLINK \l _Toc12835 </w:instrText>
          </w:r>
          <w:r>
            <w:rPr>
              <w:highlight w:val="none"/>
            </w:rPr>
            <w:fldChar w:fldCharType="separate"/>
          </w:r>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r>
            <w:tab/>
          </w:r>
          <w:r>
            <w:fldChar w:fldCharType="begin"/>
          </w:r>
          <w:r>
            <w:instrText xml:space="preserve"> PAGEREF _Toc12835 \h </w:instrText>
          </w:r>
          <w:r>
            <w:fldChar w:fldCharType="separate"/>
          </w:r>
          <w:r>
            <w:t>14</w:t>
          </w:r>
          <w:r>
            <w:fldChar w:fldCharType="end"/>
          </w:r>
          <w:r>
            <w:rPr>
              <w:color w:val="auto"/>
              <w:highlight w:val="none"/>
            </w:rPr>
            <w:fldChar w:fldCharType="end"/>
          </w:r>
        </w:p>
        <w:p w14:paraId="0628AEA7">
          <w:pPr>
            <w:pStyle w:val="28"/>
            <w:tabs>
              <w:tab w:val="right" w:leader="dot" w:pos="10154"/>
            </w:tabs>
          </w:pPr>
          <w:r>
            <w:rPr>
              <w:color w:val="auto"/>
              <w:highlight w:val="none"/>
            </w:rPr>
            <w:fldChar w:fldCharType="begin"/>
          </w:r>
          <w:r>
            <w:rPr>
              <w:highlight w:val="none"/>
            </w:rPr>
            <w:instrText xml:space="preserve"> HYPERLINK \l _Toc6827 </w:instrText>
          </w:r>
          <w:r>
            <w:rPr>
              <w:highlight w:val="none"/>
            </w:rPr>
            <w:fldChar w:fldCharType="separate"/>
          </w:r>
          <w:r>
            <w:rPr>
              <w:rFonts w:hint="eastAsia" w:ascii="宋体" w:hAnsi="宋体" w:eastAsia="宋体" w:cs="宋体"/>
              <w:bCs/>
              <w:kern w:val="44"/>
              <w:szCs w:val="21"/>
              <w:highlight w:val="none"/>
              <w:lang w:val="zh-CN"/>
            </w:rPr>
            <w:t>四、投标文件的递交</w:t>
          </w:r>
          <w:r>
            <w:tab/>
          </w:r>
          <w:r>
            <w:fldChar w:fldCharType="begin"/>
          </w:r>
          <w:r>
            <w:instrText xml:space="preserve"> PAGEREF _Toc6827 \h </w:instrText>
          </w:r>
          <w:r>
            <w:fldChar w:fldCharType="separate"/>
          </w:r>
          <w:r>
            <w:t>15</w:t>
          </w:r>
          <w:r>
            <w:fldChar w:fldCharType="end"/>
          </w:r>
          <w:r>
            <w:rPr>
              <w:color w:val="auto"/>
              <w:highlight w:val="none"/>
            </w:rPr>
            <w:fldChar w:fldCharType="end"/>
          </w:r>
        </w:p>
        <w:p w14:paraId="597DE82F">
          <w:pPr>
            <w:pStyle w:val="21"/>
            <w:tabs>
              <w:tab w:val="right" w:leader="dot" w:pos="10154"/>
              <w:tab w:val="clear" w:pos="10144"/>
            </w:tabs>
          </w:pPr>
          <w:r>
            <w:rPr>
              <w:color w:val="auto"/>
              <w:highlight w:val="none"/>
            </w:rPr>
            <w:fldChar w:fldCharType="begin"/>
          </w:r>
          <w:r>
            <w:rPr>
              <w:highlight w:val="none"/>
            </w:rPr>
            <w:instrText xml:space="preserve"> HYPERLINK \l _Toc12953 </w:instrText>
          </w:r>
          <w:r>
            <w:rPr>
              <w:highlight w:val="none"/>
            </w:rPr>
            <w:fldChar w:fldCharType="separate"/>
          </w:r>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r>
            <w:tab/>
          </w:r>
          <w:r>
            <w:fldChar w:fldCharType="begin"/>
          </w:r>
          <w:r>
            <w:instrText xml:space="preserve"> PAGEREF _Toc12953 \h </w:instrText>
          </w:r>
          <w:r>
            <w:fldChar w:fldCharType="separate"/>
          </w:r>
          <w:r>
            <w:t>15</w:t>
          </w:r>
          <w:r>
            <w:fldChar w:fldCharType="end"/>
          </w:r>
          <w:r>
            <w:rPr>
              <w:color w:val="auto"/>
              <w:highlight w:val="none"/>
            </w:rPr>
            <w:fldChar w:fldCharType="end"/>
          </w:r>
        </w:p>
        <w:p w14:paraId="5CB7DC70">
          <w:pPr>
            <w:pStyle w:val="21"/>
            <w:tabs>
              <w:tab w:val="right" w:leader="dot" w:pos="10154"/>
              <w:tab w:val="clear" w:pos="10144"/>
            </w:tabs>
          </w:pPr>
          <w:r>
            <w:rPr>
              <w:color w:val="auto"/>
              <w:highlight w:val="none"/>
            </w:rPr>
            <w:fldChar w:fldCharType="begin"/>
          </w:r>
          <w:r>
            <w:rPr>
              <w:highlight w:val="none"/>
            </w:rPr>
            <w:instrText xml:space="preserve"> HYPERLINK \l _Toc17707 </w:instrText>
          </w:r>
          <w:r>
            <w:rPr>
              <w:highlight w:val="none"/>
            </w:rPr>
            <w:fldChar w:fldCharType="separate"/>
          </w:r>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r>
            <w:tab/>
          </w:r>
          <w:r>
            <w:fldChar w:fldCharType="begin"/>
          </w:r>
          <w:r>
            <w:instrText xml:space="preserve"> PAGEREF _Toc17707 \h </w:instrText>
          </w:r>
          <w:r>
            <w:fldChar w:fldCharType="separate"/>
          </w:r>
          <w:r>
            <w:t>15</w:t>
          </w:r>
          <w:r>
            <w:fldChar w:fldCharType="end"/>
          </w:r>
          <w:r>
            <w:rPr>
              <w:color w:val="auto"/>
              <w:highlight w:val="none"/>
            </w:rPr>
            <w:fldChar w:fldCharType="end"/>
          </w:r>
        </w:p>
        <w:p w14:paraId="7A211343">
          <w:pPr>
            <w:pStyle w:val="21"/>
            <w:tabs>
              <w:tab w:val="right" w:leader="dot" w:pos="10154"/>
              <w:tab w:val="clear" w:pos="10144"/>
            </w:tabs>
          </w:pPr>
          <w:r>
            <w:rPr>
              <w:color w:val="auto"/>
              <w:highlight w:val="none"/>
            </w:rPr>
            <w:fldChar w:fldCharType="begin"/>
          </w:r>
          <w:r>
            <w:rPr>
              <w:highlight w:val="none"/>
            </w:rPr>
            <w:instrText xml:space="preserve"> HYPERLINK \l _Toc20885 </w:instrText>
          </w:r>
          <w:r>
            <w:rPr>
              <w:highlight w:val="none"/>
            </w:rPr>
            <w:fldChar w:fldCharType="separate"/>
          </w:r>
          <w:r>
            <w:rPr>
              <w:rFonts w:hint="eastAsia" w:ascii="宋体" w:hAnsi="宋体" w:eastAsia="宋体" w:cs="宋体"/>
              <w:szCs w:val="21"/>
              <w:highlight w:val="none"/>
              <w:lang w:val="zh-CN"/>
            </w:rPr>
            <w:t>20 迟交的投标文件</w:t>
          </w:r>
          <w:r>
            <w:tab/>
          </w:r>
          <w:r>
            <w:fldChar w:fldCharType="begin"/>
          </w:r>
          <w:r>
            <w:instrText xml:space="preserve"> PAGEREF _Toc20885 \h </w:instrText>
          </w:r>
          <w:r>
            <w:fldChar w:fldCharType="separate"/>
          </w:r>
          <w:r>
            <w:t>15</w:t>
          </w:r>
          <w:r>
            <w:fldChar w:fldCharType="end"/>
          </w:r>
          <w:r>
            <w:rPr>
              <w:color w:val="auto"/>
              <w:highlight w:val="none"/>
            </w:rPr>
            <w:fldChar w:fldCharType="end"/>
          </w:r>
        </w:p>
        <w:p w14:paraId="6980274D">
          <w:pPr>
            <w:pStyle w:val="21"/>
            <w:tabs>
              <w:tab w:val="right" w:leader="dot" w:pos="10154"/>
              <w:tab w:val="clear" w:pos="10144"/>
            </w:tabs>
          </w:pPr>
          <w:r>
            <w:rPr>
              <w:color w:val="auto"/>
              <w:highlight w:val="none"/>
            </w:rPr>
            <w:fldChar w:fldCharType="begin"/>
          </w:r>
          <w:r>
            <w:rPr>
              <w:highlight w:val="none"/>
            </w:rPr>
            <w:instrText xml:space="preserve"> HYPERLINK \l _Toc9833 </w:instrText>
          </w:r>
          <w:r>
            <w:rPr>
              <w:highlight w:val="none"/>
            </w:rPr>
            <w:fldChar w:fldCharType="separate"/>
          </w:r>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r>
            <w:tab/>
          </w:r>
          <w:r>
            <w:fldChar w:fldCharType="begin"/>
          </w:r>
          <w:r>
            <w:instrText xml:space="preserve"> PAGEREF _Toc9833 \h </w:instrText>
          </w:r>
          <w:r>
            <w:fldChar w:fldCharType="separate"/>
          </w:r>
          <w:r>
            <w:t>15</w:t>
          </w:r>
          <w:r>
            <w:fldChar w:fldCharType="end"/>
          </w:r>
          <w:r>
            <w:rPr>
              <w:color w:val="auto"/>
              <w:highlight w:val="none"/>
            </w:rPr>
            <w:fldChar w:fldCharType="end"/>
          </w:r>
        </w:p>
        <w:p w14:paraId="68A32B10">
          <w:pPr>
            <w:pStyle w:val="28"/>
            <w:tabs>
              <w:tab w:val="right" w:leader="dot" w:pos="10154"/>
            </w:tabs>
          </w:pPr>
          <w:r>
            <w:rPr>
              <w:color w:val="auto"/>
              <w:highlight w:val="none"/>
            </w:rPr>
            <w:fldChar w:fldCharType="begin"/>
          </w:r>
          <w:r>
            <w:rPr>
              <w:highlight w:val="none"/>
            </w:rPr>
            <w:instrText xml:space="preserve"> HYPERLINK \l _Toc9828 </w:instrText>
          </w:r>
          <w:r>
            <w:rPr>
              <w:highlight w:val="none"/>
            </w:rPr>
            <w:fldChar w:fldCharType="separate"/>
          </w:r>
          <w:r>
            <w:rPr>
              <w:rFonts w:hint="eastAsia" w:ascii="宋体" w:hAnsi="宋体" w:eastAsia="宋体" w:cs="宋体"/>
              <w:bCs/>
              <w:kern w:val="44"/>
              <w:szCs w:val="21"/>
              <w:highlight w:val="none"/>
              <w:lang w:val="zh-CN"/>
            </w:rPr>
            <w:t>五、开标与评标</w:t>
          </w:r>
          <w:r>
            <w:tab/>
          </w:r>
          <w:r>
            <w:fldChar w:fldCharType="begin"/>
          </w:r>
          <w:r>
            <w:instrText xml:space="preserve"> PAGEREF _Toc9828 \h </w:instrText>
          </w:r>
          <w:r>
            <w:fldChar w:fldCharType="separate"/>
          </w:r>
          <w:r>
            <w:t>16</w:t>
          </w:r>
          <w:r>
            <w:fldChar w:fldCharType="end"/>
          </w:r>
          <w:r>
            <w:rPr>
              <w:color w:val="auto"/>
              <w:highlight w:val="none"/>
            </w:rPr>
            <w:fldChar w:fldCharType="end"/>
          </w:r>
        </w:p>
        <w:p w14:paraId="6C675A56">
          <w:pPr>
            <w:pStyle w:val="21"/>
            <w:tabs>
              <w:tab w:val="right" w:leader="dot" w:pos="10154"/>
              <w:tab w:val="clear" w:pos="10144"/>
            </w:tabs>
          </w:pPr>
          <w:r>
            <w:rPr>
              <w:color w:val="auto"/>
              <w:highlight w:val="none"/>
            </w:rPr>
            <w:fldChar w:fldCharType="begin"/>
          </w:r>
          <w:r>
            <w:rPr>
              <w:highlight w:val="none"/>
            </w:rPr>
            <w:instrText xml:space="preserve"> HYPERLINK \l _Toc32690 </w:instrText>
          </w:r>
          <w:r>
            <w:rPr>
              <w:highlight w:val="none"/>
            </w:rPr>
            <w:fldChar w:fldCharType="separate"/>
          </w:r>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r>
            <w:tab/>
          </w:r>
          <w:r>
            <w:fldChar w:fldCharType="begin"/>
          </w:r>
          <w:r>
            <w:instrText xml:space="preserve"> PAGEREF _Toc32690 \h </w:instrText>
          </w:r>
          <w:r>
            <w:fldChar w:fldCharType="separate"/>
          </w:r>
          <w:r>
            <w:t>16</w:t>
          </w:r>
          <w:r>
            <w:fldChar w:fldCharType="end"/>
          </w:r>
          <w:r>
            <w:rPr>
              <w:color w:val="auto"/>
              <w:highlight w:val="none"/>
            </w:rPr>
            <w:fldChar w:fldCharType="end"/>
          </w:r>
        </w:p>
        <w:p w14:paraId="288CE70F">
          <w:pPr>
            <w:pStyle w:val="21"/>
            <w:tabs>
              <w:tab w:val="right" w:leader="dot" w:pos="10154"/>
              <w:tab w:val="clear" w:pos="10144"/>
            </w:tabs>
          </w:pPr>
          <w:r>
            <w:rPr>
              <w:color w:val="auto"/>
              <w:highlight w:val="none"/>
            </w:rPr>
            <w:fldChar w:fldCharType="begin"/>
          </w:r>
          <w:r>
            <w:rPr>
              <w:highlight w:val="none"/>
            </w:rPr>
            <w:instrText xml:space="preserve"> HYPERLINK \l _Toc13697 </w:instrText>
          </w:r>
          <w:r>
            <w:rPr>
              <w:highlight w:val="none"/>
            </w:rPr>
            <w:fldChar w:fldCharType="separate"/>
          </w:r>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r>
            <w:tab/>
          </w:r>
          <w:r>
            <w:fldChar w:fldCharType="begin"/>
          </w:r>
          <w:r>
            <w:instrText xml:space="preserve"> PAGEREF _Toc13697 \h </w:instrText>
          </w:r>
          <w:r>
            <w:fldChar w:fldCharType="separate"/>
          </w:r>
          <w:r>
            <w:t>16</w:t>
          </w:r>
          <w:r>
            <w:fldChar w:fldCharType="end"/>
          </w:r>
          <w:r>
            <w:rPr>
              <w:color w:val="auto"/>
              <w:highlight w:val="none"/>
            </w:rPr>
            <w:fldChar w:fldCharType="end"/>
          </w:r>
        </w:p>
        <w:p w14:paraId="78B87308">
          <w:pPr>
            <w:pStyle w:val="21"/>
            <w:tabs>
              <w:tab w:val="right" w:leader="dot" w:pos="10154"/>
              <w:tab w:val="clear" w:pos="10144"/>
            </w:tabs>
          </w:pPr>
          <w:r>
            <w:rPr>
              <w:color w:val="auto"/>
              <w:highlight w:val="none"/>
            </w:rPr>
            <w:fldChar w:fldCharType="begin"/>
          </w:r>
          <w:r>
            <w:rPr>
              <w:highlight w:val="none"/>
            </w:rPr>
            <w:instrText xml:space="preserve"> HYPERLINK \l _Toc9748 </w:instrText>
          </w:r>
          <w:r>
            <w:rPr>
              <w:highlight w:val="none"/>
            </w:rPr>
            <w:fldChar w:fldCharType="separate"/>
          </w:r>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r>
            <w:tab/>
          </w:r>
          <w:r>
            <w:fldChar w:fldCharType="begin"/>
          </w:r>
          <w:r>
            <w:instrText xml:space="preserve"> PAGEREF _Toc9748 \h </w:instrText>
          </w:r>
          <w:r>
            <w:fldChar w:fldCharType="separate"/>
          </w:r>
          <w:r>
            <w:t>16</w:t>
          </w:r>
          <w:r>
            <w:fldChar w:fldCharType="end"/>
          </w:r>
          <w:r>
            <w:rPr>
              <w:color w:val="auto"/>
              <w:highlight w:val="none"/>
            </w:rPr>
            <w:fldChar w:fldCharType="end"/>
          </w:r>
        </w:p>
        <w:p w14:paraId="63CFFAA9">
          <w:pPr>
            <w:pStyle w:val="21"/>
            <w:tabs>
              <w:tab w:val="right" w:leader="dot" w:pos="10154"/>
              <w:tab w:val="clear" w:pos="10144"/>
            </w:tabs>
          </w:pPr>
          <w:r>
            <w:rPr>
              <w:color w:val="auto"/>
              <w:highlight w:val="none"/>
            </w:rPr>
            <w:fldChar w:fldCharType="begin"/>
          </w:r>
          <w:r>
            <w:rPr>
              <w:highlight w:val="none"/>
            </w:rPr>
            <w:instrText xml:space="preserve"> HYPERLINK \l _Toc13129 </w:instrText>
          </w:r>
          <w:r>
            <w:rPr>
              <w:highlight w:val="none"/>
            </w:rPr>
            <w:fldChar w:fldCharType="separate"/>
          </w:r>
          <w:r>
            <w:rPr>
              <w:rFonts w:hint="eastAsia" w:ascii="宋体" w:hAnsi="宋体" w:eastAsia="宋体" w:cs="宋体"/>
              <w:szCs w:val="21"/>
              <w:highlight w:val="none"/>
              <w:lang w:val="zh-CN"/>
            </w:rPr>
            <w:t>25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投标文件的初审</w:t>
          </w:r>
          <w:r>
            <w:tab/>
          </w:r>
          <w:r>
            <w:fldChar w:fldCharType="begin"/>
          </w:r>
          <w:r>
            <w:instrText xml:space="preserve"> PAGEREF _Toc13129 \h </w:instrText>
          </w:r>
          <w:r>
            <w:fldChar w:fldCharType="separate"/>
          </w:r>
          <w:r>
            <w:t>16</w:t>
          </w:r>
          <w:r>
            <w:fldChar w:fldCharType="end"/>
          </w:r>
          <w:r>
            <w:rPr>
              <w:color w:val="auto"/>
              <w:highlight w:val="none"/>
            </w:rPr>
            <w:fldChar w:fldCharType="end"/>
          </w:r>
        </w:p>
        <w:p w14:paraId="72084B95">
          <w:pPr>
            <w:pStyle w:val="21"/>
            <w:tabs>
              <w:tab w:val="right" w:leader="dot" w:pos="10154"/>
              <w:tab w:val="clear" w:pos="10144"/>
            </w:tabs>
          </w:pPr>
          <w:r>
            <w:rPr>
              <w:color w:val="auto"/>
              <w:highlight w:val="none"/>
            </w:rPr>
            <w:fldChar w:fldCharType="begin"/>
          </w:r>
          <w:r>
            <w:rPr>
              <w:highlight w:val="none"/>
            </w:rPr>
            <w:instrText xml:space="preserve"> HYPERLINK \l _Toc28685 </w:instrText>
          </w:r>
          <w:r>
            <w:rPr>
              <w:highlight w:val="none"/>
            </w:rPr>
            <w:fldChar w:fldCharType="separate"/>
          </w:r>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r>
            <w:tab/>
          </w:r>
          <w:r>
            <w:fldChar w:fldCharType="begin"/>
          </w:r>
          <w:r>
            <w:instrText xml:space="preserve"> PAGEREF _Toc28685 \h </w:instrText>
          </w:r>
          <w:r>
            <w:fldChar w:fldCharType="separate"/>
          </w:r>
          <w:r>
            <w:t>17</w:t>
          </w:r>
          <w:r>
            <w:fldChar w:fldCharType="end"/>
          </w:r>
          <w:r>
            <w:rPr>
              <w:color w:val="auto"/>
              <w:highlight w:val="none"/>
            </w:rPr>
            <w:fldChar w:fldCharType="end"/>
          </w:r>
        </w:p>
        <w:p w14:paraId="41EB2390">
          <w:pPr>
            <w:pStyle w:val="21"/>
            <w:tabs>
              <w:tab w:val="right" w:leader="dot" w:pos="10154"/>
              <w:tab w:val="clear" w:pos="10144"/>
            </w:tabs>
          </w:pPr>
          <w:r>
            <w:rPr>
              <w:color w:val="auto"/>
              <w:highlight w:val="none"/>
            </w:rPr>
            <w:fldChar w:fldCharType="begin"/>
          </w:r>
          <w:r>
            <w:rPr>
              <w:highlight w:val="none"/>
            </w:rPr>
            <w:instrText xml:space="preserve"> HYPERLINK \l _Toc18694 </w:instrText>
          </w:r>
          <w:r>
            <w:rPr>
              <w:highlight w:val="none"/>
            </w:rPr>
            <w:fldChar w:fldCharType="separate"/>
          </w:r>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r>
            <w:tab/>
          </w:r>
          <w:r>
            <w:fldChar w:fldCharType="begin"/>
          </w:r>
          <w:r>
            <w:instrText xml:space="preserve"> PAGEREF _Toc18694 \h </w:instrText>
          </w:r>
          <w:r>
            <w:fldChar w:fldCharType="separate"/>
          </w:r>
          <w:r>
            <w:t>17</w:t>
          </w:r>
          <w:r>
            <w:fldChar w:fldCharType="end"/>
          </w:r>
          <w:r>
            <w:rPr>
              <w:color w:val="auto"/>
              <w:highlight w:val="none"/>
            </w:rPr>
            <w:fldChar w:fldCharType="end"/>
          </w:r>
        </w:p>
        <w:p w14:paraId="0AD8631A">
          <w:pPr>
            <w:pStyle w:val="21"/>
            <w:tabs>
              <w:tab w:val="right" w:leader="dot" w:pos="10154"/>
              <w:tab w:val="clear" w:pos="10144"/>
            </w:tabs>
          </w:pPr>
          <w:r>
            <w:rPr>
              <w:color w:val="auto"/>
              <w:highlight w:val="none"/>
            </w:rPr>
            <w:fldChar w:fldCharType="begin"/>
          </w:r>
          <w:r>
            <w:rPr>
              <w:highlight w:val="none"/>
            </w:rPr>
            <w:instrText xml:space="preserve"> HYPERLINK \l _Toc6913 </w:instrText>
          </w:r>
          <w:r>
            <w:rPr>
              <w:highlight w:val="none"/>
            </w:rPr>
            <w:fldChar w:fldCharType="separate"/>
          </w:r>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r>
            <w:tab/>
          </w:r>
          <w:r>
            <w:fldChar w:fldCharType="begin"/>
          </w:r>
          <w:r>
            <w:instrText xml:space="preserve"> PAGEREF _Toc6913 \h </w:instrText>
          </w:r>
          <w:r>
            <w:fldChar w:fldCharType="separate"/>
          </w:r>
          <w:r>
            <w:t>17</w:t>
          </w:r>
          <w:r>
            <w:fldChar w:fldCharType="end"/>
          </w:r>
          <w:r>
            <w:rPr>
              <w:color w:val="auto"/>
              <w:highlight w:val="none"/>
            </w:rPr>
            <w:fldChar w:fldCharType="end"/>
          </w:r>
        </w:p>
        <w:p w14:paraId="0477E6EF">
          <w:pPr>
            <w:pStyle w:val="21"/>
            <w:tabs>
              <w:tab w:val="right" w:leader="dot" w:pos="10154"/>
              <w:tab w:val="clear" w:pos="10144"/>
            </w:tabs>
          </w:pPr>
          <w:r>
            <w:rPr>
              <w:color w:val="auto"/>
              <w:highlight w:val="none"/>
            </w:rPr>
            <w:fldChar w:fldCharType="begin"/>
          </w:r>
          <w:r>
            <w:rPr>
              <w:highlight w:val="none"/>
            </w:rPr>
            <w:instrText xml:space="preserve"> HYPERLINK \l _Toc11849 </w:instrText>
          </w:r>
          <w:r>
            <w:rPr>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r>
            <w:tab/>
          </w:r>
          <w:r>
            <w:fldChar w:fldCharType="begin"/>
          </w:r>
          <w:r>
            <w:instrText xml:space="preserve"> PAGEREF _Toc11849 \h </w:instrText>
          </w:r>
          <w:r>
            <w:fldChar w:fldCharType="separate"/>
          </w:r>
          <w:r>
            <w:t>17</w:t>
          </w:r>
          <w:r>
            <w:fldChar w:fldCharType="end"/>
          </w:r>
          <w:r>
            <w:rPr>
              <w:color w:val="auto"/>
              <w:highlight w:val="none"/>
            </w:rPr>
            <w:fldChar w:fldCharType="end"/>
          </w:r>
        </w:p>
        <w:p w14:paraId="05EDDA89">
          <w:pPr>
            <w:pStyle w:val="21"/>
            <w:tabs>
              <w:tab w:val="right" w:leader="dot" w:pos="10154"/>
              <w:tab w:val="clear" w:pos="10144"/>
            </w:tabs>
          </w:pPr>
          <w:r>
            <w:rPr>
              <w:color w:val="auto"/>
              <w:highlight w:val="none"/>
            </w:rPr>
            <w:fldChar w:fldCharType="begin"/>
          </w:r>
          <w:r>
            <w:rPr>
              <w:highlight w:val="none"/>
            </w:rPr>
            <w:instrText xml:space="preserve"> HYPERLINK \l _Toc14579 </w:instrText>
          </w:r>
          <w:r>
            <w:rPr>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tab/>
          </w:r>
          <w:r>
            <w:fldChar w:fldCharType="begin"/>
          </w:r>
          <w:r>
            <w:instrText xml:space="preserve"> PAGEREF _Toc14579 \h </w:instrText>
          </w:r>
          <w:r>
            <w:fldChar w:fldCharType="separate"/>
          </w:r>
          <w:r>
            <w:t>18</w:t>
          </w:r>
          <w:r>
            <w:fldChar w:fldCharType="end"/>
          </w:r>
          <w:r>
            <w:rPr>
              <w:color w:val="auto"/>
              <w:highlight w:val="none"/>
            </w:rPr>
            <w:fldChar w:fldCharType="end"/>
          </w:r>
        </w:p>
        <w:p w14:paraId="5EBC447F">
          <w:pPr>
            <w:pStyle w:val="21"/>
            <w:tabs>
              <w:tab w:val="right" w:leader="dot" w:pos="10154"/>
              <w:tab w:val="clear" w:pos="10144"/>
            </w:tabs>
          </w:pPr>
          <w:r>
            <w:rPr>
              <w:color w:val="auto"/>
              <w:highlight w:val="none"/>
            </w:rPr>
            <w:fldChar w:fldCharType="begin"/>
          </w:r>
          <w:r>
            <w:rPr>
              <w:highlight w:val="none"/>
            </w:rPr>
            <w:instrText xml:space="preserve"> HYPERLINK \l _Toc27361 </w:instrText>
          </w:r>
          <w:r>
            <w:rPr>
              <w:highlight w:val="none"/>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tab/>
          </w:r>
          <w:r>
            <w:fldChar w:fldCharType="begin"/>
          </w:r>
          <w:r>
            <w:instrText xml:space="preserve"> PAGEREF _Toc27361 \h </w:instrText>
          </w:r>
          <w:r>
            <w:fldChar w:fldCharType="separate"/>
          </w:r>
          <w:r>
            <w:t>19</w:t>
          </w:r>
          <w:r>
            <w:fldChar w:fldCharType="end"/>
          </w:r>
          <w:r>
            <w:rPr>
              <w:color w:val="auto"/>
              <w:highlight w:val="none"/>
            </w:rPr>
            <w:fldChar w:fldCharType="end"/>
          </w:r>
        </w:p>
        <w:p w14:paraId="19C8B626">
          <w:pPr>
            <w:pStyle w:val="28"/>
            <w:tabs>
              <w:tab w:val="right" w:leader="dot" w:pos="10154"/>
            </w:tabs>
          </w:pPr>
          <w:r>
            <w:rPr>
              <w:color w:val="auto"/>
              <w:highlight w:val="none"/>
            </w:rPr>
            <w:fldChar w:fldCharType="begin"/>
          </w:r>
          <w:r>
            <w:rPr>
              <w:highlight w:val="none"/>
            </w:rPr>
            <w:instrText xml:space="preserve"> HYPERLINK \l _Toc16642 </w:instrText>
          </w:r>
          <w:r>
            <w:rPr>
              <w:highlight w:val="none"/>
            </w:rPr>
            <w:fldChar w:fldCharType="separate"/>
          </w:r>
          <w:r>
            <w:rPr>
              <w:rFonts w:hint="eastAsia" w:ascii="宋体" w:hAnsi="宋体" w:eastAsia="宋体" w:cs="宋体"/>
              <w:bCs/>
              <w:kern w:val="44"/>
              <w:szCs w:val="21"/>
              <w:highlight w:val="none"/>
              <w:lang w:val="zh-CN"/>
            </w:rPr>
            <w:t>六、授予合同</w:t>
          </w:r>
          <w:r>
            <w:tab/>
          </w:r>
          <w:r>
            <w:fldChar w:fldCharType="begin"/>
          </w:r>
          <w:r>
            <w:instrText xml:space="preserve"> PAGEREF _Toc16642 \h </w:instrText>
          </w:r>
          <w:r>
            <w:fldChar w:fldCharType="separate"/>
          </w:r>
          <w:r>
            <w:t>19</w:t>
          </w:r>
          <w:r>
            <w:fldChar w:fldCharType="end"/>
          </w:r>
          <w:r>
            <w:rPr>
              <w:color w:val="auto"/>
              <w:highlight w:val="none"/>
            </w:rPr>
            <w:fldChar w:fldCharType="end"/>
          </w:r>
        </w:p>
        <w:p w14:paraId="506EA403">
          <w:pPr>
            <w:pStyle w:val="21"/>
            <w:tabs>
              <w:tab w:val="right" w:leader="dot" w:pos="10154"/>
              <w:tab w:val="clear" w:pos="10144"/>
            </w:tabs>
          </w:pPr>
          <w:r>
            <w:rPr>
              <w:color w:val="auto"/>
              <w:highlight w:val="none"/>
            </w:rPr>
            <w:fldChar w:fldCharType="begin"/>
          </w:r>
          <w:r>
            <w:rPr>
              <w:highlight w:val="none"/>
            </w:rPr>
            <w:instrText xml:space="preserve"> HYPERLINK \l _Toc5585 </w:instrText>
          </w:r>
          <w:r>
            <w:rPr>
              <w:highlight w:val="none"/>
            </w:rPr>
            <w:fldChar w:fldCharType="separate"/>
          </w:r>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r>
            <w:tab/>
          </w:r>
          <w:r>
            <w:fldChar w:fldCharType="begin"/>
          </w:r>
          <w:r>
            <w:instrText xml:space="preserve"> PAGEREF _Toc5585 \h </w:instrText>
          </w:r>
          <w:r>
            <w:fldChar w:fldCharType="separate"/>
          </w:r>
          <w:r>
            <w:t>19</w:t>
          </w:r>
          <w:r>
            <w:fldChar w:fldCharType="end"/>
          </w:r>
          <w:r>
            <w:rPr>
              <w:color w:val="auto"/>
              <w:highlight w:val="none"/>
            </w:rPr>
            <w:fldChar w:fldCharType="end"/>
          </w:r>
        </w:p>
        <w:p w14:paraId="4A2D99F1">
          <w:pPr>
            <w:pStyle w:val="21"/>
            <w:tabs>
              <w:tab w:val="right" w:leader="dot" w:pos="10154"/>
              <w:tab w:val="clear" w:pos="10144"/>
            </w:tabs>
          </w:pPr>
          <w:r>
            <w:rPr>
              <w:color w:val="auto"/>
              <w:highlight w:val="none"/>
            </w:rPr>
            <w:fldChar w:fldCharType="begin"/>
          </w:r>
          <w:r>
            <w:rPr>
              <w:highlight w:val="none"/>
            </w:rPr>
            <w:instrText xml:space="preserve"> HYPERLINK \l _Toc255 </w:instrText>
          </w:r>
          <w:r>
            <w:rPr>
              <w:highlight w:val="none"/>
            </w:rPr>
            <w:fldChar w:fldCharType="separate"/>
          </w:r>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r>
            <w:tab/>
          </w:r>
          <w:r>
            <w:fldChar w:fldCharType="begin"/>
          </w:r>
          <w:r>
            <w:instrText xml:space="preserve"> PAGEREF _Toc255 \h </w:instrText>
          </w:r>
          <w:r>
            <w:fldChar w:fldCharType="separate"/>
          </w:r>
          <w:r>
            <w:t>19</w:t>
          </w:r>
          <w:r>
            <w:fldChar w:fldCharType="end"/>
          </w:r>
          <w:r>
            <w:rPr>
              <w:color w:val="auto"/>
              <w:highlight w:val="none"/>
            </w:rPr>
            <w:fldChar w:fldCharType="end"/>
          </w:r>
        </w:p>
        <w:p w14:paraId="4D0C492B">
          <w:pPr>
            <w:pStyle w:val="21"/>
            <w:tabs>
              <w:tab w:val="right" w:leader="dot" w:pos="10154"/>
              <w:tab w:val="clear" w:pos="10144"/>
            </w:tabs>
          </w:pPr>
          <w:r>
            <w:rPr>
              <w:color w:val="auto"/>
              <w:highlight w:val="none"/>
            </w:rPr>
            <w:fldChar w:fldCharType="begin"/>
          </w:r>
          <w:r>
            <w:rPr>
              <w:highlight w:val="none"/>
            </w:rPr>
            <w:instrText xml:space="preserve"> HYPERLINK \l _Toc29975 </w:instrText>
          </w:r>
          <w:r>
            <w:rPr>
              <w:highlight w:val="none"/>
            </w:rPr>
            <w:fldChar w:fldCharType="separate"/>
          </w:r>
          <w:r>
            <w:rPr>
              <w:rFonts w:hint="eastAsia" w:ascii="宋体" w:hAnsi="宋体" w:eastAsia="宋体" w:cs="宋体"/>
              <w:i w:val="0"/>
              <w:iCs w:val="0"/>
              <w:szCs w:val="21"/>
              <w:highlight w:val="none"/>
            </w:rPr>
            <w:t>34</w:t>
          </w:r>
          <w:r>
            <w:rPr>
              <w:rFonts w:ascii="宋体" w:hAnsi="宋体" w:eastAsia="宋体" w:cs="宋体"/>
              <w:i w:val="0"/>
              <w:iCs w:val="0"/>
              <w:szCs w:val="21"/>
              <w:highlight w:val="none"/>
              <w:lang w:val="zh-CN"/>
            </w:rPr>
            <w:t xml:space="preserve"> </w:t>
          </w:r>
          <w:r>
            <w:rPr>
              <w:rFonts w:hint="eastAsia" w:ascii="宋体" w:hAnsi="宋体" w:eastAsia="宋体" w:cs="宋体"/>
              <w:i w:val="0"/>
              <w:iCs w:val="0"/>
              <w:szCs w:val="21"/>
              <w:highlight w:val="none"/>
              <w:lang w:val="zh-CN"/>
            </w:rPr>
            <w:t>签署合同</w:t>
          </w:r>
          <w:r>
            <w:tab/>
          </w:r>
          <w:r>
            <w:fldChar w:fldCharType="begin"/>
          </w:r>
          <w:r>
            <w:instrText xml:space="preserve"> PAGEREF _Toc29975 \h </w:instrText>
          </w:r>
          <w:r>
            <w:fldChar w:fldCharType="separate"/>
          </w:r>
          <w:r>
            <w:t>19</w:t>
          </w:r>
          <w:r>
            <w:fldChar w:fldCharType="end"/>
          </w:r>
          <w:r>
            <w:rPr>
              <w:color w:val="auto"/>
              <w:highlight w:val="none"/>
            </w:rPr>
            <w:fldChar w:fldCharType="end"/>
          </w:r>
        </w:p>
        <w:p w14:paraId="5928918A">
          <w:pPr>
            <w:pStyle w:val="21"/>
            <w:tabs>
              <w:tab w:val="right" w:leader="dot" w:pos="10154"/>
              <w:tab w:val="clear" w:pos="10144"/>
            </w:tabs>
          </w:pPr>
          <w:r>
            <w:rPr>
              <w:color w:val="auto"/>
              <w:highlight w:val="none"/>
            </w:rPr>
            <w:fldChar w:fldCharType="begin"/>
          </w:r>
          <w:r>
            <w:rPr>
              <w:highlight w:val="none"/>
            </w:rPr>
            <w:instrText xml:space="preserve"> HYPERLINK \l _Toc24729 </w:instrText>
          </w:r>
          <w:r>
            <w:rPr>
              <w:highlight w:val="none"/>
            </w:rPr>
            <w:fldChar w:fldCharType="separate"/>
          </w:r>
          <w:r>
            <w:rPr>
              <w:rFonts w:hint="eastAsia" w:ascii="宋体" w:hAnsi="宋体" w:eastAsia="宋体" w:cs="宋体"/>
              <w:i w:val="0"/>
              <w:iCs w:val="0"/>
              <w:szCs w:val="21"/>
              <w:highlight w:val="none"/>
            </w:rPr>
            <w:t>35</w:t>
          </w:r>
          <w:r>
            <w:rPr>
              <w:rFonts w:ascii="宋体" w:hAnsi="宋体" w:eastAsia="宋体" w:cs="宋体"/>
              <w:i w:val="0"/>
              <w:iCs w:val="0"/>
              <w:szCs w:val="21"/>
              <w:highlight w:val="none"/>
            </w:rPr>
            <w:t xml:space="preserve"> </w:t>
          </w:r>
          <w:r>
            <w:rPr>
              <w:rFonts w:hint="eastAsia" w:ascii="宋体" w:hAnsi="宋体" w:eastAsia="宋体" w:cs="宋体"/>
              <w:i w:val="0"/>
              <w:iCs w:val="0"/>
              <w:szCs w:val="21"/>
              <w:highlight w:val="none"/>
              <w:lang w:val="zh-CN"/>
            </w:rPr>
            <w:t>履约担保</w:t>
          </w:r>
          <w:r>
            <w:tab/>
          </w:r>
          <w:r>
            <w:fldChar w:fldCharType="begin"/>
          </w:r>
          <w:r>
            <w:instrText xml:space="preserve"> PAGEREF _Toc24729 \h </w:instrText>
          </w:r>
          <w:r>
            <w:fldChar w:fldCharType="separate"/>
          </w:r>
          <w:r>
            <w:t>20</w:t>
          </w:r>
          <w:r>
            <w:fldChar w:fldCharType="end"/>
          </w:r>
          <w:r>
            <w:rPr>
              <w:color w:val="auto"/>
              <w:highlight w:val="none"/>
            </w:rPr>
            <w:fldChar w:fldCharType="end"/>
          </w:r>
        </w:p>
        <w:p w14:paraId="0EAD0D5C">
          <w:pPr>
            <w:pStyle w:val="21"/>
            <w:tabs>
              <w:tab w:val="right" w:leader="dot" w:pos="10154"/>
              <w:tab w:val="clear" w:pos="10144"/>
            </w:tabs>
          </w:pPr>
          <w:r>
            <w:rPr>
              <w:color w:val="auto"/>
              <w:highlight w:val="none"/>
            </w:rPr>
            <w:fldChar w:fldCharType="begin"/>
          </w:r>
          <w:r>
            <w:rPr>
              <w:highlight w:val="none"/>
            </w:rPr>
            <w:instrText xml:space="preserve"> HYPERLINK \l _Toc19624 </w:instrText>
          </w:r>
          <w:r>
            <w:rPr>
              <w:highlight w:val="none"/>
            </w:rPr>
            <w:fldChar w:fldCharType="separate"/>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 xml:space="preserve"> 中标服务费</w:t>
          </w:r>
          <w:r>
            <w:tab/>
          </w:r>
          <w:r>
            <w:fldChar w:fldCharType="begin"/>
          </w:r>
          <w:r>
            <w:instrText xml:space="preserve"> PAGEREF _Toc19624 \h </w:instrText>
          </w:r>
          <w:r>
            <w:fldChar w:fldCharType="separate"/>
          </w:r>
          <w:r>
            <w:t>21</w:t>
          </w:r>
          <w:r>
            <w:fldChar w:fldCharType="end"/>
          </w:r>
          <w:r>
            <w:rPr>
              <w:color w:val="auto"/>
              <w:highlight w:val="none"/>
            </w:rPr>
            <w:fldChar w:fldCharType="end"/>
          </w:r>
        </w:p>
        <w:p w14:paraId="4245FC0B">
          <w:pPr>
            <w:pStyle w:val="21"/>
            <w:tabs>
              <w:tab w:val="right" w:leader="dot" w:pos="10154"/>
              <w:tab w:val="clear" w:pos="10144"/>
            </w:tabs>
          </w:pPr>
          <w:r>
            <w:rPr>
              <w:color w:val="auto"/>
              <w:highlight w:val="none"/>
            </w:rPr>
            <w:fldChar w:fldCharType="begin"/>
          </w:r>
          <w:r>
            <w:rPr>
              <w:highlight w:val="none"/>
            </w:rPr>
            <w:instrText xml:space="preserve"> HYPERLINK \l _Toc10985 </w:instrText>
          </w:r>
          <w:r>
            <w:rPr>
              <w:highlight w:val="none"/>
            </w:rPr>
            <w:fldChar w:fldCharType="separate"/>
          </w:r>
          <w:r>
            <w:rPr>
              <w:rFonts w:hint="eastAsia" w:ascii="宋体" w:hAnsi="宋体" w:eastAsia="宋体" w:cs="宋体"/>
              <w:i w:val="0"/>
              <w:iCs w:val="0"/>
              <w:szCs w:val="21"/>
              <w:highlight w:val="none"/>
            </w:rPr>
            <w:t>3</w:t>
          </w:r>
          <w:r>
            <w:rPr>
              <w:rFonts w:hint="eastAsia" w:ascii="宋体" w:hAnsi="宋体" w:eastAsia="宋体" w:cs="宋体"/>
              <w:i w:val="0"/>
              <w:iCs w:val="0"/>
              <w:szCs w:val="21"/>
              <w:highlight w:val="none"/>
              <w:lang w:val="en-US" w:eastAsia="zh-CN"/>
            </w:rPr>
            <w:t>7</w:t>
          </w:r>
          <w:r>
            <w:rPr>
              <w:rFonts w:hint="eastAsia" w:ascii="宋体" w:hAnsi="宋体" w:eastAsia="宋体" w:cs="宋体"/>
              <w:i w:val="0"/>
              <w:iCs w:val="0"/>
              <w:szCs w:val="21"/>
              <w:highlight w:val="none"/>
              <w:lang w:val="zh-CN"/>
            </w:rPr>
            <w:t xml:space="preserve"> 发票</w:t>
          </w:r>
          <w:r>
            <w:tab/>
          </w:r>
          <w:r>
            <w:fldChar w:fldCharType="begin"/>
          </w:r>
          <w:r>
            <w:instrText xml:space="preserve"> PAGEREF _Toc10985 \h </w:instrText>
          </w:r>
          <w:r>
            <w:fldChar w:fldCharType="separate"/>
          </w:r>
          <w:r>
            <w:t>23</w:t>
          </w:r>
          <w:r>
            <w:fldChar w:fldCharType="end"/>
          </w:r>
          <w:r>
            <w:rPr>
              <w:color w:val="auto"/>
              <w:highlight w:val="none"/>
            </w:rPr>
            <w:fldChar w:fldCharType="end"/>
          </w:r>
        </w:p>
        <w:p w14:paraId="2F7563A6">
          <w:pPr>
            <w:pStyle w:val="21"/>
            <w:tabs>
              <w:tab w:val="right" w:leader="dot" w:pos="10154"/>
              <w:tab w:val="clear" w:pos="10144"/>
            </w:tabs>
          </w:pPr>
          <w:r>
            <w:rPr>
              <w:color w:val="auto"/>
              <w:highlight w:val="none"/>
            </w:rPr>
            <w:fldChar w:fldCharType="begin"/>
          </w:r>
          <w:r>
            <w:rPr>
              <w:highlight w:val="none"/>
            </w:rPr>
            <w:instrText xml:space="preserve"> HYPERLINK \l _Toc24138 </w:instrText>
          </w:r>
          <w:r>
            <w:rPr>
              <w:highlight w:val="none"/>
            </w:rPr>
            <w:fldChar w:fldCharType="separate"/>
          </w:r>
          <w:r>
            <w:rPr>
              <w:rFonts w:ascii="宋体" w:hAnsi="宋体" w:eastAsia="宋体" w:cs="宋体"/>
              <w:i w:val="0"/>
              <w:iCs w:val="0"/>
              <w:szCs w:val="21"/>
              <w:highlight w:val="none"/>
            </w:rPr>
            <w:t>3</w:t>
          </w:r>
          <w:r>
            <w:rPr>
              <w:rFonts w:hint="eastAsia" w:ascii="宋体" w:hAnsi="宋体" w:eastAsia="宋体" w:cs="宋体"/>
              <w:i w:val="0"/>
              <w:iCs w:val="0"/>
              <w:szCs w:val="21"/>
              <w:highlight w:val="none"/>
              <w:lang w:val="en-US" w:eastAsia="zh-CN"/>
            </w:rPr>
            <w:t>8</w:t>
          </w:r>
          <w:r>
            <w:rPr>
              <w:rFonts w:ascii="宋体" w:hAnsi="宋体" w:eastAsia="宋体" w:cs="宋体"/>
              <w:i w:val="0"/>
              <w:iCs w:val="0"/>
              <w:szCs w:val="21"/>
              <w:highlight w:val="none"/>
            </w:rPr>
            <w:t xml:space="preserve"> 招标相关补充约定</w:t>
          </w:r>
          <w:r>
            <w:tab/>
          </w:r>
          <w:r>
            <w:fldChar w:fldCharType="begin"/>
          </w:r>
          <w:r>
            <w:instrText xml:space="preserve"> PAGEREF _Toc24138 \h </w:instrText>
          </w:r>
          <w:r>
            <w:fldChar w:fldCharType="separate"/>
          </w:r>
          <w:r>
            <w:t>23</w:t>
          </w:r>
          <w:r>
            <w:fldChar w:fldCharType="end"/>
          </w:r>
          <w:r>
            <w:rPr>
              <w:color w:val="auto"/>
              <w:highlight w:val="none"/>
            </w:rPr>
            <w:fldChar w:fldCharType="end"/>
          </w:r>
        </w:p>
        <w:p w14:paraId="7832224D">
          <w:pPr>
            <w:pStyle w:val="21"/>
            <w:tabs>
              <w:tab w:val="right" w:leader="dot" w:pos="10154"/>
              <w:tab w:val="clear" w:pos="10144"/>
            </w:tabs>
          </w:pPr>
          <w:r>
            <w:rPr>
              <w:color w:val="auto"/>
              <w:highlight w:val="none"/>
            </w:rPr>
            <w:fldChar w:fldCharType="begin"/>
          </w:r>
          <w:r>
            <w:rPr>
              <w:highlight w:val="none"/>
            </w:rPr>
            <w:instrText xml:space="preserve"> HYPERLINK \l _Toc31082 </w:instrText>
          </w:r>
          <w:r>
            <w:rPr>
              <w:highlight w:val="none"/>
            </w:rPr>
            <w:fldChar w:fldCharType="separate"/>
          </w:r>
          <w:r>
            <w:rPr>
              <w:rFonts w:hint="eastAsia" w:ascii="宋体" w:hAnsi="宋体" w:eastAsia="宋体" w:cs="宋体"/>
              <w:i w:val="0"/>
              <w:iCs w:val="0"/>
              <w:szCs w:val="21"/>
              <w:highlight w:val="none"/>
              <w:lang w:val="en-US" w:eastAsia="zh-CN"/>
            </w:rPr>
            <w:t>39</w:t>
          </w:r>
          <w:r>
            <w:rPr>
              <w:rFonts w:hint="eastAsia" w:ascii="宋体" w:hAnsi="宋体" w:eastAsia="宋体" w:cs="宋体"/>
              <w:i w:val="0"/>
              <w:iCs w:val="0"/>
              <w:szCs w:val="21"/>
              <w:highlight w:val="none"/>
            </w:rPr>
            <w:t xml:space="preserve"> 本次招标活动的最终解释权归招标代理机构及招标人所有。</w:t>
          </w:r>
          <w:r>
            <w:tab/>
          </w:r>
          <w:r>
            <w:fldChar w:fldCharType="begin"/>
          </w:r>
          <w:r>
            <w:instrText xml:space="preserve"> PAGEREF _Toc31082 \h </w:instrText>
          </w:r>
          <w:r>
            <w:fldChar w:fldCharType="separate"/>
          </w:r>
          <w:r>
            <w:t>23</w:t>
          </w:r>
          <w:r>
            <w:fldChar w:fldCharType="end"/>
          </w:r>
          <w:r>
            <w:rPr>
              <w:color w:val="auto"/>
              <w:highlight w:val="none"/>
            </w:rPr>
            <w:fldChar w:fldCharType="end"/>
          </w:r>
        </w:p>
        <w:p w14:paraId="60EFA1F8">
          <w:pPr>
            <w:pStyle w:val="28"/>
            <w:tabs>
              <w:tab w:val="right" w:leader="dot" w:pos="10154"/>
            </w:tabs>
          </w:pPr>
          <w:r>
            <w:rPr>
              <w:color w:val="auto"/>
              <w:highlight w:val="none"/>
            </w:rPr>
            <w:fldChar w:fldCharType="begin"/>
          </w:r>
          <w:r>
            <w:rPr>
              <w:highlight w:val="none"/>
            </w:rPr>
            <w:instrText xml:space="preserve"> HYPERLINK \l _Toc26927 </w:instrText>
          </w:r>
          <w:r>
            <w:rPr>
              <w:highlight w:val="none"/>
            </w:rPr>
            <w:fldChar w:fldCharType="separate"/>
          </w:r>
          <w:r>
            <w:rPr>
              <w:rFonts w:hint="eastAsia" w:ascii="宋体" w:hAnsi="宋体" w:eastAsia="宋体" w:cs="宋体"/>
              <w:bCs/>
              <w:i w:val="0"/>
              <w:iCs w:val="0"/>
              <w:kern w:val="44"/>
              <w:szCs w:val="32"/>
              <w:highlight w:val="none"/>
              <w:lang w:val="en-US" w:eastAsia="zh-CN"/>
            </w:rPr>
            <w:t>第三篇</w:t>
          </w:r>
          <w:r>
            <w:rPr>
              <w:rFonts w:hint="eastAsia" w:ascii="宋体" w:hAnsi="宋体" w:eastAsia="宋体" w:cs="宋体"/>
              <w:bCs/>
              <w:i w:val="0"/>
              <w:iCs w:val="0"/>
              <w:kern w:val="44"/>
              <w:szCs w:val="32"/>
              <w:highlight w:val="none"/>
              <w:lang w:val="zh-CN" w:eastAsia="zh-CN"/>
            </w:rPr>
            <w:t xml:space="preserve"> </w:t>
          </w:r>
          <w:r>
            <w:rPr>
              <w:rFonts w:hint="eastAsia" w:ascii="宋体" w:hAnsi="宋体" w:eastAsia="宋体" w:cs="宋体"/>
              <w:bCs/>
              <w:i w:val="0"/>
              <w:iCs w:val="0"/>
              <w:kern w:val="44"/>
              <w:szCs w:val="32"/>
              <w:highlight w:val="none"/>
              <w:lang w:val="zh-CN"/>
            </w:rPr>
            <w:t>用户需求书</w:t>
          </w:r>
          <w:r>
            <w:tab/>
          </w:r>
          <w:r>
            <w:fldChar w:fldCharType="begin"/>
          </w:r>
          <w:r>
            <w:instrText xml:space="preserve"> PAGEREF _Toc26927 \h </w:instrText>
          </w:r>
          <w:r>
            <w:fldChar w:fldCharType="separate"/>
          </w:r>
          <w:r>
            <w:t>24</w:t>
          </w:r>
          <w:r>
            <w:fldChar w:fldCharType="end"/>
          </w:r>
          <w:r>
            <w:rPr>
              <w:color w:val="auto"/>
              <w:highlight w:val="none"/>
            </w:rPr>
            <w:fldChar w:fldCharType="end"/>
          </w:r>
        </w:p>
        <w:p w14:paraId="4860879E">
          <w:pPr>
            <w:pStyle w:val="28"/>
            <w:tabs>
              <w:tab w:val="right" w:leader="dot" w:pos="10154"/>
            </w:tabs>
          </w:pPr>
          <w:r>
            <w:rPr>
              <w:color w:val="auto"/>
              <w:highlight w:val="none"/>
            </w:rPr>
            <w:fldChar w:fldCharType="begin"/>
          </w:r>
          <w:r>
            <w:rPr>
              <w:highlight w:val="none"/>
            </w:rPr>
            <w:instrText xml:space="preserve"> HYPERLINK \l _Toc12163 </w:instrText>
          </w:r>
          <w:r>
            <w:rPr>
              <w:highlight w:val="none"/>
            </w:rPr>
            <w:fldChar w:fldCharType="separate"/>
          </w:r>
          <w:r>
            <w:rPr>
              <w:rFonts w:hint="eastAsia" w:ascii="宋体" w:hAnsi="宋体" w:eastAsia="宋体" w:cs="宋体"/>
              <w:bCs/>
              <w:kern w:val="44"/>
              <w:szCs w:val="32"/>
              <w:highlight w:val="none"/>
              <w:lang w:val="zh-CN"/>
            </w:rPr>
            <w:t>第四篇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合同条款格式</w:t>
          </w:r>
          <w:r>
            <w:tab/>
          </w:r>
          <w:r>
            <w:fldChar w:fldCharType="begin"/>
          </w:r>
          <w:r>
            <w:instrText xml:space="preserve"> PAGEREF _Toc12163 \h </w:instrText>
          </w:r>
          <w:r>
            <w:fldChar w:fldCharType="separate"/>
          </w:r>
          <w:r>
            <w:t>41</w:t>
          </w:r>
          <w:r>
            <w:fldChar w:fldCharType="end"/>
          </w:r>
          <w:r>
            <w:rPr>
              <w:color w:val="auto"/>
              <w:highlight w:val="none"/>
            </w:rPr>
            <w:fldChar w:fldCharType="end"/>
          </w:r>
        </w:p>
        <w:p w14:paraId="582BD51B">
          <w:pPr>
            <w:pStyle w:val="28"/>
            <w:tabs>
              <w:tab w:val="right" w:leader="dot" w:pos="10154"/>
            </w:tabs>
          </w:pPr>
          <w:r>
            <w:rPr>
              <w:color w:val="auto"/>
              <w:highlight w:val="none"/>
            </w:rPr>
            <w:fldChar w:fldCharType="begin"/>
          </w:r>
          <w:r>
            <w:rPr>
              <w:highlight w:val="none"/>
            </w:rPr>
            <w:instrText xml:space="preserve"> HYPERLINK \l _Toc11181 </w:instrText>
          </w:r>
          <w:r>
            <w:rPr>
              <w:highlight w:val="none"/>
            </w:rPr>
            <w:fldChar w:fldCharType="separate"/>
          </w:r>
          <w:r>
            <w:rPr>
              <w:rFonts w:hint="eastAsia" w:ascii="宋体" w:hAnsi="宋体" w:eastAsia="宋体" w:cs="宋体"/>
              <w:bCs/>
              <w:kern w:val="44"/>
              <w:szCs w:val="32"/>
              <w:highlight w:val="none"/>
              <w:lang w:val="zh-CN"/>
            </w:rPr>
            <w:t>第五篇 相关保函格式</w:t>
          </w:r>
          <w:r>
            <w:tab/>
          </w:r>
          <w:r>
            <w:fldChar w:fldCharType="begin"/>
          </w:r>
          <w:r>
            <w:instrText xml:space="preserve"> PAGEREF _Toc11181 \h </w:instrText>
          </w:r>
          <w:r>
            <w:fldChar w:fldCharType="separate"/>
          </w:r>
          <w:r>
            <w:t>56</w:t>
          </w:r>
          <w:r>
            <w:fldChar w:fldCharType="end"/>
          </w:r>
          <w:r>
            <w:rPr>
              <w:color w:val="auto"/>
              <w:highlight w:val="none"/>
            </w:rPr>
            <w:fldChar w:fldCharType="end"/>
          </w:r>
        </w:p>
        <w:p w14:paraId="764735AF">
          <w:pPr>
            <w:pStyle w:val="28"/>
            <w:tabs>
              <w:tab w:val="right" w:leader="dot" w:pos="10154"/>
            </w:tabs>
          </w:pPr>
          <w:r>
            <w:rPr>
              <w:color w:val="auto"/>
              <w:highlight w:val="none"/>
            </w:rPr>
            <w:fldChar w:fldCharType="begin"/>
          </w:r>
          <w:r>
            <w:rPr>
              <w:highlight w:val="none"/>
            </w:rPr>
            <w:instrText xml:space="preserve"> HYPERLINK \l _Toc6460 </w:instrText>
          </w:r>
          <w:r>
            <w:rPr>
              <w:highlight w:val="none"/>
            </w:rPr>
            <w:fldChar w:fldCharType="separate"/>
          </w:r>
          <w:r>
            <w:rPr>
              <w:rFonts w:hint="eastAsia" w:ascii="宋体" w:hAnsi="宋体" w:eastAsia="宋体" w:cs="宋体"/>
              <w:bCs/>
              <w:kern w:val="44"/>
              <w:szCs w:val="32"/>
              <w:highlight w:val="none"/>
              <w:lang w:val="zh-CN"/>
            </w:rPr>
            <w:t>第六篇 投标文件格式</w:t>
          </w:r>
          <w:r>
            <w:tab/>
          </w:r>
          <w:r>
            <w:fldChar w:fldCharType="begin"/>
          </w:r>
          <w:r>
            <w:instrText xml:space="preserve"> PAGEREF _Toc6460 \h </w:instrText>
          </w:r>
          <w:r>
            <w:fldChar w:fldCharType="separate"/>
          </w:r>
          <w:r>
            <w:t>60</w:t>
          </w:r>
          <w:r>
            <w:fldChar w:fldCharType="end"/>
          </w:r>
          <w:r>
            <w:rPr>
              <w:color w:val="auto"/>
              <w:highlight w:val="none"/>
            </w:rPr>
            <w:fldChar w:fldCharType="end"/>
          </w:r>
        </w:p>
        <w:p w14:paraId="63DA80BD">
          <w:pPr>
            <w:pStyle w:val="28"/>
            <w:tabs>
              <w:tab w:val="right" w:leader="dot" w:pos="10154"/>
            </w:tabs>
          </w:pPr>
          <w:r>
            <w:rPr>
              <w:color w:val="auto"/>
              <w:highlight w:val="none"/>
            </w:rPr>
            <w:fldChar w:fldCharType="begin"/>
          </w:r>
          <w:r>
            <w:rPr>
              <w:highlight w:val="none"/>
            </w:rPr>
            <w:instrText xml:space="preserve"> HYPERLINK \l _Toc15906 </w:instrText>
          </w:r>
          <w:r>
            <w:rPr>
              <w:highlight w:val="none"/>
            </w:rPr>
            <w:fldChar w:fldCharType="separate"/>
          </w:r>
          <w:r>
            <w:rPr>
              <w:rFonts w:hint="eastAsia" w:ascii="宋体" w:hAnsi="宋体" w:eastAsia="宋体" w:cs="宋体"/>
              <w:bCs/>
              <w:kern w:val="44"/>
              <w:szCs w:val="32"/>
              <w:highlight w:val="none"/>
              <w:lang w:val="zh-CN"/>
            </w:rPr>
            <w:t>附件一：评标工作大纲</w:t>
          </w:r>
          <w:r>
            <w:tab/>
          </w:r>
          <w:r>
            <w:fldChar w:fldCharType="begin"/>
          </w:r>
          <w:r>
            <w:instrText xml:space="preserve"> PAGEREF _Toc15906 \h </w:instrText>
          </w:r>
          <w:r>
            <w:fldChar w:fldCharType="separate"/>
          </w:r>
          <w:r>
            <w:t>110</w:t>
          </w:r>
          <w:r>
            <w:fldChar w:fldCharType="end"/>
          </w:r>
          <w:r>
            <w:rPr>
              <w:color w:val="auto"/>
              <w:highlight w:val="none"/>
            </w:rPr>
            <w:fldChar w:fldCharType="end"/>
          </w:r>
        </w:p>
        <w:p w14:paraId="06045166">
          <w:pPr>
            <w:pStyle w:val="21"/>
            <w:tabs>
              <w:tab w:val="right" w:leader="dot" w:pos="10154"/>
              <w:tab w:val="clear" w:pos="10144"/>
            </w:tabs>
          </w:pPr>
        </w:p>
        <w:p w14:paraId="4744455C">
          <w:pPr>
            <w:rPr>
              <w:color w:val="auto"/>
              <w:highlight w:val="none"/>
            </w:rPr>
          </w:pPr>
          <w:r>
            <w:rPr>
              <w:color w:val="auto"/>
              <w:highlight w:val="none"/>
            </w:rPr>
            <w:fldChar w:fldCharType="end"/>
          </w:r>
        </w:p>
      </w:sdtContent>
    </w:sdt>
    <w:p w14:paraId="3F6D48B7">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16250"/>
      <w:bookmarkStart w:id="1" w:name="_Toc17429"/>
      <w:bookmarkStart w:id="2" w:name="_Toc27970"/>
      <w:bookmarkStart w:id="3" w:name="_Toc13300"/>
      <w:bookmarkStart w:id="4" w:name="_Toc13525"/>
      <w:r>
        <w:rPr>
          <w:rFonts w:hint="eastAsia" w:ascii="宋体" w:hAnsi="宋体" w:eastAsia="宋体" w:cs="宋体"/>
          <w:b/>
          <w:bCs/>
          <w:color w:val="auto"/>
          <w:kern w:val="44"/>
          <w:sz w:val="32"/>
          <w:szCs w:val="32"/>
          <w:highlight w:val="none"/>
          <w:lang w:val="en-US" w:eastAsia="zh-CN"/>
        </w:rPr>
        <w:t>第一篇 招标公告</w:t>
      </w:r>
      <w:bookmarkEnd w:id="0"/>
      <w:bookmarkEnd w:id="1"/>
      <w:bookmarkEnd w:id="2"/>
      <w:bookmarkEnd w:id="3"/>
      <w:bookmarkEnd w:id="4"/>
    </w:p>
    <w:p w14:paraId="670D0DBD">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78E2DFFB">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val="en-US" w:eastAsia="zh-CN"/>
        </w:rPr>
        <w:t>广东一方项目管理有限公司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szCs w:val="21"/>
          <w:highlight w:val="none"/>
          <w:lang w:val="zh-CN" w:eastAsia="zh-CN"/>
        </w:rPr>
        <w:t>东莞市水务环境投资控股集团供水有限公司</w:t>
      </w:r>
      <w:r>
        <w:rPr>
          <w:rFonts w:ascii="宋体" w:hAnsi="宋体" w:eastAsia="宋体" w:cs="Times New Roman"/>
          <w:color w:val="auto"/>
          <w:szCs w:val="21"/>
          <w:highlight w:val="none"/>
          <w:lang w:val="zh-CN"/>
        </w:rPr>
        <w:t>（以下简称“招标人”）的委托，对</w:t>
      </w:r>
      <w:bookmarkStart w:id="5" w:name="_Hlk41903390"/>
      <w:r>
        <w:rPr>
          <w:rFonts w:hint="eastAsia" w:ascii="宋体" w:hAnsi="宋体" w:eastAsia="宋体" w:cs="Times New Roman"/>
          <w:color w:val="auto"/>
          <w:szCs w:val="21"/>
          <w:highlight w:val="none"/>
          <w:lang w:val="zh-CN" w:eastAsia="zh-CN"/>
        </w:rPr>
        <w:t>东莞市供水计量设施更新项目（2026-2027年计量仪表）</w:t>
      </w:r>
      <w:r>
        <w:rPr>
          <w:rFonts w:hint="eastAsia" w:ascii="宋体" w:hAnsi="宋体" w:eastAsia="宋体" w:cs="Times New Roman"/>
          <w:color w:val="auto"/>
          <w:kern w:val="0"/>
          <w:szCs w:val="21"/>
          <w:highlight w:val="none"/>
          <w:lang w:eastAsia="zh-CN"/>
        </w:rPr>
        <w:t>－超声波水表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招标编号：YFGL-202601011</w:t>
      </w:r>
      <w:r>
        <w:rPr>
          <w:rFonts w:hint="eastAsia" w:ascii="宋体" w:hAnsi="宋体" w:eastAsia="宋体" w:cs="Times New Roman"/>
          <w:color w:val="auto"/>
          <w:szCs w:val="21"/>
          <w:highlight w:val="none"/>
          <w:lang w:val="en-US" w:eastAsia="zh-CN"/>
        </w:rPr>
        <w:t xml:space="preserve"> </w:t>
      </w:r>
      <w:r>
        <w:rPr>
          <w:rFonts w:ascii="宋体" w:hAnsi="宋体" w:eastAsia="宋体" w:cs="Times New Roman"/>
          <w:color w:val="auto"/>
          <w:szCs w:val="21"/>
          <w:highlight w:val="none"/>
          <w:lang w:val="zh-CN"/>
        </w:rPr>
        <w:t>)</w:t>
      </w:r>
      <w:bookmarkEnd w:id="5"/>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854096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1838C2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szCs w:val="21"/>
          <w:highlight w:val="none"/>
          <w:lang w:val="zh-CN" w:eastAsia="zh-CN"/>
        </w:rPr>
        <w:t>东莞市水务环境投资控股集团供水有限公司</w:t>
      </w:r>
      <w:r>
        <w:rPr>
          <w:rFonts w:hint="eastAsia" w:ascii="宋体" w:hAnsi="宋体" w:eastAsia="宋体" w:cs="宋体"/>
          <w:color w:val="auto"/>
          <w:kern w:val="2"/>
          <w:sz w:val="21"/>
          <w:szCs w:val="21"/>
          <w:highlight w:val="none"/>
          <w:lang w:val="zh-CN"/>
        </w:rPr>
        <w:t>现开展</w:t>
      </w:r>
      <w:r>
        <w:rPr>
          <w:rFonts w:hint="eastAsia" w:ascii="宋体" w:hAnsi="宋体" w:eastAsia="宋体" w:cs="Times New Roman"/>
          <w:color w:val="auto"/>
          <w:szCs w:val="21"/>
          <w:highlight w:val="none"/>
          <w:lang w:val="zh-CN" w:eastAsia="zh-CN"/>
        </w:rPr>
        <w:t>东莞市供水计量设施更新项目（2026-2027年计量仪表）</w:t>
      </w:r>
      <w:r>
        <w:rPr>
          <w:rFonts w:hint="eastAsia" w:ascii="宋体" w:hAnsi="宋体" w:eastAsia="宋体" w:cs="Times New Roman"/>
          <w:color w:val="auto"/>
          <w:kern w:val="0"/>
          <w:szCs w:val="21"/>
          <w:highlight w:val="none"/>
          <w:lang w:eastAsia="zh-CN"/>
        </w:rPr>
        <w:t>－超声波水表</w:t>
      </w:r>
      <w:r>
        <w:rPr>
          <w:rFonts w:hint="eastAsia" w:ascii="宋体" w:hAnsi="宋体" w:eastAsia="宋体" w:cs="宋体"/>
          <w:color w:val="auto"/>
          <w:kern w:val="2"/>
          <w:sz w:val="21"/>
          <w:szCs w:val="21"/>
          <w:highlight w:val="none"/>
          <w:lang w:val="en-US" w:eastAsia="zh-CN"/>
        </w:rPr>
        <w:t>，通过公开招标的方式采购DN80-DN300超声波水表一批</w:t>
      </w:r>
      <w:r>
        <w:rPr>
          <w:rFonts w:hint="eastAsia" w:ascii="宋体" w:hAnsi="宋体" w:eastAsia="宋体" w:cs="Times New Roman"/>
          <w:color w:val="auto"/>
          <w:szCs w:val="21"/>
          <w:highlight w:val="none"/>
          <w:lang w:val="zh-CN"/>
        </w:rPr>
        <w:t>（具体内容详见：第三篇用户需求书）</w:t>
      </w:r>
    </w:p>
    <w:p w14:paraId="152FD1B2">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5A2F15BF">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8C579D1">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721A0187">
      <w:pPr>
        <w:pStyle w:val="160"/>
        <w:spacing w:line="360" w:lineRule="auto"/>
        <w:ind w:left="422" w:right="-29" w:rightChars="-14" w:hanging="422" w:hangingChars="200"/>
        <w:jc w:val="both"/>
        <w:rPr>
          <w:rFonts w:hint="default" w:hAnsi="宋体" w:eastAsia="宋体"/>
          <w:b/>
          <w:color w:val="auto"/>
          <w:sz w:val="21"/>
          <w:szCs w:val="21"/>
          <w:highlight w:val="none"/>
          <w:lang w:val="en-US" w:eastAsia="zh-CN"/>
        </w:rPr>
      </w:pPr>
      <w:bookmarkStart w:id="6" w:name="_Toc25819"/>
      <w:r>
        <w:rPr>
          <w:rFonts w:hint="eastAsia" w:hAnsi="宋体" w:eastAsia="宋体"/>
          <w:b/>
          <w:color w:val="auto"/>
          <w:sz w:val="21"/>
          <w:szCs w:val="21"/>
          <w:highlight w:val="none"/>
          <w:lang w:val="en-US" w:eastAsia="zh-CN"/>
        </w:rPr>
        <w:t>2.2 本项目投标人须为所投产品</w:t>
      </w:r>
      <w:r>
        <w:rPr>
          <w:rFonts w:hint="eastAsia" w:ascii="宋体" w:hAnsi="宋体" w:eastAsia="宋体"/>
          <w:b/>
          <w:color w:val="auto"/>
          <w:sz w:val="21"/>
          <w:szCs w:val="21"/>
          <w:highlight w:val="none"/>
          <w:lang w:val="en-US" w:eastAsia="zh-CN"/>
        </w:rPr>
        <w:t>超声波水表</w:t>
      </w:r>
      <w:r>
        <w:rPr>
          <w:rFonts w:hint="eastAsia" w:hAnsi="宋体" w:eastAsia="宋体"/>
          <w:b/>
          <w:color w:val="auto"/>
          <w:sz w:val="21"/>
          <w:szCs w:val="21"/>
          <w:highlight w:val="none"/>
          <w:lang w:val="en-US" w:eastAsia="zh-CN"/>
        </w:rPr>
        <w:t>的制造商，或为所投产品</w:t>
      </w:r>
      <w:r>
        <w:rPr>
          <w:rFonts w:hint="eastAsia" w:ascii="宋体" w:hAnsi="宋体" w:eastAsia="宋体"/>
          <w:b/>
          <w:color w:val="auto"/>
          <w:sz w:val="21"/>
          <w:szCs w:val="21"/>
          <w:highlight w:val="none"/>
          <w:lang w:val="en-US" w:eastAsia="zh-CN"/>
        </w:rPr>
        <w:t>超声波水表</w:t>
      </w:r>
      <w:r>
        <w:rPr>
          <w:rFonts w:hint="eastAsia" w:hAnsi="宋体" w:eastAsia="宋体"/>
          <w:b/>
          <w:color w:val="auto"/>
          <w:sz w:val="21"/>
          <w:szCs w:val="21"/>
          <w:highlight w:val="none"/>
          <w:lang w:val="en-US" w:eastAsia="zh-CN"/>
        </w:rPr>
        <w:t>的制造商就本次投标独家授权的经销商；</w:t>
      </w:r>
    </w:p>
    <w:p w14:paraId="7A99F430">
      <w:pPr>
        <w:pStyle w:val="160"/>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ascii="宋体" w:hAnsi="宋体" w:eastAsia="宋体"/>
          <w:b/>
          <w:color w:val="auto"/>
          <w:sz w:val="21"/>
          <w:szCs w:val="21"/>
          <w:highlight w:val="none"/>
          <w:lang w:val="en-US" w:eastAsia="zh-CN"/>
        </w:rPr>
        <w:t>超声波水表</w:t>
      </w:r>
      <w:r>
        <w:rPr>
          <w:rFonts w:hint="eastAsia" w:hAnsi="宋体" w:eastAsia="宋体"/>
          <w:b/>
          <w:color w:val="auto"/>
          <w:sz w:val="21"/>
          <w:szCs w:val="21"/>
          <w:highlight w:val="none"/>
          <w:lang w:val="en-US" w:eastAsia="zh-CN"/>
        </w:rPr>
        <w:t>在国内的销售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70A20700">
      <w:pPr>
        <w:pStyle w:val="160"/>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6"/>
    </w:p>
    <w:p w14:paraId="7163AA3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9423B8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9EFFF2F">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25A8887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EE418E9">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bookmarkStart w:id="1177" w:name="_GoBack"/>
      <w:bookmarkEnd w:id="1177"/>
    </w:p>
    <w:p w14:paraId="42939A6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34EBA2EE">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3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4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72134B5">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3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4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18C21AC">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 xml:space="preserve"> 广东省东莞市南城街道隐山路28号（中邦智谷产业园）C栋502开标室</w:t>
      </w:r>
      <w:r>
        <w:rPr>
          <w:rFonts w:hint="eastAsia" w:ascii="宋体" w:hAnsi="宋体" w:eastAsia="宋体" w:cs="Times New Roman"/>
          <w:color w:val="auto"/>
          <w:kern w:val="0"/>
          <w:szCs w:val="21"/>
          <w:highlight w:val="none"/>
        </w:rPr>
        <w:t>。</w:t>
      </w:r>
    </w:p>
    <w:p w14:paraId="3A3E8264">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15EED35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7DA4EB3">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D084A09">
      <w:pPr>
        <w:keepNext w:val="0"/>
        <w:keepLines w:val="0"/>
        <w:pageBreakBefore w:val="0"/>
        <w:widowControl w:val="0"/>
        <w:numPr>
          <w:ilvl w:val="0"/>
          <w:numId w:val="1"/>
        </w:numPr>
        <w:kinsoku w:val="0"/>
        <w:wordWrap w:val="0"/>
        <w:overflowPunct/>
        <w:topLinePunct w:val="0"/>
        <w:autoSpaceDE w:val="0"/>
        <w:autoSpaceDN w:val="0"/>
        <w:bidi w:val="0"/>
        <w:adjustRightInd w:val="0"/>
        <w:snapToGrid w:val="0"/>
        <w:spacing w:line="360" w:lineRule="auto"/>
        <w:ind w:left="363" w:right="-34" w:hanging="363"/>
        <w:jc w:val="left"/>
        <w:textAlignment w:val="auto"/>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w:t>
      </w:r>
      <w:r>
        <w:rPr>
          <w:rFonts w:hint="eastAsia" w:ascii="宋体" w:hAnsi="宋体" w:eastAsia="宋体" w:cs="Times New Roman"/>
          <w:bCs/>
          <w:color w:val="000000" w:themeColor="text1"/>
          <w:szCs w:val="21"/>
          <w:highlight w:val="none"/>
          <w:lang w:eastAsia="zh-CN"/>
          <w14:textFill>
            <w14:solidFill>
              <w14:schemeClr w14:val="tx1"/>
            </w14:solidFill>
          </w14:textFill>
        </w:rPr>
        <w:t>、</w:t>
      </w:r>
      <w:r>
        <w:rPr>
          <w:rFonts w:hint="eastAsia" w:ascii="宋体" w:hAnsi="宋体" w:eastAsia="宋体" w:cs="Times New Roman"/>
          <w:bCs/>
          <w:color w:val="000000" w:themeColor="text1"/>
          <w:szCs w:val="21"/>
          <w:highlight w:val="none"/>
          <w14:textFill>
            <w14:solidFill>
              <w14:schemeClr w14:val="tx1"/>
            </w14:solidFill>
          </w14:textFill>
        </w:rPr>
        <w:t>中国招标投标公共服务平台（www.cebpubservice.com）、东莞市水务环境投资控股集团有限公司网（www.dgweg.cn）、广东一方项目管理有限公司网站（http：//www.yifanggl.com</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auto"/>
          <w:szCs w:val="21"/>
          <w:highlight w:val="none"/>
          <w:lang w:val="zh-CN"/>
        </w:rPr>
        <w:t>。</w:t>
      </w:r>
    </w:p>
    <w:p w14:paraId="38B4F385">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2BFC378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D2C582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东莞市水务环境投资控股集团供水有限公司</w:t>
      </w:r>
    </w:p>
    <w:p w14:paraId="5EC2B86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732AD785">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：陈晃华</w:t>
      </w:r>
    </w:p>
    <w:p w14:paraId="52EE739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000000" w:themeColor="text1"/>
          <w:kern w:val="0"/>
          <w:szCs w:val="21"/>
          <w:highlight w:val="none"/>
          <w14:textFill>
            <w14:solidFill>
              <w14:schemeClr w14:val="tx1"/>
            </w14:solidFill>
          </w14:textFill>
        </w:rPr>
        <w:t>0769-27289735</w:t>
      </w:r>
    </w:p>
    <w:p w14:paraId="48B6B026">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B0DD8D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1A64F09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7" w:name="_Toc31764_WPSOffice_Level1"/>
      <w:bookmarkStart w:id="8" w:name="_Toc450662847"/>
      <w:bookmarkStart w:id="9"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rPr>
        <w:t>广东一方项目管理有限公司</w:t>
      </w:r>
      <w:r>
        <w:rPr>
          <w:rFonts w:hint="eastAsia" w:ascii="宋体" w:hAnsi="宋体" w:eastAsia="宋体" w:cs="Times New Roman"/>
          <w:color w:val="auto"/>
          <w:kern w:val="0"/>
          <w:szCs w:val="21"/>
          <w:highlight w:val="none"/>
          <w:lang w:val="en-US" w:eastAsia="zh-CN"/>
        </w:rPr>
        <w:t xml:space="preserve"> </w:t>
      </w:r>
    </w:p>
    <w:p w14:paraId="091603D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东莞市南城街道隐山路28号（中邦智谷产业园）C栋502室</w:t>
      </w:r>
      <w:r>
        <w:rPr>
          <w:rFonts w:hint="eastAsia" w:ascii="宋体" w:hAnsi="宋体" w:eastAsia="宋体" w:cs="Times New Roman"/>
          <w:color w:val="auto"/>
          <w:kern w:val="0"/>
          <w:szCs w:val="21"/>
          <w:highlight w:val="none"/>
          <w:lang w:val="en-US" w:eastAsia="zh-CN"/>
        </w:rPr>
        <w:t xml:space="preserve"> </w:t>
      </w:r>
    </w:p>
    <w:p w14:paraId="441B7CC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张子琪 </w:t>
      </w:r>
    </w:p>
    <w:p w14:paraId="6107D90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0769-23222219</w:t>
      </w:r>
      <w:r>
        <w:rPr>
          <w:rFonts w:hint="eastAsia" w:ascii="宋体" w:hAnsi="宋体" w:eastAsia="宋体" w:cs="Times New Roman"/>
          <w:color w:val="auto"/>
          <w:kern w:val="0"/>
          <w:szCs w:val="21"/>
          <w:highlight w:val="none"/>
          <w:lang w:val="en-US" w:eastAsia="zh-CN"/>
        </w:rPr>
        <w:t xml:space="preserve"> </w:t>
      </w:r>
    </w:p>
    <w:p w14:paraId="359E2EB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0" w:name="_Toc142508311"/>
      <w:bookmarkStart w:id="11" w:name="_Toc1454"/>
      <w:bookmarkStart w:id="12" w:name="_Toc806"/>
      <w:bookmarkStart w:id="13" w:name="_Toc24735"/>
      <w:bookmarkStart w:id="14" w:name="_Toc12475"/>
      <w:bookmarkStart w:id="15" w:name="_Toc21844"/>
      <w:bookmarkStart w:id="16" w:name="_Toc12215"/>
      <w:bookmarkStart w:id="17" w:name="_Toc15250"/>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7"/>
      <w:bookmarkEnd w:id="8"/>
      <w:bookmarkEnd w:id="9"/>
      <w:bookmarkEnd w:id="10"/>
      <w:bookmarkEnd w:id="11"/>
      <w:bookmarkEnd w:id="12"/>
      <w:bookmarkEnd w:id="13"/>
      <w:bookmarkEnd w:id="14"/>
      <w:bookmarkEnd w:id="15"/>
      <w:bookmarkEnd w:id="16"/>
      <w:bookmarkEnd w:id="17"/>
    </w:p>
    <w:p w14:paraId="7CA165C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 w:name="_Toc15366_WPSOffice_Level2"/>
      <w:bookmarkStart w:id="19" w:name="_Toc30360"/>
      <w:bookmarkStart w:id="20" w:name="_Toc486167662"/>
      <w:bookmarkStart w:id="21" w:name="_Toc16098"/>
      <w:bookmarkStart w:id="22" w:name="_Toc140596871"/>
      <w:bookmarkStart w:id="23" w:name="_Toc22004"/>
      <w:bookmarkStart w:id="24" w:name="_Toc22609"/>
      <w:bookmarkStart w:id="25" w:name="_Toc27327"/>
      <w:bookmarkStart w:id="26" w:name="_Toc5729"/>
      <w:bookmarkStart w:id="27" w:name="_Toc764"/>
      <w:bookmarkStart w:id="28" w:name="_Toc450662848"/>
      <w:bookmarkStart w:id="29" w:name="_Toc142508312"/>
      <w:r>
        <w:rPr>
          <w:rFonts w:hint="eastAsia" w:ascii="宋体" w:hAnsi="宋体" w:eastAsia="宋体" w:cs="宋体"/>
          <w:b/>
          <w:bCs/>
          <w:color w:val="auto"/>
          <w:kern w:val="44"/>
          <w:szCs w:val="21"/>
          <w:highlight w:val="none"/>
          <w:lang w:val="zh-CN"/>
        </w:rPr>
        <w:t>一、总则</w:t>
      </w:r>
      <w:bookmarkEnd w:id="18"/>
      <w:bookmarkEnd w:id="19"/>
      <w:bookmarkEnd w:id="20"/>
      <w:bookmarkEnd w:id="21"/>
      <w:bookmarkEnd w:id="22"/>
      <w:bookmarkEnd w:id="23"/>
      <w:bookmarkEnd w:id="24"/>
      <w:bookmarkEnd w:id="25"/>
      <w:bookmarkEnd w:id="26"/>
      <w:bookmarkEnd w:id="27"/>
      <w:bookmarkEnd w:id="28"/>
      <w:bookmarkEnd w:id="29"/>
    </w:p>
    <w:p w14:paraId="28CDD83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 w:name="_Toc12026"/>
      <w:bookmarkStart w:id="31" w:name="_Toc21710_WPSOffice_Level3"/>
      <w:bookmarkStart w:id="32" w:name="_Toc16700"/>
      <w:bookmarkStart w:id="33" w:name="_Toc450662849"/>
      <w:bookmarkStart w:id="34" w:name="_Toc21871"/>
      <w:bookmarkStart w:id="35" w:name="_Toc28853"/>
      <w:bookmarkStart w:id="36" w:name="_Toc3375"/>
      <w:bookmarkStart w:id="37" w:name="_Toc22130"/>
      <w:bookmarkStart w:id="38" w:name="_Toc142508313"/>
      <w:bookmarkStart w:id="39" w:name="_Toc17820"/>
      <w:bookmarkStart w:id="40"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0"/>
      <w:bookmarkEnd w:id="31"/>
      <w:bookmarkEnd w:id="32"/>
      <w:bookmarkEnd w:id="33"/>
      <w:bookmarkEnd w:id="34"/>
      <w:bookmarkEnd w:id="35"/>
      <w:bookmarkEnd w:id="36"/>
      <w:bookmarkEnd w:id="37"/>
      <w:bookmarkEnd w:id="38"/>
      <w:bookmarkEnd w:id="39"/>
      <w:bookmarkEnd w:id="40"/>
    </w:p>
    <w:p w14:paraId="3607B600">
      <w:pPr>
        <w:autoSpaceDE w:val="0"/>
        <w:autoSpaceDN w:val="0"/>
        <w:adjustRightInd w:val="0"/>
        <w:jc w:val="left"/>
        <w:rPr>
          <w:rFonts w:ascii="宋体" w:hAnsi="宋体" w:eastAsia="宋体" w:cs="宋体"/>
          <w:color w:val="auto"/>
          <w:kern w:val="0"/>
          <w:sz w:val="24"/>
          <w:szCs w:val="24"/>
          <w:highlight w:val="none"/>
        </w:rPr>
      </w:pPr>
    </w:p>
    <w:p w14:paraId="7704132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1" w:name="_Toc5550"/>
      <w:bookmarkStart w:id="42" w:name="_Toc486167664"/>
      <w:bookmarkStart w:id="43" w:name="_Toc142508314"/>
      <w:bookmarkStart w:id="44" w:name="_Toc15180"/>
      <w:bookmarkStart w:id="45" w:name="_Toc27011"/>
      <w:bookmarkStart w:id="46" w:name="_Toc80_WPSOffice_Level3"/>
      <w:bookmarkStart w:id="47" w:name="_Toc450662850"/>
      <w:bookmarkStart w:id="48" w:name="_Toc29941"/>
      <w:bookmarkStart w:id="49" w:name="_Toc15988"/>
      <w:bookmarkStart w:id="50" w:name="_Toc5917"/>
      <w:bookmarkStart w:id="51" w:name="_Toc25447"/>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1"/>
      <w:bookmarkEnd w:id="42"/>
      <w:bookmarkEnd w:id="43"/>
      <w:bookmarkEnd w:id="44"/>
      <w:bookmarkEnd w:id="45"/>
      <w:bookmarkEnd w:id="46"/>
      <w:bookmarkEnd w:id="47"/>
      <w:bookmarkEnd w:id="48"/>
      <w:bookmarkEnd w:id="49"/>
      <w:bookmarkEnd w:id="50"/>
      <w:bookmarkEnd w:id="51"/>
    </w:p>
    <w:p w14:paraId="53A665E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17F786F4">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06D3E6D0">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1AB5375D">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63397F7D">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3348CA9">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D83CFE6">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52" w:name="_Toc4257"/>
      <w:bookmarkStart w:id="53" w:name="_Toc8856"/>
      <w:bookmarkStart w:id="54" w:name="_Toc13320"/>
      <w:bookmarkStart w:id="55" w:name="_Toc4912"/>
      <w:bookmarkStart w:id="56" w:name="_Toc32059"/>
      <w:bookmarkStart w:id="57" w:name="_Toc142508315"/>
      <w:bookmarkStart w:id="58" w:name="_Toc8199"/>
      <w:bookmarkStart w:id="59" w:name="_Toc16312"/>
      <w:bookmarkStart w:id="60" w:name="_Toc23847_WPSOffice_Level3"/>
      <w:bookmarkStart w:id="61" w:name="_Toc486167665"/>
      <w:bookmarkStart w:id="62"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52"/>
      <w:bookmarkEnd w:id="53"/>
      <w:bookmarkEnd w:id="54"/>
      <w:bookmarkEnd w:id="55"/>
      <w:bookmarkEnd w:id="56"/>
      <w:bookmarkEnd w:id="57"/>
      <w:bookmarkEnd w:id="58"/>
      <w:bookmarkEnd w:id="59"/>
      <w:bookmarkEnd w:id="60"/>
    </w:p>
    <w:p w14:paraId="74E1CBB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38EB531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1977663"/>
      <w:bookmarkStart w:id="64"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63"/>
    <w:bookmarkEnd w:id="64"/>
    <w:p w14:paraId="272677B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5" w:name="_Toc1977664"/>
      <w:bookmarkStart w:id="66" w:name="_Toc533708064"/>
      <w:r>
        <w:rPr>
          <w:rFonts w:hint="eastAsia" w:ascii="宋体" w:hAnsi="宋体" w:eastAsia="宋体" w:cs="宋体"/>
          <w:color w:val="auto"/>
          <w:szCs w:val="21"/>
          <w:highlight w:val="none"/>
          <w:lang w:val="zh-CN"/>
        </w:rPr>
        <w:t xml:space="preserve">3.3  </w:t>
      </w:r>
      <w:bookmarkEnd w:id="65"/>
      <w:bookmarkEnd w:id="66"/>
      <w:bookmarkStart w:id="67" w:name="_Toc1977665"/>
      <w:bookmarkStart w:id="68"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67"/>
      <w:bookmarkEnd w:id="68"/>
    </w:p>
    <w:p w14:paraId="77D274FF">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69" w:name="_Toc1977666"/>
      <w:bookmarkStart w:id="70"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w:t>
      </w:r>
      <w:r>
        <w:rPr>
          <w:rFonts w:hint="eastAsia" w:ascii="宋体" w:hAnsi="宋体" w:eastAsia="宋体" w:cs="Times New Roman"/>
          <w:color w:val="auto"/>
          <w:kern w:val="0"/>
          <w:szCs w:val="21"/>
          <w:highlight w:val="none"/>
          <w:lang w:eastAsia="zh-CN"/>
        </w:rPr>
        <w:t>须</w:t>
      </w:r>
      <w:r>
        <w:rPr>
          <w:rFonts w:hint="eastAsia" w:ascii="宋体" w:hAnsi="宋体" w:eastAsia="宋体" w:cs="Times New Roman"/>
          <w:color w:val="auto"/>
          <w:kern w:val="0"/>
          <w:szCs w:val="21"/>
          <w:highlight w:val="none"/>
          <w:lang w:val="en-US" w:eastAsia="zh-CN"/>
        </w:rPr>
        <w:t>是</w:t>
      </w:r>
      <w:r>
        <w:rPr>
          <w:rFonts w:hint="eastAsia" w:ascii="宋体" w:hAnsi="宋体" w:eastAsia="宋体" w:cs="Times New Roman"/>
          <w:color w:val="auto"/>
          <w:kern w:val="0"/>
          <w:szCs w:val="21"/>
          <w:highlight w:val="none"/>
        </w:rPr>
        <w:t>具有合法的进口手续和途径，并通过了中华人民共和国商检部门的检验。中标人负责办理所有货物的进口及商检手续，并承担相关费用，还应提供原产地证书、报关资料及检验检疫证明、完税证明。</w:t>
      </w:r>
    </w:p>
    <w:bookmarkEnd w:id="69"/>
    <w:bookmarkEnd w:id="70"/>
    <w:p w14:paraId="59023DA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1" w:name="_Toc533708067"/>
      <w:bookmarkStart w:id="72"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w:t>
      </w:r>
      <w:r>
        <w:rPr>
          <w:rFonts w:hint="eastAsia" w:ascii="宋体" w:hAnsi="宋体" w:eastAsia="宋体" w:cs="Times New Roman"/>
          <w:color w:val="auto"/>
          <w:kern w:val="0"/>
          <w:szCs w:val="21"/>
          <w:highlight w:val="none"/>
          <w:lang w:val="en-US" w:eastAsia="zh-CN"/>
        </w:rPr>
        <w:t>其它</w:t>
      </w:r>
      <w:r>
        <w:rPr>
          <w:rFonts w:hint="eastAsia" w:ascii="宋体" w:hAnsi="宋体" w:eastAsia="宋体" w:cs="Times New Roman"/>
          <w:color w:val="auto"/>
          <w:kern w:val="0"/>
          <w:szCs w:val="21"/>
          <w:highlight w:val="none"/>
        </w:rPr>
        <w:t>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1"/>
      <w:bookmarkEnd w:id="72"/>
    </w:p>
    <w:p w14:paraId="7EAF342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3" w:name="_Toc1977668"/>
      <w:bookmarkStart w:id="74"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73"/>
      <w:bookmarkEnd w:id="74"/>
    </w:p>
    <w:p w14:paraId="50BC7CC8">
      <w:pPr>
        <w:autoSpaceDE w:val="0"/>
        <w:autoSpaceDN w:val="0"/>
        <w:adjustRightInd w:val="0"/>
        <w:spacing w:line="360" w:lineRule="auto"/>
        <w:jc w:val="left"/>
        <w:rPr>
          <w:rFonts w:ascii="宋体" w:hAnsi="宋体" w:eastAsia="宋体" w:cs="宋体"/>
          <w:color w:val="auto"/>
          <w:szCs w:val="21"/>
          <w:highlight w:val="none"/>
          <w:lang w:val="zh-CN"/>
        </w:rPr>
      </w:pPr>
    </w:p>
    <w:p w14:paraId="6517CEA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5" w:name="_Toc15238"/>
      <w:bookmarkStart w:id="76" w:name="_Toc5533"/>
      <w:bookmarkStart w:id="77" w:name="_Toc23489"/>
      <w:bookmarkStart w:id="78" w:name="_Toc6106"/>
      <w:bookmarkStart w:id="79" w:name="_Toc12140"/>
      <w:bookmarkStart w:id="80" w:name="_Toc9658_WPSOffice_Level3"/>
      <w:bookmarkStart w:id="81" w:name="_Toc20936"/>
      <w:bookmarkStart w:id="82" w:name="_Toc23394"/>
      <w:bookmarkStart w:id="83"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w:t>
      </w:r>
      <w:r>
        <w:rPr>
          <w:rFonts w:hint="eastAsia" w:ascii="宋体" w:hAnsi="宋体" w:eastAsia="宋体" w:cs="宋体"/>
          <w:color w:val="auto"/>
          <w:szCs w:val="21"/>
          <w:highlight w:val="none"/>
          <w:lang w:val="en-US" w:eastAsia="zh-CN"/>
        </w:rPr>
        <w:t>它</w:t>
      </w:r>
      <w:r>
        <w:rPr>
          <w:rFonts w:hint="eastAsia" w:ascii="宋体" w:hAnsi="宋体" w:eastAsia="宋体" w:cs="宋体"/>
          <w:color w:val="auto"/>
          <w:szCs w:val="21"/>
          <w:highlight w:val="none"/>
          <w:lang w:val="zh-CN"/>
        </w:rPr>
        <w:t>说明</w:t>
      </w:r>
      <w:bookmarkEnd w:id="75"/>
      <w:bookmarkEnd w:id="76"/>
      <w:bookmarkEnd w:id="77"/>
      <w:bookmarkEnd w:id="78"/>
      <w:bookmarkEnd w:id="79"/>
      <w:bookmarkEnd w:id="80"/>
      <w:bookmarkEnd w:id="81"/>
      <w:bookmarkEnd w:id="82"/>
      <w:bookmarkEnd w:id="83"/>
    </w:p>
    <w:p w14:paraId="1B8ACE3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4" w:name="_Toc1977670"/>
      <w:bookmarkStart w:id="85" w:name="_Toc533708070"/>
      <w:r>
        <w:rPr>
          <w:rFonts w:hint="eastAsia" w:ascii="宋体" w:hAnsi="宋体" w:eastAsia="宋体" w:cs="宋体"/>
          <w:color w:val="auto"/>
          <w:szCs w:val="21"/>
          <w:highlight w:val="none"/>
          <w:lang w:val="zh-CN"/>
        </w:rPr>
        <w:t>4.1  投标费用</w:t>
      </w:r>
      <w:bookmarkEnd w:id="84"/>
      <w:bookmarkEnd w:id="85"/>
    </w:p>
    <w:p w14:paraId="7AA3F355">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86" w:name="_Toc533708072"/>
      <w:bookmarkStart w:id="87"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6"/>
      <w:bookmarkEnd w:id="87"/>
    </w:p>
    <w:p w14:paraId="08D4370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8" w:name="_Toc1977673"/>
      <w:bookmarkStart w:id="89" w:name="_Toc533708073"/>
      <w:r>
        <w:rPr>
          <w:rFonts w:hint="eastAsia" w:ascii="宋体" w:hAnsi="宋体" w:eastAsia="宋体" w:cs="宋体"/>
          <w:color w:val="auto"/>
          <w:szCs w:val="21"/>
          <w:highlight w:val="none"/>
          <w:lang w:val="zh-CN"/>
        </w:rPr>
        <w:t>4.2  踏勘现场</w:t>
      </w:r>
      <w:bookmarkEnd w:id="88"/>
      <w:bookmarkEnd w:id="89"/>
    </w:p>
    <w:p w14:paraId="30CC1122">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90" w:name="_Toc1977676"/>
      <w:bookmarkStart w:id="91"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65D81AB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18D39E4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63CB05C">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4A4E6B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1"/>
      <w:bookmarkEnd w:id="62"/>
      <w:bookmarkEnd w:id="90"/>
      <w:bookmarkEnd w:id="91"/>
    </w:p>
    <w:p w14:paraId="0FCCD1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F2266C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3652B3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29B9CAA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83E97D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EF0F5E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716994AB">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7BAA319">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2" w:name="_Toc30507_WPSOffice_Level2"/>
      <w:bookmarkStart w:id="93" w:name="_Toc6222"/>
      <w:bookmarkStart w:id="94" w:name="_Toc28562"/>
      <w:bookmarkStart w:id="95" w:name="_Toc140596876"/>
      <w:bookmarkStart w:id="96" w:name="_Toc24477"/>
      <w:bookmarkStart w:id="97" w:name="_Toc9339"/>
      <w:bookmarkStart w:id="98" w:name="_Toc486167667"/>
      <w:bookmarkStart w:id="99" w:name="_Toc142508317"/>
      <w:bookmarkStart w:id="100" w:name="_Toc15526"/>
      <w:bookmarkStart w:id="101" w:name="_Toc1482"/>
      <w:bookmarkStart w:id="102" w:name="_Toc450662853"/>
      <w:bookmarkStart w:id="103" w:name="_Toc22121"/>
      <w:r>
        <w:rPr>
          <w:rFonts w:hint="eastAsia" w:ascii="宋体" w:hAnsi="宋体" w:eastAsia="宋体" w:cs="宋体"/>
          <w:b/>
          <w:bCs/>
          <w:color w:val="auto"/>
          <w:kern w:val="44"/>
          <w:szCs w:val="21"/>
          <w:highlight w:val="none"/>
          <w:lang w:val="zh-CN"/>
        </w:rPr>
        <w:t>二、招标文件</w:t>
      </w:r>
      <w:bookmarkEnd w:id="92"/>
      <w:bookmarkEnd w:id="93"/>
      <w:bookmarkEnd w:id="94"/>
      <w:bookmarkEnd w:id="95"/>
      <w:bookmarkEnd w:id="96"/>
      <w:bookmarkEnd w:id="97"/>
      <w:bookmarkEnd w:id="98"/>
      <w:bookmarkEnd w:id="99"/>
      <w:bookmarkEnd w:id="100"/>
      <w:bookmarkEnd w:id="101"/>
      <w:bookmarkEnd w:id="102"/>
      <w:bookmarkEnd w:id="103"/>
    </w:p>
    <w:p w14:paraId="282E69C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4" w:name="_Toc3887"/>
      <w:bookmarkStart w:id="105" w:name="_Toc2359"/>
      <w:bookmarkStart w:id="106" w:name="_Toc486167668"/>
      <w:bookmarkStart w:id="107" w:name="_Toc142508318"/>
      <w:bookmarkStart w:id="108" w:name="_Toc17229"/>
      <w:bookmarkStart w:id="109" w:name="_Toc26635_WPSOffice_Level3"/>
      <w:bookmarkStart w:id="110" w:name="_Toc17320"/>
      <w:bookmarkStart w:id="111" w:name="_Toc450662854"/>
      <w:bookmarkStart w:id="112" w:name="_Toc28179"/>
      <w:bookmarkStart w:id="113" w:name="_Toc20078"/>
      <w:bookmarkStart w:id="114" w:name="_Toc3196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4"/>
      <w:bookmarkEnd w:id="105"/>
      <w:bookmarkEnd w:id="106"/>
      <w:bookmarkEnd w:id="107"/>
      <w:bookmarkEnd w:id="108"/>
      <w:bookmarkEnd w:id="109"/>
      <w:bookmarkEnd w:id="110"/>
      <w:bookmarkEnd w:id="111"/>
      <w:bookmarkEnd w:id="112"/>
      <w:bookmarkEnd w:id="113"/>
      <w:bookmarkEnd w:id="114"/>
    </w:p>
    <w:p w14:paraId="4E33811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2D2B2B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70ACB2C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C6AD6A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521BEA84">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lang w:val="en-US" w:eastAsia="zh-CN"/>
        </w:rPr>
        <w:t>格式</w:t>
      </w:r>
    </w:p>
    <w:p w14:paraId="507F296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749CE07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48A753D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62BAAD3">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5DDCBBD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A96800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宋体"/>
          <w:color w:val="auto"/>
          <w:kern w:val="0"/>
          <w:szCs w:val="21"/>
          <w:highlight w:val="none"/>
        </w:rPr>
        <w:t>指</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Times New Roman"/>
          <w:color w:val="auto"/>
          <w:kern w:val="0"/>
          <w:szCs w:val="21"/>
          <w:highlight w:val="none"/>
        </w:rPr>
        <w:t>；</w:t>
      </w:r>
    </w:p>
    <w:p w14:paraId="4F3BC7E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val="en-US" w:eastAsia="zh-CN"/>
        </w:rPr>
        <w:t>指</w:t>
      </w:r>
      <w:r>
        <w:rPr>
          <w:rFonts w:hint="eastAsia" w:ascii="宋体" w:hAnsi="宋体" w:eastAsia="宋体" w:cs="Times New Roman"/>
          <w:color w:val="auto"/>
          <w:kern w:val="0"/>
          <w:szCs w:val="21"/>
          <w:highlight w:val="none"/>
          <w:u w:val="single"/>
          <w:lang w:val="en-US" w:eastAsia="zh-CN"/>
        </w:rPr>
        <w:t xml:space="preserve"> 广东一方项目管理有限公司 </w:t>
      </w:r>
      <w:r>
        <w:rPr>
          <w:rFonts w:hint="eastAsia" w:ascii="宋体" w:hAnsi="宋体" w:eastAsia="宋体" w:cs="Times New Roman"/>
          <w:color w:val="auto"/>
          <w:kern w:val="0"/>
          <w:szCs w:val="21"/>
          <w:highlight w:val="none"/>
        </w:rPr>
        <w:t>；</w:t>
      </w:r>
    </w:p>
    <w:p w14:paraId="2CFE82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宋体"/>
          <w:color w:val="auto"/>
          <w:kern w:val="2"/>
          <w:sz w:val="21"/>
          <w:szCs w:val="21"/>
          <w:highlight w:val="none"/>
          <w:lang w:val="en-US" w:eastAsia="zh-CN"/>
        </w:rPr>
        <w:t>东莞市供水计量设施更新项目（2026-2027年计量仪表）</w:t>
      </w:r>
      <w:r>
        <w:rPr>
          <w:rFonts w:hint="eastAsia" w:ascii="宋体" w:hAnsi="宋体" w:eastAsia="宋体" w:cs="Times New Roman"/>
          <w:color w:val="auto"/>
          <w:kern w:val="0"/>
          <w:szCs w:val="21"/>
          <w:highlight w:val="none"/>
          <w:lang w:eastAsia="zh-CN"/>
        </w:rPr>
        <w:t>－超声波水表</w:t>
      </w:r>
      <w:r>
        <w:rPr>
          <w:rFonts w:hint="eastAsia" w:ascii="宋体" w:hAnsi="宋体" w:eastAsia="宋体" w:cs="Times New Roman"/>
          <w:color w:val="auto"/>
          <w:kern w:val="0"/>
          <w:szCs w:val="21"/>
          <w:highlight w:val="none"/>
        </w:rPr>
        <w:t>所需的货物及有关服务的投标，并向招标代理机构提交投标文件的当事人；</w:t>
      </w:r>
    </w:p>
    <w:p w14:paraId="7F5BE2E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3930D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1EC5257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宋体"/>
          <w:color w:val="auto"/>
          <w:kern w:val="0"/>
          <w:szCs w:val="21"/>
          <w:highlight w:val="none"/>
        </w:rPr>
        <w:t>东莞市水务环境投资控股集团供水有限公司</w:t>
      </w:r>
      <w:r>
        <w:rPr>
          <w:rFonts w:hint="eastAsia" w:ascii="宋体" w:hAnsi="宋体" w:eastAsia="宋体" w:cs="Times New Roman"/>
          <w:color w:val="auto"/>
          <w:kern w:val="0"/>
          <w:szCs w:val="21"/>
          <w:highlight w:val="none"/>
        </w:rPr>
        <w:t>；</w:t>
      </w:r>
    </w:p>
    <w:p w14:paraId="53AD805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67725B1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由</w:t>
      </w:r>
      <w:r>
        <w:rPr>
          <w:rFonts w:hint="eastAsia" w:ascii="宋体" w:hAnsi="宋体" w:eastAsia="宋体" w:cs="Times New Roman"/>
          <w:color w:val="auto"/>
          <w:kern w:val="0"/>
          <w:szCs w:val="21"/>
          <w:highlight w:val="none"/>
        </w:rPr>
        <w:t>招标公告和招标文件及其补充、变更和澄清等一系列文件；</w:t>
      </w:r>
    </w:p>
    <w:p w14:paraId="1173BD6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1CFACC4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358571E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78ECC81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35516D3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6D1CF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w:t>
      </w:r>
      <w:r>
        <w:rPr>
          <w:rFonts w:hint="eastAsia" w:ascii="宋体" w:hAnsi="宋体" w:eastAsia="宋体" w:cs="Times New Roman"/>
          <w:color w:val="auto"/>
          <w:kern w:val="2"/>
          <w:sz w:val="21"/>
          <w:szCs w:val="21"/>
          <w:highlight w:val="none"/>
          <w:lang w:val="en-US" w:eastAsia="zh-CN" w:bidi="ar-SA"/>
        </w:rPr>
        <w:t>《中华人民共和国增值税法》及其实施条例</w:t>
      </w:r>
      <w:r>
        <w:rPr>
          <w:rFonts w:hint="eastAsia" w:ascii="宋体" w:hAnsi="宋体" w:eastAsia="宋体" w:cs="宋体"/>
          <w:color w:val="auto"/>
          <w:kern w:val="0"/>
          <w:szCs w:val="21"/>
          <w:highlight w:val="none"/>
        </w:rPr>
        <w:t>规定</w:t>
      </w:r>
      <w:r>
        <w:rPr>
          <w:rFonts w:hint="eastAsia" w:ascii="宋体" w:hAnsi="宋体" w:eastAsia="宋体" w:cs="Times New Roman"/>
          <w:color w:val="auto"/>
          <w:kern w:val="0"/>
          <w:szCs w:val="21"/>
          <w:highlight w:val="none"/>
        </w:rPr>
        <w:t>的销售额。本招标文件所称的不含税价和不含税合同价是指不含本采购项目投标人的销项税额，包含了投标人完成合同义务（含投标人代缴代扣、分包及委外服务、采购货物等所产生的价税）的其他全部费用。本采购项目投标人的销项税额由</w:t>
      </w:r>
      <w:r>
        <w:rPr>
          <w:rFonts w:hint="eastAsia" w:ascii="宋体" w:hAnsi="宋体" w:eastAsia="宋体" w:cs="宋体"/>
          <w:color w:val="auto"/>
          <w:szCs w:val="21"/>
          <w:highlight w:val="none"/>
          <w:lang w:val="zh-CN"/>
        </w:rPr>
        <w:t>招标人</w:t>
      </w:r>
      <w:r>
        <w:rPr>
          <w:rFonts w:hint="eastAsia" w:ascii="宋体" w:hAnsi="宋体" w:eastAsia="宋体" w:cs="宋体"/>
          <w:color w:val="auto"/>
          <w:szCs w:val="21"/>
          <w:highlight w:val="none"/>
          <w:lang w:val="en-US" w:eastAsia="zh-CN"/>
        </w:rPr>
        <w:t>或招标人权属分公司</w:t>
      </w:r>
      <w:r>
        <w:rPr>
          <w:rFonts w:hint="eastAsia" w:ascii="宋体" w:hAnsi="宋体" w:eastAsia="宋体" w:cs="Times New Roman"/>
          <w:color w:val="auto"/>
          <w:kern w:val="0"/>
          <w:szCs w:val="21"/>
          <w:highlight w:val="none"/>
        </w:rPr>
        <w:t>承担，不计入投标报价。</w:t>
      </w:r>
    </w:p>
    <w:p w14:paraId="493487FC">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3389EA4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486167669"/>
      <w:bookmarkStart w:id="116" w:name="_Toc31816"/>
      <w:bookmarkStart w:id="117" w:name="_Toc23524"/>
      <w:bookmarkStart w:id="118" w:name="_Toc142508319"/>
      <w:bookmarkStart w:id="119" w:name="_Toc2285"/>
      <w:bookmarkStart w:id="120" w:name="_Toc2435"/>
      <w:bookmarkStart w:id="121" w:name="_Toc17998"/>
      <w:bookmarkStart w:id="122" w:name="_Toc29125_WPSOffice_Level3"/>
      <w:bookmarkStart w:id="123" w:name="_Toc18407"/>
      <w:bookmarkStart w:id="124" w:name="_Toc450662855"/>
      <w:bookmarkStart w:id="125" w:name="_Toc2934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15"/>
      <w:bookmarkEnd w:id="116"/>
      <w:bookmarkEnd w:id="117"/>
      <w:bookmarkEnd w:id="118"/>
      <w:bookmarkEnd w:id="119"/>
      <w:bookmarkEnd w:id="120"/>
      <w:bookmarkEnd w:id="121"/>
      <w:bookmarkEnd w:id="122"/>
      <w:bookmarkEnd w:id="123"/>
      <w:bookmarkEnd w:id="124"/>
      <w:bookmarkEnd w:id="125"/>
    </w:p>
    <w:p w14:paraId="39F57008">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BD83303">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5895742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142508320"/>
      <w:bookmarkStart w:id="127" w:name="_Toc23483_WPSOffice_Level3"/>
      <w:bookmarkStart w:id="128" w:name="_Toc8986"/>
      <w:bookmarkStart w:id="129" w:name="_Toc7783"/>
      <w:bookmarkStart w:id="130" w:name="_Toc486167670"/>
      <w:bookmarkStart w:id="131" w:name="_Toc19618"/>
      <w:bookmarkStart w:id="132" w:name="_Toc450662856"/>
      <w:bookmarkStart w:id="133" w:name="_Toc26"/>
      <w:bookmarkStart w:id="134" w:name="_Toc28651"/>
      <w:bookmarkStart w:id="135" w:name="_Toc17243"/>
      <w:bookmarkStart w:id="136" w:name="_Toc26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26"/>
      <w:bookmarkEnd w:id="127"/>
      <w:bookmarkEnd w:id="128"/>
      <w:bookmarkEnd w:id="129"/>
      <w:bookmarkEnd w:id="130"/>
      <w:bookmarkEnd w:id="131"/>
      <w:bookmarkEnd w:id="132"/>
      <w:bookmarkEnd w:id="133"/>
      <w:bookmarkEnd w:id="134"/>
      <w:bookmarkEnd w:id="135"/>
      <w:bookmarkEnd w:id="136"/>
    </w:p>
    <w:p w14:paraId="3195510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25D6268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FD45E7E">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www.dgweg.cn）、广东一方项目管理有限公司（http：//www.yifanggl.com）。</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7AF99CAE">
      <w:pPr>
        <w:autoSpaceDE w:val="0"/>
        <w:autoSpaceDN w:val="0"/>
        <w:adjustRightInd w:val="0"/>
        <w:spacing w:line="360" w:lineRule="auto"/>
        <w:ind w:left="357" w:leftChars="-100" w:hanging="567"/>
        <w:rPr>
          <w:rFonts w:ascii="宋体" w:hAnsi="宋体" w:eastAsia="宋体" w:cs="宋体"/>
          <w:color w:val="auto"/>
          <w:szCs w:val="21"/>
          <w:highlight w:val="none"/>
        </w:rPr>
      </w:pPr>
    </w:p>
    <w:p w14:paraId="4EB1769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37" w:name="_Toc140596880"/>
      <w:bookmarkStart w:id="138" w:name="_Toc142508321"/>
      <w:bookmarkStart w:id="139" w:name="_Toc2222"/>
      <w:bookmarkStart w:id="140" w:name="_Toc29659_WPSOffice_Level2"/>
      <w:bookmarkStart w:id="141" w:name="_Toc450662857"/>
      <w:bookmarkStart w:id="142" w:name="_Toc6039"/>
      <w:bookmarkStart w:id="143" w:name="_Toc17379"/>
      <w:bookmarkStart w:id="144" w:name="_Toc486167671"/>
      <w:bookmarkStart w:id="145" w:name="_Toc5802"/>
      <w:bookmarkStart w:id="146" w:name="_Toc18158"/>
      <w:bookmarkStart w:id="147" w:name="_Toc13171"/>
      <w:bookmarkStart w:id="148" w:name="_Toc15251"/>
      <w:r>
        <w:rPr>
          <w:rFonts w:hint="eastAsia" w:ascii="宋体" w:hAnsi="宋体" w:eastAsia="宋体" w:cs="宋体"/>
          <w:b/>
          <w:bCs/>
          <w:color w:val="auto"/>
          <w:kern w:val="44"/>
          <w:szCs w:val="21"/>
          <w:highlight w:val="none"/>
          <w:lang w:val="zh-CN"/>
        </w:rPr>
        <w:t>三、投标文件的编制</w:t>
      </w:r>
      <w:bookmarkEnd w:id="137"/>
      <w:bookmarkEnd w:id="138"/>
      <w:bookmarkEnd w:id="139"/>
      <w:bookmarkEnd w:id="140"/>
      <w:bookmarkEnd w:id="141"/>
      <w:bookmarkEnd w:id="142"/>
      <w:bookmarkEnd w:id="143"/>
      <w:bookmarkEnd w:id="144"/>
      <w:bookmarkEnd w:id="145"/>
      <w:bookmarkEnd w:id="146"/>
      <w:bookmarkEnd w:id="147"/>
      <w:bookmarkEnd w:id="148"/>
    </w:p>
    <w:p w14:paraId="6BC80988">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17197"/>
      <w:bookmarkStart w:id="150" w:name="_Toc486167672"/>
      <w:bookmarkStart w:id="151" w:name="_Toc16966"/>
      <w:bookmarkStart w:id="152" w:name="_Toc23130"/>
      <w:bookmarkStart w:id="153" w:name="_Toc11403"/>
      <w:bookmarkStart w:id="154" w:name="_Toc25773"/>
      <w:bookmarkStart w:id="155" w:name="_Toc142508322"/>
      <w:bookmarkStart w:id="156" w:name="_Toc450662858"/>
      <w:bookmarkStart w:id="157" w:name="_Toc32367"/>
      <w:bookmarkStart w:id="158" w:name="_Toc10015_WPSOffice_Level3"/>
      <w:bookmarkStart w:id="159" w:name="_Toc18115"/>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49"/>
      <w:bookmarkEnd w:id="150"/>
      <w:bookmarkEnd w:id="151"/>
      <w:bookmarkEnd w:id="152"/>
      <w:bookmarkEnd w:id="153"/>
      <w:bookmarkEnd w:id="154"/>
      <w:bookmarkEnd w:id="155"/>
      <w:bookmarkEnd w:id="156"/>
      <w:bookmarkEnd w:id="157"/>
      <w:bookmarkEnd w:id="158"/>
      <w:bookmarkEnd w:id="159"/>
    </w:p>
    <w:p w14:paraId="604721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780A50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ECB1F99">
      <w:pPr>
        <w:autoSpaceDE w:val="0"/>
        <w:autoSpaceDN w:val="0"/>
        <w:adjustRightInd w:val="0"/>
        <w:spacing w:line="360" w:lineRule="auto"/>
        <w:rPr>
          <w:rFonts w:ascii="宋体" w:hAnsi="宋体" w:eastAsia="宋体" w:cs="宋体"/>
          <w:color w:val="auto"/>
          <w:szCs w:val="21"/>
          <w:highlight w:val="none"/>
          <w:lang w:val="zh-CN"/>
        </w:rPr>
      </w:pPr>
    </w:p>
    <w:p w14:paraId="6711AA56">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60" w:name="_Toc24916_WPSOffice_Level3"/>
      <w:bookmarkStart w:id="161" w:name="_Toc142508323"/>
      <w:bookmarkStart w:id="162" w:name="_Toc486167673"/>
      <w:bookmarkStart w:id="163" w:name="_Toc1879"/>
      <w:bookmarkStart w:id="164" w:name="_Toc450662859"/>
      <w:bookmarkStart w:id="165" w:name="_Toc28882"/>
      <w:bookmarkStart w:id="166" w:name="_Toc4729"/>
      <w:bookmarkStart w:id="167" w:name="_Toc11743"/>
      <w:bookmarkStart w:id="168" w:name="_Toc16587"/>
      <w:bookmarkStart w:id="169" w:name="_Toc1898"/>
      <w:bookmarkStart w:id="170" w:name="_Toc19262"/>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60"/>
      <w:bookmarkEnd w:id="161"/>
      <w:bookmarkEnd w:id="162"/>
      <w:bookmarkEnd w:id="163"/>
      <w:bookmarkEnd w:id="164"/>
      <w:bookmarkEnd w:id="165"/>
      <w:bookmarkEnd w:id="166"/>
      <w:bookmarkEnd w:id="167"/>
      <w:bookmarkEnd w:id="168"/>
      <w:bookmarkEnd w:id="169"/>
      <w:bookmarkEnd w:id="170"/>
    </w:p>
    <w:p w14:paraId="3FC1426C">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w:t>
      </w:r>
      <w:r>
        <w:rPr>
          <w:rFonts w:hint="eastAsia" w:ascii="宋体" w:hAnsi="宋体" w:eastAsia="宋体" w:cs="Times New Roman"/>
          <w:b/>
          <w:color w:val="auto"/>
          <w:kern w:val="0"/>
          <w:szCs w:val="21"/>
          <w:highlight w:val="none"/>
          <w:u w:val="single"/>
          <w:lang w:val="en-US" w:eastAsia="zh-CN"/>
        </w:rPr>
        <w:t>做</w:t>
      </w:r>
      <w:r>
        <w:rPr>
          <w:rFonts w:hint="eastAsia" w:ascii="宋体" w:hAnsi="宋体" w:eastAsia="宋体" w:cs="Times New Roman"/>
          <w:b/>
          <w:color w:val="auto"/>
          <w:kern w:val="0"/>
          <w:szCs w:val="21"/>
          <w:highlight w:val="none"/>
          <w:u w:val="single"/>
        </w:rPr>
        <w:t>限制</w:t>
      </w:r>
      <w:r>
        <w:rPr>
          <w:rFonts w:hint="eastAsia" w:ascii="宋体" w:hAnsi="宋体" w:eastAsia="宋体" w:cs="Times New Roman"/>
          <w:b/>
          <w:color w:val="auto"/>
          <w:kern w:val="0"/>
          <w:szCs w:val="21"/>
          <w:highlight w:val="none"/>
        </w:rPr>
        <w:t>。</w:t>
      </w:r>
    </w:p>
    <w:p w14:paraId="72C05058">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09932AEB">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A3E2D9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AA464E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07D0F3C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791F76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457A1DD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4F4CA0B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78AD496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27EFE2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F7DD711">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当前述制造商资格声明和制造商独家授权书是由境外品牌境外生产的所投超声波水表制造商通过境内的办事机构出具时，同时还须提供证明该机构作为境外品牌境外生产的所投超声波水表制造商在境内的办事机构的证明文件复印件[该证明文件可为显示其作为境外所投超声波水表制造商分公司的营业执照、或反映其作为境外所投超声波水表制造商子公司的章程（或出资证明、或反映出资人为境外所投超声波水表制造商的营业执照）或境外所投所投超声波水表制造商的书面证明或官网显示其关系的打印件]））；</w:t>
      </w:r>
    </w:p>
    <w:p w14:paraId="41ACFBE1">
      <w:pPr>
        <w:tabs>
          <w:tab w:val="left" w:pos="1276"/>
        </w:tabs>
        <w:spacing w:line="360" w:lineRule="auto"/>
        <w:ind w:left="283" w:hanging="283" w:hangingChars="135"/>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2023</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b/>
          <w:bCs/>
          <w:color w:val="auto"/>
          <w:szCs w:val="21"/>
          <w:highlight w:val="none"/>
          <w:lang w:val="en-US" w:eastAsia="zh-CN"/>
        </w:rPr>
        <w:t>超声波</w:t>
      </w:r>
      <w:r>
        <w:rPr>
          <w:rFonts w:hint="eastAsia" w:ascii="宋体" w:hAnsi="宋体" w:eastAsia="宋体"/>
          <w:b/>
          <w:bCs/>
          <w:color w:val="auto"/>
          <w:szCs w:val="21"/>
          <w:highlight w:val="none"/>
        </w:rPr>
        <w:t>水表在国内的销售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2023</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74B60304">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B5326B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28681E3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F4835B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612E810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39D484F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7EF8FD3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）中标服务费承诺书</w:t>
      </w:r>
    </w:p>
    <w:p w14:paraId="5972F3D0">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w:t>
      </w:r>
      <w:r>
        <w:rPr>
          <w:rFonts w:hint="eastAsia" w:ascii="宋体" w:hAnsi="宋体" w:eastAsia="宋体" w:cs="宋体"/>
          <w:color w:val="auto"/>
          <w:szCs w:val="21"/>
          <w:highlight w:val="none"/>
          <w:lang w:val="en-US" w:eastAsia="zh-CN"/>
        </w:rPr>
        <w:t>做</w:t>
      </w:r>
      <w:r>
        <w:rPr>
          <w:rFonts w:hint="eastAsia" w:ascii="宋体" w:hAnsi="宋体" w:eastAsia="宋体" w:cs="宋体"/>
          <w:color w:val="auto"/>
          <w:szCs w:val="21"/>
          <w:highlight w:val="none"/>
          <w:lang w:val="zh-CN"/>
        </w:rPr>
        <w:t>强制要求）。</w:t>
      </w:r>
    </w:p>
    <w:p w14:paraId="1B3666B7">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A5427EE">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2D3D86F">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218F7CF5">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1）关于“★</w:t>
      </w:r>
      <w:r>
        <w:rPr>
          <w:rFonts w:hint="eastAsia" w:ascii="宋体" w:hAnsi="宋体" w:eastAsia="宋体" w:cs="宋体"/>
          <w:color w:val="auto"/>
          <w:sz w:val="21"/>
          <w:szCs w:val="21"/>
          <w:highlight w:val="none"/>
          <w:lang w:val="en-US" w:eastAsia="zh-CN"/>
        </w:rPr>
        <w:t>2.2.17</w:t>
      </w:r>
      <w:r>
        <w:rPr>
          <w:rFonts w:hint="eastAsia" w:ascii="宋体" w:hAnsi="宋体" w:eastAsia="宋体" w:cs="宋体"/>
          <w:color w:val="auto"/>
          <w:kern w:val="0"/>
          <w:szCs w:val="21"/>
          <w:highlight w:val="none"/>
          <w:lang w:val="en-US" w:eastAsia="zh-CN"/>
        </w:rPr>
        <w:t>”条款的承诺函（投标人自行编写）；</w:t>
      </w:r>
    </w:p>
    <w:p w14:paraId="3A089D2B">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2）关于“★2.3.7”条款的产品说明书和承诺函（投标人自行编写）；</w:t>
      </w:r>
    </w:p>
    <w:p w14:paraId="0F310A52">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3）关于“★2.3.10”条款的承诺函（投标人自行编写）；</w:t>
      </w:r>
    </w:p>
    <w:p w14:paraId="02F75567">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5B112B1E">
      <w:pPr>
        <w:spacing w:line="360" w:lineRule="auto"/>
        <w:ind w:left="105" w:leftChars="0" w:hanging="105" w:hangingChars="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”条款的证明材料（投标人提供相关水表用户使用情况及证明材料）；</w:t>
      </w:r>
    </w:p>
    <w:p w14:paraId="3711CF16">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zh-CN" w:eastAsia="zh-CN"/>
        </w:rPr>
        <w:t>供货货物清单表</w:t>
      </w:r>
      <w:r>
        <w:rPr>
          <w:rFonts w:hint="eastAsia" w:ascii="宋体" w:hAnsi="宋体" w:eastAsia="宋体" w:cs="宋体"/>
          <w:color w:val="auto"/>
          <w:kern w:val="0"/>
          <w:szCs w:val="21"/>
          <w:highlight w:val="none"/>
          <w:lang w:val="en-US" w:eastAsia="zh-CN"/>
        </w:rPr>
        <w:t>（货物明细中包含的货物名称、品牌、产地、规格、型号、数量的内容）</w:t>
      </w:r>
      <w:r>
        <w:rPr>
          <w:rFonts w:hint="eastAsia" w:ascii="宋体" w:hAnsi="宋体" w:eastAsia="宋体" w:cs="宋体"/>
          <w:color w:val="auto"/>
          <w:kern w:val="0"/>
          <w:szCs w:val="21"/>
          <w:highlight w:val="none"/>
          <w:lang w:val="zh-CN" w:eastAsia="zh-CN"/>
        </w:rPr>
        <w:t>；</w:t>
      </w:r>
    </w:p>
    <w:p w14:paraId="1B50A48B">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eastAsia="zh-CN"/>
        </w:rPr>
        <w:t>）研发能力及产品先进性</w:t>
      </w:r>
      <w:r>
        <w:rPr>
          <w:rFonts w:hint="eastAsia" w:ascii="宋体" w:hAnsi="宋体" w:eastAsia="宋体" w:cs="宋体"/>
          <w:color w:val="auto"/>
          <w:kern w:val="0"/>
          <w:szCs w:val="21"/>
          <w:highlight w:val="none"/>
        </w:rPr>
        <w:t>的证明材料</w:t>
      </w:r>
      <w:r>
        <w:rPr>
          <w:rFonts w:hint="eastAsia" w:ascii="宋体" w:hAnsi="宋体" w:eastAsia="宋体" w:cs="宋体"/>
          <w:color w:val="auto"/>
          <w:kern w:val="0"/>
          <w:szCs w:val="21"/>
          <w:highlight w:val="none"/>
          <w:lang w:val="zh-CN" w:eastAsia="zh-CN"/>
        </w:rPr>
        <w:t>；</w:t>
      </w:r>
    </w:p>
    <w:p w14:paraId="364C011E">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eastAsia="zh-CN"/>
        </w:rPr>
        <w:t>）投标产品的设计</w:t>
      </w:r>
      <w:r>
        <w:rPr>
          <w:rFonts w:hint="eastAsia" w:ascii="宋体" w:hAnsi="宋体" w:eastAsia="宋体" w:cs="宋体"/>
          <w:color w:val="auto"/>
          <w:kern w:val="0"/>
          <w:szCs w:val="21"/>
          <w:highlight w:val="none"/>
          <w:lang w:val="en-US" w:eastAsia="zh-CN"/>
        </w:rPr>
        <w:t>及</w:t>
      </w:r>
      <w:r>
        <w:rPr>
          <w:rFonts w:hint="eastAsia" w:ascii="宋体" w:hAnsi="宋体" w:eastAsia="宋体" w:cs="宋体"/>
          <w:color w:val="auto"/>
          <w:kern w:val="0"/>
          <w:szCs w:val="21"/>
          <w:highlight w:val="none"/>
          <w:lang w:val="zh-CN" w:eastAsia="zh-CN"/>
        </w:rPr>
        <w:t>性能</w:t>
      </w:r>
      <w:r>
        <w:rPr>
          <w:rFonts w:hint="eastAsia" w:ascii="宋体" w:hAnsi="宋体" w:eastAsia="宋体" w:cs="宋体"/>
          <w:color w:val="auto"/>
          <w:kern w:val="0"/>
          <w:szCs w:val="21"/>
          <w:highlight w:val="none"/>
        </w:rPr>
        <w:t>的证明材料</w:t>
      </w:r>
      <w:r>
        <w:rPr>
          <w:rFonts w:hint="eastAsia" w:ascii="宋体" w:hAnsi="宋体" w:eastAsia="宋体" w:cs="宋体"/>
          <w:color w:val="auto"/>
          <w:kern w:val="0"/>
          <w:szCs w:val="21"/>
          <w:highlight w:val="none"/>
          <w:lang w:val="zh-CN" w:eastAsia="zh-CN"/>
        </w:rPr>
        <w:t>；</w:t>
      </w:r>
    </w:p>
    <w:p w14:paraId="0867B6B8">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eastAsia="zh-CN"/>
        </w:rPr>
        <w:t>）生产制造能力</w:t>
      </w:r>
      <w:r>
        <w:rPr>
          <w:rFonts w:hint="eastAsia" w:ascii="宋体" w:hAnsi="宋体" w:eastAsia="宋体" w:cs="宋体"/>
          <w:color w:val="auto"/>
          <w:kern w:val="0"/>
          <w:szCs w:val="21"/>
          <w:highlight w:val="none"/>
        </w:rPr>
        <w:t>的证明材料</w:t>
      </w:r>
      <w:r>
        <w:rPr>
          <w:rFonts w:hint="eastAsia" w:ascii="宋体" w:hAnsi="宋体" w:eastAsia="宋体" w:cs="宋体"/>
          <w:color w:val="auto"/>
          <w:kern w:val="0"/>
          <w:szCs w:val="21"/>
          <w:highlight w:val="none"/>
          <w:lang w:val="zh-CN" w:eastAsia="zh-CN"/>
        </w:rPr>
        <w:t>；</w:t>
      </w:r>
    </w:p>
    <w:p w14:paraId="1DEB6C67">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eastAsia="zh-CN"/>
        </w:rPr>
        <w:t>）售后服务方案；</w:t>
      </w:r>
    </w:p>
    <w:p w14:paraId="79DFA201">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eastAsia="zh-CN"/>
        </w:rPr>
        <w:t>售后服务</w:t>
      </w:r>
      <w:r>
        <w:rPr>
          <w:rFonts w:hint="eastAsia" w:ascii="宋体" w:hAnsi="宋体" w:eastAsia="宋体" w:cs="宋体"/>
          <w:color w:val="auto"/>
          <w:kern w:val="0"/>
          <w:szCs w:val="21"/>
          <w:highlight w:val="none"/>
          <w:lang w:val="zh-CN" w:eastAsia="zh-CN"/>
        </w:rPr>
        <w:t>响应时间承诺</w:t>
      </w:r>
    </w:p>
    <w:p w14:paraId="300CF983">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val="zh-CN" w:eastAsia="zh-CN"/>
        </w:rPr>
        <w:t>）投标人认为有必要提供的其它材料（不做强制要求）。</w:t>
      </w:r>
    </w:p>
    <w:p w14:paraId="1694C751">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F76A4E1">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2A644F8">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F9298D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E5BA39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4213F0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0E73DC2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8C99AA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648E3A8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1" w:name="_Toc486167674"/>
      <w:bookmarkStart w:id="172" w:name="_Toc31091"/>
      <w:bookmarkStart w:id="173" w:name="_Toc142508324"/>
      <w:bookmarkStart w:id="174" w:name="_Toc16357"/>
      <w:bookmarkStart w:id="175" w:name="_Toc6234"/>
      <w:bookmarkStart w:id="176" w:name="_Toc28739"/>
      <w:bookmarkStart w:id="177" w:name="_Toc8675_WPSOffice_Level3"/>
      <w:bookmarkStart w:id="178" w:name="_Toc18697"/>
      <w:bookmarkStart w:id="179" w:name="_Toc450662860"/>
      <w:bookmarkStart w:id="180" w:name="_Toc10291"/>
      <w:bookmarkStart w:id="181" w:name="_Toc2005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71"/>
      <w:bookmarkEnd w:id="172"/>
      <w:bookmarkEnd w:id="173"/>
      <w:bookmarkEnd w:id="174"/>
      <w:bookmarkEnd w:id="175"/>
      <w:bookmarkEnd w:id="176"/>
      <w:bookmarkEnd w:id="177"/>
      <w:bookmarkEnd w:id="178"/>
      <w:bookmarkEnd w:id="179"/>
      <w:bookmarkEnd w:id="180"/>
      <w:bookmarkEnd w:id="181"/>
    </w:p>
    <w:p w14:paraId="133ADE7C">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D623ECB">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7494841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2" w:name="_Toc4385_WPSOffice_Level3"/>
      <w:bookmarkStart w:id="183" w:name="_Toc10382"/>
      <w:bookmarkStart w:id="184" w:name="_Toc486167675"/>
      <w:bookmarkStart w:id="185" w:name="_Toc450662861"/>
      <w:bookmarkStart w:id="186" w:name="_Toc28822"/>
      <w:bookmarkStart w:id="187" w:name="_Toc829"/>
      <w:bookmarkStart w:id="188" w:name="_Toc30740"/>
      <w:bookmarkStart w:id="189" w:name="_Toc14897"/>
      <w:bookmarkStart w:id="190" w:name="_Toc6905"/>
      <w:bookmarkStart w:id="191" w:name="_Toc23127"/>
      <w:bookmarkStart w:id="192" w:name="_Toc1425083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82"/>
      <w:bookmarkEnd w:id="183"/>
      <w:bookmarkEnd w:id="184"/>
      <w:bookmarkEnd w:id="185"/>
      <w:bookmarkEnd w:id="186"/>
      <w:bookmarkEnd w:id="187"/>
      <w:bookmarkEnd w:id="188"/>
      <w:bookmarkEnd w:id="189"/>
      <w:bookmarkEnd w:id="190"/>
      <w:bookmarkEnd w:id="191"/>
      <w:bookmarkEnd w:id="192"/>
    </w:p>
    <w:p w14:paraId="72656F20">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FCCD562">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货物及有关服务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4E7D4C3">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3CA4AC4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w:t>
      </w:r>
      <w:r>
        <w:rPr>
          <w:rFonts w:hint="eastAsia" w:ascii="宋体" w:hAnsi="宋体" w:eastAsia="宋体" w:cs="宋体"/>
          <w:b/>
          <w:bCs/>
          <w:color w:val="auto"/>
          <w:szCs w:val="21"/>
          <w:highlight w:val="none"/>
          <w:lang w:val="en-US" w:eastAsia="zh-CN"/>
        </w:rPr>
        <w:t>的超声波水表</w:t>
      </w:r>
      <w:r>
        <w:rPr>
          <w:rFonts w:hint="eastAsia" w:ascii="宋体" w:hAnsi="宋体" w:eastAsia="宋体" w:cs="宋体"/>
          <w:b/>
          <w:bCs/>
          <w:color w:val="auto"/>
          <w:szCs w:val="21"/>
          <w:highlight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w:t>
      </w:r>
      <w:r>
        <w:rPr>
          <w:rFonts w:hint="eastAsia" w:ascii="宋体" w:hAnsi="宋体" w:eastAsia="宋体" w:cs="Times New Roman"/>
          <w:b/>
          <w:color w:val="auto"/>
          <w:szCs w:val="21"/>
          <w:highlight w:val="none"/>
          <w:u w:val="single"/>
          <w:lang w:val="zh-CN" w:eastAsia="zh-CN"/>
        </w:rPr>
        <w:t>中华人民共和国增值税法</w:t>
      </w:r>
      <w:r>
        <w:rPr>
          <w:rFonts w:hint="eastAsia" w:ascii="宋体" w:hAnsi="宋体" w:eastAsia="宋体" w:cs="Times New Roman"/>
          <w:b/>
          <w:color w:val="auto"/>
          <w:szCs w:val="21"/>
          <w:highlight w:val="none"/>
          <w:u w:val="single"/>
          <w:lang w:val="zh-CN"/>
        </w:rPr>
        <w:t>》</w:t>
      </w:r>
      <w:r>
        <w:rPr>
          <w:rFonts w:hint="eastAsia" w:ascii="宋体" w:hAnsi="宋体" w:eastAsia="宋体" w:cs="Times New Roman"/>
          <w:b/>
          <w:color w:val="auto"/>
          <w:szCs w:val="21"/>
          <w:highlight w:val="none"/>
          <w:u w:val="single"/>
          <w:lang w:val="en-US" w:eastAsia="zh-CN"/>
        </w:rPr>
        <w:t>及其实施条例</w:t>
      </w:r>
      <w:r>
        <w:rPr>
          <w:rFonts w:hint="eastAsia" w:ascii="宋体" w:hAnsi="宋体" w:eastAsia="宋体" w:cs="Times New Roman"/>
          <w:b/>
          <w:color w:val="auto"/>
          <w:szCs w:val="21"/>
          <w:highlight w:val="none"/>
          <w:u w:val="single"/>
          <w:lang w:val="zh-CN"/>
        </w:rPr>
        <w:t>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采购货物等所产生的价税）的其他全部费用。本采购项目的销项税额由</w:t>
      </w:r>
      <w:r>
        <w:rPr>
          <w:rFonts w:hint="eastAsia" w:ascii="宋体" w:hAnsi="宋体" w:eastAsia="宋体" w:cs="宋体"/>
          <w:color w:val="auto"/>
          <w:szCs w:val="21"/>
          <w:highlight w:val="none"/>
          <w:lang w:val="zh-CN"/>
        </w:rPr>
        <w:t>由招标人</w:t>
      </w:r>
      <w:r>
        <w:rPr>
          <w:rFonts w:hint="eastAsia" w:ascii="宋体" w:hAnsi="宋体" w:eastAsia="宋体" w:cs="宋体"/>
          <w:color w:val="auto"/>
          <w:szCs w:val="21"/>
          <w:highlight w:val="none"/>
          <w:lang w:val="en-US" w:eastAsia="zh-CN"/>
        </w:rPr>
        <w:t>或招标人权属分公司</w:t>
      </w:r>
      <w:r>
        <w:rPr>
          <w:rFonts w:hint="eastAsia" w:ascii="宋体" w:hAnsi="宋体" w:eastAsia="宋体" w:cs="Times New Roman"/>
          <w:color w:val="auto"/>
          <w:szCs w:val="21"/>
          <w:highlight w:val="none"/>
          <w:lang w:val="zh-CN"/>
        </w:rPr>
        <w:t>承担，不计入</w:t>
      </w:r>
      <w:r>
        <w:rPr>
          <w:rFonts w:hint="eastAsia" w:ascii="宋体" w:hAnsi="宋体" w:eastAsia="宋体" w:cs="Times New Roman"/>
          <w:color w:val="auto"/>
          <w:kern w:val="2"/>
          <w:sz w:val="21"/>
          <w:szCs w:val="21"/>
          <w:highlight w:val="none"/>
          <w:lang w:val="en-US" w:eastAsia="zh-CN" w:bidi="ar-SA"/>
        </w:rPr>
        <w:t>投标报价</w:t>
      </w:r>
      <w:r>
        <w:rPr>
          <w:rFonts w:hint="eastAsia" w:ascii="宋体" w:hAnsi="宋体" w:eastAsia="宋体" w:cs="Times New Roman"/>
          <w:color w:val="auto"/>
          <w:szCs w:val="21"/>
          <w:highlight w:val="none"/>
          <w:lang w:val="zh-CN"/>
        </w:rPr>
        <w:t>。本采购项目投标报价已含投标人履行本招标内容全部义务的一切费用，包括但不限于</w:t>
      </w:r>
      <w:r>
        <w:rPr>
          <w:rFonts w:hint="eastAsia" w:ascii="宋体" w:hAnsi="宋体" w:eastAsia="宋体" w:cs="宋体"/>
          <w:color w:val="auto"/>
          <w:kern w:val="0"/>
          <w:szCs w:val="21"/>
          <w:highlight w:val="none"/>
        </w:rPr>
        <w:t>：</w:t>
      </w:r>
    </w:p>
    <w:p w14:paraId="5D02B62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val="zh-CN"/>
        </w:rPr>
        <w:t>范围内所有水表及其附件的制造及系统集成、印刷费、检定、运输（至招标人指定的仓库或项目现场）、保险、装卸、远传调试，验收等费用；</w:t>
      </w:r>
    </w:p>
    <w:p w14:paraId="750413C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（2）按招标文件及合同要求提供各阶段的纸质和电子版技术资料，包括货物及其工艺所有制造方、使用方应支付的商标权、专利权和版权、设计或其他知识产权而需要向其他方支付的版税及其他相关费用；</w:t>
      </w:r>
    </w:p>
    <w:p w14:paraId="5F98329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3B98809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）设备备品备件（含零配件）、设备拆装维修所需特殊专用工具购置费；</w:t>
      </w:r>
    </w:p>
    <w:p w14:paraId="1D38AA1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）日常技术指导，免费的质保期保修服务，包括但不限于对设备的运行指导，免费维修、保修或更换配件，在设备出现严重故障、影响正常运行、修复有困难的情况下，对设备进行免费更换的费用；</w:t>
      </w:r>
    </w:p>
    <w:p w14:paraId="3DA4922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val="zh-CN"/>
        </w:rPr>
        <w:t>清单虽未列出，但为满足</w:t>
      </w:r>
      <w:r>
        <w:rPr>
          <w:rFonts w:hint="eastAsia" w:ascii="宋体" w:hAnsi="宋体" w:eastAsia="宋体" w:cs="宋体"/>
          <w:color w:val="auto"/>
          <w:szCs w:val="21"/>
          <w:highlight w:val="none"/>
          <w:lang w:val="en-US" w:eastAsia="zh-CN"/>
        </w:rPr>
        <w:t>水表</w:t>
      </w:r>
      <w:r>
        <w:rPr>
          <w:rFonts w:hint="eastAsia" w:ascii="宋体" w:hAnsi="宋体" w:eastAsia="宋体" w:cs="宋体"/>
          <w:color w:val="auto"/>
          <w:szCs w:val="21"/>
          <w:highlight w:val="none"/>
          <w:lang w:val="zh-CN"/>
        </w:rPr>
        <w:t>功能所必需的设备材料购置费；</w:t>
      </w:r>
    </w:p>
    <w:p w14:paraId="06BA9DE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6FB7FDF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）法律法规、商业公认、招标文件规定由</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lang w:val="zh-CN"/>
        </w:rPr>
        <w:t>标人承担的其他费用。</w:t>
      </w:r>
    </w:p>
    <w:p w14:paraId="32E4C20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7DF634D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FEBEB0B">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0C3C5091">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lang w:val="en-US"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，且不能为0</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或负数，折扣系数报价最多保留小数点后两位。投标人未按招标文件要求进行折扣系数报价的，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zh-CN" w:eastAsia="zh-CN"/>
        </w:rPr>
        <w:t>7,259,413.35</w:t>
      </w:r>
      <w:r>
        <w:rPr>
          <w:rStyle w:val="46"/>
          <w:rFonts w:hint="eastAsia" w:ascii="宋体" w:hAnsi="宋体" w:eastAsia="宋体" w:cs="宋体"/>
          <w:b/>
          <w:bCs/>
          <w:color w:val="auto"/>
          <w:highlight w:val="none"/>
          <w:u w:val="single"/>
        </w:rPr>
        <w:t>元(大写</w:t>
      </w:r>
      <w:r>
        <w:rPr>
          <w:rStyle w:val="46"/>
          <w:rFonts w:hint="eastAsia" w:ascii="宋体" w:hAnsi="宋体" w:eastAsia="宋体" w:cs="宋体"/>
          <w:b/>
          <w:bCs/>
          <w:color w:val="auto"/>
          <w:highlight w:val="none"/>
          <w:u w:val="single"/>
          <w:lang w:eastAsia="zh-CN"/>
        </w:rPr>
        <w:t>：</w:t>
      </w:r>
      <w:r>
        <w:rPr>
          <w:rStyle w:val="46"/>
          <w:rFonts w:hint="eastAsia" w:ascii="宋体" w:hAnsi="宋体" w:eastAsia="宋体" w:cs="宋体"/>
          <w:b/>
          <w:bCs/>
          <w:color w:val="auto"/>
          <w:highlight w:val="none"/>
          <w:u w:val="single"/>
        </w:rPr>
        <w:t>人民币</w:t>
      </w:r>
      <w:r>
        <w:rPr>
          <w:rStyle w:val="46"/>
          <w:rFonts w:hint="eastAsia" w:ascii="宋体" w:hAnsi="宋体" w:eastAsia="宋体" w:cs="宋体"/>
          <w:b/>
          <w:bCs/>
          <w:color w:val="auto"/>
          <w:highlight w:val="none"/>
          <w:u w:val="single"/>
          <w:lang w:val="en-US" w:eastAsia="zh-CN"/>
        </w:rPr>
        <w:t>柒佰贰拾伍万玖仟肆佰壹拾叁元叁角伍分</w:t>
      </w:r>
      <w:r>
        <w:rPr>
          <w:rStyle w:val="46"/>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lang w:val="zh-CN"/>
        </w:rPr>
        <w:t>。</w:t>
      </w:r>
    </w:p>
    <w:p w14:paraId="4C9081AC">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0AE227F">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93" w:name="_Toc12103"/>
      <w:bookmarkStart w:id="194" w:name="_Toc28777"/>
      <w:bookmarkStart w:id="195" w:name="_Toc142508326"/>
      <w:bookmarkStart w:id="196" w:name="_Toc537"/>
      <w:bookmarkStart w:id="197" w:name="_Toc486167676"/>
      <w:bookmarkStart w:id="198" w:name="_Toc14068"/>
      <w:bookmarkStart w:id="199" w:name="_Toc450662862"/>
      <w:bookmarkStart w:id="200" w:name="_Toc9083"/>
      <w:bookmarkStart w:id="201" w:name="_Toc19541"/>
      <w:bookmarkStart w:id="202" w:name="_Toc30042_WPSOffice_Level3"/>
      <w:bookmarkStart w:id="203" w:name="_Toc2968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93"/>
      <w:bookmarkEnd w:id="194"/>
      <w:bookmarkEnd w:id="195"/>
      <w:bookmarkEnd w:id="196"/>
      <w:bookmarkEnd w:id="197"/>
      <w:bookmarkEnd w:id="198"/>
      <w:bookmarkEnd w:id="199"/>
      <w:bookmarkEnd w:id="200"/>
      <w:bookmarkEnd w:id="201"/>
      <w:bookmarkEnd w:id="202"/>
      <w:bookmarkEnd w:id="203"/>
    </w:p>
    <w:p w14:paraId="0398DD08">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1E1B6DE">
      <w:pPr>
        <w:autoSpaceDE w:val="0"/>
        <w:autoSpaceDN w:val="0"/>
        <w:adjustRightInd w:val="0"/>
        <w:spacing w:line="360" w:lineRule="auto"/>
        <w:ind w:left="265" w:leftChars="119" w:hanging="15"/>
        <w:rPr>
          <w:rFonts w:ascii="宋体" w:hAnsi="宋体" w:eastAsia="宋体" w:cs="宋体"/>
          <w:color w:val="auto"/>
          <w:szCs w:val="21"/>
          <w:highlight w:val="none"/>
        </w:rPr>
      </w:pPr>
    </w:p>
    <w:p w14:paraId="4BBC2EB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4" w:name="_Toc29389"/>
      <w:bookmarkStart w:id="205" w:name="_Toc25596"/>
      <w:bookmarkStart w:id="206" w:name="_Toc486167677"/>
      <w:bookmarkStart w:id="207" w:name="_Toc9411_WPSOffice_Level3"/>
      <w:bookmarkStart w:id="208" w:name="_Toc12674"/>
      <w:bookmarkStart w:id="209" w:name="_Toc142508327"/>
      <w:bookmarkStart w:id="210" w:name="_Toc27946"/>
      <w:bookmarkStart w:id="211" w:name="_Toc450662863"/>
      <w:bookmarkStart w:id="212" w:name="_Toc16480"/>
      <w:bookmarkStart w:id="213" w:name="_Toc21258"/>
      <w:bookmarkStart w:id="214" w:name="_Toc3736"/>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04"/>
      <w:bookmarkEnd w:id="205"/>
      <w:bookmarkEnd w:id="206"/>
      <w:bookmarkEnd w:id="207"/>
      <w:bookmarkEnd w:id="208"/>
      <w:bookmarkEnd w:id="209"/>
      <w:bookmarkEnd w:id="210"/>
      <w:bookmarkEnd w:id="211"/>
      <w:bookmarkEnd w:id="212"/>
      <w:bookmarkEnd w:id="213"/>
      <w:bookmarkEnd w:id="214"/>
    </w:p>
    <w:p w14:paraId="2C4D30A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9BFEFC1">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6231E3C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104A9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1CDA6E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szCs w:val="21"/>
          <w:highlight w:val="none"/>
          <w:lang w:val="zh-CN"/>
        </w:rPr>
        <w:t>文件。</w:t>
      </w:r>
    </w:p>
    <w:p w14:paraId="6D60E99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719FFBC">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5CE4171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5" w:name="_Toc24924"/>
      <w:bookmarkStart w:id="216" w:name="_Toc142508328"/>
      <w:bookmarkStart w:id="217" w:name="_Toc27771_WPSOffice_Level3"/>
      <w:bookmarkStart w:id="218" w:name="_Toc2299"/>
      <w:bookmarkStart w:id="219" w:name="_Toc30441"/>
      <w:bookmarkStart w:id="220" w:name="_Toc26154"/>
      <w:bookmarkStart w:id="221" w:name="_Toc486167678"/>
      <w:bookmarkStart w:id="222" w:name="_Toc3459"/>
      <w:bookmarkStart w:id="223" w:name="_Toc29706"/>
      <w:bookmarkStart w:id="224" w:name="_Toc9116"/>
      <w:bookmarkStart w:id="225"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215"/>
      <w:bookmarkEnd w:id="216"/>
      <w:bookmarkEnd w:id="217"/>
      <w:bookmarkEnd w:id="218"/>
      <w:bookmarkEnd w:id="219"/>
      <w:bookmarkEnd w:id="220"/>
      <w:bookmarkEnd w:id="221"/>
      <w:bookmarkEnd w:id="222"/>
      <w:bookmarkEnd w:id="223"/>
      <w:bookmarkEnd w:id="224"/>
      <w:bookmarkEnd w:id="225"/>
    </w:p>
    <w:p w14:paraId="4465E53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7DBA09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139402B2">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0FFF885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1CE8FB5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6" w:name="_Toc24774"/>
      <w:bookmarkStart w:id="227" w:name="_Toc21008"/>
      <w:bookmarkStart w:id="228" w:name="_Toc9365"/>
      <w:bookmarkStart w:id="229" w:name="_Toc27869"/>
      <w:bookmarkStart w:id="230" w:name="_Toc4163"/>
      <w:bookmarkStart w:id="231" w:name="_Toc486167679"/>
      <w:bookmarkStart w:id="232" w:name="_Toc142508329"/>
      <w:bookmarkStart w:id="233" w:name="_Toc5356_WPSOffice_Level3"/>
      <w:bookmarkStart w:id="234" w:name="_Toc5598"/>
      <w:bookmarkStart w:id="235" w:name="_Toc30058"/>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26"/>
      <w:bookmarkEnd w:id="227"/>
      <w:bookmarkEnd w:id="228"/>
      <w:bookmarkEnd w:id="229"/>
      <w:bookmarkEnd w:id="230"/>
      <w:bookmarkEnd w:id="231"/>
      <w:bookmarkEnd w:id="232"/>
      <w:bookmarkEnd w:id="233"/>
      <w:bookmarkEnd w:id="234"/>
      <w:bookmarkEnd w:id="235"/>
    </w:p>
    <w:p w14:paraId="731C9476">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140,000.00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壹拾肆万元整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0790EDB">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415C90D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B661ECE">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5ED970D0">
      <w:pPr>
        <w:autoSpaceDE w:val="0"/>
        <w:autoSpaceDN w:val="0"/>
        <w:adjustRightInd w:val="0"/>
        <w:spacing w:line="360" w:lineRule="auto"/>
        <w:ind w:left="0" w:leftChars="0" w:firstLine="422" w:firstLineChars="200"/>
        <w:jc w:val="left"/>
        <w:rPr>
          <w:rFonts w:hint="eastAsia" w:ascii="宋体" w:hAnsi="宋体" w:eastAsia="宋体" w:cs="Times New Roman"/>
          <w:b/>
          <w:bCs/>
          <w:color w:val="auto"/>
          <w:kern w:val="0"/>
          <w:szCs w:val="21"/>
          <w:highlight w:val="none"/>
          <w:lang w:val="zh-CN" w:eastAsia="zh-CN"/>
        </w:rPr>
      </w:pPr>
      <w:r>
        <w:rPr>
          <w:rFonts w:hint="eastAsia" w:ascii="宋体" w:hAnsi="宋体" w:eastAsia="宋体" w:cs="Times New Roman"/>
          <w:b/>
          <w:bCs/>
          <w:color w:val="auto"/>
          <w:kern w:val="0"/>
          <w:szCs w:val="21"/>
          <w:highlight w:val="none"/>
          <w:lang w:val="zh-CN"/>
        </w:rPr>
        <w:t>开户名称：</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东莞市水务环境投资控股集团供水有限公司</w:t>
      </w:r>
    </w:p>
    <w:p w14:paraId="05D5E20A">
      <w:pPr>
        <w:autoSpaceDE w:val="0"/>
        <w:autoSpaceDN w:val="0"/>
        <w:adjustRightInd w:val="0"/>
        <w:spacing w:line="360" w:lineRule="auto"/>
        <w:ind w:left="0" w:leftChars="0" w:firstLine="422" w:firstLineChars="20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开户银行：工商银行东莞城区支行</w:t>
      </w:r>
    </w:p>
    <w:p w14:paraId="66B7FF6E">
      <w:pPr>
        <w:autoSpaceDE w:val="0"/>
        <w:autoSpaceDN w:val="0"/>
        <w:adjustRightInd w:val="0"/>
        <w:spacing w:line="360" w:lineRule="auto"/>
        <w:ind w:left="0" w:leftChars="0" w:firstLine="422" w:firstLineChars="200"/>
        <w:jc w:val="left"/>
        <w:rPr>
          <w:rFonts w:ascii="宋体" w:hAnsi="宋体" w:eastAsia="宋体" w:cs="Times New Roman"/>
          <w:b/>
          <w:bCs/>
          <w:color w:val="auto"/>
          <w:kern w:val="0"/>
          <w:szCs w:val="21"/>
          <w:highlight w:val="none"/>
          <w:u w:val="single"/>
        </w:rPr>
      </w:pPr>
      <w:r>
        <w:rPr>
          <w:rFonts w:hint="eastAsia" w:ascii="宋体" w:hAnsi="宋体" w:eastAsia="宋体" w:cs="Times New Roman"/>
          <w:b/>
          <w:bCs/>
          <w:color w:val="auto"/>
          <w:kern w:val="0"/>
          <w:szCs w:val="21"/>
          <w:highlight w:val="none"/>
          <w:lang w:val="zh-CN"/>
        </w:rPr>
        <w:t>银行账号：2010020119000060928</w:t>
      </w:r>
    </w:p>
    <w:p w14:paraId="6F8A667E">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D279AF3">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7A2D527C">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A2E0DAE">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517BA86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CB73F4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0B95634D">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20677C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1C957B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204AF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527D25D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B90F33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04EF993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w:t>
      </w:r>
      <w:r>
        <w:rPr>
          <w:rFonts w:hint="eastAsia" w:ascii="宋体" w:hAnsi="宋体" w:eastAsia="宋体" w:cs="宋体"/>
          <w:color w:val="auto"/>
          <w:kern w:val="0"/>
          <w:szCs w:val="21"/>
          <w:highlight w:val="none"/>
          <w:lang w:eastAsia="zh-CN"/>
        </w:rPr>
        <w:t>法律、法规</w:t>
      </w:r>
      <w:r>
        <w:rPr>
          <w:rFonts w:hint="eastAsia" w:ascii="宋体" w:hAnsi="宋体" w:eastAsia="宋体" w:cs="宋体"/>
          <w:color w:val="auto"/>
          <w:kern w:val="0"/>
          <w:szCs w:val="21"/>
          <w:highlight w:val="none"/>
        </w:rPr>
        <w:t>、规章及招标投标相关规定的行为。</w:t>
      </w:r>
    </w:p>
    <w:p w14:paraId="193D9463">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4CC96FF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17510"/>
      <w:bookmarkStart w:id="237" w:name="_Toc30436"/>
      <w:bookmarkStart w:id="238" w:name="_Toc22649_WPSOffice_Level3"/>
      <w:bookmarkStart w:id="239" w:name="_Toc450662865"/>
      <w:bookmarkStart w:id="240" w:name="_Toc2461"/>
      <w:bookmarkStart w:id="241" w:name="_Toc486167680"/>
      <w:bookmarkStart w:id="242" w:name="_Toc10550"/>
      <w:bookmarkStart w:id="243" w:name="_Toc2942"/>
      <w:bookmarkStart w:id="244" w:name="_Toc8438"/>
      <w:bookmarkStart w:id="245" w:name="_Toc142508330"/>
      <w:bookmarkStart w:id="246" w:name="_Toc26142"/>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36"/>
      <w:bookmarkEnd w:id="237"/>
      <w:bookmarkEnd w:id="238"/>
      <w:bookmarkEnd w:id="239"/>
      <w:bookmarkEnd w:id="240"/>
      <w:bookmarkEnd w:id="241"/>
      <w:bookmarkEnd w:id="242"/>
      <w:bookmarkEnd w:id="243"/>
      <w:bookmarkEnd w:id="244"/>
      <w:bookmarkEnd w:id="245"/>
      <w:bookmarkEnd w:id="246"/>
    </w:p>
    <w:p w14:paraId="6AFF19D8">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F27C71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3ECD89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DD181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FD8DE4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4334"/>
      <w:bookmarkStart w:id="248" w:name="_Toc18099"/>
      <w:bookmarkStart w:id="249" w:name="_Toc486167681"/>
      <w:bookmarkStart w:id="250" w:name="_Toc142508331"/>
      <w:bookmarkStart w:id="251" w:name="_Toc13311"/>
      <w:bookmarkStart w:id="252" w:name="_Toc358"/>
      <w:bookmarkStart w:id="253" w:name="_Toc25637_WPSOffice_Level3"/>
      <w:bookmarkStart w:id="254" w:name="_Toc26283"/>
      <w:bookmarkStart w:id="255" w:name="_Toc450662866"/>
      <w:bookmarkStart w:id="256" w:name="_Toc20854"/>
      <w:bookmarkStart w:id="257" w:name="_Toc12835"/>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47"/>
      <w:bookmarkEnd w:id="248"/>
      <w:bookmarkEnd w:id="249"/>
      <w:bookmarkEnd w:id="250"/>
      <w:bookmarkEnd w:id="251"/>
      <w:bookmarkEnd w:id="252"/>
      <w:bookmarkEnd w:id="253"/>
      <w:bookmarkEnd w:id="254"/>
      <w:bookmarkEnd w:id="255"/>
      <w:bookmarkEnd w:id="256"/>
      <w:bookmarkEnd w:id="257"/>
    </w:p>
    <w:p w14:paraId="2CB7484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33117A8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12C025A0">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CB7E27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A343C84">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10D4E50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76D1646">
      <w:pPr>
        <w:autoSpaceDE w:val="0"/>
        <w:autoSpaceDN w:val="0"/>
        <w:adjustRightInd w:val="0"/>
        <w:jc w:val="left"/>
        <w:rPr>
          <w:rFonts w:ascii="宋体" w:hAnsi="宋体" w:eastAsia="宋体" w:cs="宋体"/>
          <w:color w:val="auto"/>
          <w:kern w:val="0"/>
          <w:sz w:val="24"/>
          <w:szCs w:val="24"/>
          <w:highlight w:val="none"/>
        </w:rPr>
      </w:pPr>
      <w:bookmarkStart w:id="258" w:name="_Toc450662867"/>
    </w:p>
    <w:p w14:paraId="1F713EA2">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59" w:name="_Toc23520"/>
      <w:bookmarkStart w:id="260" w:name="_Toc486167682"/>
      <w:bookmarkStart w:id="261" w:name="_Toc7408"/>
      <w:bookmarkStart w:id="262" w:name="_Toc22356_WPSOffice_Level2"/>
      <w:bookmarkStart w:id="263" w:name="_Toc142508332"/>
      <w:bookmarkStart w:id="264" w:name="_Toc6827"/>
      <w:bookmarkStart w:id="265" w:name="_Toc11345"/>
      <w:bookmarkStart w:id="266" w:name="_Toc7949"/>
      <w:bookmarkStart w:id="267" w:name="_Toc17608"/>
      <w:bookmarkStart w:id="268" w:name="_Toc140596891"/>
      <w:bookmarkStart w:id="269" w:name="_Toc18705"/>
      <w:r>
        <w:rPr>
          <w:rFonts w:hint="eastAsia" w:ascii="宋体" w:hAnsi="宋体" w:eastAsia="宋体" w:cs="宋体"/>
          <w:b/>
          <w:bCs/>
          <w:color w:val="auto"/>
          <w:kern w:val="44"/>
          <w:szCs w:val="21"/>
          <w:highlight w:val="none"/>
          <w:lang w:val="zh-CN"/>
        </w:rPr>
        <w:t>四、投标文件的递交</w:t>
      </w:r>
      <w:bookmarkEnd w:id="258"/>
      <w:bookmarkEnd w:id="259"/>
      <w:bookmarkEnd w:id="260"/>
      <w:bookmarkEnd w:id="261"/>
      <w:bookmarkEnd w:id="262"/>
      <w:bookmarkEnd w:id="263"/>
      <w:bookmarkEnd w:id="264"/>
      <w:bookmarkEnd w:id="265"/>
      <w:bookmarkEnd w:id="266"/>
      <w:bookmarkEnd w:id="267"/>
      <w:bookmarkEnd w:id="268"/>
      <w:bookmarkEnd w:id="269"/>
    </w:p>
    <w:p w14:paraId="0D2A60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0" w:name="_Toc12192_WPSOffice_Level3"/>
      <w:bookmarkStart w:id="271" w:name="_Toc486167683"/>
      <w:bookmarkStart w:id="272" w:name="_Toc98"/>
      <w:bookmarkStart w:id="273" w:name="_Toc23187"/>
      <w:bookmarkStart w:id="274" w:name="_Toc12953"/>
      <w:bookmarkStart w:id="275" w:name="_Toc14132"/>
      <w:bookmarkStart w:id="276" w:name="_Toc9900"/>
      <w:bookmarkStart w:id="277" w:name="_Toc142508333"/>
      <w:bookmarkStart w:id="278" w:name="_Toc31579"/>
      <w:bookmarkStart w:id="279" w:name="_Toc450662868"/>
      <w:bookmarkStart w:id="280" w:name="_Toc11161"/>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70"/>
      <w:bookmarkEnd w:id="271"/>
      <w:bookmarkEnd w:id="272"/>
      <w:bookmarkEnd w:id="273"/>
      <w:bookmarkEnd w:id="274"/>
      <w:bookmarkEnd w:id="275"/>
      <w:bookmarkEnd w:id="276"/>
      <w:bookmarkEnd w:id="277"/>
      <w:bookmarkEnd w:id="278"/>
      <w:bookmarkEnd w:id="279"/>
      <w:bookmarkEnd w:id="280"/>
    </w:p>
    <w:p w14:paraId="1025960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47DEC6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FAEB13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5588D6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B0AFD4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FD0F67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88715B8">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1F947A32">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A7160FB">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6355B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1" w:name="_Toc450662869"/>
      <w:bookmarkStart w:id="282" w:name="_Toc9264"/>
      <w:bookmarkStart w:id="283" w:name="_Toc3437"/>
      <w:bookmarkStart w:id="284" w:name="_Toc3384"/>
      <w:bookmarkStart w:id="285" w:name="_Toc29665_WPSOffice_Level3"/>
      <w:bookmarkStart w:id="286" w:name="_Toc17707"/>
      <w:bookmarkStart w:id="287" w:name="_Toc486167684"/>
      <w:bookmarkStart w:id="288" w:name="_Toc32205"/>
      <w:bookmarkStart w:id="289" w:name="_Toc23301"/>
      <w:bookmarkStart w:id="290" w:name="_Toc15892"/>
      <w:bookmarkStart w:id="291"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81"/>
      <w:bookmarkEnd w:id="282"/>
      <w:bookmarkEnd w:id="283"/>
      <w:bookmarkEnd w:id="284"/>
      <w:bookmarkEnd w:id="285"/>
      <w:bookmarkEnd w:id="286"/>
      <w:bookmarkEnd w:id="287"/>
      <w:bookmarkEnd w:id="288"/>
      <w:bookmarkEnd w:id="289"/>
      <w:bookmarkEnd w:id="290"/>
      <w:bookmarkEnd w:id="291"/>
    </w:p>
    <w:p w14:paraId="4104289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0D2FB56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4A34DBB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26C94E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92" w:name="_Toc142508335"/>
      <w:bookmarkStart w:id="293" w:name="_Toc450662870"/>
      <w:bookmarkStart w:id="294" w:name="_Toc23091"/>
      <w:bookmarkStart w:id="295" w:name="_Toc486167685"/>
      <w:bookmarkStart w:id="296" w:name="_Toc24535"/>
      <w:bookmarkStart w:id="297" w:name="_Toc22431_WPSOffice_Level3"/>
      <w:bookmarkStart w:id="298" w:name="_Toc19193"/>
      <w:bookmarkStart w:id="299" w:name="_Toc27439"/>
      <w:bookmarkStart w:id="300" w:name="_Toc6684"/>
      <w:bookmarkStart w:id="301" w:name="_Toc20885"/>
      <w:bookmarkStart w:id="302" w:name="_Toc22232"/>
      <w:r>
        <w:rPr>
          <w:rFonts w:hint="eastAsia" w:ascii="宋体" w:hAnsi="宋体" w:eastAsia="宋体" w:cs="宋体"/>
          <w:color w:val="auto"/>
          <w:szCs w:val="21"/>
          <w:highlight w:val="none"/>
          <w:lang w:val="zh-CN"/>
        </w:rPr>
        <w:t>20 迟交的投标文件</w:t>
      </w:r>
      <w:bookmarkEnd w:id="292"/>
      <w:bookmarkEnd w:id="293"/>
      <w:bookmarkEnd w:id="294"/>
      <w:bookmarkEnd w:id="295"/>
      <w:bookmarkEnd w:id="296"/>
      <w:bookmarkEnd w:id="297"/>
      <w:bookmarkEnd w:id="298"/>
      <w:bookmarkEnd w:id="299"/>
      <w:bookmarkEnd w:id="300"/>
      <w:bookmarkEnd w:id="301"/>
      <w:bookmarkEnd w:id="302"/>
    </w:p>
    <w:p w14:paraId="2D0D9BFD">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E19B4BA">
      <w:pPr>
        <w:autoSpaceDE w:val="0"/>
        <w:autoSpaceDN w:val="0"/>
        <w:adjustRightInd w:val="0"/>
        <w:jc w:val="left"/>
        <w:rPr>
          <w:rFonts w:ascii="宋体" w:hAnsi="宋体" w:eastAsia="宋体" w:cs="宋体"/>
          <w:color w:val="auto"/>
          <w:kern w:val="0"/>
          <w:sz w:val="24"/>
          <w:szCs w:val="24"/>
          <w:highlight w:val="none"/>
        </w:rPr>
      </w:pPr>
    </w:p>
    <w:p w14:paraId="30241E4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3" w:name="_Toc486167686"/>
      <w:bookmarkStart w:id="304" w:name="_Toc20088"/>
      <w:bookmarkStart w:id="305" w:name="_Toc450662871"/>
      <w:bookmarkStart w:id="306" w:name="_Toc28983"/>
      <w:bookmarkStart w:id="307" w:name="_Toc11914"/>
      <w:bookmarkStart w:id="308" w:name="_Toc15452"/>
      <w:bookmarkStart w:id="309" w:name="_Toc142508336"/>
      <w:bookmarkStart w:id="310" w:name="_Toc16964"/>
      <w:bookmarkStart w:id="311" w:name="_Toc4883_WPSOffice_Level3"/>
      <w:bookmarkStart w:id="312" w:name="_Toc10667"/>
      <w:bookmarkStart w:id="313" w:name="_Toc9833"/>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303"/>
      <w:bookmarkEnd w:id="304"/>
      <w:bookmarkEnd w:id="305"/>
      <w:bookmarkEnd w:id="306"/>
      <w:bookmarkEnd w:id="307"/>
      <w:bookmarkEnd w:id="308"/>
      <w:bookmarkEnd w:id="309"/>
      <w:bookmarkEnd w:id="310"/>
      <w:bookmarkEnd w:id="311"/>
      <w:bookmarkEnd w:id="312"/>
      <w:bookmarkEnd w:id="313"/>
    </w:p>
    <w:p w14:paraId="5AFE958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2CE87D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5F92CE2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E82C2A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05E1C6A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C1A693B">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14" w:name="_Toc142508337"/>
      <w:bookmarkStart w:id="315" w:name="_Toc27648"/>
      <w:bookmarkStart w:id="316" w:name="_Toc450662872"/>
      <w:bookmarkStart w:id="317" w:name="_Toc140596896"/>
      <w:bookmarkStart w:id="318" w:name="_Toc486167687"/>
      <w:bookmarkStart w:id="319" w:name="_Toc6702"/>
      <w:bookmarkStart w:id="320" w:name="_Toc910"/>
      <w:bookmarkStart w:id="321" w:name="_Toc18224"/>
      <w:bookmarkStart w:id="322" w:name="_Toc18851"/>
      <w:bookmarkStart w:id="323" w:name="_Toc30428"/>
      <w:bookmarkStart w:id="324" w:name="_Toc1049_WPSOffice_Level2"/>
      <w:bookmarkStart w:id="325" w:name="_Toc9828"/>
      <w:r>
        <w:rPr>
          <w:rFonts w:hint="eastAsia" w:ascii="宋体" w:hAnsi="宋体" w:eastAsia="宋体" w:cs="宋体"/>
          <w:b/>
          <w:bCs/>
          <w:color w:val="auto"/>
          <w:kern w:val="44"/>
          <w:szCs w:val="21"/>
          <w:highlight w:val="none"/>
          <w:lang w:val="zh-CN"/>
        </w:rPr>
        <w:t>五、开标与评标</w:t>
      </w:r>
      <w:bookmarkEnd w:id="314"/>
      <w:bookmarkEnd w:id="315"/>
      <w:bookmarkEnd w:id="316"/>
      <w:bookmarkEnd w:id="317"/>
      <w:bookmarkEnd w:id="318"/>
      <w:bookmarkEnd w:id="319"/>
      <w:bookmarkEnd w:id="320"/>
      <w:bookmarkEnd w:id="321"/>
      <w:bookmarkEnd w:id="322"/>
      <w:bookmarkEnd w:id="323"/>
      <w:bookmarkEnd w:id="324"/>
      <w:bookmarkEnd w:id="325"/>
    </w:p>
    <w:p w14:paraId="64E31EA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14800"/>
      <w:bookmarkStart w:id="327" w:name="_Toc29881"/>
      <w:bookmarkStart w:id="328" w:name="_Toc144_WPSOffice_Level3"/>
      <w:bookmarkStart w:id="329" w:name="_Toc450662873"/>
      <w:bookmarkStart w:id="330" w:name="_Toc142508338"/>
      <w:bookmarkStart w:id="331" w:name="_Toc7078"/>
      <w:bookmarkStart w:id="332" w:name="_Toc1415"/>
      <w:bookmarkStart w:id="333" w:name="_Toc32313"/>
      <w:bookmarkStart w:id="334" w:name="_Toc7200"/>
      <w:bookmarkStart w:id="335" w:name="_Toc32690"/>
      <w:bookmarkStart w:id="336" w:name="_Toc48616768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26"/>
      <w:bookmarkEnd w:id="327"/>
      <w:bookmarkEnd w:id="328"/>
      <w:bookmarkEnd w:id="329"/>
      <w:bookmarkEnd w:id="330"/>
      <w:bookmarkEnd w:id="331"/>
      <w:bookmarkEnd w:id="332"/>
      <w:bookmarkEnd w:id="333"/>
      <w:bookmarkEnd w:id="334"/>
      <w:bookmarkEnd w:id="335"/>
      <w:bookmarkEnd w:id="336"/>
    </w:p>
    <w:p w14:paraId="503F856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740FA5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5E8810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BF8C28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w:t>
      </w:r>
      <w:r>
        <w:rPr>
          <w:rFonts w:hint="eastAsia" w:ascii="宋体" w:hAnsi="宋体" w:eastAsia="宋体" w:cs="宋体"/>
          <w:color w:val="auto"/>
          <w:szCs w:val="21"/>
          <w:highlight w:val="none"/>
          <w:lang w:val="zh-CN" w:eastAsia="zh-CN"/>
        </w:rPr>
        <w:t>最多</w:t>
      </w:r>
      <w:r>
        <w:rPr>
          <w:rFonts w:hint="eastAsia" w:ascii="宋体" w:hAnsi="宋体" w:eastAsia="宋体" w:cs="宋体"/>
          <w:color w:val="auto"/>
          <w:szCs w:val="21"/>
          <w:highlight w:val="none"/>
          <w:lang w:val="zh-CN"/>
        </w:rPr>
        <w:t>保留小数点后两位。对不同文字文本投标文件的解释发生异议的，以中文文本为准。</w:t>
      </w:r>
    </w:p>
    <w:p w14:paraId="237AA7D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55C6F51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32A460C">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1614E2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7" w:name="_Toc2038"/>
      <w:bookmarkStart w:id="338" w:name="_Toc19749"/>
      <w:bookmarkStart w:id="339" w:name="_Toc13697"/>
      <w:bookmarkStart w:id="340" w:name="_Toc12165_WPSOffice_Level3"/>
      <w:bookmarkStart w:id="341" w:name="_Toc142508339"/>
      <w:bookmarkStart w:id="342" w:name="_Toc11072"/>
      <w:bookmarkStart w:id="343" w:name="_Toc25818"/>
      <w:bookmarkStart w:id="344" w:name="_Toc18825"/>
      <w:bookmarkStart w:id="345" w:name="_Toc1600"/>
      <w:bookmarkStart w:id="346" w:name="_Toc486167689"/>
      <w:bookmarkStart w:id="347"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37"/>
      <w:bookmarkEnd w:id="338"/>
      <w:bookmarkEnd w:id="339"/>
      <w:bookmarkEnd w:id="340"/>
      <w:bookmarkEnd w:id="341"/>
      <w:bookmarkEnd w:id="342"/>
      <w:bookmarkEnd w:id="343"/>
      <w:bookmarkEnd w:id="344"/>
      <w:bookmarkEnd w:id="345"/>
      <w:bookmarkEnd w:id="346"/>
      <w:bookmarkEnd w:id="347"/>
    </w:p>
    <w:p w14:paraId="3D8CC9D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761F5BE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0DDDB9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4CA58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8" w:name="_Toc833"/>
      <w:bookmarkStart w:id="349" w:name="_Toc486167690"/>
      <w:bookmarkStart w:id="350" w:name="_Toc9748"/>
      <w:bookmarkStart w:id="351" w:name="_Toc3748"/>
      <w:bookmarkStart w:id="352" w:name="_Toc31823"/>
      <w:bookmarkStart w:id="353" w:name="_Toc142508340"/>
      <w:bookmarkStart w:id="354" w:name="_Toc450662875"/>
      <w:bookmarkStart w:id="355" w:name="_Toc28201"/>
      <w:bookmarkStart w:id="356" w:name="_Toc15565_WPSOffice_Level3"/>
      <w:bookmarkStart w:id="357" w:name="_Toc3995"/>
      <w:bookmarkStart w:id="358" w:name="_Toc14084"/>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48"/>
      <w:bookmarkEnd w:id="349"/>
      <w:bookmarkEnd w:id="350"/>
      <w:bookmarkEnd w:id="351"/>
      <w:bookmarkEnd w:id="352"/>
      <w:bookmarkEnd w:id="353"/>
      <w:bookmarkEnd w:id="354"/>
      <w:bookmarkEnd w:id="355"/>
      <w:bookmarkEnd w:id="356"/>
      <w:bookmarkEnd w:id="357"/>
      <w:bookmarkEnd w:id="358"/>
    </w:p>
    <w:p w14:paraId="35165F8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307C01E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EC302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B61B2E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59" w:name="_Toc28910_WPSOffice_Level3"/>
      <w:bookmarkStart w:id="360" w:name="_Toc450662876"/>
      <w:bookmarkStart w:id="361" w:name="_Toc31399"/>
      <w:bookmarkStart w:id="362" w:name="_Toc486167691"/>
      <w:bookmarkStart w:id="363" w:name="_Toc13129"/>
      <w:bookmarkStart w:id="364" w:name="_Toc31554"/>
      <w:bookmarkStart w:id="365" w:name="_Toc23527"/>
      <w:bookmarkStart w:id="366" w:name="_Toc14693"/>
      <w:bookmarkStart w:id="367" w:name="_Toc30219"/>
      <w:bookmarkStart w:id="368" w:name="_Toc142508341"/>
      <w:bookmarkStart w:id="369" w:name="_Toc830"/>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59"/>
      <w:bookmarkEnd w:id="360"/>
      <w:bookmarkEnd w:id="361"/>
      <w:bookmarkEnd w:id="362"/>
      <w:bookmarkEnd w:id="363"/>
      <w:bookmarkEnd w:id="364"/>
      <w:bookmarkEnd w:id="365"/>
      <w:bookmarkEnd w:id="366"/>
      <w:bookmarkEnd w:id="367"/>
      <w:bookmarkEnd w:id="368"/>
      <w:bookmarkEnd w:id="369"/>
    </w:p>
    <w:p w14:paraId="0BD2A76E">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BA0F2A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19F9342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A1FB48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0" w:name="_Toc450662877"/>
      <w:bookmarkStart w:id="371" w:name="_Toc8734"/>
      <w:bookmarkStart w:id="372" w:name="_Toc9436"/>
      <w:bookmarkStart w:id="373" w:name="_Toc10130"/>
      <w:bookmarkStart w:id="374" w:name="_Toc8360"/>
      <w:bookmarkStart w:id="375" w:name="_Toc338_WPSOffice_Level3"/>
      <w:bookmarkStart w:id="376" w:name="_Toc142508342"/>
      <w:bookmarkStart w:id="377" w:name="_Toc8292"/>
      <w:bookmarkStart w:id="378" w:name="_Toc486167692"/>
      <w:bookmarkStart w:id="379" w:name="_Toc23834"/>
      <w:bookmarkStart w:id="380" w:name="_Toc28685"/>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70"/>
      <w:bookmarkEnd w:id="371"/>
      <w:bookmarkEnd w:id="372"/>
      <w:bookmarkEnd w:id="373"/>
      <w:bookmarkEnd w:id="374"/>
      <w:bookmarkEnd w:id="375"/>
      <w:bookmarkEnd w:id="376"/>
      <w:bookmarkEnd w:id="377"/>
      <w:bookmarkEnd w:id="378"/>
      <w:bookmarkEnd w:id="379"/>
      <w:bookmarkEnd w:id="380"/>
    </w:p>
    <w:p w14:paraId="660334F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458305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81"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381"/>
    <w:p w14:paraId="77F3CCFC">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382" w:name="_Toc142508343"/>
      <w:bookmarkStart w:id="383" w:name="_Toc521918096"/>
      <w:bookmarkStart w:id="384" w:name="_Toc522047355"/>
      <w:bookmarkStart w:id="385" w:name="_Toc18368_WPSOffice_Level3"/>
    </w:p>
    <w:p w14:paraId="0C50A2A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6" w:name="_Toc13060"/>
      <w:bookmarkStart w:id="387" w:name="_Toc22208"/>
      <w:bookmarkStart w:id="388" w:name="_Toc2478"/>
      <w:bookmarkStart w:id="389" w:name="_Toc15022"/>
      <w:bookmarkStart w:id="390" w:name="_Toc9147"/>
      <w:bookmarkStart w:id="391" w:name="_Toc26392"/>
      <w:bookmarkStart w:id="392" w:name="_Toc18694"/>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82"/>
      <w:bookmarkEnd w:id="383"/>
      <w:bookmarkEnd w:id="384"/>
      <w:bookmarkEnd w:id="385"/>
      <w:bookmarkEnd w:id="386"/>
      <w:bookmarkEnd w:id="387"/>
      <w:bookmarkEnd w:id="388"/>
      <w:bookmarkEnd w:id="389"/>
      <w:bookmarkEnd w:id="390"/>
      <w:bookmarkEnd w:id="391"/>
      <w:bookmarkEnd w:id="392"/>
    </w:p>
    <w:p w14:paraId="5706C791">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078E27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09D3517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8B6A96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E07462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8A64A7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14D7098">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93" w:name="_Toc521918097"/>
      <w:bookmarkStart w:id="394" w:name="_Toc522047356"/>
    </w:p>
    <w:p w14:paraId="36E1E6D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5" w:name="_Toc10621"/>
      <w:bookmarkStart w:id="396" w:name="_Toc18255"/>
      <w:bookmarkStart w:id="397" w:name="_Toc142508344"/>
      <w:bookmarkStart w:id="398" w:name="_Toc22611"/>
      <w:bookmarkStart w:id="399" w:name="_Toc24916"/>
      <w:bookmarkStart w:id="400" w:name="_Toc21460_WPSOffice_Level3"/>
      <w:bookmarkStart w:id="401" w:name="_Toc3095"/>
      <w:bookmarkStart w:id="402" w:name="_Toc6913"/>
      <w:bookmarkStart w:id="403"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93"/>
      <w:bookmarkEnd w:id="394"/>
      <w:bookmarkEnd w:id="395"/>
      <w:bookmarkEnd w:id="396"/>
      <w:bookmarkEnd w:id="397"/>
      <w:bookmarkEnd w:id="398"/>
      <w:bookmarkEnd w:id="399"/>
      <w:bookmarkEnd w:id="400"/>
      <w:bookmarkEnd w:id="401"/>
      <w:bookmarkEnd w:id="402"/>
      <w:bookmarkEnd w:id="403"/>
    </w:p>
    <w:p w14:paraId="1F73788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F1025E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9F8736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54CAE981">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1839203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D6520D2">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4" w:name="_Toc466882017"/>
      <w:bookmarkStart w:id="405" w:name="_Toc465358969"/>
      <w:bookmarkStart w:id="406" w:name="_Toc142508345"/>
      <w:bookmarkStart w:id="407" w:name="_Toc24024"/>
      <w:bookmarkStart w:id="408" w:name="_Toc11849"/>
      <w:bookmarkStart w:id="409" w:name="_Toc10642"/>
      <w:bookmarkStart w:id="410" w:name="_Toc32498_WPSOffice_Level3"/>
      <w:bookmarkStart w:id="411" w:name="_Toc15841"/>
      <w:bookmarkStart w:id="412" w:name="_Toc25182"/>
      <w:bookmarkStart w:id="413" w:name="_Toc486167694"/>
      <w:bookmarkStart w:id="414" w:name="_Toc28016"/>
      <w:bookmarkStart w:id="415" w:name="_Toc2504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404"/>
      <w:bookmarkEnd w:id="405"/>
      <w:bookmarkEnd w:id="406"/>
      <w:bookmarkEnd w:id="407"/>
      <w:bookmarkEnd w:id="408"/>
      <w:bookmarkEnd w:id="409"/>
      <w:bookmarkEnd w:id="410"/>
      <w:bookmarkEnd w:id="411"/>
      <w:bookmarkEnd w:id="412"/>
      <w:bookmarkEnd w:id="413"/>
      <w:bookmarkEnd w:id="414"/>
      <w:bookmarkEnd w:id="415"/>
    </w:p>
    <w:p w14:paraId="5CB7D87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0DECB3CB">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A556334">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ED891AB">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C75F25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1F9F4A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25EBEC8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CA5B9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4DC038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89F2D9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F0031D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6EAFD5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2F5F61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AF8FE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w:t>
      </w:r>
      <w:r>
        <w:rPr>
          <w:rFonts w:hint="eastAsia" w:ascii="宋体" w:hAnsi="宋体" w:eastAsia="宋体" w:cs="宋体"/>
          <w:color w:val="000000" w:themeColor="text1"/>
          <w:szCs w:val="21"/>
          <w:highlight w:val="none"/>
          <w:lang w:val="zh-CN"/>
          <w14:textFill>
            <w14:solidFill>
              <w14:schemeClr w14:val="tx1"/>
            </w14:solidFill>
          </w14:textFill>
        </w:rPr>
        <w:t>东莞市水务环境投资控股集团有限公司</w:t>
      </w:r>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6D9469CB">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6FEE2B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416" w:name="_Toc465358970"/>
      <w:bookmarkStart w:id="417" w:name="_Toc486167695"/>
      <w:bookmarkStart w:id="418" w:name="_Toc466882018"/>
      <w:bookmarkStart w:id="419" w:name="_Toc142508346"/>
      <w:bookmarkStart w:id="420" w:name="_Toc1562"/>
      <w:bookmarkStart w:id="421" w:name="_Toc9524"/>
      <w:bookmarkStart w:id="422" w:name="_Toc1848_WPSOffice_Level3"/>
      <w:bookmarkStart w:id="423" w:name="_Toc22559"/>
      <w:bookmarkStart w:id="424" w:name="_Toc4325"/>
      <w:bookmarkStart w:id="425" w:name="_Toc14579"/>
      <w:bookmarkStart w:id="426" w:name="_Toc26138"/>
      <w:bookmarkStart w:id="427" w:name="_Toc14297"/>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416"/>
      <w:bookmarkEnd w:id="417"/>
      <w:bookmarkEnd w:id="418"/>
      <w:bookmarkEnd w:id="419"/>
      <w:bookmarkEnd w:id="420"/>
      <w:bookmarkEnd w:id="421"/>
      <w:bookmarkEnd w:id="422"/>
      <w:bookmarkEnd w:id="423"/>
      <w:bookmarkEnd w:id="424"/>
      <w:bookmarkEnd w:id="425"/>
      <w:bookmarkEnd w:id="426"/>
      <w:bookmarkEnd w:id="427"/>
    </w:p>
    <w:p w14:paraId="418D01C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w:t>
      </w:r>
      <w:r>
        <w:rPr>
          <w:rFonts w:hint="eastAsia" w:ascii="宋体" w:hAnsi="宋体" w:eastAsia="宋体" w:cs="Times New Roman"/>
          <w:b/>
          <w:color w:val="auto"/>
          <w:kern w:val="0"/>
          <w:szCs w:val="21"/>
          <w:highlight w:val="none"/>
          <w:lang w:eastAsia="zh-CN"/>
        </w:rPr>
        <w:t>或</w:t>
      </w:r>
      <w:r>
        <w:rPr>
          <w:rFonts w:hint="eastAsia" w:ascii="宋体" w:hAnsi="宋体" w:eastAsia="宋体" w:cs="Times New Roman"/>
          <w:b/>
          <w:color w:val="auto"/>
          <w:kern w:val="0"/>
          <w:szCs w:val="21"/>
          <w:highlight w:val="none"/>
        </w:rPr>
        <w:t>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D6FE03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w:t>
      </w:r>
      <w:r>
        <w:rPr>
          <w:rFonts w:hint="eastAsia" w:ascii="宋体" w:hAnsi="宋体" w:eastAsia="宋体" w:cs="Times New Roman"/>
          <w:b/>
          <w:color w:val="auto"/>
          <w:kern w:val="0"/>
          <w:szCs w:val="21"/>
          <w:highlight w:val="none"/>
          <w:lang w:eastAsia="zh-CN"/>
        </w:rPr>
        <w:t>或</w:t>
      </w:r>
      <w:r>
        <w:rPr>
          <w:rFonts w:hint="eastAsia" w:ascii="宋体" w:hAnsi="宋体" w:eastAsia="宋体" w:cs="Times New Roman"/>
          <w:b/>
          <w:color w:val="auto"/>
          <w:kern w:val="0"/>
          <w:szCs w:val="21"/>
          <w:highlight w:val="none"/>
        </w:rPr>
        <w:t>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24F20A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000000" w:themeColor="text1"/>
          <w:szCs w:val="21"/>
          <w:highlight w:val="none"/>
          <w14:textFill>
            <w14:solidFill>
              <w14:schemeClr w14:val="tx1"/>
            </w14:solidFill>
          </w14:textFill>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220B9B16">
      <w:pPr>
        <w:autoSpaceDE w:val="0"/>
        <w:autoSpaceDN w:val="0"/>
        <w:adjustRightInd w:val="0"/>
        <w:snapToGrid w:val="0"/>
        <w:spacing w:line="360" w:lineRule="auto"/>
        <w:jc w:val="left"/>
        <w:rPr>
          <w:rFonts w:ascii="宋体" w:hAnsi="宋体" w:eastAsia="宋体" w:cs="宋体"/>
          <w:color w:val="auto"/>
          <w:szCs w:val="21"/>
          <w:highlight w:val="none"/>
        </w:rPr>
      </w:pPr>
      <w:bookmarkStart w:id="428" w:name="_Toc465358971"/>
      <w:bookmarkStart w:id="429" w:name="_Toc466882019"/>
    </w:p>
    <w:p w14:paraId="3CE6A8C6">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430" w:name="_Toc10867_WPSOffice_Level3"/>
      <w:bookmarkStart w:id="431" w:name="_Toc142508347"/>
      <w:bookmarkStart w:id="432" w:name="_Toc18226"/>
      <w:bookmarkStart w:id="433" w:name="_Toc5140"/>
      <w:bookmarkStart w:id="434" w:name="_Toc26035"/>
      <w:bookmarkStart w:id="435" w:name="_Toc12578"/>
      <w:bookmarkStart w:id="436" w:name="_Toc14140"/>
      <w:bookmarkStart w:id="437" w:name="_Toc27361"/>
      <w:bookmarkStart w:id="438" w:name="_Toc18728"/>
      <w:bookmarkStart w:id="439"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428"/>
      <w:bookmarkEnd w:id="429"/>
      <w:bookmarkEnd w:id="430"/>
      <w:bookmarkEnd w:id="431"/>
      <w:bookmarkEnd w:id="432"/>
      <w:bookmarkEnd w:id="433"/>
      <w:bookmarkEnd w:id="434"/>
      <w:bookmarkEnd w:id="435"/>
      <w:bookmarkEnd w:id="436"/>
      <w:bookmarkEnd w:id="437"/>
      <w:bookmarkEnd w:id="438"/>
      <w:bookmarkEnd w:id="439"/>
    </w:p>
    <w:p w14:paraId="13E1A9AF">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766514A">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40" w:name="_Toc450662880"/>
    </w:p>
    <w:p w14:paraId="12C1D51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41" w:name="_Toc486167697"/>
      <w:bookmarkStart w:id="442" w:name="_Toc19646"/>
      <w:bookmarkStart w:id="443" w:name="_Toc18316"/>
      <w:bookmarkStart w:id="444" w:name="_Toc16848_WPSOffice_Level2"/>
      <w:bookmarkStart w:id="445" w:name="_Toc140596907"/>
      <w:bookmarkStart w:id="446" w:name="_Toc23395"/>
      <w:bookmarkStart w:id="447" w:name="_Toc142508348"/>
      <w:bookmarkStart w:id="448" w:name="_Toc16642"/>
      <w:bookmarkStart w:id="449" w:name="_Toc13428"/>
      <w:bookmarkStart w:id="450" w:name="_Toc24504"/>
      <w:bookmarkStart w:id="451" w:name="_Toc756"/>
      <w:r>
        <w:rPr>
          <w:rFonts w:hint="eastAsia" w:ascii="宋体" w:hAnsi="宋体" w:eastAsia="宋体" w:cs="宋体"/>
          <w:b/>
          <w:bCs/>
          <w:color w:val="auto"/>
          <w:kern w:val="44"/>
          <w:szCs w:val="21"/>
          <w:highlight w:val="none"/>
          <w:lang w:val="zh-CN"/>
        </w:rPr>
        <w:t>六、授予合同</w:t>
      </w:r>
      <w:bookmarkEnd w:id="440"/>
      <w:bookmarkEnd w:id="441"/>
      <w:bookmarkEnd w:id="442"/>
      <w:bookmarkEnd w:id="443"/>
      <w:bookmarkEnd w:id="444"/>
      <w:bookmarkEnd w:id="445"/>
      <w:bookmarkEnd w:id="446"/>
      <w:bookmarkEnd w:id="447"/>
      <w:bookmarkEnd w:id="448"/>
      <w:bookmarkEnd w:id="449"/>
      <w:bookmarkEnd w:id="450"/>
      <w:bookmarkEnd w:id="451"/>
    </w:p>
    <w:p w14:paraId="300A399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2" w:name="_Toc142508349"/>
      <w:bookmarkStart w:id="453" w:name="_Toc6064"/>
      <w:bookmarkStart w:id="454" w:name="_Toc25540"/>
      <w:bookmarkStart w:id="455" w:name="_Toc486167698"/>
      <w:bookmarkStart w:id="456" w:name="_Toc450662881"/>
      <w:bookmarkStart w:id="457" w:name="_Toc21588"/>
      <w:bookmarkStart w:id="458" w:name="_Toc5585"/>
      <w:bookmarkStart w:id="459" w:name="_Toc11719"/>
      <w:bookmarkStart w:id="460" w:name="_Toc176"/>
      <w:bookmarkStart w:id="461" w:name="_Toc18894"/>
      <w:bookmarkStart w:id="462"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52"/>
      <w:bookmarkEnd w:id="453"/>
      <w:bookmarkEnd w:id="454"/>
      <w:bookmarkEnd w:id="455"/>
      <w:bookmarkEnd w:id="456"/>
      <w:bookmarkEnd w:id="457"/>
      <w:bookmarkEnd w:id="458"/>
      <w:bookmarkEnd w:id="459"/>
      <w:bookmarkEnd w:id="460"/>
      <w:bookmarkEnd w:id="461"/>
      <w:bookmarkEnd w:id="462"/>
    </w:p>
    <w:p w14:paraId="2AA7328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6BAF4828">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FAEAFCB">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256391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3" w:name="_Toc450662885"/>
    </w:p>
    <w:p w14:paraId="301F552D">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4" w:name="_Toc6726_WPSOffice_Level3"/>
      <w:bookmarkStart w:id="465" w:name="_Toc8255"/>
      <w:bookmarkStart w:id="466" w:name="_Toc30848"/>
      <w:bookmarkStart w:id="467" w:name="_Toc16874"/>
      <w:bookmarkStart w:id="468" w:name="_Toc21927"/>
      <w:bookmarkStart w:id="469" w:name="_Toc255"/>
      <w:bookmarkStart w:id="470" w:name="_Toc486167699"/>
      <w:bookmarkStart w:id="471" w:name="_Toc24266"/>
      <w:bookmarkStart w:id="472" w:name="_Toc854"/>
      <w:bookmarkStart w:id="473"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63"/>
      <w:bookmarkEnd w:id="464"/>
      <w:bookmarkEnd w:id="465"/>
      <w:bookmarkEnd w:id="466"/>
      <w:bookmarkEnd w:id="467"/>
      <w:bookmarkEnd w:id="468"/>
      <w:bookmarkEnd w:id="469"/>
      <w:bookmarkEnd w:id="470"/>
      <w:bookmarkEnd w:id="471"/>
      <w:bookmarkEnd w:id="472"/>
      <w:bookmarkEnd w:id="473"/>
    </w:p>
    <w:p w14:paraId="403C949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74"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C30ED6D">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w:t>
      </w:r>
      <w:r>
        <w:rPr>
          <w:rFonts w:hint="eastAsia" w:ascii="宋体" w:hAnsi="宋体" w:eastAsia="宋体" w:cs="宋体"/>
          <w:i w:val="0"/>
          <w:iCs w:val="0"/>
          <w:color w:val="auto"/>
          <w:szCs w:val="21"/>
          <w:highlight w:val="none"/>
          <w:lang w:val="zh-CN"/>
        </w:rPr>
        <w:t>，招标代理机构通知落选的投标人其投标文件未被接受而不提原因。</w:t>
      </w:r>
    </w:p>
    <w:p w14:paraId="3A558D61">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p>
    <w:p w14:paraId="177EA0CD">
      <w:pPr>
        <w:tabs>
          <w:tab w:val="left" w:pos="567"/>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475" w:name="_Toc32732"/>
      <w:bookmarkStart w:id="476" w:name="_Toc2225"/>
      <w:bookmarkStart w:id="477" w:name="_Toc29975"/>
      <w:bookmarkStart w:id="478" w:name="_Toc15739"/>
      <w:bookmarkStart w:id="479" w:name="_Toc9694_WPSOffice_Level3"/>
      <w:bookmarkStart w:id="480" w:name="_Toc142508351"/>
      <w:bookmarkStart w:id="481" w:name="_Toc7142"/>
      <w:bookmarkStart w:id="482" w:name="_Toc486167700"/>
      <w:bookmarkStart w:id="483" w:name="_Toc24946"/>
      <w:bookmarkStart w:id="484" w:name="_Toc11165"/>
      <w:r>
        <w:rPr>
          <w:rFonts w:hint="eastAsia" w:ascii="宋体" w:hAnsi="宋体" w:eastAsia="宋体" w:cs="宋体"/>
          <w:i w:val="0"/>
          <w:iCs w:val="0"/>
          <w:color w:val="auto"/>
          <w:szCs w:val="21"/>
          <w:highlight w:val="none"/>
        </w:rPr>
        <w:t>34</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签署合同</w:t>
      </w:r>
      <w:bookmarkEnd w:id="474"/>
      <w:bookmarkEnd w:id="475"/>
      <w:bookmarkEnd w:id="476"/>
      <w:bookmarkEnd w:id="477"/>
      <w:bookmarkEnd w:id="478"/>
      <w:bookmarkEnd w:id="479"/>
      <w:bookmarkEnd w:id="480"/>
      <w:bookmarkEnd w:id="481"/>
      <w:bookmarkEnd w:id="482"/>
      <w:bookmarkEnd w:id="483"/>
      <w:bookmarkEnd w:id="484"/>
    </w:p>
    <w:p w14:paraId="3B34E4CE">
      <w:pPr>
        <w:tabs>
          <w:tab w:val="left" w:pos="540"/>
        </w:tabs>
        <w:autoSpaceDE w:val="0"/>
        <w:autoSpaceDN w:val="0"/>
        <w:adjustRightInd w:val="0"/>
        <w:spacing w:line="360" w:lineRule="auto"/>
        <w:ind w:left="330" w:leftChars="-100" w:right="15" w:rightChars="7" w:hanging="540"/>
        <w:rPr>
          <w:rFonts w:ascii="宋体" w:hAnsi="宋体" w:eastAsia="宋体" w:cs="宋体"/>
          <w:i w:val="0"/>
          <w:iCs w:val="0"/>
          <w:color w:val="auto"/>
          <w:szCs w:val="21"/>
          <w:highlight w:val="none"/>
          <w:lang w:val="zh-CN"/>
        </w:rPr>
      </w:pPr>
      <w:r>
        <w:rPr>
          <w:rFonts w:hint="eastAsia" w:ascii="宋体" w:hAnsi="宋体" w:eastAsia="宋体" w:cs="宋体"/>
          <w:i w:val="0"/>
          <w:iCs w:val="0"/>
          <w:color w:val="auto"/>
          <w:szCs w:val="21"/>
          <w:highlight w:val="none"/>
        </w:rPr>
        <w:t>34</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zh-CN"/>
        </w:rPr>
        <w:tab/>
      </w:r>
      <w:r>
        <w:rPr>
          <w:rFonts w:hint="eastAsia" w:ascii="宋体" w:hAnsi="宋体" w:eastAsia="宋体" w:cs="Times New Roman"/>
          <w:b/>
          <w:i w:val="0"/>
          <w:iCs w:val="0"/>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i w:val="0"/>
          <w:iCs w:val="0"/>
          <w:color w:val="auto"/>
          <w:szCs w:val="21"/>
          <w:highlight w:val="none"/>
          <w:lang w:val="zh-CN"/>
        </w:rPr>
        <w:t>。</w:t>
      </w:r>
    </w:p>
    <w:p w14:paraId="72714D68">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34.2 在签署合同前，招标人可对中标人投标报价明细及附表内的算术性错误进行修正，修正原则为：</w:t>
      </w:r>
    </w:p>
    <w:p w14:paraId="0B2117C5">
      <w:pPr>
        <w:autoSpaceDE/>
        <w:autoSpaceDN/>
        <w:adjustRightInd w:val="0"/>
        <w:snapToGrid w:val="0"/>
        <w:spacing w:line="360" w:lineRule="auto"/>
        <w:ind w:left="411" w:leftChars="170" w:hanging="54" w:hangingChars="26"/>
        <w:jc w:val="left"/>
        <w:rPr>
          <w:rFonts w:hint="eastAsia"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w:t>
      </w:r>
      <w:r>
        <w:rPr>
          <w:rFonts w:hint="eastAsia" w:ascii="宋体" w:hAnsi="宋体" w:eastAsia="宋体" w:cs="Times New Roman"/>
          <w:i w:val="0"/>
          <w:iCs w:val="0"/>
          <w:color w:val="auto"/>
          <w:szCs w:val="21"/>
          <w:highlight w:val="none"/>
          <w:lang w:val="en-US" w:eastAsia="zh-CN"/>
        </w:rPr>
        <w:t>1</w:t>
      </w:r>
      <w:r>
        <w:rPr>
          <w:rFonts w:hint="eastAsia" w:ascii="宋体" w:hAnsi="宋体" w:eastAsia="宋体" w:cs="Times New Roman"/>
          <w:i w:val="0"/>
          <w:iCs w:val="0"/>
          <w:color w:val="auto"/>
          <w:szCs w:val="21"/>
          <w:highlight w:val="none"/>
          <w:lang w:val="zh-CN"/>
        </w:rPr>
        <w:t>）当以数字表示的报价系数与以文字表示的报价系数不一致时，以文字表示的报价系数为准。</w:t>
      </w:r>
    </w:p>
    <w:p w14:paraId="4A31368B">
      <w:pPr>
        <w:autoSpaceDE/>
        <w:autoSpaceDN/>
        <w:adjustRightInd w:val="0"/>
        <w:snapToGrid w:val="0"/>
        <w:spacing w:line="360" w:lineRule="auto"/>
        <w:ind w:left="411" w:leftChars="170" w:hanging="54" w:hangingChars="26"/>
        <w:jc w:val="left"/>
        <w:rPr>
          <w:rFonts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w:t>
      </w:r>
      <w:r>
        <w:rPr>
          <w:rFonts w:hint="eastAsia" w:ascii="宋体" w:hAnsi="宋体" w:eastAsia="宋体" w:cs="Times New Roman"/>
          <w:i w:val="0"/>
          <w:iCs w:val="0"/>
          <w:color w:val="auto"/>
          <w:szCs w:val="21"/>
          <w:highlight w:val="none"/>
          <w:lang w:val="zh-CN" w:eastAsia="zh-CN"/>
        </w:rPr>
        <w:t>2</w:t>
      </w:r>
      <w:r>
        <w:rPr>
          <w:rFonts w:hint="eastAsia" w:ascii="宋体" w:hAnsi="宋体" w:eastAsia="宋体" w:cs="Times New Roman"/>
          <w:i w:val="0"/>
          <w:iCs w:val="0"/>
          <w:color w:val="auto"/>
          <w:szCs w:val="21"/>
          <w:highlight w:val="none"/>
          <w:lang w:val="zh-CN"/>
        </w:rPr>
        <w:t>）按前述修正原则排序依次进行修正至唯一值后的报价表经双方确认后，作为合同文件的组成部分。</w:t>
      </w:r>
    </w:p>
    <w:p w14:paraId="0DC05E50">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i w:val="0"/>
          <w:iCs w:val="0"/>
          <w:color w:val="auto"/>
          <w:szCs w:val="21"/>
          <w:highlight w:val="none"/>
        </w:rPr>
      </w:pPr>
      <w:bookmarkStart w:id="485" w:name="_Toc142508352"/>
      <w:bookmarkStart w:id="486" w:name="_Toc450662887"/>
      <w:bookmarkStart w:id="487" w:name="_Toc10513_WPSOffice_Level3"/>
      <w:bookmarkStart w:id="488" w:name="_Toc486167701"/>
    </w:p>
    <w:p w14:paraId="2BF9EF40">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489" w:name="_Toc18874"/>
      <w:bookmarkStart w:id="490" w:name="_Toc24297"/>
      <w:bookmarkStart w:id="491" w:name="_Toc8873"/>
      <w:bookmarkStart w:id="492" w:name="_Toc31988"/>
      <w:bookmarkStart w:id="493" w:name="_Toc24729"/>
      <w:bookmarkStart w:id="494" w:name="_Toc15662"/>
      <w:bookmarkStart w:id="495" w:name="_Toc28261"/>
      <w:r>
        <w:rPr>
          <w:rFonts w:hint="eastAsia" w:ascii="宋体" w:hAnsi="宋体" w:eastAsia="宋体" w:cs="宋体"/>
          <w:i w:val="0"/>
          <w:iCs w:val="0"/>
          <w:color w:val="auto"/>
          <w:szCs w:val="21"/>
          <w:highlight w:val="none"/>
        </w:rPr>
        <w:t>35</w:t>
      </w:r>
      <w:r>
        <w:rPr>
          <w:rFonts w:ascii="宋体" w:hAnsi="宋体" w:eastAsia="宋体" w:cs="宋体"/>
          <w:i w:val="0"/>
          <w:iCs w:val="0"/>
          <w:color w:val="auto"/>
          <w:szCs w:val="21"/>
          <w:highlight w:val="none"/>
        </w:rPr>
        <w:t xml:space="preserve"> </w:t>
      </w:r>
      <w:r>
        <w:rPr>
          <w:rFonts w:hint="eastAsia" w:ascii="宋体" w:hAnsi="宋体" w:eastAsia="宋体" w:cs="宋体"/>
          <w:i w:val="0"/>
          <w:iCs w:val="0"/>
          <w:color w:val="auto"/>
          <w:szCs w:val="21"/>
          <w:highlight w:val="none"/>
          <w:lang w:val="zh-CN"/>
        </w:rPr>
        <w:t>履约担保</w:t>
      </w:r>
      <w:bookmarkEnd w:id="485"/>
      <w:bookmarkEnd w:id="486"/>
      <w:bookmarkEnd w:id="487"/>
      <w:bookmarkEnd w:id="488"/>
      <w:bookmarkEnd w:id="489"/>
      <w:bookmarkEnd w:id="490"/>
      <w:bookmarkEnd w:id="491"/>
      <w:bookmarkEnd w:id="492"/>
      <w:bookmarkEnd w:id="493"/>
      <w:bookmarkEnd w:id="494"/>
      <w:bookmarkEnd w:id="495"/>
    </w:p>
    <w:p w14:paraId="490EC3AC">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i w:val="0"/>
          <w:iCs w:val="0"/>
          <w:color w:val="auto"/>
          <w:szCs w:val="21"/>
          <w:highlight w:val="none"/>
          <w:lang w:val="zh-CN"/>
        </w:rPr>
      </w:pPr>
      <w:bookmarkStart w:id="496" w:name="_Toc466882025"/>
      <w:bookmarkStart w:id="497" w:name="_Toc465358977"/>
      <w:r>
        <w:rPr>
          <w:rFonts w:hint="eastAsia" w:ascii="宋体" w:hAnsi="宋体" w:eastAsia="宋体" w:cs="宋体"/>
          <w:bCs/>
          <w:i w:val="0"/>
          <w:iCs w:val="0"/>
          <w:color w:val="auto"/>
          <w:szCs w:val="21"/>
          <w:highlight w:val="none"/>
        </w:rPr>
        <w:t>35</w:t>
      </w:r>
      <w:r>
        <w:rPr>
          <w:rFonts w:hint="eastAsia" w:ascii="宋体" w:hAnsi="宋体" w:eastAsia="宋体" w:cs="宋体"/>
          <w:bCs/>
          <w:i w:val="0"/>
          <w:iCs w:val="0"/>
          <w:color w:val="auto"/>
          <w:szCs w:val="21"/>
          <w:highlight w:val="none"/>
          <w:lang w:val="zh-CN"/>
        </w:rPr>
        <w:t>.1</w:t>
      </w:r>
      <w:r>
        <w:rPr>
          <w:rFonts w:hint="eastAsia" w:ascii="宋体" w:hAnsi="宋体" w:eastAsia="宋体" w:cs="宋体"/>
          <w:b/>
          <w:bCs/>
          <w:i w:val="0"/>
          <w:iCs w:val="0"/>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ascii="宋体" w:hAnsi="宋体" w:eastAsia="宋体" w:cs="Times New Roman"/>
          <w:b/>
          <w:bCs/>
          <w:color w:val="auto"/>
          <w:szCs w:val="21"/>
          <w:highlight w:val="none"/>
          <w:u w:val="single"/>
          <w:lang w:val="zh-CN" w:eastAsia="zh-CN"/>
        </w:rPr>
        <w:t>本项目暂定合同价（即销售额，不含销项税额）</w:t>
      </w:r>
      <w:r>
        <w:rPr>
          <w:rFonts w:hint="eastAsia" w:ascii="宋体" w:hAnsi="宋体" w:eastAsia="宋体" w:cs="Times New Roman"/>
          <w:b/>
          <w:bCs/>
          <w:color w:val="auto"/>
          <w:szCs w:val="21"/>
          <w:highlight w:val="none"/>
          <w:u w:val="single"/>
          <w:lang w:val="zh-CN"/>
        </w:rPr>
        <w:t>的5%；采用不可撤销银行履约保函（或履约保证保险）形式的金额为</w:t>
      </w:r>
      <w:r>
        <w:rPr>
          <w:rFonts w:hint="eastAsia" w:ascii="宋体" w:hAnsi="宋体" w:eastAsia="宋体" w:cs="Times New Roman"/>
          <w:b/>
          <w:bCs/>
          <w:color w:val="auto"/>
          <w:szCs w:val="21"/>
          <w:highlight w:val="none"/>
          <w:u w:val="single"/>
          <w:lang w:val="zh-CN" w:eastAsia="zh-CN"/>
        </w:rPr>
        <w:t>本项目暂定合同价（即销售额，不含销项税额）</w:t>
      </w:r>
      <w:r>
        <w:rPr>
          <w:rFonts w:hint="eastAsia" w:ascii="宋体" w:hAnsi="宋体" w:eastAsia="宋体" w:cs="Times New Roman"/>
          <w:b/>
          <w:bCs/>
          <w:color w:val="auto"/>
          <w:szCs w:val="21"/>
          <w:highlight w:val="none"/>
          <w:u w:val="single"/>
          <w:lang w:val="zh-CN"/>
        </w:rPr>
        <w:t>的8%；采用担保公司履约担保书形式的金额为</w:t>
      </w:r>
      <w:r>
        <w:rPr>
          <w:rFonts w:hint="eastAsia" w:ascii="宋体" w:hAnsi="宋体" w:eastAsia="宋体" w:cs="Times New Roman"/>
          <w:b/>
          <w:bCs/>
          <w:color w:val="auto"/>
          <w:szCs w:val="21"/>
          <w:highlight w:val="none"/>
          <w:u w:val="single"/>
          <w:lang w:val="zh-CN" w:eastAsia="zh-CN"/>
        </w:rPr>
        <w:t>本项目暂定合同价（即销售额，不含销项税额）</w:t>
      </w:r>
      <w:r>
        <w:rPr>
          <w:rFonts w:hint="eastAsia" w:ascii="宋体" w:hAnsi="宋体" w:eastAsia="宋体" w:cs="Times New Roman"/>
          <w:b/>
          <w:bCs/>
          <w:color w:val="auto"/>
          <w:szCs w:val="21"/>
          <w:highlight w:val="none"/>
          <w:u w:val="single"/>
          <w:lang w:val="zh-CN"/>
        </w:rPr>
        <w:t>的10%。</w:t>
      </w:r>
      <w:r>
        <w:rPr>
          <w:rFonts w:hint="eastAsia" w:ascii="宋体" w:hAnsi="宋体" w:eastAsia="宋体" w:cs="Arial"/>
          <w:bCs/>
          <w:i w:val="0"/>
          <w:iCs w:val="0"/>
          <w:color w:val="auto"/>
          <w:kern w:val="0"/>
          <w:szCs w:val="24"/>
          <w:highlight w:val="none"/>
        </w:rPr>
        <w:t>合同履行过程中，中标人</w:t>
      </w:r>
      <w:r>
        <w:rPr>
          <w:rFonts w:hint="eastAsia" w:ascii="宋体" w:hAnsi="宋体" w:eastAsia="宋体" w:cs="Arial"/>
          <w:i w:val="0"/>
          <w:iCs w:val="0"/>
          <w:color w:val="auto"/>
          <w:kern w:val="0"/>
          <w:szCs w:val="24"/>
          <w:highlight w:val="none"/>
        </w:rPr>
        <w:t>给</w:t>
      </w:r>
      <w:r>
        <w:rPr>
          <w:rFonts w:hint="eastAsia" w:ascii="宋体" w:hAnsi="宋体" w:eastAsia="宋体" w:cs="宋体"/>
          <w:color w:val="auto"/>
          <w:kern w:val="0"/>
          <w:szCs w:val="24"/>
          <w:highlight w:val="none"/>
        </w:rPr>
        <w:t>招标人或</w:t>
      </w:r>
      <w:r>
        <w:rPr>
          <w:rFonts w:hint="eastAsia" w:ascii="宋体" w:hAnsi="宋体" w:eastAsia="宋体" w:cs="宋体"/>
          <w:color w:val="auto"/>
          <w:kern w:val="0"/>
          <w:szCs w:val="24"/>
          <w:highlight w:val="none"/>
          <w:lang w:eastAsia="zh-CN"/>
        </w:rPr>
        <w:t>招标人权属分公司</w:t>
      </w:r>
      <w:r>
        <w:rPr>
          <w:rFonts w:hint="eastAsia" w:ascii="宋体" w:hAnsi="宋体" w:eastAsia="宋体" w:cs="Arial"/>
          <w:i w:val="0"/>
          <w:iCs w:val="0"/>
          <w:color w:val="auto"/>
          <w:kern w:val="0"/>
          <w:szCs w:val="24"/>
          <w:highlight w:val="none"/>
        </w:rPr>
        <w:t>造成的损失超过履约担保数额的，中标人还应当对超过部分予以赔偿，招标人并依法追究中标人的相应责任。</w:t>
      </w:r>
    </w:p>
    <w:p w14:paraId="5B2839B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 xml:space="preserve">35.2 </w:t>
      </w:r>
      <w:r>
        <w:rPr>
          <w:rFonts w:hint="eastAsia" w:ascii="宋体" w:hAnsi="宋体" w:eastAsia="宋体" w:cs="Times New Roman"/>
          <w:i w:val="0"/>
          <w:iCs w:val="0"/>
          <w:color w:val="auto"/>
          <w:kern w:val="0"/>
          <w:szCs w:val="21"/>
          <w:highlight w:val="none"/>
        </w:rPr>
        <w:t>履约担保用于补偿</w:t>
      </w:r>
      <w:r>
        <w:rPr>
          <w:rFonts w:hint="eastAsia" w:ascii="宋体" w:hAnsi="宋体" w:eastAsia="宋体" w:cs="宋体"/>
          <w:color w:val="auto"/>
          <w:kern w:val="0"/>
          <w:szCs w:val="21"/>
          <w:highlight w:val="none"/>
        </w:rPr>
        <w:t>招标人或</w:t>
      </w:r>
      <w:r>
        <w:rPr>
          <w:rFonts w:hint="eastAsia" w:ascii="宋体" w:hAnsi="宋体" w:eastAsia="宋体" w:cs="宋体"/>
          <w:color w:val="auto"/>
          <w:kern w:val="0"/>
          <w:szCs w:val="21"/>
          <w:highlight w:val="none"/>
          <w:lang w:eastAsia="zh-CN"/>
        </w:rPr>
        <w:t>招标人权属分公司</w:t>
      </w:r>
      <w:r>
        <w:rPr>
          <w:rFonts w:hint="eastAsia" w:ascii="宋体" w:hAnsi="宋体" w:eastAsia="宋体" w:cs="Times New Roman"/>
          <w:i w:val="0"/>
          <w:iCs w:val="0"/>
          <w:color w:val="auto"/>
          <w:kern w:val="0"/>
          <w:szCs w:val="21"/>
          <w:highlight w:val="none"/>
        </w:rPr>
        <w:t>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i w:val="0"/>
          <w:iCs w:val="0"/>
          <w:color w:val="auto"/>
          <w:kern w:val="0"/>
          <w:szCs w:val="21"/>
          <w:highlight w:val="none"/>
        </w:rPr>
        <w:t>：</w:t>
      </w:r>
    </w:p>
    <w:p w14:paraId="0EF4572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（1）中标人将合同项下中标人的权利义务全部转让给第三方，或未经招标人书面同意将部分权利义务转让给第三方的，招标人有权没收其履约担保，同时按本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相关约定</w:t>
      </w:r>
      <w:r>
        <w:rPr>
          <w:rFonts w:hint="eastAsia" w:ascii="宋体" w:hAnsi="宋体" w:eastAsia="宋体" w:cs="宋体"/>
          <w:color w:val="auto"/>
          <w:kern w:val="0"/>
          <w:szCs w:val="21"/>
          <w:highlight w:val="none"/>
        </w:rPr>
        <w:t>追究其他责任。</w:t>
      </w:r>
    </w:p>
    <w:p w14:paraId="7CEB4EE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）在合同履行期间，因中标人原因（包括但不限于</w:t>
      </w:r>
      <w:r>
        <w:rPr>
          <w:rFonts w:hint="eastAsia" w:ascii="宋体" w:hAnsi="宋体" w:eastAsia="宋体" w:cs="宋体"/>
          <w:color w:val="auto"/>
          <w:kern w:val="0"/>
          <w:szCs w:val="21"/>
          <w:highlight w:val="none"/>
          <w:lang w:val="en-US" w:eastAsia="zh-CN"/>
        </w:rPr>
        <w:t>所供货物及有关</w:t>
      </w:r>
      <w:r>
        <w:rPr>
          <w:rFonts w:hint="eastAsia" w:ascii="宋体" w:hAnsi="宋体" w:eastAsia="宋体" w:cs="宋体"/>
          <w:color w:val="auto"/>
          <w:kern w:val="0"/>
          <w:szCs w:val="21"/>
          <w:highlight w:val="none"/>
        </w:rPr>
        <w:t>服务质量问题、资金链问题拖欠工资/货款）造成损害、侵权损失（包括但不限于</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或招标人权属分公司、第三人的人身/财产损失等）、或因</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与其员工的争议影响</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的正常经营秩序或损害</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商誉的，中标人未在10个工作日内妥善处理的，</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有权使用履约担保补偿实际损失（如第三方赔偿款），违约金等违约责任按本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相关约定</w:t>
      </w:r>
      <w:r>
        <w:rPr>
          <w:rFonts w:hint="eastAsia" w:ascii="宋体" w:hAnsi="宋体" w:eastAsia="宋体" w:cs="宋体"/>
          <w:color w:val="auto"/>
          <w:kern w:val="0"/>
          <w:szCs w:val="21"/>
          <w:highlight w:val="none"/>
        </w:rPr>
        <w:t>另行追究。</w:t>
      </w:r>
    </w:p>
    <w:p w14:paraId="191E793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）在合同履行期间，中标人违约产生的违约金、赔偿、罚款或其他应付费用等款项，招标人有权</w:t>
      </w:r>
      <w:r>
        <w:rPr>
          <w:rFonts w:hint="eastAsia" w:ascii="宋体" w:hAnsi="宋体" w:eastAsia="宋体" w:cs="宋体"/>
          <w:color w:val="auto"/>
          <w:kern w:val="0"/>
          <w:szCs w:val="21"/>
          <w:highlight w:val="none"/>
          <w:lang w:val="en-US" w:eastAsia="zh-CN"/>
        </w:rPr>
        <w:t>优先</w:t>
      </w:r>
      <w:r>
        <w:rPr>
          <w:rFonts w:hint="eastAsia" w:ascii="宋体" w:hAnsi="宋体" w:eastAsia="宋体" w:cs="宋体"/>
          <w:color w:val="auto"/>
          <w:kern w:val="0"/>
          <w:szCs w:val="21"/>
          <w:highlight w:val="none"/>
        </w:rPr>
        <w:t>直接从未付款项中直接扣除</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未付款项不足抵扣的，可</w:t>
      </w:r>
      <w:r>
        <w:rPr>
          <w:rFonts w:hint="eastAsia" w:ascii="宋体" w:hAnsi="宋体" w:eastAsia="宋体" w:cs="宋体"/>
          <w:color w:val="auto"/>
          <w:kern w:val="0"/>
          <w:szCs w:val="21"/>
          <w:highlight w:val="none"/>
        </w:rPr>
        <w:t>启用履约担保支付</w:t>
      </w:r>
      <w:r>
        <w:rPr>
          <w:rFonts w:hint="eastAsia" w:ascii="宋体" w:hAnsi="宋体" w:eastAsia="宋体" w:cs="宋体"/>
          <w:color w:val="auto"/>
          <w:kern w:val="0"/>
          <w:szCs w:val="21"/>
          <w:highlight w:val="none"/>
          <w:lang w:val="en-US" w:eastAsia="zh-CN"/>
        </w:rPr>
        <w:t>差额；仍有不足的，中标人还应补足</w:t>
      </w:r>
      <w:r>
        <w:rPr>
          <w:rFonts w:hint="eastAsia" w:ascii="宋体" w:hAnsi="宋体" w:eastAsia="宋体" w:cs="宋体"/>
          <w:color w:val="auto"/>
          <w:kern w:val="0"/>
          <w:szCs w:val="21"/>
          <w:highlight w:val="none"/>
        </w:rPr>
        <w:t>。</w:t>
      </w:r>
    </w:p>
    <w:p w14:paraId="461327B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）合同期内，中标人不能及时完成合同某项义务的，招标人有权提取履约担保用于处理该项工作。</w:t>
      </w:r>
    </w:p>
    <w:p w14:paraId="7596559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）其他根据本合同约定或法律规定，招标人可启用履约担保的情形。</w:t>
      </w:r>
    </w:p>
    <w:p w14:paraId="5AB04F8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62C356E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607FA4D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4594E8A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039697C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w:t>
      </w:r>
      <w:r>
        <w:rPr>
          <w:rFonts w:hint="eastAsia" w:ascii="宋体" w:hAnsi="宋体" w:eastAsia="宋体" w:cs="宋体"/>
          <w:color w:val="auto"/>
          <w:kern w:val="0"/>
          <w:szCs w:val="21"/>
          <w:highlight w:val="none"/>
          <w:lang w:val="en-US" w:eastAsia="zh-CN"/>
        </w:rPr>
        <w:t>办妥</w:t>
      </w:r>
      <w:r>
        <w:rPr>
          <w:rFonts w:hint="eastAsia" w:ascii="宋体" w:hAnsi="宋体" w:eastAsia="宋体" w:cs="宋体"/>
          <w:color w:val="auto"/>
          <w:kern w:val="0"/>
          <w:szCs w:val="21"/>
          <w:highlight w:val="none"/>
        </w:rPr>
        <w:t>延期手续或重新提供不可撤销银行履约保函或履约保证保险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68020B2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4B55815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i w:val="0"/>
          <w:iCs w:val="0"/>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（6）不可撤销银行履约保函（或履约保证保险或担保公司履约担保书）应从合同签订之日起至合同期限届满并完成全部供货验收合格后二十八（28）日内保持有效。</w:t>
      </w:r>
    </w:p>
    <w:p w14:paraId="6DB9B7F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35.4  履约保证金应用本合同货币。</w:t>
      </w:r>
    </w:p>
    <w:p w14:paraId="4308CC8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35.5  中标人</w:t>
      </w:r>
      <w:r>
        <w:rPr>
          <w:rFonts w:ascii="宋体" w:hAnsi="宋体" w:eastAsia="宋体" w:cs="Times New Roman"/>
          <w:i w:val="0"/>
          <w:iCs w:val="0"/>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人的法人书面授权，不接受由私人账户</w:t>
      </w:r>
      <w:r>
        <w:rPr>
          <w:rFonts w:hint="eastAsia" w:ascii="宋体" w:hAnsi="宋体" w:eastAsia="宋体" w:cs="Times New Roman"/>
          <w:i w:val="0"/>
          <w:iCs w:val="0"/>
          <w:color w:val="auto"/>
          <w:kern w:val="0"/>
          <w:szCs w:val="21"/>
          <w:highlight w:val="none"/>
          <w:lang w:eastAsia="zh-CN"/>
        </w:rPr>
        <w:t>和</w:t>
      </w:r>
      <w:r>
        <w:rPr>
          <w:rFonts w:hint="eastAsia" w:ascii="宋体" w:hAnsi="宋体" w:eastAsia="宋体" w:cs="Times New Roman"/>
          <w:i w:val="0"/>
          <w:iCs w:val="0"/>
          <w:color w:val="auto"/>
          <w:kern w:val="0"/>
          <w:szCs w:val="21"/>
          <w:highlight w:val="none"/>
          <w:lang w:val="en-US" w:eastAsia="zh-CN"/>
        </w:rPr>
        <w:t>其它</w:t>
      </w:r>
      <w:r>
        <w:rPr>
          <w:rFonts w:hint="eastAsia" w:ascii="宋体" w:hAnsi="宋体" w:eastAsia="宋体" w:cs="Times New Roman"/>
          <w:i w:val="0"/>
          <w:iCs w:val="0"/>
          <w:color w:val="auto"/>
          <w:kern w:val="0"/>
          <w:szCs w:val="21"/>
          <w:highlight w:val="none"/>
          <w:lang w:eastAsia="zh-CN"/>
        </w:rPr>
        <w:t>单位</w:t>
      </w:r>
      <w:r>
        <w:rPr>
          <w:rFonts w:ascii="宋体" w:hAnsi="宋体" w:eastAsia="宋体" w:cs="Times New Roman"/>
          <w:i w:val="0"/>
          <w:iCs w:val="0"/>
          <w:color w:val="auto"/>
          <w:kern w:val="0"/>
          <w:szCs w:val="21"/>
          <w:highlight w:val="none"/>
        </w:rPr>
        <w:t>转入的保证金</w:t>
      </w:r>
      <w:r>
        <w:rPr>
          <w:rFonts w:hint="eastAsia" w:ascii="宋体" w:hAnsi="宋体" w:eastAsia="宋体" w:cs="Times New Roman"/>
          <w:i w:val="0"/>
          <w:iCs w:val="0"/>
          <w:color w:val="auto"/>
          <w:kern w:val="0"/>
          <w:szCs w:val="21"/>
          <w:highlight w:val="none"/>
        </w:rPr>
        <w:t>，也不接受现金形式提交</w:t>
      </w:r>
      <w:r>
        <w:rPr>
          <w:rFonts w:ascii="宋体" w:hAnsi="宋体" w:eastAsia="宋体" w:cs="Times New Roman"/>
          <w:i w:val="0"/>
          <w:iCs w:val="0"/>
          <w:color w:val="auto"/>
          <w:kern w:val="0"/>
          <w:szCs w:val="21"/>
          <w:highlight w:val="none"/>
        </w:rPr>
        <w:t>。履约保证金应以存入招标人指定的</w:t>
      </w:r>
      <w:r>
        <w:rPr>
          <w:rFonts w:hint="eastAsia" w:ascii="宋体" w:hAnsi="宋体" w:eastAsia="宋体" w:cs="Times New Roman"/>
          <w:i w:val="0"/>
          <w:iCs w:val="0"/>
          <w:color w:val="auto"/>
          <w:kern w:val="0"/>
          <w:szCs w:val="21"/>
          <w:highlight w:val="none"/>
        </w:rPr>
        <w:t>以下</w:t>
      </w:r>
      <w:r>
        <w:rPr>
          <w:rFonts w:ascii="宋体" w:hAnsi="宋体" w:eastAsia="宋体" w:cs="Times New Roman"/>
          <w:i w:val="0"/>
          <w:iCs w:val="0"/>
          <w:color w:val="auto"/>
          <w:kern w:val="0"/>
          <w:szCs w:val="21"/>
          <w:highlight w:val="none"/>
        </w:rPr>
        <w:t>银行账户为准</w:t>
      </w:r>
      <w:r>
        <w:rPr>
          <w:rFonts w:hint="eastAsia" w:ascii="宋体" w:hAnsi="宋体" w:eastAsia="宋体" w:cs="宋体"/>
          <w:i w:val="0"/>
          <w:iCs w:val="0"/>
          <w:color w:val="auto"/>
          <w:kern w:val="0"/>
          <w:szCs w:val="21"/>
          <w:highlight w:val="none"/>
        </w:rPr>
        <w:t>。</w:t>
      </w:r>
    </w:p>
    <w:p w14:paraId="3DDA94FD">
      <w:pPr>
        <w:tabs>
          <w:tab w:val="left" w:pos="360"/>
          <w:tab w:val="left" w:pos="4725"/>
        </w:tabs>
        <w:autoSpaceDE w:val="0"/>
        <w:autoSpaceDN w:val="0"/>
        <w:adjustRightInd w:val="0"/>
        <w:spacing w:line="360" w:lineRule="auto"/>
        <w:ind w:firstLine="632" w:firstLineChars="300"/>
        <w:jc w:val="left"/>
        <w:rPr>
          <w:rFonts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317647DA">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lang w:val="zh-CN" w:eastAsia="zh-CN"/>
        </w:rPr>
        <w:t>东莞市水务环境投资控股集团供水有限公司</w:t>
      </w:r>
    </w:p>
    <w:p w14:paraId="2050D908">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开户名称：</w:t>
      </w:r>
      <w:r>
        <w:rPr>
          <w:rFonts w:hint="eastAsia" w:ascii="宋体" w:hAnsi="宋体" w:eastAsia="宋体" w:cs="宋体"/>
          <w:b/>
          <w:color w:val="auto"/>
          <w:kern w:val="0"/>
          <w:szCs w:val="21"/>
          <w:highlight w:val="none"/>
          <w:lang w:eastAsia="zh-CN"/>
        </w:rPr>
        <w:t>东莞市水务环境投资控股集团供水有限公司</w:t>
      </w:r>
    </w:p>
    <w:p w14:paraId="0657F218">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银行账号：4400 1778 8080 5999 9998</w:t>
      </w:r>
    </w:p>
    <w:p w14:paraId="1D9E1A4A">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开户银行：建行东莞分行营业部</w:t>
      </w:r>
    </w:p>
    <w:p w14:paraId="511E50F1">
      <w:pPr>
        <w:autoSpaceDE w:val="0"/>
        <w:autoSpaceDN w:val="0"/>
        <w:adjustRightInd w:val="0"/>
        <w:spacing w:line="360" w:lineRule="auto"/>
        <w:ind w:left="420" w:leftChars="-100" w:hanging="630" w:hangingChars="30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35.6</w:t>
      </w:r>
      <w:r>
        <w:rPr>
          <w:rFonts w:ascii="宋体" w:hAnsi="宋体" w:eastAsia="宋体" w:cs="宋体"/>
          <w:i w:val="0"/>
          <w:iCs w:val="0"/>
          <w:color w:val="auto"/>
          <w:kern w:val="0"/>
          <w:szCs w:val="21"/>
          <w:highlight w:val="none"/>
        </w:rPr>
        <w:t xml:space="preserve">  </w:t>
      </w:r>
      <w:r>
        <w:rPr>
          <w:rFonts w:hint="eastAsia" w:ascii="宋体" w:hAnsi="宋体" w:eastAsia="宋体" w:cs="宋体"/>
          <w:i w:val="0"/>
          <w:iCs w:val="0"/>
          <w:color w:val="auto"/>
          <w:kern w:val="0"/>
          <w:szCs w:val="21"/>
          <w:highlight w:val="none"/>
        </w:rPr>
        <w:t>中标</w:t>
      </w:r>
      <w:r>
        <w:rPr>
          <w:rFonts w:hint="eastAsia" w:ascii="宋体" w:hAnsi="宋体" w:eastAsia="宋体" w:cs="Times New Roman"/>
          <w:i w:val="0"/>
          <w:iCs w:val="0"/>
          <w:color w:val="auto"/>
          <w:kern w:val="0"/>
          <w:szCs w:val="24"/>
          <w:highlight w:val="none"/>
        </w:rPr>
        <w:t>单位提交了履约担保后，当履约保证金转达招标人履约保证金账户后，</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人将履约保证金的汇款凭证用A4纸复印件（</w:t>
      </w:r>
      <w:r>
        <w:rPr>
          <w:rFonts w:hint="eastAsia" w:ascii="宋体" w:hAnsi="宋体" w:eastAsia="宋体" w:cs="Times New Roman"/>
          <w:bCs/>
          <w:i w:val="0"/>
          <w:iCs w:val="0"/>
          <w:color w:val="auto"/>
          <w:kern w:val="0"/>
          <w:szCs w:val="24"/>
          <w:highlight w:val="none"/>
        </w:rPr>
        <w:t>注明</w:t>
      </w:r>
      <w:r>
        <w:rPr>
          <w:rFonts w:hint="eastAsia" w:ascii="宋体" w:hAnsi="宋体" w:eastAsia="宋体" w:cs="Times New Roman"/>
          <w:bCs/>
          <w:i w:val="0"/>
          <w:iCs w:val="0"/>
          <w:color w:val="auto"/>
          <w:szCs w:val="21"/>
          <w:highlight w:val="none"/>
          <w:lang w:val="zh-CN"/>
        </w:rPr>
        <w:t>招标</w:t>
      </w:r>
      <w:r>
        <w:rPr>
          <w:rFonts w:hint="eastAsia" w:ascii="宋体" w:hAnsi="宋体" w:eastAsia="宋体" w:cs="Times New Roman"/>
          <w:bCs/>
          <w:i w:val="0"/>
          <w:iCs w:val="0"/>
          <w:color w:val="auto"/>
          <w:kern w:val="0"/>
          <w:szCs w:val="24"/>
          <w:highlight w:val="none"/>
        </w:rPr>
        <w:t>编号</w:t>
      </w:r>
      <w:r>
        <w:rPr>
          <w:rFonts w:hint="eastAsia" w:ascii="宋体" w:hAnsi="宋体" w:eastAsia="宋体" w:cs="Times New Roman"/>
          <w:i w:val="0"/>
          <w:iCs w:val="0"/>
          <w:color w:val="auto"/>
          <w:kern w:val="0"/>
          <w:szCs w:val="24"/>
          <w:highlight w:val="none"/>
        </w:rPr>
        <w:t>）一式二份并加盖</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人的公章送招标代理机构，[或当中标人采取不可撤销银行履约保函（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或担保公司履约担保书）的方式缴纳履约担保时，中标人将不可撤销银行履约保函（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或担保公司履约担保书）原件</w:t>
      </w:r>
      <w:r>
        <w:rPr>
          <w:rFonts w:hint="eastAsia" w:ascii="宋体" w:hAnsi="宋体" w:eastAsia="宋体" w:cs="Times New Roman"/>
          <w:i w:val="0"/>
          <w:iCs w:val="0"/>
          <w:color w:val="auto"/>
          <w:szCs w:val="21"/>
          <w:highlight w:val="none"/>
          <w:lang w:val="zh-CN"/>
        </w:rPr>
        <w:t>交给招标人，由招标人在</w:t>
      </w:r>
      <w:r>
        <w:rPr>
          <w:rFonts w:hint="eastAsia" w:ascii="宋体" w:hAnsi="宋体" w:eastAsia="宋体" w:cs="Times New Roman"/>
          <w:i w:val="0"/>
          <w:iCs w:val="0"/>
          <w:color w:val="auto"/>
          <w:kern w:val="0"/>
          <w:szCs w:val="24"/>
          <w:highlight w:val="none"/>
        </w:rPr>
        <w:t>履约保函一式两份复印件上</w:t>
      </w:r>
      <w:r>
        <w:rPr>
          <w:rFonts w:hint="eastAsia" w:ascii="宋体" w:hAnsi="宋体" w:eastAsia="宋体" w:cs="Times New Roman"/>
          <w:i w:val="0"/>
          <w:iCs w:val="0"/>
          <w:color w:val="auto"/>
          <w:szCs w:val="21"/>
          <w:highlight w:val="none"/>
          <w:lang w:val="zh-CN"/>
        </w:rPr>
        <w:t>注明“原件已收”及签收人、日期后，中标人在每份复印件上</w:t>
      </w:r>
      <w:r>
        <w:rPr>
          <w:rFonts w:hint="eastAsia" w:ascii="宋体" w:hAnsi="宋体" w:eastAsia="宋体" w:cs="Times New Roman"/>
          <w:i w:val="0"/>
          <w:iCs w:val="0"/>
          <w:color w:val="auto"/>
          <w:kern w:val="0"/>
          <w:szCs w:val="24"/>
          <w:highlight w:val="none"/>
        </w:rPr>
        <w:t>加盖</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人的公章，送招标代理机构]</w:t>
      </w:r>
      <w:r>
        <w:rPr>
          <w:rFonts w:hint="eastAsia" w:ascii="宋体" w:hAnsi="宋体" w:eastAsia="宋体" w:cs="宋体"/>
          <w:i w:val="0"/>
          <w:iCs w:val="0"/>
          <w:color w:val="auto"/>
          <w:kern w:val="0"/>
          <w:szCs w:val="21"/>
          <w:highlight w:val="none"/>
        </w:rPr>
        <w:t>。</w:t>
      </w:r>
    </w:p>
    <w:p w14:paraId="55A5AE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4"/>
          <w:highlight w:val="none"/>
        </w:rPr>
      </w:pPr>
      <w:r>
        <w:rPr>
          <w:rFonts w:hint="eastAsia" w:ascii="宋体" w:hAnsi="宋体" w:eastAsia="宋体" w:cs="Times New Roman"/>
          <w:i w:val="0"/>
          <w:iCs w:val="0"/>
          <w:color w:val="auto"/>
          <w:kern w:val="0"/>
          <w:szCs w:val="24"/>
          <w:highlight w:val="none"/>
        </w:rPr>
        <w:t>35.7</w:t>
      </w:r>
      <w:r>
        <w:rPr>
          <w:rFonts w:ascii="宋体" w:hAnsi="宋体" w:eastAsia="宋体" w:cs="Times New Roman"/>
          <w:i w:val="0"/>
          <w:iCs w:val="0"/>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在合同期限届满并完成全部供货验收合格后二十八（28）日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bookmarkEnd w:id="496"/>
    <w:bookmarkEnd w:id="497"/>
    <w:p w14:paraId="0148BC5B">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bookmarkStart w:id="498" w:name="_Toc450662888"/>
    </w:p>
    <w:p w14:paraId="47B50149">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99" w:name="_Toc1176"/>
      <w:bookmarkStart w:id="500" w:name="_Toc14372"/>
      <w:bookmarkStart w:id="501" w:name="_Toc19624"/>
      <w:bookmarkStart w:id="502" w:name="_Toc142508354"/>
      <w:bookmarkStart w:id="503" w:name="_Toc11444"/>
      <w:bookmarkStart w:id="504" w:name="_Toc486167703"/>
      <w:bookmarkStart w:id="505" w:name="_Toc3026"/>
      <w:bookmarkStart w:id="506" w:name="_Toc28921_WPSOffice_Level3"/>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中标服务费</w:t>
      </w:r>
      <w:bookmarkEnd w:id="498"/>
      <w:bookmarkEnd w:id="499"/>
      <w:bookmarkEnd w:id="500"/>
      <w:bookmarkEnd w:id="501"/>
      <w:bookmarkEnd w:id="502"/>
      <w:bookmarkEnd w:id="503"/>
      <w:bookmarkEnd w:id="504"/>
      <w:bookmarkEnd w:id="505"/>
      <w:bookmarkEnd w:id="506"/>
    </w:p>
    <w:p w14:paraId="26FA37CD">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.1 </w:t>
      </w:r>
      <w:r>
        <w:rPr>
          <w:rFonts w:hint="eastAsia" w:ascii="宋体" w:hAnsi="宋体" w:eastAsia="宋体" w:cs="宋体"/>
          <w:color w:val="auto"/>
          <w:szCs w:val="21"/>
          <w:highlight w:val="none"/>
        </w:rPr>
        <w:t>中标人应向招标代理机构一次性交纳</w:t>
      </w:r>
      <w:r>
        <w:rPr>
          <w:rFonts w:hint="eastAsia" w:ascii="宋体" w:hAnsi="宋体" w:eastAsia="宋体" w:cs="宋体"/>
          <w:color w:val="auto"/>
          <w:szCs w:val="21"/>
          <w:highlight w:val="none"/>
          <w:lang w:val="en-US" w:eastAsia="zh-CN"/>
        </w:rPr>
        <w:t>代理</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本项目按货物招标计算服务费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代理服务费</w:t>
      </w:r>
      <w:r>
        <w:rPr>
          <w:rFonts w:hint="eastAsia" w:ascii="宋体" w:hAnsi="宋体" w:eastAsia="宋体" w:cs="宋体"/>
          <w:b w:val="0"/>
          <w:color w:val="auto"/>
          <w:szCs w:val="21"/>
          <w:highlight w:val="none"/>
          <w:lang w:val="en-US" w:eastAsia="zh-CN"/>
        </w:rPr>
        <w:t>以中标金额计算（投标报价采用填报投标折扣系数的方式的，中标金额按中标折扣系数*本项目的不含税暂定采购金额计算），依次按以下第（1）（2）款计算得出服务费基价，服务费基价</w:t>
      </w:r>
      <w:r>
        <w:rPr>
          <w:rFonts w:hint="eastAsia" w:ascii="宋体" w:hAnsi="宋体" w:eastAsia="宋体" w:cs="宋体"/>
          <w:b w:val="0"/>
          <w:color w:val="auto"/>
          <w:szCs w:val="21"/>
          <w:highlight w:val="none"/>
          <w:lang w:val="zh-CN" w:eastAsia="zh-CN"/>
        </w:rPr>
        <w:t>实行全额分档折扣计算，</w:t>
      </w:r>
      <w:r>
        <w:rPr>
          <w:rFonts w:hint="eastAsia" w:ascii="宋体" w:hAnsi="宋体" w:eastAsia="宋体" w:cs="宋体"/>
          <w:b w:val="0"/>
          <w:color w:val="auto"/>
          <w:szCs w:val="21"/>
          <w:highlight w:val="none"/>
          <w:lang w:val="en-US" w:eastAsia="zh-CN"/>
        </w:rPr>
        <w:t>按第（3）款计算折扣得出代理服务费</w:t>
      </w:r>
      <w:r>
        <w:rPr>
          <w:rFonts w:hint="eastAsia" w:ascii="宋体" w:hAnsi="宋体" w:eastAsia="宋体" w:cs="宋体"/>
          <w:b w:val="0"/>
          <w:color w:val="auto"/>
          <w:szCs w:val="21"/>
          <w:highlight w:val="none"/>
          <w:lang w:val="zh-CN"/>
        </w:rPr>
        <w:t>，</w:t>
      </w:r>
      <w:r>
        <w:rPr>
          <w:rFonts w:hint="eastAsia" w:ascii="宋体" w:hAnsi="宋体" w:eastAsia="宋体" w:cs="宋体"/>
          <w:b w:val="0"/>
          <w:color w:val="auto"/>
          <w:szCs w:val="21"/>
          <w:highlight w:val="none"/>
          <w:lang w:val="en-US" w:eastAsia="zh-CN"/>
        </w:rPr>
        <w:t>具体如下。</w:t>
      </w:r>
    </w:p>
    <w:p w14:paraId="5A35CD2A">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w:t>
      </w:r>
      <w:r>
        <w:rPr>
          <w:rFonts w:hint="eastAsia" w:ascii="宋体" w:hAnsi="宋体" w:eastAsia="宋体" w:cs="宋体"/>
          <w:b w:val="0"/>
          <w:color w:val="auto"/>
          <w:szCs w:val="21"/>
          <w:highlight w:val="none"/>
          <w:lang w:val="zh-CN"/>
        </w:rPr>
        <w:t>参照</w:t>
      </w:r>
      <w:r>
        <w:rPr>
          <w:rFonts w:hint="eastAsia" w:ascii="宋体" w:hAnsi="宋体" w:eastAsia="宋体" w:cs="宋体"/>
          <w:b w:val="0"/>
          <w:color w:val="auto"/>
          <w:szCs w:val="21"/>
          <w:highlight w:val="none"/>
          <w:lang w:val="en-US" w:eastAsia="zh-CN"/>
        </w:rPr>
        <w:t>以下标准按差额定率累进法计算：</w:t>
      </w:r>
    </w:p>
    <w:tbl>
      <w:tblPr>
        <w:tblStyle w:val="39"/>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44"/>
        <w:gridCol w:w="2544"/>
        <w:gridCol w:w="2544"/>
        <w:gridCol w:w="2550"/>
      </w:tblGrid>
      <w:tr w14:paraId="5F8638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auto"/>
            <w:tcMar>
              <w:top w:w="0" w:type="dxa"/>
              <w:left w:w="0" w:type="dxa"/>
              <w:bottom w:w="0" w:type="dxa"/>
              <w:right w:w="0" w:type="dxa"/>
            </w:tcMar>
            <w:vAlign w:val="center"/>
          </w:tcPr>
          <w:p w14:paraId="00A67E9B">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中标金额（万元）</w:t>
            </w:r>
          </w:p>
        </w:tc>
        <w:tc>
          <w:tcPr>
            <w:tcW w:w="3750" w:type="pct"/>
            <w:gridSpan w:val="3"/>
            <w:shd w:val="clear" w:color="auto" w:fill="auto"/>
            <w:tcMar>
              <w:top w:w="0" w:type="dxa"/>
              <w:left w:w="0" w:type="dxa"/>
              <w:bottom w:w="0" w:type="dxa"/>
              <w:right w:w="0" w:type="dxa"/>
            </w:tcMar>
            <w:vAlign w:val="center"/>
          </w:tcPr>
          <w:p w14:paraId="690AFE21">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服务类型</w:t>
            </w:r>
          </w:p>
        </w:tc>
      </w:tr>
      <w:tr w14:paraId="5E74E4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14:paraId="448309B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auto"/>
            <w:tcMar>
              <w:top w:w="0" w:type="dxa"/>
              <w:left w:w="0" w:type="dxa"/>
              <w:bottom w:w="0" w:type="dxa"/>
              <w:right w:w="0" w:type="dxa"/>
            </w:tcMar>
            <w:vAlign w:val="center"/>
          </w:tcPr>
          <w:p w14:paraId="0C73AC82">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费率</w:t>
            </w:r>
          </w:p>
        </w:tc>
      </w:tr>
      <w:tr w14:paraId="1B008E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14:paraId="4B2396F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auto"/>
            <w:tcMar>
              <w:top w:w="0" w:type="dxa"/>
              <w:left w:w="0" w:type="dxa"/>
              <w:bottom w:w="0" w:type="dxa"/>
              <w:right w:w="0" w:type="dxa"/>
            </w:tcMar>
            <w:vAlign w:val="center"/>
          </w:tcPr>
          <w:p w14:paraId="4F732C23">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货物招标</w:t>
            </w:r>
          </w:p>
        </w:tc>
        <w:tc>
          <w:tcPr>
            <w:tcW w:w="1249" w:type="pct"/>
            <w:shd w:val="clear" w:color="auto" w:fill="auto"/>
            <w:tcMar>
              <w:top w:w="0" w:type="dxa"/>
              <w:left w:w="0" w:type="dxa"/>
              <w:bottom w:w="0" w:type="dxa"/>
              <w:right w:w="0" w:type="dxa"/>
            </w:tcMar>
            <w:vAlign w:val="center"/>
          </w:tcPr>
          <w:p w14:paraId="245A1A07">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服务招标</w:t>
            </w:r>
          </w:p>
        </w:tc>
        <w:tc>
          <w:tcPr>
            <w:tcW w:w="1251" w:type="pct"/>
            <w:shd w:val="clear" w:color="auto" w:fill="auto"/>
            <w:tcMar>
              <w:top w:w="0" w:type="dxa"/>
              <w:left w:w="0" w:type="dxa"/>
              <w:bottom w:w="0" w:type="dxa"/>
              <w:right w:w="0" w:type="dxa"/>
            </w:tcMar>
            <w:vAlign w:val="center"/>
          </w:tcPr>
          <w:p w14:paraId="10072C98">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工程招标</w:t>
            </w:r>
          </w:p>
        </w:tc>
      </w:tr>
      <w:tr w14:paraId="76382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BDDB15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106DEC2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66018ED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5375764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349705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17E956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4CF9A42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44EBA98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4B0020B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5C86AF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EE01D0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381459B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75E7C75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7634809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41BFB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1F0D3F3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0077E79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21CC82B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4014B8C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6302FF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14C416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5E6A8A8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09EC2A0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74355D1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426626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CF6938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331C180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3726FD7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6D80848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347E2E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2D456FC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7A8AB4F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69E4F21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017A398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4A791969">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color w:val="auto"/>
          <w:szCs w:val="21"/>
          <w:highlight w:val="none"/>
          <w:lang w:val="en-US"/>
        </w:rPr>
      </w:pPr>
      <w:r>
        <w:rPr>
          <w:rFonts w:hint="eastAsia" w:ascii="宋体" w:hAnsi="宋体" w:eastAsia="宋体" w:cs="宋体"/>
          <w:b w:val="0"/>
          <w:color w:val="auto"/>
          <w:szCs w:val="21"/>
          <w:highlight w:val="none"/>
          <w:lang w:val="en-US" w:eastAsia="zh-CN"/>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3ADA18D8">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w:t>
      </w:r>
      <w:r>
        <w:rPr>
          <w:rFonts w:hint="eastAsia" w:ascii="宋体" w:hAnsi="宋体" w:eastAsia="宋体" w:cs="宋体"/>
          <w:b w:val="0"/>
          <w:color w:val="auto"/>
          <w:szCs w:val="21"/>
          <w:highlight w:val="none"/>
          <w:lang w:val="en-US"/>
        </w:rPr>
        <w:t>。</w:t>
      </w:r>
      <w:r>
        <w:rPr>
          <w:rFonts w:hint="eastAsia" w:ascii="宋体" w:hAnsi="宋体" w:eastAsia="宋体" w:cs="宋体"/>
          <w:b w:val="0"/>
          <w:color w:val="auto"/>
          <w:szCs w:val="21"/>
          <w:highlight w:val="none"/>
          <w:lang w:val="en-US" w:eastAsia="zh-CN"/>
        </w:rPr>
        <w:t>同时，为保障项目服务质量与库管理的可持续性，设置单个项目代理费最低为8000元，即按上述收费标准计取后不足8000元的，以8000元作为代理费。</w:t>
      </w:r>
    </w:p>
    <w:p w14:paraId="17E191F2">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例子：某项目招标代理业务中标金额为2000万元（货物类），计算代理服务费额如下：</w:t>
      </w:r>
    </w:p>
    <w:p w14:paraId="3EF5E5D5">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=15000元</w:t>
      </w:r>
    </w:p>
    <w:p w14:paraId="1CFE13F7">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：400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=44000元</w:t>
      </w:r>
    </w:p>
    <w:p w14:paraId="138B51A9">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=40000元</w:t>
      </w:r>
    </w:p>
    <w:p w14:paraId="7630A730">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2000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=50000元</w:t>
      </w:r>
    </w:p>
    <w:p w14:paraId="3DA1CAB6">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各</w:t>
      </w:r>
      <w:r>
        <w:rPr>
          <w:rFonts w:hint="eastAsia" w:ascii="宋体" w:hAnsi="宋体" w:eastAsia="宋体" w:cs="宋体"/>
          <w:color w:val="auto"/>
          <w:szCs w:val="21"/>
          <w:highlight w:val="none"/>
          <w:lang w:val="en-US" w:eastAsia="zh-CN"/>
        </w:rPr>
        <w:t>部分</w:t>
      </w:r>
      <w:r>
        <w:rPr>
          <w:rFonts w:hint="default" w:ascii="宋体" w:hAnsi="宋体" w:eastAsia="宋体" w:cs="宋体"/>
          <w:color w:val="auto"/>
          <w:szCs w:val="21"/>
          <w:highlight w:val="none"/>
        </w:rPr>
        <w:t>累计得</w:t>
      </w:r>
      <w:r>
        <w:rPr>
          <w:rFonts w:hint="eastAsia" w:ascii="宋体" w:hAnsi="宋体" w:eastAsia="宋体" w:cs="宋体"/>
          <w:color w:val="auto"/>
          <w:szCs w:val="21"/>
          <w:highlight w:val="none"/>
          <w:lang w:val="en-US" w:eastAsia="zh-CN"/>
        </w:rPr>
        <w:t>出</w:t>
      </w:r>
      <w:r>
        <w:rPr>
          <w:rFonts w:hint="eastAsia" w:ascii="宋体" w:hAnsi="宋体" w:eastAsia="宋体" w:cs="宋体"/>
          <w:b w:val="0"/>
          <w:color w:val="auto"/>
          <w:szCs w:val="21"/>
          <w:highlight w:val="none"/>
          <w:lang w:val="en-US" w:eastAsia="zh-CN"/>
        </w:rPr>
        <w:t>服务费基价</w:t>
      </w:r>
      <w:r>
        <w:rPr>
          <w:rFonts w:hint="default" w:ascii="宋体" w:hAnsi="宋体" w:eastAsia="宋体" w:cs="宋体"/>
          <w:color w:val="auto"/>
          <w:szCs w:val="21"/>
          <w:highlight w:val="none"/>
        </w:rPr>
        <w:t>：149000.00元</w:t>
      </w:r>
    </w:p>
    <w:p w14:paraId="1527CAD0">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color w:val="auto"/>
          <w:szCs w:val="21"/>
          <w:highlight w:val="none"/>
          <w:lang w:val="zh-CN"/>
        </w:rPr>
      </w:pPr>
      <w:r>
        <w:rPr>
          <w:rFonts w:hint="default"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计算得</w:t>
      </w:r>
      <w:r>
        <w:rPr>
          <w:rFonts w:hint="eastAsia" w:ascii="宋体" w:hAnsi="宋体" w:eastAsia="宋体" w:cs="宋体"/>
          <w:color w:val="auto"/>
          <w:szCs w:val="21"/>
          <w:highlight w:val="none"/>
          <w:lang w:val="en-US" w:eastAsia="zh-CN"/>
        </w:rPr>
        <w:t>出代理服务费</w:t>
      </w:r>
      <w:r>
        <w:rPr>
          <w:rFonts w:hint="default" w:ascii="宋体" w:hAnsi="宋体" w:eastAsia="宋体" w:cs="宋体"/>
          <w:color w:val="auto"/>
          <w:szCs w:val="21"/>
          <w:highlight w:val="none"/>
        </w:rPr>
        <w:t>：149000</w:t>
      </w:r>
      <w:r>
        <w:rPr>
          <w:rFonts w:hint="eastAsia" w:ascii="宋体" w:hAnsi="宋体" w:eastAsia="宋体" w:cs="宋体"/>
          <w:color w:val="auto"/>
          <w:szCs w:val="21"/>
          <w:highlight w:val="none"/>
          <w:lang w:val="en-US" w:eastAsia="zh-CN"/>
        </w:rPr>
        <w:t>元</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70%=104300</w:t>
      </w:r>
      <w:r>
        <w:rPr>
          <w:rFonts w:hint="default" w:ascii="宋体" w:hAnsi="宋体" w:eastAsia="宋体" w:cs="宋体"/>
          <w:color w:val="auto"/>
          <w:szCs w:val="21"/>
          <w:highlight w:val="none"/>
        </w:rPr>
        <w:t>元</w:t>
      </w:r>
    </w:p>
    <w:p w14:paraId="560C9206">
      <w:pPr>
        <w:autoSpaceDE w:val="0"/>
        <w:autoSpaceDN w:val="0"/>
        <w:adjustRightInd w:val="0"/>
        <w:spacing w:line="360" w:lineRule="auto"/>
        <w:ind w:left="357" w:leftChars="-100" w:hanging="567" w:hangingChars="27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.2 </w:t>
      </w:r>
      <w:r>
        <w:rPr>
          <w:rFonts w:hint="eastAsia" w:ascii="宋体" w:hAnsi="宋体" w:eastAsia="宋体" w:cs="宋体"/>
          <w:color w:val="auto"/>
          <w:highlight w:val="none"/>
        </w:rPr>
        <w:t>中标人收到中标通知后，须在15日内向招标代理机构交纳中标服务费用及领取《中标通知书》原件，否则视为放弃中标权利和义务。</w:t>
      </w:r>
    </w:p>
    <w:p w14:paraId="11A7347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中标服务费只接受以银行转账、电汇方式交纳。</w:t>
      </w:r>
    </w:p>
    <w:p w14:paraId="1F159BA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中标服务费汇入账号</w:t>
      </w:r>
      <w:r>
        <w:rPr>
          <w:rFonts w:hint="eastAsia" w:ascii="宋体" w:hAnsi="宋体" w:eastAsia="宋体" w:cs="宋体"/>
          <w:b/>
          <w:bCs/>
          <w:color w:val="auto"/>
          <w:szCs w:val="21"/>
          <w:highlight w:val="none"/>
          <w:lang w:val="zh-CN"/>
        </w:rPr>
        <w:t>（特别提醒，本账户非投标保证金汇入账户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6C5AEC52">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开户名称：广东一方项目管理有限公司</w:t>
      </w:r>
      <w:r>
        <w:rPr>
          <w:rFonts w:hint="eastAsia" w:ascii="宋体" w:hAnsi="宋体" w:eastAsia="宋体" w:cs="宋体"/>
          <w:color w:val="auto"/>
          <w:kern w:val="0"/>
          <w:szCs w:val="21"/>
          <w:highlight w:val="none"/>
          <w:lang w:val="en-US" w:eastAsia="zh-CN"/>
        </w:rPr>
        <w:t xml:space="preserve"> </w:t>
      </w:r>
    </w:p>
    <w:p w14:paraId="051072F3">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银行账号：2010045009100046540</w:t>
      </w:r>
      <w:r>
        <w:rPr>
          <w:rFonts w:hint="eastAsia" w:ascii="宋体" w:hAnsi="宋体" w:eastAsia="宋体" w:cs="宋体"/>
          <w:color w:val="auto"/>
          <w:kern w:val="0"/>
          <w:szCs w:val="21"/>
          <w:highlight w:val="none"/>
          <w:lang w:val="en-US" w:eastAsia="zh-CN"/>
        </w:rPr>
        <w:t xml:space="preserve"> </w:t>
      </w:r>
    </w:p>
    <w:p w14:paraId="30DC3CB5">
      <w:pPr>
        <w:autoSpaceDE w:val="0"/>
        <w:autoSpaceDN w:val="0"/>
        <w:adjustRightInd w:val="0"/>
        <w:spacing w:line="360" w:lineRule="auto"/>
        <w:ind w:left="357" w:leftChars="-100" w:hanging="567" w:hangingChars="27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 xml:space="preserve">     开户银行：中国工商银行股份有限公司东莞新基支行</w:t>
      </w:r>
    </w:p>
    <w:p w14:paraId="456627D8">
      <w:pPr>
        <w:autoSpaceDE w:val="0"/>
        <w:autoSpaceDN w:val="0"/>
        <w:adjustRightInd w:val="0"/>
        <w:spacing w:line="360" w:lineRule="auto"/>
        <w:ind w:left="357" w:leftChars="-100" w:hanging="567" w:hangingChars="270"/>
        <w:jc w:val="left"/>
        <w:rPr>
          <w:rFonts w:hint="eastAsia" w:ascii="宋体" w:hAnsi="宋体" w:eastAsia="宋体" w:cs="宋体"/>
          <w:i w:val="0"/>
          <w:iCs w:val="0"/>
          <w:color w:val="auto"/>
          <w:kern w:val="0"/>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.4 </w:t>
      </w:r>
      <w:r>
        <w:rPr>
          <w:rFonts w:ascii="宋体" w:hAnsi="宋体" w:eastAsia="宋体" w:cs="宋体"/>
          <w:color w:val="auto"/>
          <w:szCs w:val="21"/>
          <w:highlight w:val="none"/>
        </w:rPr>
        <w:t>中标人如未按第3</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.2款规定办理，将不予退还其投标保证金</w:t>
      </w:r>
      <w:r>
        <w:rPr>
          <w:rFonts w:hint="eastAsia" w:ascii="宋体" w:hAnsi="宋体" w:eastAsia="宋体" w:cs="宋体"/>
          <w:color w:val="auto"/>
          <w:szCs w:val="21"/>
          <w:highlight w:val="none"/>
        </w:rPr>
        <w:t>。</w:t>
      </w:r>
    </w:p>
    <w:p w14:paraId="4150A6F4">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bookmarkStart w:id="507" w:name="_Toc450662889"/>
    </w:p>
    <w:p w14:paraId="32D6D805">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508" w:name="_Toc10985"/>
      <w:bookmarkStart w:id="509" w:name="_Toc16761"/>
      <w:bookmarkStart w:id="510" w:name="_Toc13411"/>
      <w:bookmarkStart w:id="511" w:name="_Toc142508355"/>
      <w:bookmarkStart w:id="512" w:name="_Toc20084"/>
      <w:bookmarkStart w:id="513" w:name="_Toc26292"/>
      <w:bookmarkStart w:id="514" w:name="_Toc486167704"/>
      <w:bookmarkStart w:id="515" w:name="_Toc11664"/>
      <w:bookmarkStart w:id="516" w:name="_Toc6764_WPSOffice_Level3"/>
      <w:bookmarkStart w:id="517" w:name="_Toc16076"/>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7</w:t>
      </w:r>
      <w:r>
        <w:rPr>
          <w:rFonts w:hint="eastAsia" w:ascii="宋体" w:hAnsi="宋体" w:eastAsia="宋体" w:cs="宋体"/>
          <w:i w:val="0"/>
          <w:iCs w:val="0"/>
          <w:color w:val="auto"/>
          <w:szCs w:val="21"/>
          <w:highlight w:val="none"/>
          <w:lang w:val="zh-CN"/>
        </w:rPr>
        <w:t xml:space="preserve"> 发票</w:t>
      </w:r>
      <w:bookmarkEnd w:id="507"/>
      <w:bookmarkEnd w:id="508"/>
      <w:bookmarkEnd w:id="509"/>
      <w:bookmarkEnd w:id="510"/>
      <w:bookmarkEnd w:id="511"/>
      <w:bookmarkEnd w:id="512"/>
      <w:bookmarkEnd w:id="513"/>
      <w:bookmarkEnd w:id="514"/>
      <w:bookmarkEnd w:id="515"/>
      <w:bookmarkEnd w:id="516"/>
      <w:bookmarkEnd w:id="517"/>
    </w:p>
    <w:p w14:paraId="587F84C9">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lang w:val="zh-CN"/>
        </w:rPr>
      </w:pPr>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7</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en-US" w:eastAsia="zh-CN"/>
        </w:rPr>
        <w:t xml:space="preserve"> </w:t>
      </w:r>
      <w:r>
        <w:rPr>
          <w:rFonts w:hint="eastAsia" w:ascii="宋体" w:hAnsi="宋体" w:eastAsia="宋体" w:cs="Times New Roman"/>
          <w:i w:val="0"/>
          <w:iCs w:val="0"/>
          <w:color w:val="auto"/>
          <w:szCs w:val="21"/>
          <w:highlight w:val="none"/>
          <w:lang w:val="zh-CN"/>
        </w:rPr>
        <w:t>该项目获得中标的中标人在执行合同过程中，向</w:t>
      </w:r>
      <w:r>
        <w:rPr>
          <w:rFonts w:hint="eastAsia" w:ascii="宋体" w:hAnsi="宋体" w:eastAsia="宋体" w:cs="宋体"/>
          <w:color w:val="auto"/>
          <w:szCs w:val="21"/>
          <w:highlight w:val="none"/>
          <w:lang w:val="zh-CN"/>
        </w:rPr>
        <w:t>招标人</w:t>
      </w:r>
      <w:r>
        <w:rPr>
          <w:rFonts w:hint="eastAsia" w:ascii="宋体" w:hAnsi="宋体" w:eastAsia="宋体" w:cs="Times New Roman"/>
          <w:i w:val="0"/>
          <w:iCs w:val="0"/>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zh-CN"/>
        </w:rPr>
        <w:t>招标人</w:t>
      </w:r>
      <w:r>
        <w:rPr>
          <w:rFonts w:hint="eastAsia" w:ascii="宋体" w:hAnsi="宋体" w:eastAsia="宋体" w:cs="Times New Roman"/>
          <w:i w:val="0"/>
          <w:iCs w:val="0"/>
          <w:color w:val="auto"/>
          <w:szCs w:val="21"/>
          <w:highlight w:val="none"/>
          <w:lang w:val="zh-CN"/>
        </w:rPr>
        <w:t>出具的发票类型为增值税普通发票。</w:t>
      </w:r>
      <w:bookmarkStart w:id="518" w:name="_Toc31106_WPSOffice_Level3"/>
      <w:bookmarkStart w:id="519" w:name="_Toc486167705"/>
    </w:p>
    <w:p w14:paraId="4F4C4DAA">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rPr>
      </w:pPr>
    </w:p>
    <w:p w14:paraId="61983680">
      <w:pPr>
        <w:tabs>
          <w:tab w:val="left" w:pos="360"/>
        </w:tabs>
        <w:autoSpaceDE w:val="0"/>
        <w:autoSpaceDN w:val="0"/>
        <w:adjustRightInd w:val="0"/>
        <w:spacing w:line="360" w:lineRule="auto"/>
        <w:ind w:left="357" w:leftChars="-100" w:hanging="567"/>
        <w:jc w:val="left"/>
        <w:outlineLvl w:val="2"/>
        <w:rPr>
          <w:rFonts w:ascii="宋体" w:hAnsi="宋体" w:eastAsia="宋体" w:cs="宋体"/>
          <w:b/>
          <w:i w:val="0"/>
          <w:iCs w:val="0"/>
          <w:color w:val="auto"/>
          <w:szCs w:val="21"/>
          <w:highlight w:val="none"/>
        </w:rPr>
      </w:pPr>
      <w:bookmarkStart w:id="520" w:name="_Toc10699"/>
      <w:bookmarkStart w:id="521" w:name="_Toc3020"/>
      <w:bookmarkStart w:id="522" w:name="_Toc17751"/>
      <w:bookmarkStart w:id="523" w:name="_Toc4213"/>
      <w:bookmarkStart w:id="524" w:name="_Toc24138"/>
      <w:bookmarkStart w:id="525" w:name="_Toc16304"/>
      <w:bookmarkStart w:id="526" w:name="_Toc4658"/>
      <w:bookmarkStart w:id="527" w:name="_Toc142508356"/>
      <w:r>
        <w:rPr>
          <w:rFonts w:ascii="宋体" w:hAnsi="宋体" w:eastAsia="宋体" w:cs="宋体"/>
          <w:b/>
          <w:i w:val="0"/>
          <w:iCs w:val="0"/>
          <w:color w:val="auto"/>
          <w:szCs w:val="21"/>
          <w:highlight w:val="none"/>
        </w:rPr>
        <w:t>3</w:t>
      </w:r>
      <w:r>
        <w:rPr>
          <w:rFonts w:hint="eastAsia" w:ascii="宋体" w:hAnsi="宋体" w:eastAsia="宋体" w:cs="宋体"/>
          <w:b/>
          <w:i w:val="0"/>
          <w:iCs w:val="0"/>
          <w:color w:val="auto"/>
          <w:szCs w:val="21"/>
          <w:highlight w:val="none"/>
          <w:lang w:val="en-US" w:eastAsia="zh-CN"/>
        </w:rPr>
        <w:t>8</w:t>
      </w:r>
      <w:r>
        <w:rPr>
          <w:rFonts w:ascii="宋体" w:hAnsi="宋体" w:eastAsia="宋体" w:cs="宋体"/>
          <w:b/>
          <w:i w:val="0"/>
          <w:iCs w:val="0"/>
          <w:color w:val="auto"/>
          <w:szCs w:val="21"/>
          <w:highlight w:val="none"/>
        </w:rPr>
        <w:t xml:space="preserve"> 招标相关补充约定</w:t>
      </w:r>
      <w:bookmarkEnd w:id="520"/>
      <w:bookmarkEnd w:id="521"/>
      <w:bookmarkEnd w:id="522"/>
      <w:bookmarkEnd w:id="523"/>
      <w:bookmarkEnd w:id="524"/>
      <w:bookmarkEnd w:id="525"/>
      <w:bookmarkEnd w:id="526"/>
      <w:bookmarkEnd w:id="527"/>
    </w:p>
    <w:p w14:paraId="1B0F2558">
      <w:pPr>
        <w:autoSpaceDE w:val="0"/>
        <w:autoSpaceDN w:val="0"/>
        <w:adjustRightInd w:val="0"/>
        <w:snapToGrid w:val="0"/>
        <w:spacing w:line="360" w:lineRule="auto"/>
        <w:ind w:left="317" w:leftChars="-100" w:hanging="527" w:hangingChars="250"/>
        <w:jc w:val="left"/>
        <w:rPr>
          <w:rFonts w:ascii="宋体" w:hAnsi="宋体" w:eastAsia="宋体" w:cs="Times New Roman"/>
          <w:b/>
          <w:i w:val="0"/>
          <w:iCs w:val="0"/>
          <w:color w:val="auto"/>
          <w:szCs w:val="21"/>
          <w:highlight w:val="none"/>
        </w:rPr>
      </w:pPr>
      <w:r>
        <w:rPr>
          <w:rFonts w:ascii="宋体" w:hAnsi="宋体" w:eastAsia="宋体" w:cs="Times New Roman"/>
          <w:b/>
          <w:i w:val="0"/>
          <w:iCs w:val="0"/>
          <w:color w:val="auto"/>
          <w:szCs w:val="21"/>
          <w:highlight w:val="none"/>
        </w:rPr>
        <w:t>3</w:t>
      </w:r>
      <w:r>
        <w:rPr>
          <w:rFonts w:hint="eastAsia" w:ascii="宋体" w:hAnsi="宋体" w:eastAsia="宋体" w:cs="Times New Roman"/>
          <w:b/>
          <w:i w:val="0"/>
          <w:iCs w:val="0"/>
          <w:color w:val="auto"/>
          <w:szCs w:val="21"/>
          <w:highlight w:val="none"/>
          <w:lang w:val="en-US" w:eastAsia="zh-CN"/>
        </w:rPr>
        <w:t>8</w:t>
      </w:r>
      <w:r>
        <w:rPr>
          <w:rFonts w:ascii="宋体" w:hAnsi="宋体" w:eastAsia="宋体" w:cs="Times New Roman"/>
          <w:b/>
          <w:i w:val="0"/>
          <w:iCs w:val="0"/>
          <w:color w:val="auto"/>
          <w:szCs w:val="21"/>
          <w:highlight w:val="none"/>
        </w:rPr>
        <w:t>.1</w:t>
      </w:r>
      <w:r>
        <w:rPr>
          <w:rFonts w:ascii="宋体" w:hAnsi="宋体" w:eastAsia="宋体" w:cs="Times New Roman"/>
          <w:b/>
          <w:i w:val="0"/>
          <w:iCs w:val="0"/>
          <w:color w:val="auto"/>
          <w:szCs w:val="21"/>
          <w:highlight w:val="none"/>
        </w:rPr>
        <w:tab/>
      </w:r>
      <w:r>
        <w:rPr>
          <w:rFonts w:ascii="宋体" w:hAnsi="宋体" w:eastAsia="宋体" w:cs="Times New Roman"/>
          <w:b/>
          <w:i w:val="0"/>
          <w:iCs w:val="0"/>
          <w:color w:val="auto"/>
          <w:szCs w:val="21"/>
          <w:highlight w:val="none"/>
        </w:rPr>
        <w:t>本项目投标人须知第2条所述行政处罚信息，以开标</w:t>
      </w:r>
      <w:r>
        <w:rPr>
          <w:rFonts w:hint="eastAsia" w:ascii="宋体" w:hAnsi="宋体" w:eastAsia="宋体" w:cs="Times New Roman"/>
          <w:b/>
          <w:i w:val="0"/>
          <w:iCs w:val="0"/>
          <w:color w:val="auto"/>
          <w:szCs w:val="21"/>
          <w:highlight w:val="none"/>
          <w:lang w:val="en-US" w:eastAsia="zh-CN"/>
        </w:rPr>
        <w:t>当天</w:t>
      </w:r>
      <w:r>
        <w:rPr>
          <w:rFonts w:ascii="宋体" w:hAnsi="宋体" w:eastAsia="宋体" w:cs="Times New Roman"/>
          <w:b/>
          <w:i w:val="0"/>
          <w:iCs w:val="0"/>
          <w:color w:val="auto"/>
          <w:szCs w:val="21"/>
          <w:highlight w:val="none"/>
        </w:rPr>
        <w:t>在“信用中国”网站（www.creditchina.gov.cn）查询结果为准</w:t>
      </w:r>
      <w:r>
        <w:rPr>
          <w:rFonts w:hint="eastAsia" w:ascii="宋体" w:hAnsi="宋体" w:eastAsia="宋体" w:cs="Times New Roman"/>
          <w:b/>
          <w:i w:val="0"/>
          <w:iCs w:val="0"/>
          <w:color w:val="auto"/>
          <w:szCs w:val="21"/>
          <w:highlight w:val="none"/>
        </w:rPr>
        <w:t>，或以司法、仲裁机构等出具的生效文件予以认定,时间以认定文件的落款时间为准</w:t>
      </w:r>
      <w:r>
        <w:rPr>
          <w:rFonts w:ascii="宋体" w:hAnsi="宋体" w:eastAsia="宋体" w:cs="Times New Roman"/>
          <w:b/>
          <w:i w:val="0"/>
          <w:iCs w:val="0"/>
          <w:color w:val="auto"/>
          <w:szCs w:val="21"/>
          <w:highlight w:val="none"/>
        </w:rPr>
        <w:t>。开标结束后，有关投标单位的行政处罚信息，以</w:t>
      </w:r>
      <w:r>
        <w:rPr>
          <w:rFonts w:hint="eastAsia" w:ascii="宋体" w:hAnsi="宋体" w:eastAsia="宋体" w:cs="Times New Roman"/>
          <w:b/>
          <w:i w:val="0"/>
          <w:iCs w:val="0"/>
          <w:color w:val="auto"/>
          <w:szCs w:val="21"/>
          <w:highlight w:val="none"/>
          <w:lang w:val="en-US" w:eastAsia="zh-CN"/>
        </w:rPr>
        <w:t>开标当天查询</w:t>
      </w:r>
      <w:r>
        <w:rPr>
          <w:rFonts w:ascii="宋体" w:hAnsi="宋体" w:eastAsia="宋体" w:cs="Times New Roman"/>
          <w:b/>
          <w:i w:val="0"/>
          <w:iCs w:val="0"/>
          <w:color w:val="auto"/>
          <w:szCs w:val="21"/>
          <w:highlight w:val="none"/>
        </w:rPr>
        <w:t>结果为准；结果公示期间，如投标人对有关投标单位的行政处罚信息存在异议，但不涉及第一中标候选人的，视为对中标结果没有造成实质影响。</w:t>
      </w:r>
    </w:p>
    <w:p w14:paraId="76D39560">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rPr>
      </w:pPr>
    </w:p>
    <w:p w14:paraId="2DD945B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bCs/>
          <w:i w:val="0"/>
          <w:iCs w:val="0"/>
          <w:color w:val="auto"/>
          <w:kern w:val="44"/>
          <w:sz w:val="32"/>
          <w:szCs w:val="32"/>
          <w:highlight w:val="none"/>
          <w:lang w:val="zh-CN"/>
        </w:rPr>
      </w:pPr>
      <w:bookmarkStart w:id="528" w:name="_Toc25568"/>
      <w:bookmarkStart w:id="529" w:name="_Toc26725"/>
      <w:bookmarkStart w:id="530" w:name="_Toc18473"/>
      <w:bookmarkStart w:id="531" w:name="_Toc24327"/>
      <w:bookmarkStart w:id="532" w:name="_Toc31082"/>
      <w:bookmarkStart w:id="533" w:name="_Toc10481"/>
      <w:bookmarkStart w:id="534" w:name="_Toc13292"/>
      <w:bookmarkStart w:id="535" w:name="_Toc142508357"/>
      <w:r>
        <w:rPr>
          <w:rFonts w:hint="eastAsia" w:ascii="宋体" w:hAnsi="宋体" w:eastAsia="宋体" w:cs="宋体"/>
          <w:i w:val="0"/>
          <w:iCs w:val="0"/>
          <w:color w:val="auto"/>
          <w:szCs w:val="21"/>
          <w:highlight w:val="none"/>
          <w:lang w:val="en-US" w:eastAsia="zh-CN"/>
        </w:rPr>
        <w:t>39</w:t>
      </w:r>
      <w:r>
        <w:rPr>
          <w:rFonts w:hint="eastAsia" w:ascii="宋体" w:hAnsi="宋体" w:eastAsia="宋体" w:cs="宋体"/>
          <w:i w:val="0"/>
          <w:iCs w:val="0"/>
          <w:color w:val="auto"/>
          <w:szCs w:val="21"/>
          <w:highlight w:val="none"/>
        </w:rPr>
        <w:t xml:space="preserve"> 本次招标活动的最终解释权归招标代理机构及招标人所有。</w:t>
      </w:r>
      <w:bookmarkEnd w:id="518"/>
      <w:bookmarkEnd w:id="519"/>
      <w:bookmarkEnd w:id="528"/>
      <w:bookmarkEnd w:id="529"/>
      <w:bookmarkEnd w:id="530"/>
      <w:bookmarkEnd w:id="531"/>
      <w:bookmarkEnd w:id="532"/>
      <w:bookmarkEnd w:id="533"/>
      <w:bookmarkEnd w:id="534"/>
      <w:bookmarkEnd w:id="535"/>
    </w:p>
    <w:p w14:paraId="1F502A1A">
      <w:pPr>
        <w:pageBreakBefore/>
        <w:numPr>
          <w:ilvl w:val="-1"/>
          <w:numId w:val="0"/>
        </w:numPr>
        <w:tabs>
          <w:tab w:val="left" w:pos="1080"/>
        </w:tabs>
        <w:autoSpaceDE w:val="0"/>
        <w:autoSpaceDN w:val="0"/>
        <w:adjustRightInd w:val="0"/>
        <w:spacing w:line="360" w:lineRule="auto"/>
        <w:ind w:left="357" w:leftChars="-100" w:hanging="567"/>
        <w:jc w:val="center"/>
        <w:outlineLvl w:val="0"/>
        <w:rPr>
          <w:rFonts w:ascii="宋体" w:hAnsi="宋体" w:eastAsia="宋体" w:cs="宋体"/>
          <w:b/>
          <w:bCs/>
          <w:i w:val="0"/>
          <w:iCs w:val="0"/>
          <w:color w:val="auto"/>
          <w:kern w:val="44"/>
          <w:sz w:val="32"/>
          <w:szCs w:val="32"/>
          <w:highlight w:val="none"/>
          <w:lang w:val="zh-CN"/>
        </w:rPr>
      </w:pPr>
      <w:bookmarkStart w:id="536" w:name="_Toc142508358"/>
      <w:bookmarkStart w:id="537" w:name="_Toc9265"/>
      <w:bookmarkStart w:id="538" w:name="_Toc4259"/>
      <w:bookmarkStart w:id="539" w:name="_Toc486167706"/>
      <w:bookmarkStart w:id="540" w:name="_Toc27939_WPSOffice_Level1"/>
      <w:bookmarkStart w:id="541" w:name="_Toc22400"/>
      <w:bookmarkStart w:id="542" w:name="_Toc4217"/>
      <w:bookmarkStart w:id="543" w:name="_Toc450662891"/>
      <w:bookmarkStart w:id="544" w:name="_Toc22553"/>
      <w:bookmarkStart w:id="545" w:name="_Toc28218"/>
      <w:bookmarkStart w:id="546" w:name="_Toc26927"/>
      <w:r>
        <w:rPr>
          <w:rFonts w:hint="eastAsia" w:ascii="宋体" w:hAnsi="宋体" w:eastAsia="宋体" w:cs="宋体"/>
          <w:b/>
          <w:bCs/>
          <w:i w:val="0"/>
          <w:iCs w:val="0"/>
          <w:color w:val="auto"/>
          <w:kern w:val="44"/>
          <w:sz w:val="32"/>
          <w:szCs w:val="32"/>
          <w:highlight w:val="none"/>
          <w:lang w:val="en-US" w:eastAsia="zh-CN"/>
        </w:rPr>
        <w:t>第三篇</w:t>
      </w:r>
      <w:r>
        <w:rPr>
          <w:rFonts w:hint="eastAsia" w:ascii="宋体" w:hAnsi="宋体" w:eastAsia="宋体" w:cs="宋体"/>
          <w:b/>
          <w:bCs/>
          <w:i w:val="0"/>
          <w:iCs w:val="0"/>
          <w:color w:val="auto"/>
          <w:kern w:val="44"/>
          <w:sz w:val="32"/>
          <w:szCs w:val="32"/>
          <w:highlight w:val="none"/>
          <w:lang w:val="zh-CN" w:eastAsia="zh-CN"/>
        </w:rPr>
        <w:t xml:space="preserve"> </w:t>
      </w:r>
      <w:r>
        <w:rPr>
          <w:rFonts w:hint="eastAsia" w:ascii="宋体" w:hAnsi="宋体" w:eastAsia="宋体" w:cs="宋体"/>
          <w:b/>
          <w:bCs/>
          <w:i w:val="0"/>
          <w:iCs w:val="0"/>
          <w:color w:val="auto"/>
          <w:kern w:val="44"/>
          <w:sz w:val="32"/>
          <w:szCs w:val="32"/>
          <w:highlight w:val="none"/>
          <w:lang w:val="zh-CN"/>
        </w:rPr>
        <w:t>用户需求书</w:t>
      </w:r>
      <w:bookmarkEnd w:id="536"/>
      <w:bookmarkEnd w:id="537"/>
      <w:bookmarkEnd w:id="538"/>
      <w:bookmarkEnd w:id="539"/>
      <w:bookmarkEnd w:id="540"/>
      <w:bookmarkEnd w:id="541"/>
      <w:bookmarkEnd w:id="542"/>
      <w:bookmarkEnd w:id="543"/>
      <w:bookmarkEnd w:id="544"/>
      <w:bookmarkEnd w:id="545"/>
      <w:bookmarkEnd w:id="546"/>
    </w:p>
    <w:p w14:paraId="2F4F219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b/>
          <w:bCs/>
          <w:color w:val="auto"/>
          <w:kern w:val="2"/>
          <w:sz w:val="21"/>
          <w:szCs w:val="21"/>
          <w:highlight w:val="none"/>
          <w:lang w:val="zh-CN"/>
        </w:rPr>
      </w:pPr>
      <w:bookmarkStart w:id="547" w:name="_Toc18631"/>
      <w:bookmarkStart w:id="548" w:name="_Toc29599"/>
      <w:bookmarkStart w:id="549" w:name="_Toc32342"/>
      <w:bookmarkStart w:id="550" w:name="_Toc12961"/>
      <w:r>
        <w:rPr>
          <w:rFonts w:hint="eastAsia" w:ascii="宋体" w:hAnsi="宋体" w:eastAsia="宋体" w:cs="宋体"/>
          <w:b/>
          <w:bCs/>
          <w:color w:val="auto"/>
          <w:kern w:val="2"/>
          <w:sz w:val="21"/>
          <w:szCs w:val="21"/>
          <w:highlight w:val="none"/>
          <w:lang w:val="zh-CN"/>
        </w:rPr>
        <w:t>项目概况</w:t>
      </w:r>
      <w:bookmarkEnd w:id="547"/>
      <w:bookmarkEnd w:id="548"/>
      <w:bookmarkEnd w:id="549"/>
      <w:bookmarkEnd w:id="550"/>
    </w:p>
    <w:p w14:paraId="159D226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根据《中华人民共和国计量法》《饮用冷水水表检定规程》等法律法规要求，为</w:t>
      </w:r>
      <w:r>
        <w:rPr>
          <w:rFonts w:hint="eastAsia" w:ascii="宋体" w:hAnsi="宋体" w:eastAsia="宋体" w:cs="宋体"/>
          <w:color w:val="auto"/>
          <w:kern w:val="2"/>
          <w:sz w:val="21"/>
          <w:szCs w:val="21"/>
          <w:highlight w:val="none"/>
          <w:lang w:val="en-US" w:eastAsia="zh-CN"/>
        </w:rPr>
        <w:t>保障供水计量合法依规，提升智能水表覆盖率，推进水表轮换及供水计量智能化</w:t>
      </w:r>
      <w:r>
        <w:rPr>
          <w:rFonts w:hint="eastAsia" w:ascii="宋体" w:hAnsi="宋体" w:eastAsia="宋体" w:cs="宋体"/>
          <w:color w:val="auto"/>
          <w:kern w:val="2"/>
          <w:sz w:val="21"/>
          <w:szCs w:val="21"/>
          <w:highlight w:val="none"/>
          <w:lang w:val="zh-CN"/>
        </w:rPr>
        <w:t>，东莞市水务环境投资控股集团供水有限公司现开展</w:t>
      </w:r>
      <w:r>
        <w:rPr>
          <w:rFonts w:hint="eastAsia" w:ascii="宋体" w:hAnsi="宋体" w:eastAsia="宋体" w:cs="宋体"/>
          <w:color w:val="auto"/>
          <w:kern w:val="2"/>
          <w:sz w:val="21"/>
          <w:szCs w:val="21"/>
          <w:highlight w:val="none"/>
          <w:lang w:val="en-US" w:eastAsia="zh-CN"/>
        </w:rPr>
        <w:t>东莞市供水计量设施更新项目（2026-2027年计量仪表)-超声波水表</w:t>
      </w:r>
      <w:r>
        <w:rPr>
          <w:rFonts w:hint="eastAsia" w:ascii="宋体" w:hAnsi="宋体" w:eastAsia="宋体" w:cs="宋体"/>
          <w:color w:val="auto"/>
          <w:kern w:val="2"/>
          <w:sz w:val="21"/>
          <w:szCs w:val="21"/>
          <w:highlight w:val="none"/>
          <w:lang w:val="zh-CN"/>
        </w:rPr>
        <w:t>，通过公开招标的方式采购DN</w:t>
      </w:r>
      <w:r>
        <w:rPr>
          <w:rFonts w:hint="eastAsia" w:ascii="宋体" w:hAnsi="宋体" w:eastAsia="宋体" w:cs="宋体"/>
          <w:color w:val="auto"/>
          <w:kern w:val="2"/>
          <w:sz w:val="21"/>
          <w:szCs w:val="21"/>
          <w:highlight w:val="none"/>
          <w:lang w:val="en-US" w:eastAsia="zh-CN"/>
        </w:rPr>
        <w:t>80</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DN3</w:t>
      </w:r>
      <w:r>
        <w:rPr>
          <w:rFonts w:hint="eastAsia" w:ascii="宋体" w:hAnsi="宋体" w:eastAsia="宋体" w:cs="宋体"/>
          <w:color w:val="auto"/>
          <w:kern w:val="2"/>
          <w:sz w:val="21"/>
          <w:szCs w:val="21"/>
          <w:highlight w:val="none"/>
          <w:lang w:val="zh-CN"/>
        </w:rPr>
        <w:t>00</w:t>
      </w:r>
      <w:r>
        <w:rPr>
          <w:rFonts w:hint="eastAsia" w:ascii="宋体" w:hAnsi="宋体" w:eastAsia="宋体" w:cs="宋体"/>
          <w:color w:val="auto"/>
          <w:kern w:val="2"/>
          <w:sz w:val="21"/>
          <w:szCs w:val="21"/>
          <w:highlight w:val="none"/>
          <w:lang w:val="en-US" w:eastAsia="zh-CN"/>
        </w:rPr>
        <w:t>超声波水表</w:t>
      </w:r>
      <w:r>
        <w:rPr>
          <w:rFonts w:hint="eastAsia" w:ascii="宋体" w:hAnsi="宋体" w:eastAsia="宋体" w:cs="宋体"/>
          <w:color w:val="auto"/>
          <w:kern w:val="2"/>
          <w:sz w:val="21"/>
          <w:szCs w:val="21"/>
          <w:highlight w:val="none"/>
          <w:lang w:val="zh-CN"/>
        </w:rPr>
        <w:t>一批，暂定数量为3118</w:t>
      </w:r>
      <w:r>
        <w:rPr>
          <w:rFonts w:hint="eastAsia" w:ascii="宋体" w:hAnsi="宋体" w:eastAsia="宋体" w:cs="宋体"/>
          <w:color w:val="auto"/>
          <w:sz w:val="21"/>
          <w:szCs w:val="21"/>
          <w:highlight w:val="none"/>
        </w:rPr>
        <w:t>台</w:t>
      </w:r>
      <w:r>
        <w:rPr>
          <w:rFonts w:hint="eastAsia" w:ascii="宋体" w:hAnsi="宋体" w:eastAsia="宋体" w:cs="宋体"/>
          <w:color w:val="auto"/>
          <w:kern w:val="2"/>
          <w:sz w:val="21"/>
          <w:szCs w:val="21"/>
          <w:highlight w:val="none"/>
          <w:lang w:val="zh-CN" w:eastAsia="zh-CN"/>
        </w:rPr>
        <w:t>。</w:t>
      </w:r>
    </w:p>
    <w:p w14:paraId="1B3AD66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本用户需求书采购清单中的货物数量为暂定数量，仅为便于投标人投标报价使用，不作为招标人最终采购数量的保证。</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的最终采购数量以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实际采购且经</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验收合格的货物数量为准，</w:t>
      </w:r>
      <w:r>
        <w:rPr>
          <w:rFonts w:hint="eastAsia" w:ascii="宋体" w:hAnsi="宋体" w:eastAsia="宋体" w:cs="宋体"/>
          <w:color w:val="auto"/>
          <w:kern w:val="2"/>
          <w:sz w:val="21"/>
          <w:szCs w:val="21"/>
          <w:highlight w:val="none"/>
          <w:lang w:val="en-US"/>
        </w:rPr>
        <w:t>按实结算。供货期为合同签订之日起</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rPr>
        <w:t>年。</w:t>
      </w:r>
    </w:p>
    <w:p w14:paraId="0C907CAA">
      <w:pPr>
        <w:pStyle w:val="29"/>
        <w:keepNext w:val="0"/>
        <w:keepLines w:val="0"/>
        <w:pageBreakBefore w:val="0"/>
        <w:tabs>
          <w:tab w:val="left" w:pos="567"/>
        </w:tabs>
        <w:kinsoku/>
        <w:wordWrap/>
        <w:topLinePunct w:val="0"/>
        <w:bidi w:val="0"/>
        <w:adjustRightInd w:val="0"/>
        <w:snapToGrid w:val="0"/>
        <w:spacing w:before="0" w:beforeAutospacing="0" w:after="0" w:line="360" w:lineRule="auto"/>
        <w:ind w:left="0" w:leftChars="0" w:right="0"/>
        <w:jc w:val="both"/>
        <w:outlineLvl w:val="9"/>
        <w:rPr>
          <w:rFonts w:hint="eastAsia" w:ascii="宋体" w:hAnsi="宋体" w:eastAsia="宋体" w:cs="宋体"/>
          <w:bCs w:val="0"/>
          <w:color w:val="auto"/>
          <w:sz w:val="21"/>
          <w:szCs w:val="21"/>
          <w:highlight w:val="none"/>
          <w:lang w:val="en-US" w:eastAsia="zh-CN"/>
        </w:rPr>
      </w:pPr>
      <w:bookmarkStart w:id="551" w:name="_Toc21124"/>
      <w:bookmarkStart w:id="552" w:name="_Toc14902"/>
    </w:p>
    <w:p w14:paraId="4B0576C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一</w:t>
      </w:r>
      <w:r>
        <w:rPr>
          <w:rFonts w:hint="eastAsia" w:ascii="宋体" w:hAnsi="宋体" w:eastAsia="宋体" w:cs="宋体"/>
          <w:b/>
          <w:bCs/>
          <w:color w:val="auto"/>
          <w:kern w:val="2"/>
          <w:sz w:val="21"/>
          <w:szCs w:val="21"/>
          <w:highlight w:val="none"/>
          <w:lang w:val="zh-CN"/>
        </w:rPr>
        <w:t>、总体要求</w:t>
      </w:r>
    </w:p>
    <w:p w14:paraId="4F250184">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本次采购项目的水表为全新产品，在中国境内可依常规安全合法使用，符合中华人民共和国国家安全质量标准、环保标准或行业标准，适用于自来水行业的居民饮用水计量使用。</w:t>
      </w:r>
    </w:p>
    <w:p w14:paraId="30945B99">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须遵循的法律、法规、标准和规范（包含但不局限于以下内容，另本要求中提及的规范标准等如非最新版本，应以最新版本为准）：</w:t>
      </w:r>
    </w:p>
    <w:p w14:paraId="1A635204">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GB/T778-2018《饮用冷水水表和热水水表》标准</w:t>
      </w:r>
    </w:p>
    <w:p w14:paraId="5EBDFFA1">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JJG162-2019中华人民共和国国家计量检定规程《冷水水表》</w:t>
      </w:r>
    </w:p>
    <w:p w14:paraId="25DEB1DA">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17219《生活饮用水输配水设备及防护材料的安全性评价标准》</w:t>
      </w:r>
    </w:p>
    <w:p w14:paraId="41B934F8">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CJ266-2008《饮用水冷水水表安全规则》</w:t>
      </w:r>
    </w:p>
    <w:p w14:paraId="093384DB">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CJ/T188-2018《户用计量仪表数据传输技术条件》 </w:t>
      </w:r>
    </w:p>
    <w:p w14:paraId="0231F236">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25480-2010《仪器仪表运输、贮存基本环境条件及试验方法》</w:t>
      </w:r>
    </w:p>
    <w:p w14:paraId="58464297">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CJ/T224-2012《电子远传水表》</w:t>
      </w:r>
    </w:p>
    <w:p w14:paraId="33826CAF">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CJ/T535《物联网水表》</w:t>
      </w:r>
    </w:p>
    <w:p w14:paraId="1CDF9AA6">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GB/T4208-2017《外壳防护等级（IP代码）》</w:t>
      </w:r>
    </w:p>
    <w:p w14:paraId="3324C9C6">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434-2013《超声波水表》</w:t>
      </w:r>
    </w:p>
    <w:p w14:paraId="317BAC57">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采购清单</w:t>
      </w:r>
    </w:p>
    <w:tbl>
      <w:tblPr>
        <w:tblStyle w:val="3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0"/>
        <w:gridCol w:w="1500"/>
        <w:gridCol w:w="1500"/>
        <w:gridCol w:w="1500"/>
        <w:gridCol w:w="1501"/>
        <w:gridCol w:w="2864"/>
      </w:tblGrid>
      <w:tr w14:paraId="26964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A492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9695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A29C34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26B0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BD1C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3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58FA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B90A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C4A808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3" w:type="pct"/>
            <w:vMerge w:val="restart"/>
            <w:tcBorders>
              <w:top w:val="single" w:color="000000" w:sz="4" w:space="0"/>
              <w:left w:val="single" w:color="000000" w:sz="4" w:space="0"/>
              <w:right w:val="single" w:color="000000" w:sz="4" w:space="0"/>
              <w:tl2br w:val="nil"/>
              <w:tr2bl w:val="nil"/>
            </w:tcBorders>
            <w:noWrap w:val="0"/>
            <w:vAlign w:val="center"/>
          </w:tcPr>
          <w:p w14:paraId="0F43100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缩径超声波水表  </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BF7B3A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7884A9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4"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61FBC55">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718</w:t>
            </w:r>
          </w:p>
        </w:tc>
        <w:tc>
          <w:tcPr>
            <w:tcW w:w="1381" w:type="pct"/>
            <w:vMerge w:val="restart"/>
            <w:tcBorders>
              <w:top w:val="single" w:color="000000" w:sz="4" w:space="0"/>
              <w:left w:val="single" w:color="000000" w:sz="4" w:space="0"/>
              <w:right w:val="single" w:color="000000" w:sz="4" w:space="0"/>
              <w:tl2br w:val="nil"/>
              <w:tr2bl w:val="nil"/>
            </w:tcBorders>
            <w:noWrap/>
            <w:vAlign w:val="center"/>
          </w:tcPr>
          <w:p w14:paraId="2B49A5B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240" w:lineRule="auto"/>
              <w:ind w:right="0"/>
              <w:jc w:val="left"/>
              <w:textAlignment w:val="center"/>
              <w:outlineLvl w:val="9"/>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Cs w:val="0"/>
                <w:color w:val="auto"/>
                <w:kern w:val="0"/>
                <w:sz w:val="21"/>
                <w:szCs w:val="21"/>
                <w:highlight w:val="none"/>
                <w:lang w:val="en-US" w:eastAsia="zh-CN" w:bidi="ar"/>
              </w:rPr>
              <w:t>1.配件要求：每台超声波水表需包含1套远传模块和2个垫圈，不含法兰。</w:t>
            </w:r>
          </w:p>
          <w:p w14:paraId="156A288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Autospacing="0" w:line="240" w:lineRule="auto"/>
              <w:ind w:right="0"/>
              <w:jc w:val="left"/>
              <w:textAlignment w:val="center"/>
              <w:outlineLvl w:val="9"/>
              <w:rPr>
                <w:rFonts w:hint="eastAsia" w:ascii="宋体" w:hAnsi="宋体" w:eastAsia="宋体" w:cs="宋体"/>
                <w:bCs w:val="0"/>
                <w:color w:val="auto"/>
                <w:kern w:val="0"/>
                <w:sz w:val="21"/>
                <w:szCs w:val="21"/>
                <w:highlight w:val="none"/>
                <w:lang w:val="en-US" w:eastAsia="zh-CN" w:bidi="ar"/>
              </w:rPr>
            </w:pPr>
          </w:p>
          <w:p w14:paraId="2E96648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left"/>
              <w:textAlignment w:val="center"/>
              <w:outlineLvl w:val="9"/>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u w:val="none"/>
                <w:lang w:val="en-US" w:eastAsia="zh-CN" w:bidi="ar"/>
              </w:rPr>
              <w:t>2.由中标人负责执行首次检定工作，含运输费、装卸费和水表检定费。</w:t>
            </w:r>
          </w:p>
        </w:tc>
      </w:tr>
      <w:tr w14:paraId="1ABB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AAD6C3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3" w:type="pct"/>
            <w:vMerge w:val="continue"/>
            <w:tcBorders>
              <w:left w:val="single" w:color="000000" w:sz="4" w:space="0"/>
              <w:right w:val="single" w:color="000000" w:sz="4" w:space="0"/>
              <w:tl2br w:val="nil"/>
              <w:tr2bl w:val="nil"/>
            </w:tcBorders>
            <w:noWrap w:val="0"/>
            <w:vAlign w:val="center"/>
          </w:tcPr>
          <w:p w14:paraId="02F21542">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outlineLvl w:val="9"/>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3E3038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235E33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4"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8AF639E">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753</w:t>
            </w:r>
          </w:p>
        </w:tc>
        <w:tc>
          <w:tcPr>
            <w:tcW w:w="1381" w:type="pct"/>
            <w:vMerge w:val="continue"/>
            <w:tcBorders>
              <w:left w:val="single" w:color="000000" w:sz="4" w:space="0"/>
              <w:right w:val="single" w:color="000000" w:sz="4" w:space="0"/>
              <w:tl2br w:val="nil"/>
              <w:tr2bl w:val="nil"/>
            </w:tcBorders>
            <w:noWrap/>
            <w:vAlign w:val="center"/>
          </w:tcPr>
          <w:p w14:paraId="1B2A909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06945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70656D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3" w:type="pct"/>
            <w:vMerge w:val="continue"/>
            <w:tcBorders>
              <w:left w:val="single" w:color="000000" w:sz="4" w:space="0"/>
              <w:right w:val="single" w:color="000000" w:sz="4" w:space="0"/>
              <w:tl2br w:val="nil"/>
              <w:tr2bl w:val="nil"/>
            </w:tcBorders>
            <w:noWrap w:val="0"/>
            <w:vAlign w:val="center"/>
          </w:tcPr>
          <w:p w14:paraId="1C61F737">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outlineLvl w:val="9"/>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BA4FE2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1546FE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4"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7CA0847">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175</w:t>
            </w:r>
          </w:p>
        </w:tc>
        <w:tc>
          <w:tcPr>
            <w:tcW w:w="1381" w:type="pct"/>
            <w:vMerge w:val="continue"/>
            <w:tcBorders>
              <w:left w:val="single" w:color="000000" w:sz="4" w:space="0"/>
              <w:right w:val="single" w:color="000000" w:sz="4" w:space="0"/>
              <w:tl2br w:val="nil"/>
              <w:tr2bl w:val="nil"/>
            </w:tcBorders>
            <w:noWrap/>
            <w:vAlign w:val="center"/>
          </w:tcPr>
          <w:p w14:paraId="732BB25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5762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329C9C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3" w:type="pct"/>
            <w:vMerge w:val="continue"/>
            <w:tcBorders>
              <w:left w:val="single" w:color="000000" w:sz="4" w:space="0"/>
              <w:right w:val="single" w:color="000000" w:sz="4" w:space="0"/>
              <w:tl2br w:val="nil"/>
              <w:tr2bl w:val="nil"/>
            </w:tcBorders>
            <w:noWrap w:val="0"/>
            <w:vAlign w:val="center"/>
          </w:tcPr>
          <w:p w14:paraId="759A0554">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outlineLvl w:val="9"/>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A2EE36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693EAF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4"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3F24767">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1381" w:type="pct"/>
            <w:vMerge w:val="continue"/>
            <w:tcBorders>
              <w:left w:val="single" w:color="000000" w:sz="4" w:space="0"/>
              <w:right w:val="single" w:color="000000" w:sz="4" w:space="0"/>
              <w:tl2br w:val="nil"/>
              <w:tr2bl w:val="nil"/>
            </w:tcBorders>
            <w:noWrap/>
            <w:vAlign w:val="center"/>
          </w:tcPr>
          <w:p w14:paraId="0F496CF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33DF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A0B078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23" w:type="pct"/>
            <w:vMerge w:val="continue"/>
            <w:tcBorders>
              <w:left w:val="single" w:color="000000" w:sz="4" w:space="0"/>
              <w:bottom w:val="single" w:color="000000" w:sz="4" w:space="0"/>
              <w:right w:val="single" w:color="000000" w:sz="4" w:space="0"/>
              <w:tl2br w:val="nil"/>
              <w:tr2bl w:val="nil"/>
            </w:tcBorders>
            <w:noWrap w:val="0"/>
            <w:vAlign w:val="center"/>
          </w:tcPr>
          <w:p w14:paraId="29725135">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outlineLvl w:val="9"/>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AEB231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ABBDF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4"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19C16B9">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81" w:type="pct"/>
            <w:vMerge w:val="continue"/>
            <w:tcBorders>
              <w:left w:val="single" w:color="000000" w:sz="4" w:space="0"/>
              <w:right w:val="single" w:color="000000" w:sz="4" w:space="0"/>
              <w:tl2br w:val="nil"/>
              <w:tr2bl w:val="nil"/>
            </w:tcBorders>
            <w:noWrap/>
            <w:vAlign w:val="center"/>
          </w:tcPr>
          <w:p w14:paraId="786C69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4947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F243B2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3" w:type="pct"/>
            <w:vMerge w:val="restart"/>
            <w:tcBorders>
              <w:top w:val="single" w:color="000000" w:sz="4" w:space="0"/>
              <w:left w:val="single" w:color="000000" w:sz="4" w:space="0"/>
              <w:right w:val="single" w:color="000000" w:sz="4" w:space="0"/>
              <w:tl2br w:val="nil"/>
              <w:tr2bl w:val="nil"/>
            </w:tcBorders>
            <w:noWrap w:val="0"/>
            <w:vAlign w:val="center"/>
          </w:tcPr>
          <w:p w14:paraId="4706E48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通径超声波水表</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99A7B0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374A23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CB2AB3">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542</w:t>
            </w:r>
          </w:p>
        </w:tc>
        <w:tc>
          <w:tcPr>
            <w:tcW w:w="1381" w:type="pct"/>
            <w:vMerge w:val="continue"/>
            <w:tcBorders>
              <w:left w:val="single" w:color="000000" w:sz="4" w:space="0"/>
              <w:right w:val="single" w:color="000000" w:sz="4" w:space="0"/>
              <w:tl2br w:val="nil"/>
              <w:tr2bl w:val="nil"/>
            </w:tcBorders>
            <w:noWrap/>
            <w:vAlign w:val="center"/>
          </w:tcPr>
          <w:p w14:paraId="3CC4FD8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324B1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0E7A5A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23" w:type="pct"/>
            <w:vMerge w:val="continue"/>
            <w:tcBorders>
              <w:left w:val="single" w:color="000000" w:sz="4" w:space="0"/>
              <w:right w:val="single" w:color="000000" w:sz="4" w:space="0"/>
              <w:tl2br w:val="nil"/>
              <w:tr2bl w:val="nil"/>
            </w:tcBorders>
            <w:noWrap w:val="0"/>
            <w:vAlign w:val="center"/>
          </w:tcPr>
          <w:p w14:paraId="1B48A9ED">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outlineLvl w:val="9"/>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E123F1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F44AD4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F72F18">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607</w:t>
            </w:r>
          </w:p>
        </w:tc>
        <w:tc>
          <w:tcPr>
            <w:tcW w:w="1381" w:type="pct"/>
            <w:vMerge w:val="continue"/>
            <w:tcBorders>
              <w:left w:val="single" w:color="000000" w:sz="4" w:space="0"/>
              <w:right w:val="single" w:color="000000" w:sz="4" w:space="0"/>
              <w:tl2br w:val="nil"/>
              <w:tr2bl w:val="nil"/>
            </w:tcBorders>
            <w:noWrap/>
            <w:vAlign w:val="center"/>
          </w:tcPr>
          <w:p w14:paraId="346AB65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65A27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3F332D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23" w:type="pct"/>
            <w:vMerge w:val="continue"/>
            <w:tcBorders>
              <w:left w:val="single" w:color="000000" w:sz="4" w:space="0"/>
              <w:right w:val="single" w:color="000000" w:sz="4" w:space="0"/>
              <w:tl2br w:val="nil"/>
              <w:tr2bl w:val="nil"/>
            </w:tcBorders>
            <w:noWrap w:val="0"/>
            <w:vAlign w:val="center"/>
          </w:tcPr>
          <w:p w14:paraId="7F0FC336">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outlineLvl w:val="9"/>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F6891B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5F2F5B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7D134D">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145</w:t>
            </w:r>
          </w:p>
        </w:tc>
        <w:tc>
          <w:tcPr>
            <w:tcW w:w="1381" w:type="pct"/>
            <w:vMerge w:val="continue"/>
            <w:tcBorders>
              <w:left w:val="single" w:color="000000" w:sz="4" w:space="0"/>
              <w:right w:val="single" w:color="000000" w:sz="4" w:space="0"/>
              <w:tl2br w:val="nil"/>
              <w:tr2bl w:val="nil"/>
            </w:tcBorders>
            <w:noWrap/>
            <w:vAlign w:val="center"/>
          </w:tcPr>
          <w:p w14:paraId="4227C89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7B52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A50C4A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23" w:type="pct"/>
            <w:vMerge w:val="continue"/>
            <w:tcBorders>
              <w:left w:val="single" w:color="000000" w:sz="4" w:space="0"/>
              <w:right w:val="single" w:color="000000" w:sz="4" w:space="0"/>
              <w:tl2br w:val="nil"/>
              <w:tr2bl w:val="nil"/>
            </w:tcBorders>
            <w:noWrap w:val="0"/>
            <w:vAlign w:val="center"/>
          </w:tcPr>
          <w:p w14:paraId="2DDDB233">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outlineLvl w:val="9"/>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B74A22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B64606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0E94E3">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1381" w:type="pct"/>
            <w:vMerge w:val="continue"/>
            <w:tcBorders>
              <w:left w:val="single" w:color="000000" w:sz="4" w:space="0"/>
              <w:right w:val="single" w:color="000000" w:sz="4" w:space="0"/>
              <w:tl2br w:val="nil"/>
              <w:tr2bl w:val="nil"/>
            </w:tcBorders>
            <w:noWrap/>
            <w:vAlign w:val="center"/>
          </w:tcPr>
          <w:p w14:paraId="42F4110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567D3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61EF99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723" w:type="pct"/>
            <w:vMerge w:val="continue"/>
            <w:tcBorders>
              <w:left w:val="single" w:color="000000" w:sz="4" w:space="0"/>
              <w:right w:val="single" w:color="000000" w:sz="4" w:space="0"/>
              <w:tl2br w:val="nil"/>
              <w:tr2bl w:val="nil"/>
            </w:tcBorders>
            <w:noWrap w:val="0"/>
            <w:vAlign w:val="center"/>
          </w:tcPr>
          <w:p w14:paraId="28ED84F4">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outlineLvl w:val="9"/>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64C279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2F51E0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F3EB64">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81" w:type="pct"/>
            <w:vMerge w:val="continue"/>
            <w:tcBorders>
              <w:left w:val="single" w:color="000000" w:sz="4" w:space="0"/>
              <w:right w:val="single" w:color="000000" w:sz="4" w:space="0"/>
              <w:tl2br w:val="nil"/>
              <w:tr2bl w:val="nil"/>
            </w:tcBorders>
            <w:noWrap/>
            <w:vAlign w:val="center"/>
          </w:tcPr>
          <w:p w14:paraId="4D77E8D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7F0EF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7AAEA2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23" w:type="pct"/>
            <w:vMerge w:val="continue"/>
            <w:tcBorders>
              <w:left w:val="single" w:color="000000" w:sz="4" w:space="0"/>
              <w:bottom w:val="single" w:color="000000" w:sz="4" w:space="0"/>
              <w:right w:val="single" w:color="000000" w:sz="4" w:space="0"/>
              <w:tl2br w:val="nil"/>
              <w:tr2bl w:val="nil"/>
            </w:tcBorders>
            <w:noWrap w:val="0"/>
            <w:vAlign w:val="center"/>
          </w:tcPr>
          <w:p w14:paraId="4C3F4885">
            <w:pPr>
              <w:keepNext w:val="0"/>
              <w:keepLines w:val="0"/>
              <w:pageBreakBefore w:val="0"/>
              <w:kinsoku/>
              <w:wordWrap/>
              <w:overflowPunct/>
              <w:topLinePunct w:val="0"/>
              <w:autoSpaceDE w:val="0"/>
              <w:autoSpaceDN w:val="0"/>
              <w:bidi w:val="0"/>
              <w:adjustRightInd w:val="0"/>
              <w:snapToGrid w:val="0"/>
              <w:spacing w:beforeAutospacing="0" w:line="240" w:lineRule="auto"/>
              <w:ind w:right="0"/>
              <w:jc w:val="center"/>
              <w:outlineLvl w:val="9"/>
              <w:rPr>
                <w:rFonts w:hint="eastAsia" w:ascii="宋体" w:hAnsi="宋体" w:eastAsia="宋体" w:cs="宋体"/>
                <w:i w:val="0"/>
                <w:iCs w:val="0"/>
                <w:color w:val="auto"/>
                <w:sz w:val="21"/>
                <w:szCs w:val="21"/>
                <w:highlight w:val="none"/>
                <w:u w:val="none"/>
              </w:rPr>
            </w:pP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CF933D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985D5D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2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D28BEE">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381" w:type="pct"/>
            <w:vMerge w:val="continue"/>
            <w:tcBorders>
              <w:left w:val="single" w:color="000000" w:sz="4" w:space="0"/>
              <w:bottom w:val="single" w:color="000000" w:sz="4" w:space="0"/>
              <w:right w:val="single" w:color="000000" w:sz="4" w:space="0"/>
              <w:tl2br w:val="nil"/>
              <w:tr2bl w:val="nil"/>
            </w:tcBorders>
            <w:noWrap/>
            <w:vAlign w:val="center"/>
          </w:tcPr>
          <w:p w14:paraId="2609B31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79DB0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930F43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447" w:type="pct"/>
            <w:gridSpan w:val="2"/>
            <w:tcBorders>
              <w:left w:val="single" w:color="000000" w:sz="4" w:space="0"/>
              <w:bottom w:val="single" w:color="000000" w:sz="4" w:space="0"/>
              <w:right w:val="single" w:color="000000" w:sz="4" w:space="0"/>
              <w:tl2br w:val="nil"/>
              <w:tr2bl w:val="nil"/>
            </w:tcBorders>
            <w:noWrap w:val="0"/>
            <w:vAlign w:val="center"/>
          </w:tcPr>
          <w:p w14:paraId="54A5F0F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汇总</w:t>
            </w:r>
          </w:p>
        </w:tc>
        <w:tc>
          <w:tcPr>
            <w:tcW w:w="72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066E78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4"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C94A65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3118</w:t>
            </w:r>
          </w:p>
        </w:tc>
        <w:tc>
          <w:tcPr>
            <w:tcW w:w="1381" w:type="pct"/>
            <w:tcBorders>
              <w:left w:val="single" w:color="000000" w:sz="4" w:space="0"/>
              <w:bottom w:val="single" w:color="000000" w:sz="4" w:space="0"/>
              <w:right w:val="single" w:color="000000" w:sz="4" w:space="0"/>
              <w:tl2br w:val="nil"/>
              <w:tr2bl w:val="nil"/>
            </w:tcBorders>
            <w:noWrap/>
            <w:vAlign w:val="center"/>
          </w:tcPr>
          <w:p w14:paraId="7DE4BAE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7E41F1E3">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bCs w:val="0"/>
          <w:color w:val="auto"/>
          <w:sz w:val="21"/>
          <w:szCs w:val="21"/>
          <w:highlight w:val="none"/>
          <w:lang w:val="en-US" w:eastAsia="zh-CN"/>
        </w:rPr>
      </w:pPr>
    </w:p>
    <w:p w14:paraId="5D2C577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二</w:t>
      </w:r>
      <w:r>
        <w:rPr>
          <w:rFonts w:hint="eastAsia" w:ascii="宋体" w:hAnsi="宋体" w:eastAsia="宋体" w:cs="宋体"/>
          <w:b/>
          <w:bCs/>
          <w:color w:val="auto"/>
          <w:kern w:val="2"/>
          <w:sz w:val="21"/>
          <w:szCs w:val="21"/>
          <w:highlight w:val="none"/>
          <w:lang w:val="zh-CN"/>
        </w:rPr>
        <w:t>、水表技术要求</w:t>
      </w:r>
    </w:p>
    <w:p w14:paraId="09FF5F28">
      <w:pPr>
        <w:pStyle w:val="210"/>
        <w:keepNext w:val="0"/>
        <w:keepLines w:val="0"/>
        <w:pageBreakBefore w:val="0"/>
        <w:kinsoku/>
        <w:wordWrap/>
        <w:overflowPunct/>
        <w:topLinePunct w:val="0"/>
        <w:bidi w:val="0"/>
        <w:adjustRightInd w:val="0"/>
        <w:snapToGrid w:val="0"/>
        <w:spacing w:beforeAutospacing="0" w:line="360" w:lineRule="auto"/>
        <w:ind w:right="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基本要求</w:t>
      </w:r>
      <w:r>
        <w:rPr>
          <w:rFonts w:hint="eastAsia" w:ascii="宋体" w:hAnsi="宋体" w:eastAsia="宋体" w:cs="宋体"/>
          <w:color w:val="auto"/>
          <w:kern w:val="0"/>
          <w:sz w:val="21"/>
          <w:szCs w:val="21"/>
          <w:highlight w:val="none"/>
        </w:rPr>
        <w:t>：</w:t>
      </w:r>
    </w:p>
    <w:p w14:paraId="5ABB7511">
      <w:pPr>
        <w:pStyle w:val="210"/>
        <w:keepNext w:val="0"/>
        <w:keepLines w:val="0"/>
        <w:pageBreakBefore w:val="0"/>
        <w:kinsoku/>
        <w:wordWrap/>
        <w:overflowPunct/>
        <w:topLinePunct w:val="0"/>
        <w:bidi w:val="0"/>
        <w:adjustRightInd w:val="0"/>
        <w:snapToGrid w:val="0"/>
        <w:spacing w:beforeAutospacing="0" w:line="360" w:lineRule="auto"/>
        <w:ind w:right="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介质温度范围：0-30℃。</w:t>
      </w:r>
    </w:p>
    <w:p w14:paraId="7E47DB17">
      <w:pPr>
        <w:pStyle w:val="210"/>
        <w:keepNext w:val="0"/>
        <w:keepLines w:val="0"/>
        <w:pageBreakBefore w:val="0"/>
        <w:kinsoku/>
        <w:wordWrap/>
        <w:overflowPunct/>
        <w:topLinePunct w:val="0"/>
        <w:bidi w:val="0"/>
        <w:adjustRightInd w:val="0"/>
        <w:snapToGrid w:val="0"/>
        <w:spacing w:beforeAutospacing="0" w:line="360" w:lineRule="auto"/>
        <w:ind w:right="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工作环境温度范围：0-55℃。</w:t>
      </w:r>
    </w:p>
    <w:p w14:paraId="0BAFA87B">
      <w:pPr>
        <w:pStyle w:val="210"/>
        <w:keepNext w:val="0"/>
        <w:keepLines w:val="0"/>
        <w:pageBreakBefore w:val="0"/>
        <w:kinsoku/>
        <w:wordWrap/>
        <w:overflowPunct/>
        <w:topLinePunct w:val="0"/>
        <w:bidi w:val="0"/>
        <w:adjustRightInd w:val="0"/>
        <w:snapToGrid w:val="0"/>
        <w:spacing w:beforeAutospacing="0" w:line="360" w:lineRule="auto"/>
        <w:ind w:right="0" w:firstLineChars="200"/>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.1.3</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防护等级：IP68。</w:t>
      </w:r>
    </w:p>
    <w:p w14:paraId="05EB8EB0">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电磁环境等级：</w:t>
      </w:r>
      <w:r>
        <w:rPr>
          <w:rFonts w:hint="eastAsia" w:ascii="宋体" w:hAnsi="宋体" w:eastAsia="宋体" w:cs="宋体"/>
          <w:color w:val="auto"/>
          <w:kern w:val="0"/>
          <w:sz w:val="21"/>
          <w:szCs w:val="21"/>
          <w:highlight w:val="none"/>
          <w:lang w:val="en-US" w:eastAsia="zh-CN"/>
        </w:rPr>
        <w:t>E2级</w:t>
      </w:r>
      <w:r>
        <w:rPr>
          <w:rFonts w:hint="eastAsia" w:ascii="宋体" w:hAnsi="宋体" w:eastAsia="宋体" w:cs="宋体"/>
          <w:color w:val="auto"/>
          <w:kern w:val="0"/>
          <w:sz w:val="21"/>
          <w:szCs w:val="21"/>
          <w:highlight w:val="none"/>
        </w:rPr>
        <w:t>。</w:t>
      </w:r>
    </w:p>
    <w:p w14:paraId="51C4BA58">
      <w:pPr>
        <w:pStyle w:val="210"/>
        <w:keepNext w:val="0"/>
        <w:keepLines w:val="0"/>
        <w:pageBreakBefore w:val="0"/>
        <w:kinsoku/>
        <w:wordWrap/>
        <w:overflowPunct/>
        <w:topLinePunct w:val="0"/>
        <w:bidi w:val="0"/>
        <w:adjustRightInd w:val="0"/>
        <w:snapToGrid w:val="0"/>
        <w:spacing w:beforeAutospacing="0" w:line="360" w:lineRule="auto"/>
        <w:ind w:right="0" w:firstLineChars="20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 基表</w:t>
      </w:r>
      <w:r>
        <w:rPr>
          <w:rFonts w:hint="eastAsia" w:ascii="宋体" w:hAnsi="宋体" w:eastAsia="宋体" w:cs="宋体"/>
          <w:color w:val="auto"/>
          <w:kern w:val="0"/>
          <w:sz w:val="21"/>
          <w:szCs w:val="21"/>
          <w:highlight w:val="none"/>
        </w:rPr>
        <w:t>：</w:t>
      </w:r>
    </w:p>
    <w:p w14:paraId="0D0FC6CD">
      <w:pPr>
        <w:pStyle w:val="210"/>
        <w:keepNext w:val="0"/>
        <w:keepLines w:val="0"/>
        <w:pageBreakBefore w:val="0"/>
        <w:kinsoku/>
        <w:wordWrap/>
        <w:overflowPunct/>
        <w:topLinePunct w:val="0"/>
        <w:bidi w:val="0"/>
        <w:adjustRightInd w:val="0"/>
        <w:snapToGrid w:val="0"/>
        <w:spacing w:beforeAutospacing="0" w:line="360" w:lineRule="auto"/>
        <w:ind w:right="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1 </w:t>
      </w:r>
      <w:r>
        <w:rPr>
          <w:rFonts w:hint="eastAsia" w:ascii="宋体" w:hAnsi="宋体" w:eastAsia="宋体" w:cs="宋体"/>
          <w:color w:val="auto"/>
          <w:kern w:val="0"/>
          <w:sz w:val="21"/>
          <w:szCs w:val="21"/>
          <w:highlight w:val="none"/>
        </w:rPr>
        <w:t>压力等级：</w:t>
      </w:r>
      <w:r>
        <w:rPr>
          <w:rFonts w:hint="eastAsia" w:ascii="宋体" w:hAnsi="宋体" w:eastAsia="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MAP10。</w:t>
      </w:r>
    </w:p>
    <w:p w14:paraId="0B0C2729">
      <w:pPr>
        <w:pStyle w:val="210"/>
        <w:keepNext w:val="0"/>
        <w:keepLines w:val="0"/>
        <w:pageBreakBefore w:val="0"/>
        <w:kinsoku/>
        <w:wordWrap/>
        <w:overflowPunct/>
        <w:topLinePunct w:val="0"/>
        <w:bidi w:val="0"/>
        <w:adjustRightInd w:val="0"/>
        <w:snapToGrid w:val="0"/>
        <w:spacing w:beforeAutospacing="0" w:line="360" w:lineRule="auto"/>
        <w:ind w:right="0" w:firstLineChars="200"/>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2 </w:t>
      </w:r>
      <w:r>
        <w:rPr>
          <w:rFonts w:hint="eastAsia" w:ascii="宋体" w:hAnsi="宋体" w:eastAsia="宋体" w:cs="宋体"/>
          <w:b w:val="0"/>
          <w:bCs w:val="0"/>
          <w:color w:val="auto"/>
          <w:kern w:val="0"/>
          <w:sz w:val="21"/>
          <w:szCs w:val="21"/>
          <w:highlight w:val="none"/>
        </w:rPr>
        <w:t>水表准确度等级：2级。</w:t>
      </w:r>
    </w:p>
    <w:p w14:paraId="38751626">
      <w:pPr>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3 </w:t>
      </w:r>
      <w:r>
        <w:rPr>
          <w:rFonts w:hint="eastAsia" w:ascii="宋体" w:hAnsi="宋体" w:eastAsia="宋体" w:cs="宋体"/>
          <w:color w:val="auto"/>
          <w:sz w:val="21"/>
          <w:szCs w:val="21"/>
          <w:highlight w:val="none"/>
        </w:rPr>
        <w:t>超声波原理计量，结构形式为管道式多声道超声波水表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声道数量不少于2个声道</w:t>
      </w:r>
      <w:r>
        <w:rPr>
          <w:rFonts w:hint="eastAsia" w:ascii="宋体" w:hAnsi="宋体" w:eastAsia="宋体" w:cs="宋体"/>
          <w:color w:val="auto"/>
          <w:sz w:val="21"/>
          <w:szCs w:val="21"/>
          <w:highlight w:val="none"/>
          <w:lang w:eastAsia="zh-CN"/>
        </w:rPr>
        <w:t>。</w:t>
      </w:r>
    </w:p>
    <w:p w14:paraId="24AC8658">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流量参数要求</w:t>
      </w:r>
    </w:p>
    <w:tbl>
      <w:tblPr>
        <w:tblStyle w:val="3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365"/>
        <w:gridCol w:w="1857"/>
        <w:gridCol w:w="2227"/>
        <w:gridCol w:w="2212"/>
      </w:tblGrid>
      <w:tr w14:paraId="7927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26" w:type="dxa"/>
            <w:noWrap/>
            <w:vAlign w:val="center"/>
          </w:tcPr>
          <w:p w14:paraId="1E3B9E4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w:t>
            </w:r>
          </w:p>
        </w:tc>
        <w:tc>
          <w:tcPr>
            <w:tcW w:w="1365" w:type="dxa"/>
            <w:noWrap/>
            <w:vAlign w:val="center"/>
          </w:tcPr>
          <w:p w14:paraId="1638C43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公称口径</w:t>
            </w:r>
          </w:p>
          <w:p w14:paraId="2F666D6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DN(mm)</w:t>
            </w:r>
          </w:p>
        </w:tc>
        <w:tc>
          <w:tcPr>
            <w:tcW w:w="1857" w:type="dxa"/>
            <w:noWrap/>
            <w:vAlign w:val="center"/>
          </w:tcPr>
          <w:p w14:paraId="03C7B40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w:t>
            </w:r>
          </w:p>
          <w:p w14:paraId="79B6C8E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Q3（m³/h）</w:t>
            </w:r>
          </w:p>
        </w:tc>
        <w:tc>
          <w:tcPr>
            <w:tcW w:w="2227" w:type="dxa"/>
            <w:noWrap/>
            <w:vAlign w:val="center"/>
          </w:tcPr>
          <w:p w14:paraId="3842C1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常用流量/最小流量</w:t>
            </w:r>
          </w:p>
          <w:p w14:paraId="426C3F4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Q3/Q1</w:t>
            </w:r>
          </w:p>
        </w:tc>
        <w:tc>
          <w:tcPr>
            <w:tcW w:w="2212" w:type="dxa"/>
            <w:noWrap/>
            <w:vAlign w:val="center"/>
          </w:tcPr>
          <w:p w14:paraId="3FF7C89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分界流量/最小流量Q2/Q1</w:t>
            </w:r>
          </w:p>
        </w:tc>
      </w:tr>
      <w:tr w14:paraId="729C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restart"/>
            <w:noWrap w:val="0"/>
            <w:vAlign w:val="center"/>
          </w:tcPr>
          <w:p w14:paraId="3A072D1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超声波水表（缩径）</w:t>
            </w:r>
          </w:p>
        </w:tc>
        <w:tc>
          <w:tcPr>
            <w:tcW w:w="1365" w:type="dxa"/>
            <w:noWrap w:val="0"/>
            <w:vAlign w:val="center"/>
          </w:tcPr>
          <w:p w14:paraId="6F2DE1A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1857" w:type="dxa"/>
            <w:noWrap w:val="0"/>
            <w:vAlign w:val="center"/>
          </w:tcPr>
          <w:p w14:paraId="10E9EAE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2227" w:type="dxa"/>
            <w:noWrap w:val="0"/>
            <w:vAlign w:val="center"/>
          </w:tcPr>
          <w:p w14:paraId="791E6FC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14:paraId="26E2E7F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17C0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center"/>
          </w:tcPr>
          <w:p w14:paraId="7F8359B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14:paraId="63AC97A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1857" w:type="dxa"/>
            <w:noWrap w:val="0"/>
            <w:vAlign w:val="center"/>
          </w:tcPr>
          <w:p w14:paraId="6597223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2227" w:type="dxa"/>
            <w:noWrap w:val="0"/>
            <w:vAlign w:val="center"/>
          </w:tcPr>
          <w:p w14:paraId="5884943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14:paraId="1A393C0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11F6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center"/>
          </w:tcPr>
          <w:p w14:paraId="31C0E57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14:paraId="4D63C94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1857" w:type="dxa"/>
            <w:noWrap w:val="0"/>
            <w:vAlign w:val="center"/>
          </w:tcPr>
          <w:p w14:paraId="4019B0B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227" w:type="dxa"/>
            <w:noWrap w:val="0"/>
            <w:vAlign w:val="center"/>
          </w:tcPr>
          <w:p w14:paraId="14C8AC9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14:paraId="4CB60BA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1650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center"/>
          </w:tcPr>
          <w:p w14:paraId="1DD22A1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14:paraId="5051F66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1857" w:type="dxa"/>
            <w:noWrap w:val="0"/>
            <w:vAlign w:val="center"/>
          </w:tcPr>
          <w:p w14:paraId="3471971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27" w:type="dxa"/>
            <w:noWrap w:val="0"/>
            <w:vAlign w:val="center"/>
          </w:tcPr>
          <w:p w14:paraId="6CBF5F0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14:paraId="2DFE335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5BE1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center"/>
          </w:tcPr>
          <w:p w14:paraId="7179C98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14:paraId="18BA5FA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1857" w:type="dxa"/>
            <w:noWrap w:val="0"/>
            <w:vAlign w:val="center"/>
          </w:tcPr>
          <w:p w14:paraId="50739B2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2227" w:type="dxa"/>
            <w:noWrap w:val="0"/>
            <w:vAlign w:val="center"/>
          </w:tcPr>
          <w:p w14:paraId="2702353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2212" w:type="dxa"/>
            <w:noWrap w:val="0"/>
            <w:vAlign w:val="center"/>
          </w:tcPr>
          <w:p w14:paraId="235815D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7DD2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restart"/>
            <w:noWrap w:val="0"/>
            <w:vAlign w:val="center"/>
          </w:tcPr>
          <w:p w14:paraId="5035B90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超声波水表（通径）</w:t>
            </w:r>
          </w:p>
        </w:tc>
        <w:tc>
          <w:tcPr>
            <w:tcW w:w="1365" w:type="dxa"/>
            <w:noWrap w:val="0"/>
            <w:vAlign w:val="center"/>
          </w:tcPr>
          <w:p w14:paraId="6F90F0D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1857" w:type="dxa"/>
            <w:noWrap w:val="0"/>
            <w:vAlign w:val="center"/>
          </w:tcPr>
          <w:p w14:paraId="0BE11F2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227" w:type="dxa"/>
            <w:noWrap w:val="0"/>
            <w:vAlign w:val="center"/>
          </w:tcPr>
          <w:p w14:paraId="6630172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14:paraId="2264A38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24A3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center"/>
          </w:tcPr>
          <w:p w14:paraId="278247D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14:paraId="38895E3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1857" w:type="dxa"/>
            <w:noWrap w:val="0"/>
            <w:vAlign w:val="center"/>
          </w:tcPr>
          <w:p w14:paraId="2E8D5AB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227" w:type="dxa"/>
            <w:noWrap w:val="0"/>
            <w:vAlign w:val="center"/>
          </w:tcPr>
          <w:p w14:paraId="6AD7C72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14:paraId="6E4EFE5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6257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center"/>
          </w:tcPr>
          <w:p w14:paraId="59CB0FB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14:paraId="1FA86B3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1857" w:type="dxa"/>
            <w:noWrap w:val="0"/>
            <w:vAlign w:val="center"/>
          </w:tcPr>
          <w:p w14:paraId="202264F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27" w:type="dxa"/>
            <w:noWrap w:val="0"/>
            <w:vAlign w:val="center"/>
          </w:tcPr>
          <w:p w14:paraId="4A86CB5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14:paraId="6EDC792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356E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center"/>
          </w:tcPr>
          <w:p w14:paraId="7EF7B0F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14:paraId="6EBA9C4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1857" w:type="dxa"/>
            <w:noWrap w:val="0"/>
            <w:vAlign w:val="center"/>
          </w:tcPr>
          <w:p w14:paraId="4A348D3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630</w:t>
            </w:r>
          </w:p>
        </w:tc>
        <w:tc>
          <w:tcPr>
            <w:tcW w:w="2227" w:type="dxa"/>
            <w:noWrap w:val="0"/>
            <w:vAlign w:val="center"/>
          </w:tcPr>
          <w:p w14:paraId="2C6589B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14:paraId="08C9A1D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4282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center"/>
          </w:tcPr>
          <w:p w14:paraId="5142681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14:paraId="4E7C73A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1857" w:type="dxa"/>
            <w:noWrap w:val="0"/>
            <w:vAlign w:val="center"/>
          </w:tcPr>
          <w:p w14:paraId="2BD8EF0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2227" w:type="dxa"/>
            <w:noWrap w:val="0"/>
            <w:vAlign w:val="center"/>
          </w:tcPr>
          <w:p w14:paraId="39D6F99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14:paraId="71ECA8E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393C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6" w:type="dxa"/>
            <w:vMerge w:val="continue"/>
            <w:noWrap w:val="0"/>
            <w:vAlign w:val="center"/>
          </w:tcPr>
          <w:p w14:paraId="119A3C6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365" w:type="dxa"/>
            <w:noWrap w:val="0"/>
            <w:vAlign w:val="center"/>
          </w:tcPr>
          <w:p w14:paraId="433FF16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1857" w:type="dxa"/>
            <w:noWrap w:val="0"/>
            <w:vAlign w:val="center"/>
          </w:tcPr>
          <w:p w14:paraId="06D875E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1600</w:t>
            </w:r>
          </w:p>
        </w:tc>
        <w:tc>
          <w:tcPr>
            <w:tcW w:w="2227" w:type="dxa"/>
            <w:noWrap w:val="0"/>
            <w:vAlign w:val="center"/>
          </w:tcPr>
          <w:p w14:paraId="66CEFA0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212" w:type="dxa"/>
            <w:noWrap w:val="0"/>
            <w:vAlign w:val="center"/>
          </w:tcPr>
          <w:p w14:paraId="6161A35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bl>
    <w:p w14:paraId="56C9B703">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5 </w:t>
      </w:r>
      <w:r>
        <w:rPr>
          <w:rFonts w:hint="eastAsia" w:ascii="宋体" w:hAnsi="宋体" w:eastAsia="宋体" w:cs="宋体"/>
          <w:color w:val="auto"/>
          <w:kern w:val="0"/>
          <w:sz w:val="21"/>
          <w:szCs w:val="21"/>
          <w:highlight w:val="none"/>
        </w:rPr>
        <w:t>与饮用水接触的水表设备和防护材料不得污染水质，须符合《生活饮用水输配水设备及防护材料卫生安全评价标准》的卫生安全要求。</w:t>
      </w:r>
    </w:p>
    <w:p w14:paraId="3DA65DC4">
      <w:pPr>
        <w:pStyle w:val="210"/>
        <w:keepNext w:val="0"/>
        <w:keepLines w:val="0"/>
        <w:pageBreakBefore w:val="0"/>
        <w:kinsoku/>
        <w:wordWrap/>
        <w:overflowPunct/>
        <w:topLinePunct w:val="0"/>
        <w:bidi w:val="0"/>
        <w:spacing w:line="360" w:lineRule="auto"/>
        <w:ind w:firstLineChars="200"/>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2.2.6 水表应印有“</w:t>
      </w:r>
      <w:r>
        <w:rPr>
          <w:rFonts w:hint="eastAsia" w:ascii="宋体" w:hAnsi="宋体" w:eastAsia="宋体" w:cs="宋体"/>
          <w:color w:val="auto"/>
          <w:kern w:val="2"/>
          <w:sz w:val="21"/>
          <w:szCs w:val="21"/>
          <w:highlight w:val="none"/>
          <w:lang w:val="en-US" w:eastAsia="zh-CN" w:bidi="ar-SA"/>
        </w:rPr>
        <w:t>东莞水务环境集团</w:t>
      </w:r>
      <w:r>
        <w:rPr>
          <w:rFonts w:hint="eastAsia" w:ascii="宋体" w:hAnsi="宋体" w:eastAsia="宋体" w:cs="宋体"/>
          <w:color w:val="auto"/>
          <w:kern w:val="2"/>
          <w:sz w:val="21"/>
          <w:szCs w:val="21"/>
          <w:highlight w:val="none"/>
          <w:lang w:val="en-US" w:eastAsia="zh-CN"/>
        </w:rPr>
        <w:t>供水公司L0G0+客服热线96968”字样（具体样式中标后由招标人提供），其中印刷费计入投标报价。</w:t>
      </w:r>
    </w:p>
    <w:p w14:paraId="408ECE38">
      <w:pPr>
        <w:pStyle w:val="210"/>
        <w:keepNext w:val="0"/>
        <w:keepLines w:val="0"/>
        <w:pageBreakBefore w:val="0"/>
        <w:kinsoku/>
        <w:wordWrap/>
        <w:overflowPunct/>
        <w:topLinePunct w:val="0"/>
        <w:bidi w:val="0"/>
        <w:spacing w:line="360" w:lineRule="auto"/>
        <w:ind w:firstLineChars="200"/>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水表外壳、指示装置或铭牌、不可分离的表盖上，应集中或分散标明计量参数、流向箭头、公称口径、制造年月和编号等信息。</w:t>
      </w:r>
    </w:p>
    <w:p w14:paraId="5659BF3D">
      <w:pPr>
        <w:pStyle w:val="210"/>
        <w:keepNext w:val="0"/>
        <w:keepLines w:val="0"/>
        <w:pageBreakBefore w:val="0"/>
        <w:kinsoku/>
        <w:wordWrap/>
        <w:overflowPunct/>
        <w:topLinePunct w:val="0"/>
        <w:bidi w:val="0"/>
        <w:adjustRightInd w:val="0"/>
        <w:snapToGrid w:val="0"/>
        <w:spacing w:beforeAutospacing="0" w:line="360" w:lineRule="auto"/>
        <w:ind w:right="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7 </w:t>
      </w:r>
      <w:r>
        <w:rPr>
          <w:rFonts w:hint="eastAsia" w:ascii="宋体" w:hAnsi="宋体" w:eastAsia="宋体" w:cs="宋体"/>
          <w:color w:val="auto"/>
          <w:kern w:val="0"/>
          <w:sz w:val="21"/>
          <w:szCs w:val="21"/>
          <w:highlight w:val="none"/>
        </w:rPr>
        <w:t>尺寸要求：</w:t>
      </w:r>
    </w:p>
    <w:tbl>
      <w:tblPr>
        <w:tblStyle w:val="39"/>
        <w:tblW w:w="44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4"/>
        <w:gridCol w:w="2295"/>
        <w:gridCol w:w="1729"/>
        <w:gridCol w:w="2123"/>
      </w:tblGrid>
      <w:tr w14:paraId="3FB9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88" w:type="pct"/>
            <w:noWrap w:val="0"/>
            <w:vAlign w:val="center"/>
          </w:tcPr>
          <w:p w14:paraId="16829CB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w:t>
            </w:r>
          </w:p>
        </w:tc>
        <w:tc>
          <w:tcPr>
            <w:tcW w:w="1236" w:type="pct"/>
            <w:noWrap w:val="0"/>
            <w:vAlign w:val="center"/>
          </w:tcPr>
          <w:p w14:paraId="640CF86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公称口径</w:t>
            </w:r>
          </w:p>
          <w:p w14:paraId="7212DA3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DN(mm)</w:t>
            </w:r>
          </w:p>
        </w:tc>
        <w:tc>
          <w:tcPr>
            <w:tcW w:w="931" w:type="pct"/>
            <w:noWrap w:val="0"/>
            <w:vAlign w:val="center"/>
          </w:tcPr>
          <w:p w14:paraId="7C4B4EE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长度(mm)</w:t>
            </w:r>
          </w:p>
        </w:tc>
        <w:tc>
          <w:tcPr>
            <w:tcW w:w="1143" w:type="pct"/>
            <w:noWrap w:val="0"/>
            <w:vAlign w:val="center"/>
          </w:tcPr>
          <w:p w14:paraId="40524DA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法兰连接</w:t>
            </w:r>
          </w:p>
          <w:p w14:paraId="6708E90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螺栓孔数</w:t>
            </w:r>
          </w:p>
        </w:tc>
      </w:tr>
      <w:tr w14:paraId="0B01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88" w:type="pct"/>
            <w:vMerge w:val="restart"/>
            <w:noWrap w:val="0"/>
            <w:vAlign w:val="center"/>
          </w:tcPr>
          <w:p w14:paraId="56E89A5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w:t>
            </w:r>
          </w:p>
        </w:tc>
        <w:tc>
          <w:tcPr>
            <w:tcW w:w="1236" w:type="pct"/>
            <w:noWrap w:val="0"/>
            <w:vAlign w:val="center"/>
          </w:tcPr>
          <w:p w14:paraId="2E371BA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931" w:type="pct"/>
            <w:noWrap w:val="0"/>
            <w:vAlign w:val="center"/>
          </w:tcPr>
          <w:p w14:paraId="32948E7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1143" w:type="pct"/>
            <w:noWrap w:val="0"/>
            <w:vAlign w:val="center"/>
          </w:tcPr>
          <w:p w14:paraId="052C627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45B5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88" w:type="pct"/>
            <w:vMerge w:val="continue"/>
            <w:noWrap w:val="0"/>
            <w:vAlign w:val="center"/>
          </w:tcPr>
          <w:p w14:paraId="365D80F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236" w:type="pct"/>
            <w:noWrap w:val="0"/>
            <w:vAlign w:val="center"/>
          </w:tcPr>
          <w:p w14:paraId="1623B76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931" w:type="pct"/>
            <w:noWrap w:val="0"/>
            <w:vAlign w:val="center"/>
          </w:tcPr>
          <w:p w14:paraId="1B10974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143" w:type="pct"/>
            <w:noWrap w:val="0"/>
            <w:vAlign w:val="center"/>
          </w:tcPr>
          <w:p w14:paraId="2694FBD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2ADA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88" w:type="pct"/>
            <w:vMerge w:val="continue"/>
            <w:noWrap w:val="0"/>
            <w:vAlign w:val="center"/>
          </w:tcPr>
          <w:p w14:paraId="6F4CE8F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236" w:type="pct"/>
            <w:noWrap w:val="0"/>
            <w:vAlign w:val="center"/>
          </w:tcPr>
          <w:p w14:paraId="19DF2B4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931" w:type="pct"/>
            <w:noWrap w:val="0"/>
            <w:vAlign w:val="center"/>
          </w:tcPr>
          <w:p w14:paraId="03C76AF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1143" w:type="pct"/>
            <w:noWrap w:val="0"/>
            <w:vAlign w:val="center"/>
          </w:tcPr>
          <w:p w14:paraId="1B415CA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76DF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88" w:type="pct"/>
            <w:vMerge w:val="continue"/>
            <w:noWrap w:val="0"/>
            <w:vAlign w:val="center"/>
          </w:tcPr>
          <w:p w14:paraId="4831C61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236" w:type="pct"/>
            <w:noWrap w:val="0"/>
            <w:vAlign w:val="center"/>
          </w:tcPr>
          <w:p w14:paraId="29472BD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1" w:type="pct"/>
            <w:noWrap w:val="0"/>
            <w:vAlign w:val="center"/>
          </w:tcPr>
          <w:p w14:paraId="6D6CAF8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1143" w:type="pct"/>
            <w:noWrap w:val="0"/>
            <w:vAlign w:val="center"/>
          </w:tcPr>
          <w:p w14:paraId="51E3057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7FED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88" w:type="pct"/>
            <w:vMerge w:val="continue"/>
            <w:noWrap w:val="0"/>
            <w:vAlign w:val="center"/>
          </w:tcPr>
          <w:p w14:paraId="6DB0A17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236" w:type="pct"/>
            <w:noWrap w:val="0"/>
            <w:vAlign w:val="center"/>
          </w:tcPr>
          <w:p w14:paraId="73567CB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1" w:type="pct"/>
            <w:noWrap w:val="0"/>
            <w:vAlign w:val="center"/>
          </w:tcPr>
          <w:p w14:paraId="1A301E2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1143" w:type="pct"/>
            <w:noWrap w:val="0"/>
            <w:vAlign w:val="center"/>
          </w:tcPr>
          <w:p w14:paraId="0B8A669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r>
      <w:tr w14:paraId="650A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pct"/>
            <w:vMerge w:val="continue"/>
            <w:noWrap w:val="0"/>
            <w:vAlign w:val="center"/>
          </w:tcPr>
          <w:p w14:paraId="2C43D60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236" w:type="pct"/>
            <w:noWrap w:val="0"/>
            <w:vAlign w:val="center"/>
          </w:tcPr>
          <w:p w14:paraId="10E99C4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931" w:type="pct"/>
            <w:noWrap w:val="0"/>
            <w:vAlign w:val="center"/>
          </w:tcPr>
          <w:p w14:paraId="0356B3E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143" w:type="pct"/>
            <w:noWrap w:val="0"/>
            <w:vAlign w:val="center"/>
          </w:tcPr>
          <w:p w14:paraId="3658BB5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r>
    </w:tbl>
    <w:p w14:paraId="2A390D9F">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环境等级：</w:t>
      </w:r>
      <w:r>
        <w:rPr>
          <w:rFonts w:hint="eastAsia" w:ascii="宋体" w:hAnsi="宋体" w:eastAsia="宋体" w:cs="宋体"/>
          <w:color w:val="auto"/>
          <w:kern w:val="0"/>
          <w:sz w:val="21"/>
          <w:szCs w:val="21"/>
          <w:highlight w:val="none"/>
          <w:lang w:val="en-US" w:eastAsia="zh-CN"/>
        </w:rPr>
        <w:t>C级或</w:t>
      </w:r>
      <w:r>
        <w:rPr>
          <w:rFonts w:hint="eastAsia" w:ascii="宋体" w:hAnsi="宋体" w:eastAsia="宋体" w:cs="宋体"/>
          <w:color w:val="auto"/>
          <w:kern w:val="0"/>
          <w:sz w:val="21"/>
          <w:szCs w:val="21"/>
          <w:highlight w:val="none"/>
        </w:rPr>
        <w:t>O级（安装在室外的固定水表）。</w:t>
      </w:r>
    </w:p>
    <w:p w14:paraId="5C17E44E">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9 </w:t>
      </w:r>
      <w:r>
        <w:rPr>
          <w:rFonts w:hint="eastAsia" w:ascii="宋体" w:hAnsi="宋体" w:eastAsia="宋体" w:cs="宋体"/>
          <w:color w:val="auto"/>
          <w:sz w:val="21"/>
          <w:szCs w:val="21"/>
          <w:highlight w:val="none"/>
        </w:rPr>
        <w:t>采用法兰连接，连接件必须符合建设部CJ266-2008承压件尺寸和重量要求。</w:t>
      </w:r>
    </w:p>
    <w:p w14:paraId="0948D4DE">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2.2.10 </w:t>
      </w:r>
      <w:r>
        <w:rPr>
          <w:rFonts w:hint="eastAsia" w:ascii="宋体" w:hAnsi="宋体" w:eastAsia="宋体" w:cs="宋体"/>
          <w:color w:val="auto"/>
          <w:kern w:val="0"/>
          <w:sz w:val="21"/>
          <w:szCs w:val="21"/>
          <w:highlight w:val="none"/>
        </w:rPr>
        <w:t>表体材质为不锈钢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Cs w:val="21"/>
          <w:highlight w:val="none"/>
          <w:lang w:val="en-US" w:eastAsia="zh-CN"/>
        </w:rPr>
        <w:t>不低于304不锈钢</w:t>
      </w:r>
      <w:r>
        <w:rPr>
          <w:rFonts w:hint="eastAsia" w:ascii="宋体" w:hAnsi="宋体" w:eastAsia="宋体" w:cs="宋体"/>
          <w:color w:val="auto"/>
          <w:kern w:val="0"/>
          <w:sz w:val="21"/>
          <w:szCs w:val="21"/>
          <w:highlight w:val="none"/>
          <w:lang w:eastAsia="zh-CN"/>
        </w:rPr>
        <w:t>）。</w:t>
      </w:r>
    </w:p>
    <w:p w14:paraId="48C554AC">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2.2.11 </w:t>
      </w:r>
      <w:r>
        <w:rPr>
          <w:rFonts w:hint="eastAsia" w:ascii="宋体" w:hAnsi="宋体" w:eastAsia="宋体" w:cs="宋体"/>
          <w:color w:val="auto"/>
          <w:sz w:val="21"/>
          <w:szCs w:val="21"/>
          <w:highlight w:val="none"/>
        </w:rPr>
        <w:t>支持正反向测量，可显示正反向瞬时和累计流量，以及计量异常等报警代码。需具有报警功能（电池低压报警、更换电池报警、空管报警）。</w:t>
      </w:r>
    </w:p>
    <w:p w14:paraId="58E1AEB5">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2.2.12 </w:t>
      </w:r>
      <w:r>
        <w:rPr>
          <w:rFonts w:hint="eastAsia" w:ascii="宋体" w:hAnsi="宋体" w:eastAsia="宋体" w:cs="宋体"/>
          <w:color w:val="auto"/>
          <w:kern w:val="0"/>
          <w:sz w:val="21"/>
          <w:szCs w:val="21"/>
          <w:highlight w:val="none"/>
        </w:rPr>
        <w:t>累计流量数显至少9位，主界面应可显示：正向累计流量、正向瞬时流量、反向累计流量、反向瞬时流量、电池电量低信号提示或电池使用时间（单位：小时）提示、报警显示等。其中主界面可同屏或翻屏显示正向累计流量、正向瞬时流量和异常提示信息（包括电池电压、更换电池报警、空管报警等），其余数据可在次级菜单显示。</w:t>
      </w:r>
    </w:p>
    <w:p w14:paraId="568B9CD0">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2.2.13 </w:t>
      </w:r>
      <w:r>
        <w:rPr>
          <w:rFonts w:hint="eastAsia" w:ascii="宋体" w:hAnsi="宋体" w:eastAsia="宋体" w:cs="宋体"/>
          <w:color w:val="auto"/>
          <w:sz w:val="21"/>
          <w:szCs w:val="21"/>
          <w:highlight w:val="none"/>
        </w:rPr>
        <w:t>内置锂电池，无须外部供电，锂电池</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寿命至少为</w:t>
      </w:r>
      <w:r>
        <w:rPr>
          <w:rFonts w:hint="eastAsia" w:ascii="宋体" w:hAnsi="宋体" w:eastAsia="宋体" w:cs="宋体"/>
          <w:color w:val="auto"/>
          <w:sz w:val="21"/>
          <w:szCs w:val="21"/>
          <w:highlight w:val="none"/>
          <w:lang w:val="en-US" w:eastAsia="zh-CN"/>
        </w:rPr>
        <w:t>6年，且</w:t>
      </w:r>
      <w:r>
        <w:rPr>
          <w:rFonts w:hint="eastAsia" w:ascii="宋体" w:hAnsi="宋体" w:eastAsia="宋体" w:cs="宋体"/>
          <w:color w:val="auto"/>
          <w:sz w:val="21"/>
          <w:szCs w:val="21"/>
          <w:highlight w:val="none"/>
        </w:rPr>
        <w:t>必须采取安全保护措施，保证电池不发生爆炸或自燃。</w:t>
      </w:r>
    </w:p>
    <w:p w14:paraId="3FFE5029">
      <w:pPr>
        <w:keepNext w:val="0"/>
        <w:keepLines w:val="0"/>
        <w:pageBreakBefore w:val="0"/>
        <w:widowControl/>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2.2.14 </w:t>
      </w:r>
      <w:r>
        <w:rPr>
          <w:rFonts w:hint="eastAsia" w:ascii="宋体" w:hAnsi="宋体" w:eastAsia="宋体" w:cs="宋体"/>
          <w:color w:val="auto"/>
          <w:sz w:val="21"/>
          <w:szCs w:val="21"/>
          <w:highlight w:val="none"/>
        </w:rPr>
        <w:t>声道探头（换能器）具备抗积垢能力。</w:t>
      </w:r>
    </w:p>
    <w:p w14:paraId="19B66D4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2.2.15 </w:t>
      </w:r>
      <w:r>
        <w:rPr>
          <w:rFonts w:hint="eastAsia" w:ascii="宋体" w:hAnsi="宋体" w:eastAsia="宋体" w:cs="宋体"/>
          <w:color w:val="auto"/>
          <w:sz w:val="21"/>
          <w:szCs w:val="21"/>
          <w:highlight w:val="none"/>
        </w:rPr>
        <w:t>数据通讯接口RS485（mod-bus协议）。</w:t>
      </w:r>
    </w:p>
    <w:p w14:paraId="35F1A583">
      <w:pPr>
        <w:keepNext w:val="0"/>
        <w:keepLines w:val="0"/>
        <w:pageBreakBefore w:val="0"/>
        <w:widowControl/>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xml:space="preserve">2.2.16 </w:t>
      </w:r>
      <w:r>
        <w:rPr>
          <w:rFonts w:hint="eastAsia" w:ascii="宋体" w:hAnsi="宋体" w:eastAsia="宋体" w:cs="宋体"/>
          <w:color w:val="auto"/>
          <w:sz w:val="21"/>
          <w:szCs w:val="21"/>
          <w:highlight w:val="none"/>
        </w:rPr>
        <w:t>防盗、防破解功能：</w:t>
      </w:r>
    </w:p>
    <w:p w14:paraId="1853DFA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（1）投标人提供的设备必须具有严密的外观设计，保证设备不能被轻易拆解，装有铅封等显示被拆解破坏的标识；</w:t>
      </w:r>
    </w:p>
    <w:p w14:paraId="3789862C">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（2）投标人应保证设备所测量和存储的数据不能被破解修改；投标人不得将对设备进行调试的后台密码告知任何人员（包括招标人人员）；</w:t>
      </w:r>
    </w:p>
    <w:p w14:paraId="66B16F4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（3）基表声道所在的封盖部位，作一次性封死，不能拆除。如遇暴力拆解，则在水表主界面显示报警标识。</w:t>
      </w:r>
    </w:p>
    <w:p w14:paraId="3669B9CB">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420" w:firstLineChars="200"/>
        <w:textAlignment w:val="auto"/>
        <w:outlineLvl w:val="9"/>
        <w:rPr>
          <w:rFonts w:hint="eastAsia" w:ascii="宋体" w:hAnsi="宋体" w:eastAsia="宋体" w:cs="宋体"/>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★2.2.17 首次检定或校准：投标人在交货的同时，需提交货物出厂合格证明和东莞地区法定计量检定机构出具的水表检定合格证书或校准证书，并对所提交证书的真实性及准确性承担责任</w:t>
      </w:r>
      <w:r>
        <w:rPr>
          <w:rFonts w:hint="eastAsia" w:ascii="宋体" w:hAnsi="宋体" w:eastAsia="宋体" w:cs="宋体"/>
          <w:b/>
          <w:bCs/>
          <w:color w:val="auto"/>
          <w:sz w:val="21"/>
          <w:szCs w:val="21"/>
          <w:highlight w:val="none"/>
          <w:lang w:val="en-US" w:eastAsia="zh-CN"/>
        </w:rPr>
        <w:t>（投标阶段需就上述事项提供相关承诺文件）</w:t>
      </w:r>
      <w:r>
        <w:rPr>
          <w:rFonts w:hint="eastAsia" w:ascii="宋体" w:hAnsi="宋体" w:eastAsia="宋体" w:cs="宋体"/>
          <w:b w:val="0"/>
          <w:bCs w:val="0"/>
          <w:color w:val="auto"/>
          <w:sz w:val="21"/>
          <w:szCs w:val="21"/>
          <w:highlight w:val="none"/>
          <w:lang w:val="en-US" w:eastAsia="zh-CN"/>
        </w:rPr>
        <w:t>。</w:t>
      </w:r>
    </w:p>
    <w:p w14:paraId="4304C010">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3 </w:t>
      </w:r>
      <w:r>
        <w:rPr>
          <w:rFonts w:hint="eastAsia" w:ascii="宋体" w:hAnsi="宋体" w:eastAsia="宋体" w:cs="宋体"/>
          <w:color w:val="auto"/>
          <w:kern w:val="0"/>
          <w:sz w:val="21"/>
          <w:szCs w:val="21"/>
          <w:highlight w:val="none"/>
        </w:rPr>
        <w:t>远传模块要求：</w:t>
      </w:r>
    </w:p>
    <w:p w14:paraId="75D7F55B">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远传模块直接安装在水表上，要求安装牢固可靠，</w:t>
      </w:r>
      <w:r>
        <w:rPr>
          <w:rFonts w:hint="eastAsia" w:ascii="宋体" w:hAnsi="宋体" w:eastAsia="宋体" w:cs="宋体"/>
          <w:color w:val="auto"/>
          <w:sz w:val="21"/>
          <w:szCs w:val="21"/>
          <w:highlight w:val="none"/>
        </w:rPr>
        <w:t>远传模块</w:t>
      </w:r>
      <w:r>
        <w:rPr>
          <w:rFonts w:hint="eastAsia" w:ascii="宋体" w:hAnsi="宋体" w:eastAsia="宋体" w:cs="宋体"/>
          <w:color w:val="auto"/>
          <w:sz w:val="21"/>
          <w:szCs w:val="21"/>
          <w:highlight w:val="none"/>
          <w:lang w:val="en-US" w:eastAsia="zh-CN"/>
        </w:rPr>
        <w:t>与基表</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highlight w:val="none"/>
        </w:rPr>
        <w:t>结合应无妨碍检定和读数的缺陷。</w:t>
      </w:r>
    </w:p>
    <w:p w14:paraId="32AC1258">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p w14:paraId="7CE7CBCF">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通讯</w:t>
      </w:r>
      <w:r>
        <w:rPr>
          <w:rFonts w:hint="eastAsia" w:ascii="宋体" w:hAnsi="宋体" w:eastAsia="宋体" w:cs="宋体"/>
          <w:color w:val="auto"/>
          <w:kern w:val="0"/>
          <w:sz w:val="21"/>
          <w:szCs w:val="21"/>
          <w:highlight w:val="none"/>
        </w:rPr>
        <w:t>电池：锂电池，在上报频次为2次/日时，保证可连续使用≥</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年，且必须采取安全保护措施，保证电池不发生爆炸或自燃，</w:t>
      </w:r>
      <w:r>
        <w:rPr>
          <w:rFonts w:hint="eastAsia" w:ascii="宋体" w:hAnsi="宋体" w:eastAsia="宋体" w:cs="宋体"/>
          <w:color w:val="auto"/>
          <w:sz w:val="21"/>
          <w:szCs w:val="21"/>
          <w:highlight w:val="none"/>
        </w:rPr>
        <w:t>使用寿命未达到</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年的，由供商应负责免费更换电池。</w:t>
      </w:r>
    </w:p>
    <w:p w14:paraId="2CD2A506">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数据存储：采集周期为15分钟/次时，可存储数据≥30天，当存储介质存满时，新采集的数据自动覆盖最早数据。</w:t>
      </w:r>
    </w:p>
    <w:p w14:paraId="7418F41A">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日</w:t>
      </w:r>
      <w:r>
        <w:rPr>
          <w:rFonts w:hint="eastAsia" w:ascii="宋体" w:hAnsi="宋体" w:eastAsia="宋体" w:cs="宋体"/>
          <w:color w:val="auto"/>
          <w:kern w:val="0"/>
          <w:sz w:val="21"/>
          <w:szCs w:val="21"/>
          <w:highlight w:val="none"/>
        </w:rPr>
        <w:t>数据传输成功率≥99% ，抄读准确率≥99%</w:t>
      </w:r>
      <w:r>
        <w:rPr>
          <w:rFonts w:hint="eastAsia" w:ascii="宋体" w:hAnsi="宋体" w:eastAsia="宋体" w:cs="宋体"/>
          <w:b/>
          <w:bCs/>
          <w:color w:val="auto"/>
          <w:kern w:val="0"/>
          <w:sz w:val="21"/>
          <w:szCs w:val="21"/>
          <w:highlight w:val="none"/>
        </w:rPr>
        <w:t>（投标人提供相关水表用户使用情况及证明材料）</w:t>
      </w:r>
      <w:r>
        <w:rPr>
          <w:rFonts w:hint="eastAsia" w:ascii="宋体" w:hAnsi="宋体" w:eastAsia="宋体" w:cs="宋体"/>
          <w:color w:val="auto"/>
          <w:kern w:val="0"/>
          <w:sz w:val="21"/>
          <w:szCs w:val="21"/>
          <w:highlight w:val="none"/>
        </w:rPr>
        <w:t>。</w:t>
      </w:r>
    </w:p>
    <w:p w14:paraId="2FED9B52">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6 </w:t>
      </w:r>
      <w:r>
        <w:rPr>
          <w:rFonts w:hint="eastAsia" w:ascii="宋体" w:hAnsi="宋体" w:eastAsia="宋体" w:cs="宋体"/>
          <w:color w:val="auto"/>
          <w:kern w:val="0"/>
          <w:sz w:val="21"/>
          <w:szCs w:val="21"/>
          <w:highlight w:val="none"/>
        </w:rPr>
        <w:t>远程模块</w:t>
      </w:r>
      <w:r>
        <w:rPr>
          <w:rFonts w:hint="eastAsia" w:ascii="宋体" w:hAnsi="宋体" w:eastAsia="宋体" w:cs="宋体"/>
          <w:color w:val="auto"/>
          <w:sz w:val="21"/>
          <w:szCs w:val="21"/>
          <w:highlight w:val="none"/>
        </w:rPr>
        <w:t>须印有统一的识别标识及设备编号，</w:t>
      </w:r>
      <w:r>
        <w:rPr>
          <w:rFonts w:hint="eastAsia" w:ascii="宋体" w:hAnsi="宋体" w:eastAsia="宋体" w:cs="宋体"/>
          <w:color w:val="auto"/>
          <w:kern w:val="0"/>
          <w:sz w:val="21"/>
          <w:szCs w:val="21"/>
          <w:highlight w:val="none"/>
        </w:rPr>
        <w:t>其组件、外壳和连接线材应采用阻燃材质。</w:t>
      </w:r>
    </w:p>
    <w:p w14:paraId="4ADE780B">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7 </w:t>
      </w:r>
      <w:r>
        <w:rPr>
          <w:rFonts w:hint="eastAsia" w:ascii="宋体" w:hAnsi="宋体" w:eastAsia="宋体" w:cs="宋体"/>
          <w:b w:val="0"/>
          <w:bCs w:val="0"/>
          <w:color w:val="auto"/>
          <w:kern w:val="0"/>
          <w:sz w:val="21"/>
          <w:szCs w:val="21"/>
          <w:highlight w:val="none"/>
        </w:rPr>
        <w:t>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0"/>
          <w:sz w:val="21"/>
          <w:szCs w:val="21"/>
          <w:highlight w:val="none"/>
        </w:rPr>
        <w:t>（需提供产品说明书和相关承诺文件）</w:t>
      </w:r>
      <w:r>
        <w:rPr>
          <w:rFonts w:hint="eastAsia" w:ascii="宋体" w:hAnsi="宋体" w:eastAsia="宋体" w:cs="宋体"/>
          <w:b w:val="0"/>
          <w:bCs w:val="0"/>
          <w:color w:val="auto"/>
          <w:kern w:val="0"/>
          <w:sz w:val="21"/>
          <w:szCs w:val="21"/>
          <w:highlight w:val="none"/>
        </w:rPr>
        <w:t>。</w:t>
      </w:r>
    </w:p>
    <w:p w14:paraId="5E42E0F7">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若处于NB-IOT信号接收不利点，投标人应采取措施，例如与运营商协调网络优化、转用4G移动通讯网络等方法，提升网络性能质量，确保数据传输成功率达到要求。采取措施所发生的所有费用，由投标人负责。</w:t>
      </w:r>
    </w:p>
    <w:p w14:paraId="08B5B892">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远传参数设置：可通过有线连接、手机蓝牙连接或近端手持终端设备进行参数设置和远传设备调试。</w:t>
      </w:r>
    </w:p>
    <w:p w14:paraId="5589BACF">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10 </w:t>
      </w:r>
      <w:r>
        <w:rPr>
          <w:rFonts w:hint="eastAsia" w:ascii="宋体" w:hAnsi="宋体" w:eastAsia="宋体" w:cs="宋体"/>
          <w:b w:val="0"/>
          <w:bCs w:val="0"/>
          <w:color w:val="auto"/>
          <w:kern w:val="0"/>
          <w:sz w:val="21"/>
          <w:szCs w:val="21"/>
          <w:highlight w:val="none"/>
        </w:rPr>
        <w:t>远传模块的通讯协议需符合招标人物联网终端传输规约的有关要求</w:t>
      </w:r>
      <w:r>
        <w:rPr>
          <w:rFonts w:hint="eastAsia" w:ascii="宋体" w:hAnsi="宋体" w:eastAsia="宋体" w:cs="宋体"/>
          <w:b/>
          <w:bCs/>
          <w:color w:val="auto"/>
          <w:kern w:val="0"/>
          <w:sz w:val="21"/>
          <w:szCs w:val="21"/>
          <w:highlight w:val="none"/>
        </w:rPr>
        <w:t>（需提供相关承诺文件）</w:t>
      </w:r>
      <w:r>
        <w:rPr>
          <w:rFonts w:hint="eastAsia" w:ascii="宋体" w:hAnsi="宋体" w:eastAsia="宋体" w:cs="宋体"/>
          <w:b w:val="0"/>
          <w:bCs w:val="0"/>
          <w:color w:val="auto"/>
          <w:kern w:val="0"/>
          <w:sz w:val="21"/>
          <w:szCs w:val="21"/>
          <w:highlight w:val="none"/>
        </w:rPr>
        <w:t>。</w:t>
      </w:r>
    </w:p>
    <w:p w14:paraId="3D9BF17F">
      <w:pPr>
        <w:pStyle w:val="210"/>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11 </w:t>
      </w:r>
      <w:r>
        <w:rPr>
          <w:rFonts w:hint="eastAsia" w:ascii="宋体" w:hAnsi="宋体" w:eastAsia="宋体" w:cs="宋体"/>
          <w:b w:val="0"/>
          <w:bCs w:val="0"/>
          <w:color w:val="auto"/>
          <w:kern w:val="0"/>
          <w:sz w:val="21"/>
          <w:szCs w:val="21"/>
          <w:highlight w:val="none"/>
        </w:rPr>
        <w:t>平台对接：所有数据按招标人要求无缝融合到招标人</w:t>
      </w:r>
      <w:r>
        <w:rPr>
          <w:rFonts w:hint="eastAsia" w:ascii="宋体" w:hAnsi="宋体" w:eastAsia="宋体" w:cs="宋体"/>
          <w:b w:val="0"/>
          <w:bCs w:val="0"/>
          <w:color w:val="auto"/>
          <w:kern w:val="0"/>
          <w:sz w:val="21"/>
          <w:szCs w:val="21"/>
          <w:highlight w:val="none"/>
          <w:lang w:val="en-US" w:eastAsia="zh-CN"/>
        </w:rPr>
        <w:t>智能水表</w:t>
      </w:r>
      <w:r>
        <w:rPr>
          <w:rFonts w:hint="eastAsia" w:ascii="宋体" w:hAnsi="宋体" w:eastAsia="宋体" w:cs="宋体"/>
          <w:b w:val="0"/>
          <w:bCs w:val="0"/>
          <w:color w:val="auto"/>
          <w:kern w:val="0"/>
          <w:sz w:val="21"/>
          <w:szCs w:val="21"/>
          <w:highlight w:val="none"/>
        </w:rPr>
        <w:t>管理系统，</w:t>
      </w:r>
      <w:r>
        <w:rPr>
          <w:rFonts w:hint="eastAsia" w:ascii="宋体" w:hAnsi="宋体" w:eastAsia="宋体" w:cs="宋体"/>
          <w:b w:val="0"/>
          <w:bCs w:val="0"/>
          <w:color w:val="auto"/>
          <w:kern w:val="0"/>
          <w:sz w:val="21"/>
          <w:szCs w:val="21"/>
          <w:highlight w:val="none"/>
          <w:lang w:val="en-US" w:eastAsia="zh-CN"/>
        </w:rPr>
        <w:t>中标人需</w:t>
      </w:r>
      <w:r>
        <w:rPr>
          <w:rFonts w:hint="eastAsia" w:ascii="宋体" w:hAnsi="宋体" w:eastAsia="宋体" w:cs="宋体"/>
          <w:b w:val="0"/>
          <w:bCs w:val="0"/>
          <w:color w:val="auto"/>
          <w:kern w:val="0"/>
          <w:sz w:val="21"/>
          <w:szCs w:val="21"/>
          <w:highlight w:val="none"/>
        </w:rPr>
        <w:t>无偿</w:t>
      </w:r>
      <w:r>
        <w:rPr>
          <w:rFonts w:hint="eastAsia" w:ascii="宋体" w:hAnsi="宋体" w:eastAsia="宋体" w:cs="宋体"/>
          <w:b w:val="0"/>
          <w:bCs w:val="0"/>
          <w:color w:val="auto"/>
          <w:kern w:val="0"/>
          <w:sz w:val="21"/>
          <w:szCs w:val="21"/>
          <w:highlight w:val="none"/>
          <w:lang w:val="en-US" w:eastAsia="zh-CN"/>
        </w:rPr>
        <w:t>配合远传水表的</w:t>
      </w:r>
      <w:r>
        <w:rPr>
          <w:rFonts w:hint="eastAsia" w:ascii="宋体" w:hAnsi="宋体" w:eastAsia="宋体" w:cs="宋体"/>
          <w:b w:val="0"/>
          <w:bCs w:val="0"/>
          <w:color w:val="auto"/>
          <w:kern w:val="0"/>
          <w:sz w:val="21"/>
          <w:szCs w:val="21"/>
          <w:highlight w:val="none"/>
        </w:rPr>
        <w:t>接入工作</w:t>
      </w:r>
      <w:r>
        <w:rPr>
          <w:rFonts w:hint="eastAsia" w:ascii="宋体" w:hAnsi="宋体" w:eastAsia="宋体" w:cs="宋体"/>
          <w:b/>
          <w:bCs/>
          <w:color w:val="auto"/>
          <w:kern w:val="0"/>
          <w:sz w:val="21"/>
          <w:szCs w:val="21"/>
          <w:highlight w:val="none"/>
        </w:rPr>
        <w:t>（需提供可无缝接入</w:t>
      </w:r>
      <w:r>
        <w:rPr>
          <w:rFonts w:hint="eastAsia" w:ascii="宋体" w:hAnsi="宋体" w:eastAsia="宋体" w:cs="宋体"/>
          <w:b/>
          <w:bCs/>
          <w:color w:val="auto"/>
          <w:kern w:val="0"/>
          <w:sz w:val="21"/>
          <w:szCs w:val="21"/>
          <w:highlight w:val="none"/>
          <w:lang w:val="en-US" w:eastAsia="zh-CN"/>
        </w:rPr>
        <w:t>招</w:t>
      </w:r>
      <w:r>
        <w:rPr>
          <w:rFonts w:hint="eastAsia" w:ascii="宋体" w:hAnsi="宋体" w:eastAsia="宋体" w:cs="宋体"/>
          <w:b/>
          <w:bCs/>
          <w:color w:val="auto"/>
          <w:kern w:val="0"/>
          <w:sz w:val="21"/>
          <w:szCs w:val="21"/>
          <w:highlight w:val="none"/>
        </w:rPr>
        <w:t>标人所指定的系统管理平台的承诺函）</w:t>
      </w:r>
      <w:r>
        <w:rPr>
          <w:rFonts w:hint="eastAsia" w:ascii="宋体" w:hAnsi="宋体" w:eastAsia="宋体" w:cs="宋体"/>
          <w:b w:val="0"/>
          <w:bCs w:val="0"/>
          <w:color w:val="auto"/>
          <w:kern w:val="0"/>
          <w:sz w:val="21"/>
          <w:szCs w:val="21"/>
          <w:highlight w:val="none"/>
        </w:rPr>
        <w:t>。</w:t>
      </w:r>
    </w:p>
    <w:p w14:paraId="32C3247C">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p>
    <w:p w14:paraId="7CFC1C1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三、</w:t>
      </w:r>
      <w:r>
        <w:rPr>
          <w:rFonts w:hint="eastAsia" w:ascii="宋体" w:hAnsi="宋体" w:eastAsia="宋体" w:cs="宋体"/>
          <w:b/>
          <w:bCs/>
          <w:color w:val="auto"/>
          <w:kern w:val="2"/>
          <w:sz w:val="21"/>
          <w:szCs w:val="21"/>
          <w:highlight w:val="none"/>
          <w:lang w:val="zh-CN"/>
        </w:rPr>
        <w:t>物联网终端传输规约要求</w:t>
      </w:r>
    </w:p>
    <w:p w14:paraId="52849982">
      <w:pPr>
        <w:pStyle w:val="12"/>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投标人的投标产品需符合招标人物联网终端传输规约要求，包括但不限于以下协议框架、应用数据结构等，其他相关要求可于中标后咨询招标人。</w:t>
      </w:r>
    </w:p>
    <w:p w14:paraId="386B4C3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lang w:eastAsia="zh-CN"/>
        </w:rPr>
        <w:t>协议框架</w:t>
      </w:r>
    </w:p>
    <w:p w14:paraId="62623B66">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3.1.1 </w:t>
      </w:r>
      <w:r>
        <w:rPr>
          <w:rFonts w:hint="eastAsia" w:ascii="宋体" w:hAnsi="宋体" w:eastAsia="宋体" w:cs="宋体"/>
          <w:color w:val="auto"/>
          <w:sz w:val="21"/>
          <w:szCs w:val="21"/>
          <w:highlight w:val="none"/>
          <w:lang w:eastAsia="zh-CN"/>
        </w:rPr>
        <w:t>上行框架</w:t>
      </w:r>
    </w:p>
    <w:p w14:paraId="7D99B2D5">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上行框架规定了所有从设备端发往平台端的数据帧的基础格式，结构如下：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20"/>
        <w:gridCol w:w="1095"/>
        <w:gridCol w:w="4730"/>
      </w:tblGrid>
      <w:tr w14:paraId="563E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6B476C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帧起始符（68H）</w:t>
            </w:r>
          </w:p>
        </w:tc>
        <w:tc>
          <w:tcPr>
            <w:tcW w:w="1095" w:type="dxa"/>
            <w:noWrap w:val="0"/>
            <w:vAlign w:val="center"/>
          </w:tcPr>
          <w:p w14:paraId="6CF1BD0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392F60E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14:paraId="6CA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521D17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帧长度</w:t>
            </w:r>
          </w:p>
        </w:tc>
        <w:tc>
          <w:tcPr>
            <w:tcW w:w="1095" w:type="dxa"/>
            <w:noWrap w:val="0"/>
            <w:vAlign w:val="center"/>
          </w:tcPr>
          <w:p w14:paraId="434B3B4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14:paraId="25699A1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从帧起始符（68H）至帧结束符（16H）之间的字节总数，不含68H和16H。</w:t>
            </w:r>
          </w:p>
        </w:tc>
      </w:tr>
      <w:tr w14:paraId="175D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3A264D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帧标识</w:t>
            </w:r>
          </w:p>
        </w:tc>
        <w:tc>
          <w:tcPr>
            <w:tcW w:w="1095" w:type="dxa"/>
            <w:noWrap w:val="0"/>
            <w:vAlign w:val="center"/>
          </w:tcPr>
          <w:p w14:paraId="6B1620D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1DB6162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是否加密1bit、是否分帧2bit、帧序号4bit、是否包含运行参数段1bit</w:t>
            </w:r>
          </w:p>
        </w:tc>
      </w:tr>
      <w:tr w14:paraId="2C53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08F8161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协议版本 </w:t>
            </w:r>
          </w:p>
        </w:tc>
        <w:tc>
          <w:tcPr>
            <w:tcW w:w="1095" w:type="dxa"/>
            <w:noWrap w:val="0"/>
            <w:vAlign w:val="center"/>
          </w:tcPr>
          <w:p w14:paraId="46986BD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3F2CC7D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主版本4bit、子版本4bit</w:t>
            </w:r>
          </w:p>
        </w:tc>
      </w:tr>
      <w:tr w14:paraId="093A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23D394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1095" w:type="dxa"/>
            <w:noWrap w:val="0"/>
            <w:vAlign w:val="center"/>
          </w:tcPr>
          <w:p w14:paraId="1AD7334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8Byte</w:t>
            </w:r>
          </w:p>
        </w:tc>
        <w:tc>
          <w:tcPr>
            <w:tcW w:w="4730" w:type="dxa"/>
            <w:noWrap w:val="0"/>
            <w:vAlign w:val="center"/>
          </w:tcPr>
          <w:p w14:paraId="294D0FF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表码</w:t>
            </w:r>
          </w:p>
        </w:tc>
      </w:tr>
      <w:tr w14:paraId="5F6B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BC1302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c>
          <w:tcPr>
            <w:tcW w:w="1095" w:type="dxa"/>
            <w:noWrap w:val="0"/>
            <w:vAlign w:val="center"/>
          </w:tcPr>
          <w:p w14:paraId="1D1884B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080584D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r>
      <w:tr w14:paraId="68A4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077DE4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帧确认符（68H）</w:t>
            </w:r>
          </w:p>
        </w:tc>
        <w:tc>
          <w:tcPr>
            <w:tcW w:w="1095" w:type="dxa"/>
            <w:noWrap w:val="0"/>
            <w:vAlign w:val="center"/>
          </w:tcPr>
          <w:p w14:paraId="66BAD5F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0D6F134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14:paraId="6A30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restart"/>
            <w:noWrap w:val="0"/>
            <w:vAlign w:val="center"/>
          </w:tcPr>
          <w:p w14:paraId="6D12A45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运行参数段</w:t>
            </w:r>
          </w:p>
        </w:tc>
        <w:tc>
          <w:tcPr>
            <w:tcW w:w="2820" w:type="dxa"/>
            <w:noWrap w:val="0"/>
            <w:vAlign w:val="center"/>
          </w:tcPr>
          <w:p w14:paraId="21D53D7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设备标识</w:t>
            </w:r>
          </w:p>
        </w:tc>
        <w:tc>
          <w:tcPr>
            <w:tcW w:w="1095" w:type="dxa"/>
            <w:noWrap w:val="0"/>
            <w:vAlign w:val="center"/>
          </w:tcPr>
          <w:p w14:paraId="59116F1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0D7DFA6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包含设备工作模式（1Bit）、设备类型（7Bit）</w:t>
            </w:r>
          </w:p>
        </w:tc>
      </w:tr>
      <w:tr w14:paraId="12E8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EAE7B8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14:paraId="0F585A9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设备电压</w:t>
            </w:r>
          </w:p>
        </w:tc>
        <w:tc>
          <w:tcPr>
            <w:tcW w:w="1095" w:type="dxa"/>
            <w:noWrap w:val="0"/>
            <w:vAlign w:val="center"/>
          </w:tcPr>
          <w:p w14:paraId="488FE8F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14:paraId="5BF3A31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5F30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1B472E7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14:paraId="267027A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w:t>
            </w:r>
          </w:p>
        </w:tc>
        <w:tc>
          <w:tcPr>
            <w:tcW w:w="1095" w:type="dxa"/>
            <w:noWrap w:val="0"/>
            <w:vAlign w:val="center"/>
          </w:tcPr>
          <w:p w14:paraId="2FE801F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58BF79D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1A3D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D8D4E0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14:paraId="172B53A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接收功率</w:t>
            </w:r>
          </w:p>
        </w:tc>
        <w:tc>
          <w:tcPr>
            <w:tcW w:w="1095" w:type="dxa"/>
            <w:noWrap w:val="0"/>
            <w:vAlign w:val="center"/>
          </w:tcPr>
          <w:p w14:paraId="20E6B1F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14:paraId="6BD959F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3445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10B6ABB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14:paraId="1A0E9F0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信噪比</w:t>
            </w:r>
          </w:p>
        </w:tc>
        <w:tc>
          <w:tcPr>
            <w:tcW w:w="1095" w:type="dxa"/>
            <w:noWrap w:val="0"/>
            <w:vAlign w:val="center"/>
          </w:tcPr>
          <w:p w14:paraId="3A14DC5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14:paraId="6A9AE2F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2A68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67A9EE8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14:paraId="1492D68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覆盖等级</w:t>
            </w:r>
          </w:p>
        </w:tc>
        <w:tc>
          <w:tcPr>
            <w:tcW w:w="1095" w:type="dxa"/>
            <w:noWrap w:val="0"/>
            <w:vAlign w:val="center"/>
          </w:tcPr>
          <w:p w14:paraId="5B0A4FF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42F64B9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264B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447D876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14:paraId="5B09278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小区ID</w:t>
            </w:r>
          </w:p>
        </w:tc>
        <w:tc>
          <w:tcPr>
            <w:tcW w:w="1095" w:type="dxa"/>
            <w:noWrap w:val="0"/>
            <w:vAlign w:val="center"/>
          </w:tcPr>
          <w:p w14:paraId="6719BE5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4Byte</w:t>
            </w:r>
          </w:p>
        </w:tc>
        <w:tc>
          <w:tcPr>
            <w:tcW w:w="4730" w:type="dxa"/>
            <w:noWrap w:val="0"/>
            <w:vAlign w:val="center"/>
          </w:tcPr>
          <w:p w14:paraId="47844E6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0038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1BB6105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14:paraId="2FE9F7E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IMEI标识</w:t>
            </w:r>
          </w:p>
        </w:tc>
        <w:tc>
          <w:tcPr>
            <w:tcW w:w="1095" w:type="dxa"/>
            <w:noWrap w:val="0"/>
            <w:vAlign w:val="center"/>
          </w:tcPr>
          <w:p w14:paraId="0349288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8Byte</w:t>
            </w:r>
          </w:p>
        </w:tc>
        <w:tc>
          <w:tcPr>
            <w:tcW w:w="4730" w:type="dxa"/>
            <w:noWrap w:val="0"/>
            <w:vAlign w:val="center"/>
          </w:tcPr>
          <w:p w14:paraId="69D8376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w:t>
            </w:r>
          </w:p>
        </w:tc>
      </w:tr>
      <w:tr w14:paraId="289D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B3015A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820" w:type="dxa"/>
            <w:noWrap w:val="0"/>
            <w:vAlign w:val="center"/>
          </w:tcPr>
          <w:p w14:paraId="50240F7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SIM标识</w:t>
            </w:r>
          </w:p>
        </w:tc>
        <w:tc>
          <w:tcPr>
            <w:tcW w:w="1095" w:type="dxa"/>
            <w:noWrap w:val="0"/>
            <w:vAlign w:val="center"/>
          </w:tcPr>
          <w:p w14:paraId="25CD6C5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10Byte</w:t>
            </w:r>
          </w:p>
        </w:tc>
        <w:tc>
          <w:tcPr>
            <w:tcW w:w="4730" w:type="dxa"/>
            <w:noWrap w:val="0"/>
            <w:vAlign w:val="center"/>
          </w:tcPr>
          <w:p w14:paraId="7DD5571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w:t>
            </w:r>
          </w:p>
        </w:tc>
      </w:tr>
      <w:tr w14:paraId="334A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0734700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指令MID</w:t>
            </w:r>
          </w:p>
        </w:tc>
        <w:tc>
          <w:tcPr>
            <w:tcW w:w="1095" w:type="dxa"/>
            <w:noWrap w:val="0"/>
            <w:vAlign w:val="center"/>
          </w:tcPr>
          <w:p w14:paraId="15EDD41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14:paraId="6D68042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指令标识，高字节在前，发起方生成，接收方原码返回</w:t>
            </w:r>
          </w:p>
        </w:tc>
      </w:tr>
      <w:tr w14:paraId="7713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04EEE5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功能数据段</w:t>
            </w:r>
          </w:p>
        </w:tc>
        <w:tc>
          <w:tcPr>
            <w:tcW w:w="1095" w:type="dxa"/>
            <w:noWrap w:val="0"/>
            <w:vAlign w:val="center"/>
          </w:tcPr>
          <w:p w14:paraId="1EEDCAD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变长</w:t>
            </w:r>
          </w:p>
        </w:tc>
        <w:tc>
          <w:tcPr>
            <w:tcW w:w="4730" w:type="dxa"/>
            <w:noWrap w:val="0"/>
            <w:vAlign w:val="center"/>
          </w:tcPr>
          <w:p w14:paraId="5F3C0B5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由功能码决定</w:t>
            </w:r>
          </w:p>
        </w:tc>
      </w:tr>
      <w:tr w14:paraId="19E4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5E0189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帧校验</w:t>
            </w:r>
          </w:p>
        </w:tc>
        <w:tc>
          <w:tcPr>
            <w:tcW w:w="1095" w:type="dxa"/>
            <w:noWrap w:val="0"/>
            <w:vAlign w:val="center"/>
          </w:tcPr>
          <w:p w14:paraId="52647E8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10A874F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7AB3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E3C281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帧结束符（16H）</w:t>
            </w:r>
          </w:p>
        </w:tc>
        <w:tc>
          <w:tcPr>
            <w:tcW w:w="1095" w:type="dxa"/>
            <w:noWrap w:val="0"/>
            <w:vAlign w:val="center"/>
          </w:tcPr>
          <w:p w14:paraId="34D0F9F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5BA0415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bl>
    <w:p w14:paraId="156AAE8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3.1.2 </w:t>
      </w:r>
      <w:r>
        <w:rPr>
          <w:rFonts w:hint="eastAsia" w:ascii="宋体" w:hAnsi="宋体" w:eastAsia="宋体" w:cs="宋体"/>
          <w:color w:val="auto"/>
          <w:sz w:val="21"/>
          <w:szCs w:val="21"/>
          <w:highlight w:val="none"/>
          <w:lang w:eastAsia="zh-CN"/>
        </w:rPr>
        <w:t>下行框架</w:t>
      </w:r>
    </w:p>
    <w:p w14:paraId="4BE9EC0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下行框架规定了所有从平台端发往设备端的数据帧的基础格式，结构如下：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095"/>
        <w:gridCol w:w="4730"/>
      </w:tblGrid>
      <w:tr w14:paraId="693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441EACB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帧起始符（68H）</w:t>
            </w:r>
          </w:p>
        </w:tc>
        <w:tc>
          <w:tcPr>
            <w:tcW w:w="1095" w:type="dxa"/>
            <w:noWrap w:val="0"/>
            <w:vAlign w:val="center"/>
          </w:tcPr>
          <w:p w14:paraId="792C614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2DF8C0F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14:paraId="4D75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57B2832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帧长度</w:t>
            </w:r>
          </w:p>
        </w:tc>
        <w:tc>
          <w:tcPr>
            <w:tcW w:w="1095" w:type="dxa"/>
            <w:noWrap w:val="0"/>
            <w:vAlign w:val="center"/>
          </w:tcPr>
          <w:p w14:paraId="149CB6F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noWrap w:val="0"/>
            <w:vAlign w:val="center"/>
          </w:tcPr>
          <w:p w14:paraId="1F89220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从帧起始符（68H）开始至帧结束符（16H）之间的字节总数</w:t>
            </w:r>
          </w:p>
        </w:tc>
      </w:tr>
      <w:tr w14:paraId="55C1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59B9C20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帧标识</w:t>
            </w:r>
          </w:p>
        </w:tc>
        <w:tc>
          <w:tcPr>
            <w:tcW w:w="1095" w:type="dxa"/>
            <w:noWrap w:val="0"/>
            <w:vAlign w:val="center"/>
          </w:tcPr>
          <w:p w14:paraId="0F252AB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1F73C32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5D6B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67B3FE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协议版本 </w:t>
            </w:r>
          </w:p>
        </w:tc>
        <w:tc>
          <w:tcPr>
            <w:tcW w:w="1095" w:type="dxa"/>
            <w:noWrap w:val="0"/>
            <w:vAlign w:val="center"/>
          </w:tcPr>
          <w:p w14:paraId="64A3F6D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461782E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00D9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70CC9E4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1095" w:type="dxa"/>
            <w:noWrap w:val="0"/>
            <w:vAlign w:val="center"/>
          </w:tcPr>
          <w:p w14:paraId="038107D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8Byte</w:t>
            </w:r>
          </w:p>
        </w:tc>
        <w:tc>
          <w:tcPr>
            <w:tcW w:w="4730" w:type="dxa"/>
            <w:noWrap w:val="0"/>
            <w:vAlign w:val="center"/>
          </w:tcPr>
          <w:p w14:paraId="4F83D17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1C0B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3D3B358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c>
          <w:tcPr>
            <w:tcW w:w="1095" w:type="dxa"/>
            <w:noWrap w:val="0"/>
            <w:vAlign w:val="center"/>
          </w:tcPr>
          <w:p w14:paraId="12A9BA3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1C3A792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r>
      <w:tr w14:paraId="41C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7598AFA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帧确认符（68H）</w:t>
            </w:r>
          </w:p>
        </w:tc>
        <w:tc>
          <w:tcPr>
            <w:tcW w:w="1095" w:type="dxa"/>
            <w:tcBorders>
              <w:bottom w:val="single" w:color="auto" w:sz="4" w:space="0"/>
            </w:tcBorders>
            <w:noWrap w:val="0"/>
            <w:vAlign w:val="center"/>
          </w:tcPr>
          <w:p w14:paraId="598A7D4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tcBorders>
              <w:bottom w:val="single" w:color="auto" w:sz="4" w:space="0"/>
            </w:tcBorders>
            <w:noWrap w:val="0"/>
            <w:vAlign w:val="center"/>
          </w:tcPr>
          <w:p w14:paraId="2048183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r w14:paraId="24A6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14735FD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指令MID</w:t>
            </w:r>
          </w:p>
        </w:tc>
        <w:tc>
          <w:tcPr>
            <w:tcW w:w="1095" w:type="dxa"/>
            <w:tcBorders>
              <w:bottom w:val="single" w:color="auto" w:sz="4" w:space="0"/>
            </w:tcBorders>
            <w:noWrap w:val="0"/>
            <w:vAlign w:val="center"/>
          </w:tcPr>
          <w:p w14:paraId="3EB206C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2Byte</w:t>
            </w:r>
          </w:p>
        </w:tc>
        <w:tc>
          <w:tcPr>
            <w:tcW w:w="4730" w:type="dxa"/>
            <w:tcBorders>
              <w:bottom w:val="single" w:color="auto" w:sz="4" w:space="0"/>
            </w:tcBorders>
            <w:noWrap w:val="0"/>
            <w:vAlign w:val="center"/>
          </w:tcPr>
          <w:p w14:paraId="5FD5858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指令标识，高字节在前，发起方生成，接收方原码返回</w:t>
            </w:r>
          </w:p>
        </w:tc>
      </w:tr>
      <w:tr w14:paraId="6109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top w:val="single" w:color="auto" w:sz="4" w:space="0"/>
            </w:tcBorders>
            <w:noWrap w:val="0"/>
            <w:vAlign w:val="center"/>
          </w:tcPr>
          <w:p w14:paraId="3FAABDE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功能数据段</w:t>
            </w:r>
          </w:p>
        </w:tc>
        <w:tc>
          <w:tcPr>
            <w:tcW w:w="1095" w:type="dxa"/>
            <w:tcBorders>
              <w:top w:val="single" w:color="auto" w:sz="4" w:space="0"/>
            </w:tcBorders>
            <w:noWrap w:val="0"/>
            <w:vAlign w:val="center"/>
          </w:tcPr>
          <w:p w14:paraId="33FB6C5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变长</w:t>
            </w:r>
          </w:p>
        </w:tc>
        <w:tc>
          <w:tcPr>
            <w:tcW w:w="4730" w:type="dxa"/>
            <w:tcBorders>
              <w:top w:val="single" w:color="auto" w:sz="4" w:space="0"/>
            </w:tcBorders>
            <w:noWrap w:val="0"/>
            <w:vAlign w:val="center"/>
          </w:tcPr>
          <w:p w14:paraId="4526B45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由功能码决定</w:t>
            </w:r>
          </w:p>
        </w:tc>
      </w:tr>
      <w:tr w14:paraId="3967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18B6C41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帧校验</w:t>
            </w:r>
          </w:p>
        </w:tc>
        <w:tc>
          <w:tcPr>
            <w:tcW w:w="1095" w:type="dxa"/>
            <w:noWrap w:val="0"/>
            <w:vAlign w:val="center"/>
          </w:tcPr>
          <w:p w14:paraId="79E3459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7BC8466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4539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634B002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帧结束符（16H）</w:t>
            </w:r>
          </w:p>
        </w:tc>
        <w:tc>
          <w:tcPr>
            <w:tcW w:w="1095" w:type="dxa"/>
            <w:noWrap w:val="0"/>
            <w:vAlign w:val="center"/>
          </w:tcPr>
          <w:p w14:paraId="11480AE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1Byte</w:t>
            </w:r>
          </w:p>
        </w:tc>
        <w:tc>
          <w:tcPr>
            <w:tcW w:w="4730" w:type="dxa"/>
            <w:noWrap w:val="0"/>
            <w:vAlign w:val="center"/>
          </w:tcPr>
          <w:p w14:paraId="41E7634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固定值</w:t>
            </w:r>
          </w:p>
        </w:tc>
      </w:tr>
    </w:tbl>
    <w:p w14:paraId="2BEE7D0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 帧长度</w:t>
      </w:r>
    </w:p>
    <w:p w14:paraId="31BCF14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帧长度由2字节表示，高字节在前，低字节在后。帧长度包含从帧起始符（68H，不含）开始至帧结束符（16H，不含）之间的字节总数。</w:t>
      </w:r>
    </w:p>
    <w:p w14:paraId="08FF844C">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 帧标识</w:t>
      </w:r>
    </w:p>
    <w:p w14:paraId="182D955E">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帧标识由1个字节表示，各二进制位组织格式如下：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1C35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52" w:type="dxa"/>
            <w:noWrap w:val="0"/>
            <w:vAlign w:val="center"/>
          </w:tcPr>
          <w:p w14:paraId="2063C24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152" w:type="dxa"/>
            <w:noWrap w:val="0"/>
            <w:vAlign w:val="center"/>
          </w:tcPr>
          <w:p w14:paraId="137997B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52" w:type="dxa"/>
            <w:noWrap w:val="0"/>
            <w:vAlign w:val="center"/>
          </w:tcPr>
          <w:p w14:paraId="33D6E13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52" w:type="dxa"/>
            <w:noWrap w:val="0"/>
            <w:vAlign w:val="center"/>
          </w:tcPr>
          <w:p w14:paraId="3E419B2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52" w:type="dxa"/>
            <w:noWrap w:val="0"/>
            <w:vAlign w:val="center"/>
          </w:tcPr>
          <w:p w14:paraId="22CC57D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52" w:type="dxa"/>
            <w:noWrap w:val="0"/>
            <w:vAlign w:val="center"/>
          </w:tcPr>
          <w:p w14:paraId="7D92E22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52" w:type="dxa"/>
            <w:noWrap w:val="0"/>
            <w:vAlign w:val="center"/>
          </w:tcPr>
          <w:p w14:paraId="64BA4D1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52" w:type="dxa"/>
            <w:noWrap w:val="0"/>
            <w:vAlign w:val="center"/>
          </w:tcPr>
          <w:p w14:paraId="65255FE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167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52" w:type="dxa"/>
            <w:noWrap w:val="0"/>
            <w:vAlign w:val="center"/>
          </w:tcPr>
          <w:p w14:paraId="10B5950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运行参数段标志</w:t>
            </w:r>
          </w:p>
        </w:tc>
        <w:tc>
          <w:tcPr>
            <w:tcW w:w="1152" w:type="dxa"/>
            <w:noWrap w:val="0"/>
            <w:vAlign w:val="center"/>
          </w:tcPr>
          <w:p w14:paraId="7C4230E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是否加密标志</w:t>
            </w:r>
          </w:p>
        </w:tc>
        <w:tc>
          <w:tcPr>
            <w:tcW w:w="1152" w:type="dxa"/>
            <w:noWrap w:val="0"/>
            <w:vAlign w:val="center"/>
          </w:tcPr>
          <w:p w14:paraId="0732B8C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分帧标识1</w:t>
            </w:r>
          </w:p>
        </w:tc>
        <w:tc>
          <w:tcPr>
            <w:tcW w:w="1152" w:type="dxa"/>
            <w:noWrap w:val="0"/>
            <w:vAlign w:val="center"/>
          </w:tcPr>
          <w:p w14:paraId="564976F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分帧标识2</w:t>
            </w:r>
          </w:p>
        </w:tc>
        <w:tc>
          <w:tcPr>
            <w:tcW w:w="4608" w:type="dxa"/>
            <w:gridSpan w:val="4"/>
            <w:noWrap w:val="0"/>
            <w:vAlign w:val="center"/>
          </w:tcPr>
          <w:p w14:paraId="5E7E98C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帧流水号</w:t>
            </w:r>
          </w:p>
        </w:tc>
      </w:tr>
    </w:tbl>
    <w:p w14:paraId="5F73CA94">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运行参数段标志：1表示该帧数据包含运行参数数据段，0表示不含运行参数数据段。运行参数段中包含设备信息和信号信息等，详见运行参数段章节。</w:t>
      </w:r>
    </w:p>
    <w:p w14:paraId="5549DCC5">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是否加密标志：1表示功能数据段已加密，0表示未加密。本协议规定使用AES-128/ECB/PKCS7Padding对数据进行加解密。</w:t>
      </w:r>
    </w:p>
    <w:p w14:paraId="36EEBB4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分帧标识：由2个位组成，当数据量较大需要拆分为多帧传输时，每一帧都必须包含完整的帧组织框架（即每一帧都必须能够被独立解析）。</w:t>
      </w:r>
    </w:p>
    <w:p w14:paraId="79387145">
      <w:pPr>
        <w:keepNext w:val="0"/>
        <w:keepLines w:val="0"/>
        <w:pageBreakBefore w:val="0"/>
        <w:kinsoku/>
        <w:wordWrap/>
        <w:overflowPunct/>
        <w:topLinePunct w:val="0"/>
        <w:bidi w:val="0"/>
        <w:adjustRightInd w:val="0"/>
        <w:snapToGrid w:val="0"/>
        <w:spacing w:beforeAutospacing="0" w:line="360" w:lineRule="auto"/>
        <w:ind w:right="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分帧标识组合含义见下表：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20"/>
        <w:gridCol w:w="3615"/>
      </w:tblGrid>
      <w:tr w14:paraId="408D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6EDDA55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分帧标识1</w:t>
            </w:r>
          </w:p>
        </w:tc>
        <w:tc>
          <w:tcPr>
            <w:tcW w:w="1320" w:type="dxa"/>
            <w:noWrap w:val="0"/>
            <w:vAlign w:val="center"/>
          </w:tcPr>
          <w:p w14:paraId="77EF4E8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分帧标识2</w:t>
            </w:r>
          </w:p>
        </w:tc>
        <w:tc>
          <w:tcPr>
            <w:tcW w:w="3615" w:type="dxa"/>
            <w:noWrap w:val="0"/>
            <w:vAlign w:val="center"/>
          </w:tcPr>
          <w:p w14:paraId="422FB31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含义</w:t>
            </w:r>
          </w:p>
        </w:tc>
      </w:tr>
      <w:tr w14:paraId="78D6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1D95582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320" w:type="dxa"/>
            <w:noWrap w:val="0"/>
            <w:vAlign w:val="center"/>
          </w:tcPr>
          <w:p w14:paraId="0C254DC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3615" w:type="dxa"/>
            <w:noWrap w:val="0"/>
            <w:vAlign w:val="center"/>
          </w:tcPr>
          <w:p w14:paraId="44A3530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传输分为多帧，当前为中间帧</w:t>
            </w:r>
          </w:p>
        </w:tc>
      </w:tr>
      <w:tr w14:paraId="3436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3ED3394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1320" w:type="dxa"/>
            <w:noWrap w:val="0"/>
            <w:vAlign w:val="center"/>
          </w:tcPr>
          <w:p w14:paraId="1BBFB6F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615" w:type="dxa"/>
            <w:noWrap w:val="0"/>
            <w:vAlign w:val="center"/>
          </w:tcPr>
          <w:p w14:paraId="4181083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传输分为多帧，当前为结束帧</w:t>
            </w:r>
          </w:p>
        </w:tc>
      </w:tr>
      <w:tr w14:paraId="6905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44" w:type="dxa"/>
            <w:noWrap w:val="0"/>
            <w:vAlign w:val="center"/>
          </w:tcPr>
          <w:p w14:paraId="5889AC1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229D8C8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3615" w:type="dxa"/>
            <w:noWrap w:val="0"/>
            <w:vAlign w:val="center"/>
          </w:tcPr>
          <w:p w14:paraId="0254D3A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传输分为多帧，当前为第1帧，还有后续帧</w:t>
            </w:r>
          </w:p>
        </w:tc>
      </w:tr>
      <w:tr w14:paraId="7ECC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4" w:type="dxa"/>
            <w:noWrap w:val="0"/>
            <w:vAlign w:val="center"/>
          </w:tcPr>
          <w:p w14:paraId="04B25E4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20" w:type="dxa"/>
            <w:noWrap w:val="0"/>
            <w:vAlign w:val="center"/>
          </w:tcPr>
          <w:p w14:paraId="74E2C1D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615" w:type="dxa"/>
            <w:noWrap w:val="0"/>
            <w:vAlign w:val="center"/>
          </w:tcPr>
          <w:p w14:paraId="13C2096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未分帧</w:t>
            </w:r>
          </w:p>
        </w:tc>
      </w:tr>
    </w:tbl>
    <w:p w14:paraId="55273638">
      <w:pPr>
        <w:pStyle w:val="18"/>
        <w:keepNext w:val="0"/>
        <w:keepLines w:val="0"/>
        <w:pageBreakBefore w:val="0"/>
        <w:kinsoku/>
        <w:wordWrap/>
        <w:overflowPunct/>
        <w:topLinePunct w:val="0"/>
        <w:bidi w:val="0"/>
        <w:adjustRightInd w:val="0"/>
        <w:snapToGrid w:val="0"/>
        <w:spacing w:beforeAutospacing="0" w:line="360" w:lineRule="auto"/>
        <w:ind w:left="420" w:leftChars="0" w:right="0" w:firstLine="420" w:firstLineChars="0"/>
        <w:outlineLvl w:val="9"/>
        <w:rPr>
          <w:rFonts w:hint="eastAsia" w:ascii="宋体" w:hAnsi="宋体" w:eastAsia="宋体" w:cs="宋体"/>
          <w:b w:val="0"/>
          <w:bCs w:val="0"/>
          <w:color w:val="auto"/>
          <w:sz w:val="21"/>
          <w:szCs w:val="21"/>
          <w:highlight w:val="none"/>
          <w:lang w:val="en-US" w:eastAsia="zh-CN"/>
        </w:rPr>
      </w:pPr>
    </w:p>
    <w:p w14:paraId="00E18BBB">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帧流水号：由4个位组成，取值0~15。用于标识数据帧通信流水号，终端每执行一次发送流水号加1，超过15后归0。</w:t>
      </w:r>
    </w:p>
    <w:p w14:paraId="17602D3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注意：重发数据帧流水号也应该加1，数据帧应使用指令MID来进行标识。</w:t>
      </w:r>
    </w:p>
    <w:p w14:paraId="27454AD0">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 协议版本</w:t>
      </w:r>
    </w:p>
    <w:p w14:paraId="59E7BD46">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协议版本号用于兼容性识别，版本号由1个字节组成，其中高4位表示主版本号，低4位表示子版本号。</w:t>
      </w:r>
    </w:p>
    <w:p w14:paraId="474022C4">
      <w:pPr>
        <w:pStyle w:val="18"/>
        <w:keepNext w:val="0"/>
        <w:keepLines w:val="0"/>
        <w:pageBreakBefore w:val="0"/>
        <w:kinsoku/>
        <w:wordWrap/>
        <w:overflowPunct/>
        <w:topLinePunct w:val="0"/>
        <w:bidi w:val="0"/>
        <w:adjustRightInd w:val="0"/>
        <w:snapToGrid w:val="0"/>
        <w:spacing w:beforeAutospacing="0" w:line="360" w:lineRule="auto"/>
        <w:ind w:right="0" w:firstLine="425" w:firstLineChars="0"/>
        <w:jc w:val="both"/>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必须正确上报该版本号信息，通信帧中版本号应使用该协议当前版本号。</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1ABA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52" w:type="dxa"/>
            <w:noWrap w:val="0"/>
            <w:vAlign w:val="center"/>
          </w:tcPr>
          <w:p w14:paraId="31868B2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152" w:type="dxa"/>
            <w:noWrap w:val="0"/>
            <w:vAlign w:val="center"/>
          </w:tcPr>
          <w:p w14:paraId="12A9172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52" w:type="dxa"/>
            <w:noWrap w:val="0"/>
            <w:vAlign w:val="center"/>
          </w:tcPr>
          <w:p w14:paraId="400CC02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52" w:type="dxa"/>
            <w:noWrap w:val="0"/>
            <w:vAlign w:val="center"/>
          </w:tcPr>
          <w:p w14:paraId="0AD5DD3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52" w:type="dxa"/>
            <w:noWrap w:val="0"/>
            <w:vAlign w:val="center"/>
          </w:tcPr>
          <w:p w14:paraId="022688F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52" w:type="dxa"/>
            <w:noWrap w:val="0"/>
            <w:vAlign w:val="center"/>
          </w:tcPr>
          <w:p w14:paraId="65732A9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52" w:type="dxa"/>
            <w:noWrap w:val="0"/>
            <w:vAlign w:val="center"/>
          </w:tcPr>
          <w:p w14:paraId="0A76A18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52" w:type="dxa"/>
            <w:noWrap w:val="0"/>
            <w:vAlign w:val="center"/>
          </w:tcPr>
          <w:p w14:paraId="755E533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4815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608" w:type="dxa"/>
            <w:gridSpan w:val="4"/>
            <w:noWrap w:val="0"/>
            <w:vAlign w:val="center"/>
          </w:tcPr>
          <w:p w14:paraId="6D5B13A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主版本号</w:t>
            </w:r>
          </w:p>
        </w:tc>
        <w:tc>
          <w:tcPr>
            <w:tcW w:w="4608" w:type="dxa"/>
            <w:gridSpan w:val="4"/>
            <w:noWrap w:val="0"/>
            <w:vAlign w:val="center"/>
          </w:tcPr>
          <w:p w14:paraId="25AF114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子版本号</w:t>
            </w:r>
          </w:p>
        </w:tc>
      </w:tr>
    </w:tbl>
    <w:p w14:paraId="0D8110FB">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在协议版本更新和修订时涉及到原数据结构调整的将更新主版本号，不影响原数据结构或不影响原主要指令的修订将更新子版本号。</w:t>
      </w:r>
    </w:p>
    <w:p w14:paraId="6202498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 设备地址</w:t>
      </w:r>
    </w:p>
    <w:p w14:paraId="1392704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设备地址由8字节的BCD码组成，设备地址规范如下图所示，不同类型设备需注意各部分代表不同含义。</w:t>
      </w:r>
    </w:p>
    <w:p w14:paraId="3D62FFC4">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厂商代码（1字节BCD）+年份（1字节BCD）+6字节BCD</w:t>
      </w:r>
    </w:p>
    <w:p w14:paraId="218818F3">
      <w:pPr>
        <w:pStyle w:val="18"/>
        <w:keepNext w:val="0"/>
        <w:keepLines w:val="0"/>
        <w:pageBreakBefore w:val="0"/>
        <w:kinsoku/>
        <w:wordWrap/>
        <w:overflowPunct/>
        <w:topLinePunct w:val="0"/>
        <w:bidi w:val="0"/>
        <w:adjustRightInd w:val="0"/>
        <w:snapToGrid w:val="0"/>
        <w:spacing w:beforeAutospacing="0" w:line="360" w:lineRule="auto"/>
        <w:ind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drawing>
          <wp:inline distT="0" distB="0" distL="114300" distR="114300">
            <wp:extent cx="4248150" cy="431165"/>
            <wp:effectExtent l="0" t="0" r="0" b="698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1"/>
                    <a:srcRect t="31413"/>
                    <a:stretch>
                      <a:fillRect/>
                    </a:stretch>
                  </pic:blipFill>
                  <pic:spPr>
                    <a:xfrm>
                      <a:off x="0" y="0"/>
                      <a:ext cx="4248150" cy="431165"/>
                    </a:xfrm>
                    <a:prstGeom prst="rect">
                      <a:avLst/>
                    </a:prstGeom>
                    <a:noFill/>
                    <a:ln>
                      <a:noFill/>
                    </a:ln>
                  </pic:spPr>
                </pic:pic>
              </a:graphicData>
            </a:graphic>
          </wp:inline>
        </w:drawing>
      </w:r>
    </w:p>
    <w:p w14:paraId="50930D2C">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◆设备为一体式水表（设备类型代码：1、2）：</w:t>
      </w:r>
    </w:p>
    <w:p w14:paraId="038E420D">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【2位厂商代码】：水表厂商代码，由信息部统一管理和分配；</w:t>
      </w:r>
    </w:p>
    <w:p w14:paraId="6116807F">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【2位年份】：水表出厂年份；</w:t>
      </w:r>
    </w:p>
    <w:p w14:paraId="4FE500A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【12位厂家自编BCD码】：水表表码，与表身码、表头显示码一致；</w:t>
      </w:r>
    </w:p>
    <w:p w14:paraId="6B21D6F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◆设备为分体式远传终端（采集智能水表）（设备类型代码：5）：</w:t>
      </w:r>
    </w:p>
    <w:p w14:paraId="730B1A3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【2位厂商代码】：远传终端厂商代码，由信息部统一管理和分配；</w:t>
      </w:r>
    </w:p>
    <w:p w14:paraId="68CDCC5E">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【2位年份】：远传终端出厂年份；</w:t>
      </w:r>
    </w:p>
    <w:p w14:paraId="28BD83C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14:paraId="5C7EE3AF">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◆其它远传设备：</w:t>
      </w:r>
    </w:p>
    <w:p w14:paraId="0D47C01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【2位厂商代码】：设备厂商代码，由信息部统一管理和分配；</w:t>
      </w:r>
    </w:p>
    <w:p w14:paraId="4209FDA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【2位年份】：设备出厂年份；</w:t>
      </w:r>
    </w:p>
    <w:p w14:paraId="4088982B">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【12位厂家自编BCD码】：设备出厂编号；</w:t>
      </w:r>
    </w:p>
    <w:p w14:paraId="6016272D">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3.1.7 功能码</w:t>
      </w:r>
    </w:p>
    <w:p w14:paraId="19D9AB10">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功能码由1个字节组成，功能码决定数据段内容。部分功能码没有数据段。下表中的功能代码为十进制表示值。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892"/>
        <w:gridCol w:w="2011"/>
      </w:tblGrid>
      <w:tr w14:paraId="792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910C10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w:t>
            </w:r>
          </w:p>
        </w:tc>
        <w:tc>
          <w:tcPr>
            <w:tcW w:w="5892" w:type="dxa"/>
            <w:noWrap w:val="0"/>
            <w:vAlign w:val="center"/>
          </w:tcPr>
          <w:p w14:paraId="54E8ECD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功能码用途</w:t>
            </w:r>
          </w:p>
        </w:tc>
        <w:tc>
          <w:tcPr>
            <w:tcW w:w="2011" w:type="dxa"/>
            <w:noWrap w:val="0"/>
            <w:vAlign w:val="center"/>
          </w:tcPr>
          <w:p w14:paraId="7251979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方向</w:t>
            </w:r>
          </w:p>
        </w:tc>
      </w:tr>
      <w:tr w14:paraId="051F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95DA81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5892" w:type="dxa"/>
            <w:noWrap w:val="0"/>
            <w:vAlign w:val="center"/>
          </w:tcPr>
          <w:p w14:paraId="51C6171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保留</w:t>
            </w:r>
          </w:p>
        </w:tc>
        <w:tc>
          <w:tcPr>
            <w:tcW w:w="2011" w:type="dxa"/>
            <w:noWrap w:val="0"/>
            <w:vAlign w:val="center"/>
          </w:tcPr>
          <w:p w14:paraId="4C67BF4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245F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0FE306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892" w:type="dxa"/>
            <w:noWrap w:val="0"/>
            <w:vAlign w:val="center"/>
          </w:tcPr>
          <w:p w14:paraId="1FF9316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主动上报数据指令</w:t>
            </w:r>
          </w:p>
        </w:tc>
        <w:tc>
          <w:tcPr>
            <w:tcW w:w="2011" w:type="dxa"/>
            <w:noWrap w:val="0"/>
            <w:vAlign w:val="center"/>
          </w:tcPr>
          <w:p w14:paraId="02BFA2A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设备发起</w:t>
            </w:r>
          </w:p>
        </w:tc>
      </w:tr>
      <w:tr w14:paraId="366D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73F6F7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892" w:type="dxa"/>
            <w:noWrap w:val="0"/>
            <w:vAlign w:val="center"/>
          </w:tcPr>
          <w:p w14:paraId="2653F26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数据查询指令</w:t>
            </w:r>
          </w:p>
        </w:tc>
        <w:tc>
          <w:tcPr>
            <w:tcW w:w="2011" w:type="dxa"/>
            <w:noWrap w:val="0"/>
            <w:vAlign w:val="center"/>
          </w:tcPr>
          <w:p w14:paraId="6838C18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3CDF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03D3CB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892" w:type="dxa"/>
            <w:noWrap w:val="0"/>
            <w:vAlign w:val="center"/>
          </w:tcPr>
          <w:p w14:paraId="6DD21D4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告警上报指令</w:t>
            </w:r>
          </w:p>
        </w:tc>
        <w:tc>
          <w:tcPr>
            <w:tcW w:w="2011" w:type="dxa"/>
            <w:noWrap w:val="0"/>
            <w:vAlign w:val="center"/>
          </w:tcPr>
          <w:p w14:paraId="20D384E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设备发起</w:t>
            </w:r>
          </w:p>
        </w:tc>
      </w:tr>
      <w:tr w14:paraId="618C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075F63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5892" w:type="dxa"/>
            <w:noWrap w:val="0"/>
            <w:vAlign w:val="center"/>
          </w:tcPr>
          <w:p w14:paraId="17DF349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设置终端时钟</w:t>
            </w:r>
          </w:p>
        </w:tc>
        <w:tc>
          <w:tcPr>
            <w:tcW w:w="2011" w:type="dxa"/>
            <w:noWrap w:val="0"/>
            <w:vAlign w:val="center"/>
          </w:tcPr>
          <w:p w14:paraId="704C08C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155A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7B19AB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892" w:type="dxa"/>
            <w:noWrap w:val="0"/>
            <w:vAlign w:val="center"/>
          </w:tcPr>
          <w:p w14:paraId="0B2DEF6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设置历史数据存盘间隔</w:t>
            </w:r>
          </w:p>
        </w:tc>
        <w:tc>
          <w:tcPr>
            <w:tcW w:w="2011" w:type="dxa"/>
            <w:noWrap w:val="0"/>
            <w:vAlign w:val="center"/>
          </w:tcPr>
          <w:p w14:paraId="7D564D8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1E38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C742DA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5892" w:type="dxa"/>
            <w:noWrap w:val="0"/>
            <w:vAlign w:val="center"/>
          </w:tcPr>
          <w:p w14:paraId="480FC80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设置主动上报参数</w:t>
            </w:r>
          </w:p>
        </w:tc>
        <w:tc>
          <w:tcPr>
            <w:tcW w:w="2011" w:type="dxa"/>
            <w:noWrap w:val="0"/>
            <w:vAlign w:val="center"/>
          </w:tcPr>
          <w:p w14:paraId="0B26593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5628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noWrap w:val="0"/>
            <w:vAlign w:val="center"/>
          </w:tcPr>
          <w:p w14:paraId="18DBEEE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5892" w:type="dxa"/>
            <w:noWrap w:val="0"/>
            <w:vAlign w:val="center"/>
          </w:tcPr>
          <w:p w14:paraId="0988CAE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设置数据中心地址</w:t>
            </w:r>
          </w:p>
        </w:tc>
        <w:tc>
          <w:tcPr>
            <w:tcW w:w="2011" w:type="dxa"/>
            <w:noWrap w:val="0"/>
            <w:vAlign w:val="center"/>
          </w:tcPr>
          <w:p w14:paraId="3716671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5D00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01CBAC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5892" w:type="dxa"/>
            <w:noWrap w:val="0"/>
            <w:vAlign w:val="center"/>
          </w:tcPr>
          <w:p w14:paraId="18E75E5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设置终端工作模式</w:t>
            </w:r>
          </w:p>
        </w:tc>
        <w:tc>
          <w:tcPr>
            <w:tcW w:w="2011" w:type="dxa"/>
            <w:noWrap w:val="0"/>
            <w:vAlign w:val="center"/>
          </w:tcPr>
          <w:p w14:paraId="155909B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186C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9EBE2F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5892" w:type="dxa"/>
            <w:noWrap w:val="0"/>
            <w:vAlign w:val="center"/>
          </w:tcPr>
          <w:p w14:paraId="05DB065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设置终端地址</w:t>
            </w:r>
          </w:p>
        </w:tc>
        <w:tc>
          <w:tcPr>
            <w:tcW w:w="2011" w:type="dxa"/>
            <w:noWrap w:val="0"/>
            <w:vAlign w:val="center"/>
          </w:tcPr>
          <w:p w14:paraId="38074B5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67E1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BF3DAD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5892" w:type="dxa"/>
            <w:noWrap w:val="0"/>
            <w:vAlign w:val="center"/>
          </w:tcPr>
          <w:p w14:paraId="1A6DDBB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设置加密标志</w:t>
            </w:r>
          </w:p>
        </w:tc>
        <w:tc>
          <w:tcPr>
            <w:tcW w:w="2011" w:type="dxa"/>
            <w:noWrap w:val="0"/>
            <w:vAlign w:val="center"/>
          </w:tcPr>
          <w:p w14:paraId="1EB1DB4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7B12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361476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5892" w:type="dxa"/>
            <w:noWrap w:val="0"/>
            <w:vAlign w:val="center"/>
          </w:tcPr>
          <w:p w14:paraId="789D8DC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查询历史数据存盘间隔</w:t>
            </w:r>
          </w:p>
        </w:tc>
        <w:tc>
          <w:tcPr>
            <w:tcW w:w="2011" w:type="dxa"/>
            <w:noWrap w:val="0"/>
            <w:vAlign w:val="center"/>
          </w:tcPr>
          <w:p w14:paraId="5B14D1C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0501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416E9E3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5892" w:type="dxa"/>
            <w:noWrap w:val="0"/>
            <w:vAlign w:val="center"/>
          </w:tcPr>
          <w:p w14:paraId="5A54696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查询主动上报参数</w:t>
            </w:r>
          </w:p>
        </w:tc>
        <w:tc>
          <w:tcPr>
            <w:tcW w:w="2011" w:type="dxa"/>
            <w:noWrap w:val="0"/>
            <w:vAlign w:val="center"/>
          </w:tcPr>
          <w:p w14:paraId="4762D51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r w14:paraId="4CE0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043D10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5892" w:type="dxa"/>
            <w:noWrap w:val="0"/>
            <w:vAlign w:val="center"/>
          </w:tcPr>
          <w:p w14:paraId="42D59C0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查询数据中心地址</w:t>
            </w:r>
          </w:p>
        </w:tc>
        <w:tc>
          <w:tcPr>
            <w:tcW w:w="2011" w:type="dxa"/>
            <w:noWrap w:val="0"/>
            <w:vAlign w:val="center"/>
          </w:tcPr>
          <w:p w14:paraId="6789776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平台发起</w:t>
            </w:r>
          </w:p>
        </w:tc>
      </w:tr>
    </w:tbl>
    <w:p w14:paraId="6089125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3.1.8 运行参数段</w:t>
      </w:r>
    </w:p>
    <w:p w14:paraId="1C7FB79E">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运行参数段用于传输设备当前工作参数数据，包括电压、信号等数据。运行参数段是一个可选数据段，是否包含运行参数段由帧标识字节中的最高位进行标识。</w:t>
      </w:r>
    </w:p>
    <w:p w14:paraId="3F11F14C">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在分帧传输时首帧必须包含运行参数段，后续帧可以不包含运行参数段。</w:t>
      </w:r>
    </w:p>
    <w:p w14:paraId="38069BDE">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运行参数段中，设备不具备条件的参数信息使用0填充。</w:t>
      </w:r>
    </w:p>
    <w:p w14:paraId="5D2BCEA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（1）设备标识</w:t>
      </w:r>
    </w:p>
    <w:p w14:paraId="2083B45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设备标识由1个字节组成，其中最高位表示设备工作模式，低7位表示设备类型。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28A4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52" w:type="dxa"/>
            <w:noWrap w:val="0"/>
            <w:vAlign w:val="center"/>
          </w:tcPr>
          <w:p w14:paraId="74F7AEC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152" w:type="dxa"/>
            <w:noWrap w:val="0"/>
            <w:vAlign w:val="center"/>
          </w:tcPr>
          <w:p w14:paraId="62EEDA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52" w:type="dxa"/>
            <w:noWrap w:val="0"/>
            <w:vAlign w:val="center"/>
          </w:tcPr>
          <w:p w14:paraId="0EC5618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52" w:type="dxa"/>
            <w:noWrap w:val="0"/>
            <w:vAlign w:val="center"/>
          </w:tcPr>
          <w:p w14:paraId="29A261F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52" w:type="dxa"/>
            <w:noWrap w:val="0"/>
            <w:vAlign w:val="center"/>
          </w:tcPr>
          <w:p w14:paraId="3D64BF0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52" w:type="dxa"/>
            <w:noWrap w:val="0"/>
            <w:vAlign w:val="center"/>
          </w:tcPr>
          <w:p w14:paraId="6E2FA3A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52" w:type="dxa"/>
            <w:noWrap w:val="0"/>
            <w:vAlign w:val="center"/>
          </w:tcPr>
          <w:p w14:paraId="17A2703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52" w:type="dxa"/>
            <w:noWrap w:val="0"/>
            <w:vAlign w:val="center"/>
          </w:tcPr>
          <w:p w14:paraId="2BB5194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5C83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52" w:type="dxa"/>
            <w:noWrap w:val="0"/>
            <w:vAlign w:val="center"/>
          </w:tcPr>
          <w:p w14:paraId="2C6A24D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工作模式</w:t>
            </w:r>
          </w:p>
        </w:tc>
        <w:tc>
          <w:tcPr>
            <w:tcW w:w="8064" w:type="dxa"/>
            <w:gridSpan w:val="7"/>
            <w:noWrap w:val="0"/>
            <w:vAlign w:val="center"/>
          </w:tcPr>
          <w:p w14:paraId="189EAE5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设备类型代码</w:t>
            </w:r>
          </w:p>
        </w:tc>
      </w:tr>
    </w:tbl>
    <w:p w14:paraId="0098A83D">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工作模式：0表示设备处于休眠工作模式，1表示设备处于长期在线待命状态。</w:t>
      </w:r>
    </w:p>
    <w:p w14:paraId="07E9CE6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设备类型代码：表示设备种类代码，代码表见附录A。</w:t>
      </w:r>
    </w:p>
    <w:p w14:paraId="55C0F3F0">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（2）设备电压</w:t>
      </w:r>
    </w:p>
    <w:p w14:paraId="44B1E844">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2字节组成，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14:paraId="62F2D61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示例： 02H E8H = 744 * 0.01 =7.44V</w:t>
      </w:r>
    </w:p>
    <w:p w14:paraId="0BC9A89B">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（3）信号强度</w:t>
      </w:r>
    </w:p>
    <w:p w14:paraId="7E0EFC7B">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信号强度（CSQ）由1字节组成。</w:t>
      </w:r>
    </w:p>
    <w:p w14:paraId="25C8E5B0">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（4）接收功率</w:t>
      </w:r>
    </w:p>
    <w:p w14:paraId="23E6BF1D">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信号接收功率（RSRP）由2字节组成，高字节在前，低字节在后。</w:t>
      </w:r>
    </w:p>
    <w:p w14:paraId="4633A0D4">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（5）信噪比</w:t>
      </w:r>
    </w:p>
    <w:p w14:paraId="29003800">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信噪比（SNR）由2字节组成，高字节在前，低字节在后。</w:t>
      </w:r>
    </w:p>
    <w:p w14:paraId="133E9F0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（6）覆盖等级</w:t>
      </w:r>
    </w:p>
    <w:p w14:paraId="270B4484">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覆盖等级（ECL）由1字节组成。</w:t>
      </w:r>
    </w:p>
    <w:p w14:paraId="3D35E20F">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（7）小区ID</w:t>
      </w:r>
    </w:p>
    <w:p w14:paraId="7CBC068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小区ID（PCI）由4字节组成，高字节在前，低字节在后。</w:t>
      </w:r>
    </w:p>
    <w:p w14:paraId="0A1F467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（8）IMEI标识</w:t>
      </w:r>
    </w:p>
    <w:p w14:paraId="0A694A1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IMEI标识由8字节BCD组成。</w:t>
      </w:r>
    </w:p>
    <w:p w14:paraId="756143B6">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（9）SIM标识</w:t>
      </w:r>
    </w:p>
    <w:p w14:paraId="57226EFB">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SIM标识由10字节BCD组成，即ICCID。</w:t>
      </w:r>
    </w:p>
    <w:p w14:paraId="0EDF6466">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3.1.9 指令MID</w:t>
      </w:r>
    </w:p>
    <w:p w14:paraId="0FBAE73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指令MID用于识别指令任务，该值由发起方生成，接收方原码返回。指令重发MID不变。功能码01数据帧MID保持为0。</w:t>
      </w:r>
    </w:p>
    <w:p w14:paraId="1D391D44">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3.1.10 功能数据段</w:t>
      </w:r>
    </w:p>
    <w:p w14:paraId="14F0787C">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整体协议框架中规定功能数据段为可变数据格式，数据格式和长度由功能码决定。</w:t>
      </w:r>
    </w:p>
    <w:p w14:paraId="5DCB076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3.1.11 帧校验</w:t>
      </w:r>
    </w:p>
    <w:p w14:paraId="0891008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帧校验和为1个字节，是从帧起始符（68H，包含68H）开始至校验字节前的所有字节的8位位组算术和，不考虑溢出位。若这些校验有一个失败，舍弃此帧，若无差错，则此帧数据有效。</w:t>
      </w:r>
    </w:p>
    <w:p w14:paraId="525CAC0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应用数据结构</w:t>
      </w:r>
    </w:p>
    <w:p w14:paraId="0A5A9590">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 功能码01（主动上报数据指令）</w:t>
      </w:r>
    </w:p>
    <w:p w14:paraId="03FFF27B">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功能码01用于设备主动周期性上报历史或实时数据，该功能码由设备端主动发起。</w:t>
      </w:r>
    </w:p>
    <w:p w14:paraId="5BA665C8">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0CA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1EAA45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474CBCC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1D3D663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439B01E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0422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0C640E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数据起始时间</w:t>
            </w:r>
          </w:p>
        </w:tc>
        <w:tc>
          <w:tcPr>
            <w:tcW w:w="2345" w:type="dxa"/>
            <w:noWrap w:val="0"/>
            <w:vAlign w:val="center"/>
          </w:tcPr>
          <w:p w14:paraId="21F7E0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14:paraId="08B5CE4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14:paraId="0F082C8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14:paraId="316257B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r w14:paraId="3780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537C0A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时间段个数</w:t>
            </w:r>
          </w:p>
        </w:tc>
        <w:tc>
          <w:tcPr>
            <w:tcW w:w="2345" w:type="dxa"/>
            <w:noWrap w:val="0"/>
            <w:vAlign w:val="center"/>
          </w:tcPr>
          <w:p w14:paraId="40790F8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6C99E87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54E26BB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4949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0EE4CB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时间间隔</w:t>
            </w:r>
          </w:p>
        </w:tc>
        <w:tc>
          <w:tcPr>
            <w:tcW w:w="2345" w:type="dxa"/>
            <w:noWrap w:val="0"/>
            <w:vAlign w:val="center"/>
          </w:tcPr>
          <w:p w14:paraId="6CAA79A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6AB14CF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w:t>
            </w:r>
          </w:p>
        </w:tc>
        <w:tc>
          <w:tcPr>
            <w:tcW w:w="2345" w:type="dxa"/>
            <w:noWrap w:val="0"/>
            <w:vAlign w:val="center"/>
          </w:tcPr>
          <w:p w14:paraId="5670BB8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18D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DB5018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数据类型1数据</w:t>
            </w:r>
          </w:p>
        </w:tc>
        <w:tc>
          <w:tcPr>
            <w:tcW w:w="2345" w:type="dxa"/>
            <w:noWrap w:val="0"/>
            <w:vAlign w:val="center"/>
          </w:tcPr>
          <w:p w14:paraId="38D082C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1B603B7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2345" w:type="dxa"/>
            <w:noWrap w:val="0"/>
            <w:vAlign w:val="center"/>
          </w:tcPr>
          <w:p w14:paraId="6905FAB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11FE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E227FA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数据类型2数据</w:t>
            </w:r>
          </w:p>
        </w:tc>
        <w:tc>
          <w:tcPr>
            <w:tcW w:w="2345" w:type="dxa"/>
            <w:noWrap w:val="0"/>
            <w:vAlign w:val="center"/>
          </w:tcPr>
          <w:p w14:paraId="086A253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3F1901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2345" w:type="dxa"/>
            <w:noWrap w:val="0"/>
            <w:vAlign w:val="center"/>
          </w:tcPr>
          <w:p w14:paraId="75C95A7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13F4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FCF59F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345" w:type="dxa"/>
            <w:noWrap w:val="0"/>
            <w:vAlign w:val="center"/>
          </w:tcPr>
          <w:p w14:paraId="191E14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5530372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59619B3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26FBCA94">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24A8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14CD6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68A2E0C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091A2DB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19408D9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5BE1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2C1CD9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平台当前时间</w:t>
            </w:r>
          </w:p>
        </w:tc>
        <w:tc>
          <w:tcPr>
            <w:tcW w:w="2345" w:type="dxa"/>
            <w:noWrap w:val="0"/>
            <w:vAlign w:val="center"/>
          </w:tcPr>
          <w:p w14:paraId="241EC1D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14:paraId="6E544C1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14:paraId="327BA13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14:paraId="2D3C447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14:paraId="2F9ADB2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备注：设备可通过NB模组实现与基站时钟校准，也可使用该下行数据中的平台当前时间进行时钟校准。</w:t>
      </w:r>
    </w:p>
    <w:p w14:paraId="20D819D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 功能码02（数据查询指令）</w:t>
      </w:r>
    </w:p>
    <w:p w14:paraId="3028684C">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功能码02由平台主动发起，用于向设备查询某一时间节点的历史数据或实时数据。</w:t>
      </w:r>
    </w:p>
    <w:p w14:paraId="0798615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26A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13818A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294FE76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17E8109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7691CCE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5677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E00DB3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数据起始时间</w:t>
            </w:r>
          </w:p>
        </w:tc>
        <w:tc>
          <w:tcPr>
            <w:tcW w:w="2345" w:type="dxa"/>
            <w:noWrap w:val="0"/>
            <w:vAlign w:val="center"/>
          </w:tcPr>
          <w:p w14:paraId="3195E15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14:paraId="7FC08F8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14:paraId="5E3296B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14:paraId="1D2B2B8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r w14:paraId="4053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E15104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时间段个数</w:t>
            </w:r>
          </w:p>
        </w:tc>
        <w:tc>
          <w:tcPr>
            <w:tcW w:w="2345" w:type="dxa"/>
            <w:noWrap w:val="0"/>
            <w:vAlign w:val="center"/>
          </w:tcPr>
          <w:p w14:paraId="59BE459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123E13E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72A5BFF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754C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4B67BD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时间间隔</w:t>
            </w:r>
          </w:p>
        </w:tc>
        <w:tc>
          <w:tcPr>
            <w:tcW w:w="2345" w:type="dxa"/>
            <w:noWrap w:val="0"/>
            <w:vAlign w:val="center"/>
          </w:tcPr>
          <w:p w14:paraId="3F84099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7571609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w:t>
            </w:r>
          </w:p>
        </w:tc>
        <w:tc>
          <w:tcPr>
            <w:tcW w:w="2345" w:type="dxa"/>
            <w:noWrap w:val="0"/>
            <w:vAlign w:val="center"/>
          </w:tcPr>
          <w:p w14:paraId="2EB8CFF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6318AB8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备注：当数据起始时间6字节BCD全部为0时返回设备当时内存实时数据，并且上报数据段中的时间为设备当前时间。</w:t>
      </w:r>
    </w:p>
    <w:p w14:paraId="4113C7A5">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211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8B0125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18C554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785A384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26B6C20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1114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609E7A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数据起始时间</w:t>
            </w:r>
          </w:p>
        </w:tc>
        <w:tc>
          <w:tcPr>
            <w:tcW w:w="2345" w:type="dxa"/>
            <w:noWrap w:val="0"/>
            <w:vAlign w:val="center"/>
          </w:tcPr>
          <w:p w14:paraId="1028342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14:paraId="7CB5C29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14:paraId="173C74A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14:paraId="175FB40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r w14:paraId="4AC1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6DE04D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时间段个数</w:t>
            </w:r>
          </w:p>
        </w:tc>
        <w:tc>
          <w:tcPr>
            <w:tcW w:w="2345" w:type="dxa"/>
            <w:noWrap w:val="0"/>
            <w:vAlign w:val="center"/>
          </w:tcPr>
          <w:p w14:paraId="4C83F71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6393FF2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4722340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1353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B62FE9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时间间隔</w:t>
            </w:r>
          </w:p>
        </w:tc>
        <w:tc>
          <w:tcPr>
            <w:tcW w:w="2345" w:type="dxa"/>
            <w:noWrap w:val="0"/>
            <w:vAlign w:val="center"/>
          </w:tcPr>
          <w:p w14:paraId="7094AB6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51A861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w:t>
            </w:r>
          </w:p>
        </w:tc>
        <w:tc>
          <w:tcPr>
            <w:tcW w:w="2345" w:type="dxa"/>
            <w:noWrap w:val="0"/>
            <w:vAlign w:val="center"/>
          </w:tcPr>
          <w:p w14:paraId="2DBB7E0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4318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6C7D08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数据类型1数据</w:t>
            </w:r>
          </w:p>
        </w:tc>
        <w:tc>
          <w:tcPr>
            <w:tcW w:w="2345" w:type="dxa"/>
            <w:noWrap w:val="0"/>
            <w:vAlign w:val="center"/>
          </w:tcPr>
          <w:p w14:paraId="6B02C4A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0F22BE2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2345" w:type="dxa"/>
            <w:noWrap w:val="0"/>
            <w:vAlign w:val="center"/>
          </w:tcPr>
          <w:p w14:paraId="7C44273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6DFC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B30AC6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数据类型2数据</w:t>
            </w:r>
          </w:p>
        </w:tc>
        <w:tc>
          <w:tcPr>
            <w:tcW w:w="2345" w:type="dxa"/>
            <w:noWrap w:val="0"/>
            <w:vAlign w:val="center"/>
          </w:tcPr>
          <w:p w14:paraId="523E427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0915B3C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见附录C</w:t>
            </w:r>
          </w:p>
        </w:tc>
        <w:tc>
          <w:tcPr>
            <w:tcW w:w="2345" w:type="dxa"/>
            <w:noWrap w:val="0"/>
            <w:vAlign w:val="center"/>
          </w:tcPr>
          <w:p w14:paraId="0189C93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697F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3555A3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345" w:type="dxa"/>
            <w:noWrap w:val="0"/>
            <w:vAlign w:val="center"/>
          </w:tcPr>
          <w:p w14:paraId="0126D38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53E5B4B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2345" w:type="dxa"/>
            <w:noWrap w:val="0"/>
            <w:vAlign w:val="center"/>
          </w:tcPr>
          <w:p w14:paraId="5F958C4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6CED52AD">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备注：指令执行失败则数据段全部字节置FF、并且不用上发数据类型数据段。</w:t>
      </w:r>
    </w:p>
    <w:p w14:paraId="3B6DC1F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 功能码03（告警上报指令）</w:t>
      </w:r>
    </w:p>
    <w:p w14:paraId="31DE017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告警上报指令由设备主动发起。</w:t>
      </w:r>
    </w:p>
    <w:p w14:paraId="3042BDEE">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EA9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398AEB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63B2A97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61D6506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7BA62E5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3DC6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3CB7D0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事件代码</w:t>
            </w:r>
          </w:p>
        </w:tc>
        <w:tc>
          <w:tcPr>
            <w:tcW w:w="2345" w:type="dxa"/>
            <w:noWrap w:val="0"/>
            <w:vAlign w:val="center"/>
          </w:tcPr>
          <w:p w14:paraId="20E326D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2345" w:type="dxa"/>
            <w:noWrap w:val="0"/>
            <w:vAlign w:val="center"/>
          </w:tcPr>
          <w:p w14:paraId="0B37565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高字节在前，每个二进制位代表一种事件类型。事件代码表见附录B</w:t>
            </w:r>
          </w:p>
        </w:tc>
        <w:tc>
          <w:tcPr>
            <w:tcW w:w="2345" w:type="dxa"/>
            <w:noWrap w:val="0"/>
            <w:vAlign w:val="center"/>
          </w:tcPr>
          <w:p w14:paraId="3CAD729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72E783E8">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90C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3B5CA8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2B2609B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62C053F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0DBAF4A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4838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DB7713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平台当前时间</w:t>
            </w:r>
          </w:p>
        </w:tc>
        <w:tc>
          <w:tcPr>
            <w:tcW w:w="2345" w:type="dxa"/>
            <w:noWrap w:val="0"/>
            <w:vAlign w:val="center"/>
          </w:tcPr>
          <w:p w14:paraId="7E9D67E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14:paraId="641AD42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14:paraId="75C8C26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14:paraId="67D0BE1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14:paraId="1FA5FC7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 功能码04（设置终端时钟）</w:t>
      </w:r>
    </w:p>
    <w:p w14:paraId="75D14A1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设备可通过NB模组实现时钟同步，也可通过上报数据时平台回复的下行数据帧中的时间实现时钟同步。</w:t>
      </w:r>
    </w:p>
    <w:p w14:paraId="57F98125">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除以上两种方式外本协议提供了手动设置终端时钟的方式来实现时钟同步，注意：在指令可能被缓存或滞后下发的场景下谨慎使用该方式。</w:t>
      </w:r>
    </w:p>
    <w:p w14:paraId="56305D1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6C7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638DEE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5E35F8C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7614EE7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658E0C7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01BC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4FF82F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w:t>
            </w:r>
          </w:p>
        </w:tc>
        <w:tc>
          <w:tcPr>
            <w:tcW w:w="2345" w:type="dxa"/>
            <w:noWrap w:val="0"/>
            <w:vAlign w:val="center"/>
          </w:tcPr>
          <w:p w14:paraId="103DDC0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14:paraId="0C5C100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BCD码：YYMMDDHHNNSS</w:t>
            </w:r>
          </w:p>
        </w:tc>
        <w:tc>
          <w:tcPr>
            <w:tcW w:w="2345" w:type="dxa"/>
            <w:noWrap w:val="0"/>
            <w:vAlign w:val="center"/>
          </w:tcPr>
          <w:p w14:paraId="0D5183A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14:paraId="44E4EB6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14:paraId="0C8F4B4B">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CBB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B89BEC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67EED54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3052AB3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2D7BFD3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0664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2D4166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时间</w:t>
            </w:r>
          </w:p>
        </w:tc>
        <w:tc>
          <w:tcPr>
            <w:tcW w:w="2345" w:type="dxa"/>
            <w:noWrap w:val="0"/>
            <w:vAlign w:val="center"/>
          </w:tcPr>
          <w:p w14:paraId="204F291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6字节</w:t>
            </w:r>
          </w:p>
        </w:tc>
        <w:tc>
          <w:tcPr>
            <w:tcW w:w="2345" w:type="dxa"/>
            <w:noWrap w:val="0"/>
            <w:vAlign w:val="center"/>
          </w:tcPr>
          <w:p w14:paraId="3F1086C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14:paraId="191CE90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2020-01-11 12:15:30</w:t>
            </w:r>
          </w:p>
          <w:p w14:paraId="4EEFDCE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200111121530</w:t>
            </w:r>
          </w:p>
        </w:tc>
      </w:tr>
    </w:tbl>
    <w:p w14:paraId="7A74367C">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14:paraId="29CA23BE">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 功能码05（设置历史数据存盘间隔）</w:t>
      </w:r>
    </w:p>
    <w:p w14:paraId="1555092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05B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AB5079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607E328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2812948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433E5CD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7B2C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6BD1C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间隔</w:t>
            </w:r>
          </w:p>
        </w:tc>
        <w:tc>
          <w:tcPr>
            <w:tcW w:w="2345" w:type="dxa"/>
            <w:noWrap w:val="0"/>
            <w:vAlign w:val="center"/>
          </w:tcPr>
          <w:p w14:paraId="4F654E7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7845882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14:paraId="17CFE67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0D87AA96">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76D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307FFB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7C359A6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78FC42A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45162E2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136A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1FE2DE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间隔</w:t>
            </w:r>
          </w:p>
        </w:tc>
        <w:tc>
          <w:tcPr>
            <w:tcW w:w="2345" w:type="dxa"/>
            <w:noWrap w:val="0"/>
            <w:vAlign w:val="center"/>
          </w:tcPr>
          <w:p w14:paraId="736FE4A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6458FA3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14:paraId="6BB126F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5D7A0896">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14:paraId="5A95B860">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 功能码06（设置主动上报参数）</w:t>
      </w:r>
    </w:p>
    <w:p w14:paraId="6566258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89E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98492B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371F24B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628CF8D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212C837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5ECA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BF325E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2345" w:type="dxa"/>
            <w:noWrap w:val="0"/>
            <w:vAlign w:val="center"/>
          </w:tcPr>
          <w:p w14:paraId="20D10DD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38185CC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小时部分</w:t>
            </w:r>
          </w:p>
        </w:tc>
        <w:tc>
          <w:tcPr>
            <w:tcW w:w="2345" w:type="dxa"/>
            <w:noWrap w:val="0"/>
            <w:vAlign w:val="center"/>
          </w:tcPr>
          <w:p w14:paraId="5F26FF5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03A4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7078C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2345" w:type="dxa"/>
            <w:noWrap w:val="0"/>
            <w:vAlign w:val="center"/>
          </w:tcPr>
          <w:p w14:paraId="6DD74DF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5A19D85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分钟部分</w:t>
            </w:r>
          </w:p>
        </w:tc>
        <w:tc>
          <w:tcPr>
            <w:tcW w:w="2345" w:type="dxa"/>
            <w:noWrap w:val="0"/>
            <w:vAlign w:val="center"/>
          </w:tcPr>
          <w:p w14:paraId="226EE40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5643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5DD9ED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上发间隔</w:t>
            </w:r>
          </w:p>
        </w:tc>
        <w:tc>
          <w:tcPr>
            <w:tcW w:w="2345" w:type="dxa"/>
            <w:noWrap w:val="0"/>
            <w:vAlign w:val="center"/>
          </w:tcPr>
          <w:p w14:paraId="5FBC513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21357C1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14:paraId="5525B51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2D5F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A52A3C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数据间隔</w:t>
            </w:r>
          </w:p>
        </w:tc>
        <w:tc>
          <w:tcPr>
            <w:tcW w:w="2345" w:type="dxa"/>
            <w:noWrap w:val="0"/>
            <w:vAlign w:val="center"/>
          </w:tcPr>
          <w:p w14:paraId="13C0DD0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45A8913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14:paraId="0D9B67E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2282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AEDAF8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离散值</w:t>
            </w:r>
          </w:p>
        </w:tc>
        <w:tc>
          <w:tcPr>
            <w:tcW w:w="2345" w:type="dxa"/>
            <w:noWrap w:val="0"/>
            <w:vAlign w:val="center"/>
          </w:tcPr>
          <w:p w14:paraId="656C342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0BB6969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秒，高字节在前</w:t>
            </w:r>
          </w:p>
        </w:tc>
        <w:tc>
          <w:tcPr>
            <w:tcW w:w="2345" w:type="dxa"/>
            <w:noWrap w:val="0"/>
            <w:vAlign w:val="center"/>
          </w:tcPr>
          <w:p w14:paraId="11361CD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5D1E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A54279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生效时长</w:t>
            </w:r>
          </w:p>
        </w:tc>
        <w:tc>
          <w:tcPr>
            <w:tcW w:w="2345" w:type="dxa"/>
            <w:noWrap w:val="0"/>
            <w:vAlign w:val="center"/>
          </w:tcPr>
          <w:p w14:paraId="643F872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4457D89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本次设置值的生效时间，高字节在前。</w:t>
            </w:r>
          </w:p>
          <w:p w14:paraId="0F0A8E4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0表示永久应用该设置值，大于0表示临时应用X分钟后自动恢复原配置。</w:t>
            </w:r>
          </w:p>
        </w:tc>
        <w:tc>
          <w:tcPr>
            <w:tcW w:w="2345" w:type="dxa"/>
            <w:noWrap w:val="0"/>
            <w:vAlign w:val="center"/>
          </w:tcPr>
          <w:p w14:paraId="244063E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1181843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字段说明：</w:t>
      </w:r>
    </w:p>
    <w:p w14:paraId="4CBDC5C8">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【上发间隔】：即设备拨号上报数据的间隔；</w:t>
      </w:r>
    </w:p>
    <w:p w14:paraId="411EA03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【数据间隔】：即上报的数据帧中每个数据的间隔时间；</w:t>
      </w:r>
    </w:p>
    <w:p w14:paraId="10EEB70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【离散值】：凌晨5点至7点系上位机平台数据运算时间，因此所有终端设备的上报都应离散到0点至5点之间。设置为0或项目补充要求中未明确规定时缺省离散算法如下：</w:t>
      </w:r>
    </w:p>
    <w:p w14:paraId="5F7F313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H(小时部分) ＝ 终端地址最后1位数字 % 5 </w:t>
      </w:r>
    </w:p>
    <w:p w14:paraId="5DB9F39E">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M(分钟部分) ＝ 终端地址后第2位至后第4位 % 60</w:t>
      </w:r>
    </w:p>
    <w:p w14:paraId="132B8056">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S(秒钟部分) ＝ 厂商随机产生</w:t>
      </w:r>
    </w:p>
    <w:p w14:paraId="570777EF">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最终离散后上报时间点：H:M:S</w:t>
      </w:r>
    </w:p>
    <w:p w14:paraId="2267047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（说明：%为取余数操作）</w:t>
      </w:r>
    </w:p>
    <w:p w14:paraId="3ED7F396">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示例：终端地址：1020000000056789</w:t>
      </w:r>
    </w:p>
    <w:p w14:paraId="082C47B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H(小时部分) ＝ 9 % 5 ＝4</w:t>
      </w:r>
    </w:p>
    <w:p w14:paraId="63757DB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M(分钟部分) ＝ 678 % 60 ＝18</w:t>
      </w:r>
    </w:p>
    <w:p w14:paraId="236CDF1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【生效时长】：用于指示本次配置的有效时长，用于临时加快数据上报频率。</w:t>
      </w:r>
    </w:p>
    <w:p w14:paraId="456B951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关联配置：</w:t>
      </w:r>
    </w:p>
    <w:p w14:paraId="1A41F83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对上发间隔和数据间隔的配置修改应能自动调整数据存盘间隔时间。</w:t>
      </w:r>
    </w:p>
    <w:p w14:paraId="27F9774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3CB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914504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6F312FF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4A1D3C2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2633CBA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66F1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1B8E87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2345" w:type="dxa"/>
            <w:noWrap w:val="0"/>
            <w:vAlign w:val="center"/>
          </w:tcPr>
          <w:p w14:paraId="77A616D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54E3B03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小时部分</w:t>
            </w:r>
          </w:p>
        </w:tc>
        <w:tc>
          <w:tcPr>
            <w:tcW w:w="2345" w:type="dxa"/>
            <w:noWrap w:val="0"/>
            <w:vAlign w:val="center"/>
          </w:tcPr>
          <w:p w14:paraId="4EC4D2F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572B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4F0700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开始时刻</w:t>
            </w:r>
          </w:p>
        </w:tc>
        <w:tc>
          <w:tcPr>
            <w:tcW w:w="2345" w:type="dxa"/>
            <w:noWrap w:val="0"/>
            <w:vAlign w:val="center"/>
          </w:tcPr>
          <w:p w14:paraId="661798B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73C3B23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分钟部分</w:t>
            </w:r>
          </w:p>
        </w:tc>
        <w:tc>
          <w:tcPr>
            <w:tcW w:w="2345" w:type="dxa"/>
            <w:noWrap w:val="0"/>
            <w:vAlign w:val="center"/>
          </w:tcPr>
          <w:p w14:paraId="23E7C97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43D8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0F2818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上发间隔</w:t>
            </w:r>
          </w:p>
        </w:tc>
        <w:tc>
          <w:tcPr>
            <w:tcW w:w="2345" w:type="dxa"/>
            <w:noWrap w:val="0"/>
            <w:vAlign w:val="center"/>
          </w:tcPr>
          <w:p w14:paraId="200EEF3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3DA5D86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14:paraId="4BE1B6A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564D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98AE1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数据间隔</w:t>
            </w:r>
          </w:p>
        </w:tc>
        <w:tc>
          <w:tcPr>
            <w:tcW w:w="2345" w:type="dxa"/>
            <w:noWrap w:val="0"/>
            <w:vAlign w:val="center"/>
          </w:tcPr>
          <w:p w14:paraId="54B1551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138A161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分钟，高字节在前</w:t>
            </w:r>
          </w:p>
        </w:tc>
        <w:tc>
          <w:tcPr>
            <w:tcW w:w="2345" w:type="dxa"/>
            <w:noWrap w:val="0"/>
            <w:vAlign w:val="center"/>
          </w:tcPr>
          <w:p w14:paraId="04ADD1D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2A6F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94983D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离散值</w:t>
            </w:r>
          </w:p>
        </w:tc>
        <w:tc>
          <w:tcPr>
            <w:tcW w:w="2345" w:type="dxa"/>
            <w:noWrap w:val="0"/>
            <w:vAlign w:val="center"/>
          </w:tcPr>
          <w:p w14:paraId="1A7BD0B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3104D7C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秒，高字节在前</w:t>
            </w:r>
          </w:p>
        </w:tc>
        <w:tc>
          <w:tcPr>
            <w:tcW w:w="2345" w:type="dxa"/>
            <w:noWrap w:val="0"/>
            <w:vAlign w:val="center"/>
          </w:tcPr>
          <w:p w14:paraId="11D0B9C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57594A0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14:paraId="46B5BCDD">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 功能码07（设置数据中心地址）</w:t>
      </w:r>
    </w:p>
    <w:p w14:paraId="473C95B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2330"/>
        <w:gridCol w:w="2334"/>
        <w:gridCol w:w="2631"/>
      </w:tblGrid>
      <w:tr w14:paraId="4377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14:paraId="1B69C5D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30" w:type="dxa"/>
            <w:noWrap w:val="0"/>
            <w:vAlign w:val="center"/>
          </w:tcPr>
          <w:p w14:paraId="64D3BB5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34" w:type="dxa"/>
            <w:noWrap w:val="0"/>
            <w:vAlign w:val="center"/>
          </w:tcPr>
          <w:p w14:paraId="1ED85B6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84" w:type="dxa"/>
            <w:noWrap w:val="0"/>
            <w:vAlign w:val="center"/>
          </w:tcPr>
          <w:p w14:paraId="14BA4A2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575F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14:paraId="3FD489E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2330" w:type="dxa"/>
            <w:noWrap w:val="0"/>
            <w:vAlign w:val="center"/>
          </w:tcPr>
          <w:p w14:paraId="5328EB9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34" w:type="dxa"/>
            <w:noWrap w:val="0"/>
            <w:vAlign w:val="center"/>
          </w:tcPr>
          <w:p w14:paraId="719F0EB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当设备支持多数据中心时使用该序号区分设置的是哪个中心地址。注意：序号0为默认数据中心，其它序号为备用中心</w:t>
            </w:r>
          </w:p>
        </w:tc>
        <w:tc>
          <w:tcPr>
            <w:tcW w:w="2384" w:type="dxa"/>
            <w:noWrap w:val="0"/>
            <w:vAlign w:val="center"/>
          </w:tcPr>
          <w:p w14:paraId="243AB95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1E6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2" w:type="dxa"/>
            <w:noWrap w:val="0"/>
            <w:vAlign w:val="center"/>
          </w:tcPr>
          <w:p w14:paraId="49EB907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数据中心地址</w:t>
            </w:r>
          </w:p>
        </w:tc>
        <w:tc>
          <w:tcPr>
            <w:tcW w:w="2330" w:type="dxa"/>
            <w:noWrap w:val="0"/>
            <w:vAlign w:val="center"/>
          </w:tcPr>
          <w:p w14:paraId="1C93B00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不定长</w:t>
            </w:r>
          </w:p>
        </w:tc>
        <w:tc>
          <w:tcPr>
            <w:tcW w:w="2334" w:type="dxa"/>
            <w:noWrap w:val="0"/>
            <w:vAlign w:val="center"/>
          </w:tcPr>
          <w:p w14:paraId="50E7BA8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ASCII，以\0结束</w:t>
            </w:r>
          </w:p>
        </w:tc>
        <w:tc>
          <w:tcPr>
            <w:tcW w:w="2384" w:type="dxa"/>
            <w:noWrap w:val="0"/>
            <w:vAlign w:val="center"/>
          </w:tcPr>
          <w:p w14:paraId="13EA7C7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123.123.123.123:5000</w:t>
            </w:r>
          </w:p>
          <w:p w14:paraId="47B694C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http://www.dsc.com:5000</w:t>
            </w:r>
          </w:p>
        </w:tc>
      </w:tr>
    </w:tbl>
    <w:p w14:paraId="336952B4">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FDB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7CECD1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54C8C05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14292AB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3721122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59CC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169885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2345" w:type="dxa"/>
            <w:noWrap w:val="0"/>
            <w:vAlign w:val="center"/>
          </w:tcPr>
          <w:p w14:paraId="10F358C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18C056E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当设备支持多数据中心时使用该序号区分设置的是哪个中心地址。注意：序号0为默认数据中心，其它序号为备用中心</w:t>
            </w:r>
          </w:p>
        </w:tc>
        <w:tc>
          <w:tcPr>
            <w:tcW w:w="2345" w:type="dxa"/>
            <w:noWrap w:val="0"/>
            <w:vAlign w:val="center"/>
          </w:tcPr>
          <w:p w14:paraId="58BC078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7ADE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E027E5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数据中心地址</w:t>
            </w:r>
          </w:p>
        </w:tc>
        <w:tc>
          <w:tcPr>
            <w:tcW w:w="2345" w:type="dxa"/>
            <w:noWrap w:val="0"/>
            <w:vAlign w:val="center"/>
          </w:tcPr>
          <w:p w14:paraId="68AF4B0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不定长</w:t>
            </w:r>
          </w:p>
        </w:tc>
        <w:tc>
          <w:tcPr>
            <w:tcW w:w="2345" w:type="dxa"/>
            <w:noWrap w:val="0"/>
            <w:vAlign w:val="center"/>
          </w:tcPr>
          <w:p w14:paraId="7028E7A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ASCII，以\0结束</w:t>
            </w:r>
          </w:p>
        </w:tc>
        <w:tc>
          <w:tcPr>
            <w:tcW w:w="2345" w:type="dxa"/>
            <w:noWrap w:val="0"/>
            <w:vAlign w:val="center"/>
          </w:tcPr>
          <w:p w14:paraId="6B1B78E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03FA6A87">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14:paraId="418DD934">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 功能码08（设置工作模式）</w:t>
      </w:r>
    </w:p>
    <w:p w14:paraId="7AD4F67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E5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F60742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7A16372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663E7E4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1683B72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532F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C4F57A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工作模式</w:t>
            </w:r>
          </w:p>
        </w:tc>
        <w:tc>
          <w:tcPr>
            <w:tcW w:w="2345" w:type="dxa"/>
            <w:noWrap w:val="0"/>
            <w:vAlign w:val="center"/>
          </w:tcPr>
          <w:p w14:paraId="37DB7DA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6F8D904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0表示设备处于休眠工作模式，1表示设备处于长期在线待命状态。</w:t>
            </w:r>
          </w:p>
        </w:tc>
        <w:tc>
          <w:tcPr>
            <w:tcW w:w="2345" w:type="dxa"/>
            <w:noWrap w:val="0"/>
            <w:vAlign w:val="center"/>
          </w:tcPr>
          <w:p w14:paraId="1F65F65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24BB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92BA85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生效时长</w:t>
            </w:r>
          </w:p>
        </w:tc>
        <w:tc>
          <w:tcPr>
            <w:tcW w:w="2345" w:type="dxa"/>
            <w:noWrap w:val="0"/>
            <w:vAlign w:val="center"/>
          </w:tcPr>
          <w:p w14:paraId="7B83523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74749CE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本次设置值的生效时间，高字节在前。</w:t>
            </w:r>
          </w:p>
          <w:p w14:paraId="1F8F30B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0表示永久应用该设置值，大于0表示临时应用X分钟数后自动恢复原配置。</w:t>
            </w:r>
          </w:p>
        </w:tc>
        <w:tc>
          <w:tcPr>
            <w:tcW w:w="2345" w:type="dxa"/>
            <w:noWrap w:val="0"/>
            <w:vAlign w:val="center"/>
          </w:tcPr>
          <w:p w14:paraId="5CA58CD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656F6F3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B68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FE6C24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41E6A01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5E48022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08260AB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7FD1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84C319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工作模式</w:t>
            </w:r>
          </w:p>
        </w:tc>
        <w:tc>
          <w:tcPr>
            <w:tcW w:w="2345" w:type="dxa"/>
            <w:noWrap w:val="0"/>
            <w:vAlign w:val="center"/>
          </w:tcPr>
          <w:p w14:paraId="714A86D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181C33C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14:paraId="51BD38A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63A6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8F8DF4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生效时长</w:t>
            </w:r>
          </w:p>
        </w:tc>
        <w:tc>
          <w:tcPr>
            <w:tcW w:w="2345" w:type="dxa"/>
            <w:noWrap w:val="0"/>
            <w:vAlign w:val="center"/>
          </w:tcPr>
          <w:p w14:paraId="7E89EE4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2345" w:type="dxa"/>
            <w:noWrap w:val="0"/>
            <w:vAlign w:val="center"/>
          </w:tcPr>
          <w:p w14:paraId="46BD1EF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14:paraId="7962755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0EFAF96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14:paraId="37A0301D">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 功能码09（设置设备地址）</w:t>
      </w:r>
    </w:p>
    <w:p w14:paraId="3F4C495D">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设置设备地址指令用于非NB水表应用场景，NB水表表码通常不允许修改，所以NB水表不需实现该指令。</w:t>
      </w:r>
    </w:p>
    <w:p w14:paraId="67193222">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74F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BDE7E9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1385505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43E6DD6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018C49C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687E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784933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2345" w:type="dxa"/>
            <w:noWrap w:val="0"/>
            <w:vAlign w:val="center"/>
          </w:tcPr>
          <w:p w14:paraId="22D65B7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2345" w:type="dxa"/>
            <w:noWrap w:val="0"/>
            <w:vAlign w:val="center"/>
          </w:tcPr>
          <w:p w14:paraId="6A1A8EE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BCD码，符合4.1.6章节中设备地址相关规则</w:t>
            </w:r>
          </w:p>
        </w:tc>
        <w:tc>
          <w:tcPr>
            <w:tcW w:w="2345" w:type="dxa"/>
            <w:noWrap w:val="0"/>
            <w:vAlign w:val="center"/>
          </w:tcPr>
          <w:p w14:paraId="7FCFEE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0433D215">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812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4417D9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6615E90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14D41F3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4AFE31B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1B24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E0AD84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设备地址</w:t>
            </w:r>
          </w:p>
        </w:tc>
        <w:tc>
          <w:tcPr>
            <w:tcW w:w="2345" w:type="dxa"/>
            <w:noWrap w:val="0"/>
            <w:vAlign w:val="center"/>
          </w:tcPr>
          <w:p w14:paraId="200C6B6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2345" w:type="dxa"/>
            <w:noWrap w:val="0"/>
            <w:vAlign w:val="center"/>
          </w:tcPr>
          <w:p w14:paraId="72FDE97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14:paraId="0478166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17C5A42D">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备注：指令执行成功则原码返回，执行失败则数据段全部字节置FF。</w:t>
      </w:r>
    </w:p>
    <w:p w14:paraId="1A4FC8B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 功能码10（设置加密标志）</w:t>
      </w:r>
    </w:p>
    <w:p w14:paraId="454A96C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（1）下行数据段格式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E16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FA01A1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02113B3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05BC8A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346AF30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602B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BFFFAC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加密标志</w:t>
            </w:r>
          </w:p>
        </w:tc>
        <w:tc>
          <w:tcPr>
            <w:tcW w:w="2345" w:type="dxa"/>
            <w:noWrap w:val="0"/>
            <w:vAlign w:val="center"/>
          </w:tcPr>
          <w:p w14:paraId="5871818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6B17CE4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取值1表示设备启用数据段加密，0表示不加密</w:t>
            </w:r>
          </w:p>
        </w:tc>
        <w:tc>
          <w:tcPr>
            <w:tcW w:w="2345" w:type="dxa"/>
            <w:noWrap w:val="0"/>
            <w:vAlign w:val="center"/>
          </w:tcPr>
          <w:p w14:paraId="6AF3D2C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1452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2264B0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新密钥</w:t>
            </w:r>
          </w:p>
        </w:tc>
        <w:tc>
          <w:tcPr>
            <w:tcW w:w="2345" w:type="dxa"/>
            <w:noWrap w:val="0"/>
            <w:vAlign w:val="center"/>
          </w:tcPr>
          <w:p w14:paraId="1E2F530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16字节ASCII</w:t>
            </w:r>
          </w:p>
        </w:tc>
        <w:tc>
          <w:tcPr>
            <w:tcW w:w="2345" w:type="dxa"/>
            <w:noWrap w:val="0"/>
            <w:vAlign w:val="center"/>
          </w:tcPr>
          <w:p w14:paraId="31E8A71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全为FF表示使用缺省密钥（即不修改密钥）</w:t>
            </w:r>
          </w:p>
        </w:tc>
        <w:tc>
          <w:tcPr>
            <w:tcW w:w="2345" w:type="dxa"/>
            <w:noWrap w:val="0"/>
            <w:vAlign w:val="center"/>
          </w:tcPr>
          <w:p w14:paraId="5F38A07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03CFE92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注意：新密钥全为FF表示仅修改加密标志，不修改密钥；</w:t>
      </w:r>
    </w:p>
    <w:p w14:paraId="0E09FA9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12E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D9CF20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数据内容</w:t>
            </w:r>
          </w:p>
        </w:tc>
        <w:tc>
          <w:tcPr>
            <w:tcW w:w="2345" w:type="dxa"/>
            <w:noWrap w:val="0"/>
            <w:vAlign w:val="center"/>
          </w:tcPr>
          <w:p w14:paraId="02851D1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字节数</w:t>
            </w:r>
          </w:p>
        </w:tc>
        <w:tc>
          <w:tcPr>
            <w:tcW w:w="2345" w:type="dxa"/>
            <w:noWrap w:val="0"/>
            <w:vAlign w:val="center"/>
          </w:tcPr>
          <w:p w14:paraId="6C3F0FD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c>
          <w:tcPr>
            <w:tcW w:w="2345" w:type="dxa"/>
            <w:noWrap w:val="0"/>
            <w:vAlign w:val="center"/>
          </w:tcPr>
          <w:p w14:paraId="02AD81F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示例</w:t>
            </w:r>
          </w:p>
        </w:tc>
      </w:tr>
      <w:tr w14:paraId="3A4C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3028E3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加密标志</w:t>
            </w:r>
          </w:p>
        </w:tc>
        <w:tc>
          <w:tcPr>
            <w:tcW w:w="2345" w:type="dxa"/>
            <w:noWrap w:val="0"/>
            <w:vAlign w:val="center"/>
          </w:tcPr>
          <w:p w14:paraId="097EFB9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2345" w:type="dxa"/>
            <w:noWrap w:val="0"/>
            <w:vAlign w:val="center"/>
          </w:tcPr>
          <w:p w14:paraId="7537E2F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14:paraId="2E43E12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41AD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A4A385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新密钥</w:t>
            </w:r>
          </w:p>
        </w:tc>
        <w:tc>
          <w:tcPr>
            <w:tcW w:w="2345" w:type="dxa"/>
            <w:noWrap w:val="0"/>
            <w:vAlign w:val="center"/>
          </w:tcPr>
          <w:p w14:paraId="4A5B0B7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16字节ASCII</w:t>
            </w:r>
          </w:p>
        </w:tc>
        <w:tc>
          <w:tcPr>
            <w:tcW w:w="2345" w:type="dxa"/>
            <w:noWrap w:val="0"/>
            <w:vAlign w:val="center"/>
          </w:tcPr>
          <w:p w14:paraId="2EA08D8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成功后原码返回，失败全部置FF</w:t>
            </w:r>
          </w:p>
        </w:tc>
        <w:tc>
          <w:tcPr>
            <w:tcW w:w="2345" w:type="dxa"/>
            <w:noWrap w:val="0"/>
            <w:vAlign w:val="center"/>
          </w:tcPr>
          <w:p w14:paraId="1889890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67511A9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1B15DD6A">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注意</w:t>
      </w:r>
      <w:r>
        <w:rPr>
          <w:rFonts w:hint="eastAsia" w:ascii="宋体" w:hAnsi="宋体" w:eastAsia="宋体" w:cs="宋体"/>
          <w:b w:val="0"/>
          <w:bCs w:val="0"/>
          <w:color w:val="auto"/>
          <w:sz w:val="21"/>
          <w:szCs w:val="21"/>
          <w:highlight w:val="none"/>
          <w:lang w:val="en-US" w:eastAsia="zh-CN"/>
        </w:rPr>
        <w:t>点：远程更新密钥时，本次配置指令的上行确认帧应使用原密钥进行加密，上位机平台在收到更新成功确认后正式启用新密钥对后续下行帧加密。</w:t>
      </w:r>
    </w:p>
    <w:p w14:paraId="19BF165E">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3.2.11 功能码11（查询历史数据存盘间隔）</w:t>
      </w:r>
    </w:p>
    <w:p w14:paraId="1DF12FE3">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14:paraId="6E0477A5">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14:paraId="27DC651E">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5C3C1474">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同功能码05数据格式。</w:t>
      </w:r>
    </w:p>
    <w:p w14:paraId="72F102E5">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3.2.12功能码12（查询主动上报参数）</w:t>
      </w:r>
    </w:p>
    <w:p w14:paraId="1A79C44D">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14:paraId="5A048FD3">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14:paraId="2F822D9B">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23582959">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同功能码06数据格式。</w:t>
      </w:r>
    </w:p>
    <w:p w14:paraId="4A555704">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3.2.13功能码13（查询数据中心地址）</w:t>
      </w:r>
    </w:p>
    <w:p w14:paraId="33375D28">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1376"/>
        <w:gridCol w:w="3925"/>
        <w:gridCol w:w="1097"/>
      </w:tblGrid>
      <w:tr w14:paraId="3237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noWrap w:val="0"/>
            <w:vAlign w:val="center"/>
          </w:tcPr>
          <w:p w14:paraId="49C30C3B">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outlineLvl w:val="9"/>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数据内容</w:t>
            </w:r>
          </w:p>
        </w:tc>
        <w:tc>
          <w:tcPr>
            <w:tcW w:w="1376" w:type="dxa"/>
            <w:noWrap w:val="0"/>
            <w:vAlign w:val="center"/>
          </w:tcPr>
          <w:p w14:paraId="3E7ACCCC">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outlineLvl w:val="9"/>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字节数</w:t>
            </w:r>
          </w:p>
        </w:tc>
        <w:tc>
          <w:tcPr>
            <w:tcW w:w="3925" w:type="dxa"/>
            <w:noWrap w:val="0"/>
            <w:vAlign w:val="center"/>
          </w:tcPr>
          <w:p w14:paraId="7AF6AE0F">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outlineLvl w:val="9"/>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说明</w:t>
            </w:r>
          </w:p>
        </w:tc>
        <w:tc>
          <w:tcPr>
            <w:tcW w:w="1097" w:type="dxa"/>
            <w:noWrap w:val="0"/>
            <w:vAlign w:val="center"/>
          </w:tcPr>
          <w:p w14:paraId="09D80111">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outlineLvl w:val="9"/>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示例</w:t>
            </w:r>
          </w:p>
        </w:tc>
      </w:tr>
      <w:tr w14:paraId="5CCE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noWrap w:val="0"/>
            <w:vAlign w:val="center"/>
          </w:tcPr>
          <w:p w14:paraId="5AD8B320">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outlineLvl w:val="9"/>
              <w:rPr>
                <w:rFonts w:hint="default"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序号</w:t>
            </w:r>
          </w:p>
        </w:tc>
        <w:tc>
          <w:tcPr>
            <w:tcW w:w="1376" w:type="dxa"/>
            <w:noWrap w:val="0"/>
            <w:vAlign w:val="center"/>
          </w:tcPr>
          <w:p w14:paraId="23345169">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outlineLvl w:val="9"/>
              <w:rPr>
                <w:rFonts w:hint="default"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1字节</w:t>
            </w:r>
          </w:p>
        </w:tc>
        <w:tc>
          <w:tcPr>
            <w:tcW w:w="3925" w:type="dxa"/>
            <w:noWrap w:val="0"/>
            <w:vAlign w:val="center"/>
          </w:tcPr>
          <w:p w14:paraId="1C0C14A0">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outlineLvl w:val="9"/>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当设备支持多数据中心时使用该序号区分查询的是哪个中心地址。注意：序号0为默认数据中心，其它序号为备用中心</w:t>
            </w:r>
          </w:p>
        </w:tc>
        <w:tc>
          <w:tcPr>
            <w:tcW w:w="1097" w:type="dxa"/>
            <w:noWrap w:val="0"/>
            <w:vAlign w:val="center"/>
          </w:tcPr>
          <w:p w14:paraId="5660F6BF">
            <w:pPr>
              <w:keepNext w:val="0"/>
              <w:keepLines w:val="0"/>
              <w:pageBreakBefore w:val="0"/>
              <w:widowControl w:val="0"/>
              <w:kinsoku/>
              <w:wordWrap/>
              <w:overflowPunct/>
              <w:topLinePunct w:val="0"/>
              <w:autoSpaceDE/>
              <w:autoSpaceDN/>
              <w:bidi w:val="0"/>
              <w:adjustRightInd/>
              <w:snapToGrid/>
              <w:spacing w:before="157" w:beforeLines="50"/>
              <w:ind w:right="-26"/>
              <w:jc w:val="center"/>
              <w:textAlignment w:val="auto"/>
              <w:outlineLvl w:val="9"/>
              <w:rPr>
                <w:rFonts w:hint="eastAsia" w:ascii="宋体" w:hAnsi="等线" w:eastAsia="宋体" w:cs="Times New Roman"/>
                <w:b/>
                <w:bCs/>
                <w:color w:val="auto"/>
                <w:kern w:val="2"/>
                <w:sz w:val="21"/>
                <w:szCs w:val="21"/>
                <w:highlight w:val="none"/>
                <w:vertAlign w:val="baseline"/>
                <w:lang w:val="en-US" w:eastAsia="zh-CN" w:bidi="ar-SA"/>
              </w:rPr>
            </w:pPr>
            <w:r>
              <w:rPr>
                <w:rFonts w:hint="eastAsia" w:ascii="宋体" w:hAnsi="等线" w:eastAsia="宋体" w:cs="Times New Roman"/>
                <w:b/>
                <w:bCs/>
                <w:color w:val="auto"/>
                <w:kern w:val="2"/>
                <w:sz w:val="21"/>
                <w:szCs w:val="21"/>
                <w:highlight w:val="none"/>
                <w:vertAlign w:val="baseline"/>
                <w:lang w:val="en-US" w:eastAsia="zh-CN" w:bidi="ar-SA"/>
              </w:rPr>
              <w:t>0</w:t>
            </w:r>
          </w:p>
        </w:tc>
      </w:tr>
    </w:tbl>
    <w:p w14:paraId="38272F89">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561473DC">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420" w:firstLineChars="20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同功能码07数据格式。</w:t>
      </w:r>
    </w:p>
    <w:p w14:paraId="671D60F9">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3.3规约附录</w:t>
      </w:r>
    </w:p>
    <w:p w14:paraId="601A8F36">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rPr>
        <w:t>A</w:t>
      </w:r>
    </w:p>
    <w:p w14:paraId="5F628345">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设备类型代码表</w:t>
      </w:r>
      <w:r>
        <w:rPr>
          <w:rFonts w:hint="eastAsia" w:ascii="宋体" w:hAnsi="宋体" w:eastAsia="宋体" w:cs="宋体"/>
          <w:b w:val="0"/>
          <w:bCs w:val="0"/>
          <w:color w:val="auto"/>
          <w:sz w:val="21"/>
          <w:szCs w:val="21"/>
          <w:highlight w:val="none"/>
        </w:rPr>
        <w:t>）</w:t>
      </w:r>
    </w:p>
    <w:tbl>
      <w:tblPr>
        <w:tblStyle w:val="39"/>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4461"/>
        <w:gridCol w:w="1945"/>
      </w:tblGrid>
      <w:tr w14:paraId="5BD4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3C73F4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类型代码</w:t>
            </w:r>
          </w:p>
        </w:tc>
        <w:tc>
          <w:tcPr>
            <w:tcW w:w="4461" w:type="dxa"/>
            <w:noWrap w:val="0"/>
            <w:vAlign w:val="top"/>
          </w:tcPr>
          <w:p w14:paraId="530CE23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w:t>
            </w:r>
          </w:p>
        </w:tc>
        <w:tc>
          <w:tcPr>
            <w:tcW w:w="1945" w:type="dxa"/>
            <w:noWrap w:val="0"/>
            <w:vAlign w:val="top"/>
          </w:tcPr>
          <w:p w14:paraId="3393428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r>
      <w:tr w14:paraId="23F6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5A674B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4461" w:type="dxa"/>
            <w:noWrap w:val="0"/>
            <w:vAlign w:val="top"/>
          </w:tcPr>
          <w:p w14:paraId="65092CA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系统保留</w:t>
            </w:r>
          </w:p>
        </w:tc>
        <w:tc>
          <w:tcPr>
            <w:tcW w:w="1945" w:type="dxa"/>
            <w:noWrap w:val="0"/>
            <w:vAlign w:val="top"/>
          </w:tcPr>
          <w:p w14:paraId="5216A70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7246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2B98B52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61" w:type="dxa"/>
            <w:noWrap w:val="0"/>
            <w:vAlign w:val="top"/>
          </w:tcPr>
          <w:p w14:paraId="63D269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一体式小口径水表</w:t>
            </w:r>
          </w:p>
        </w:tc>
        <w:tc>
          <w:tcPr>
            <w:tcW w:w="1945" w:type="dxa"/>
            <w:noWrap w:val="0"/>
            <w:vAlign w:val="top"/>
          </w:tcPr>
          <w:p w14:paraId="4AF41B7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694A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7C4A0AF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461" w:type="dxa"/>
            <w:noWrap w:val="0"/>
            <w:vAlign w:val="top"/>
          </w:tcPr>
          <w:p w14:paraId="1DC9894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一体式大口径水表</w:t>
            </w:r>
          </w:p>
        </w:tc>
        <w:tc>
          <w:tcPr>
            <w:tcW w:w="1945" w:type="dxa"/>
            <w:noWrap w:val="0"/>
            <w:vAlign w:val="top"/>
          </w:tcPr>
          <w:p w14:paraId="0C3B0B9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0E16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09874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461" w:type="dxa"/>
            <w:noWrap w:val="0"/>
            <w:vAlign w:val="top"/>
          </w:tcPr>
          <w:p w14:paraId="40FAD89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分体式小口径水表</w:t>
            </w:r>
          </w:p>
        </w:tc>
        <w:tc>
          <w:tcPr>
            <w:tcW w:w="1945" w:type="dxa"/>
            <w:noWrap w:val="0"/>
            <w:vAlign w:val="top"/>
          </w:tcPr>
          <w:p w14:paraId="64CA51C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7B23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286CE9D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461" w:type="dxa"/>
            <w:noWrap w:val="0"/>
            <w:vAlign w:val="top"/>
          </w:tcPr>
          <w:p w14:paraId="3284B59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分体式大口径水表</w:t>
            </w:r>
          </w:p>
        </w:tc>
        <w:tc>
          <w:tcPr>
            <w:tcW w:w="1945" w:type="dxa"/>
            <w:noWrap w:val="0"/>
            <w:vAlign w:val="top"/>
          </w:tcPr>
          <w:p w14:paraId="5B2BD27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3AB0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05F4E46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461" w:type="dxa"/>
            <w:noWrap w:val="0"/>
            <w:vAlign w:val="top"/>
          </w:tcPr>
          <w:p w14:paraId="7B36662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分体式远传终端（采集智能水表）</w:t>
            </w:r>
          </w:p>
        </w:tc>
        <w:tc>
          <w:tcPr>
            <w:tcW w:w="1945" w:type="dxa"/>
            <w:noWrap w:val="0"/>
            <w:vAlign w:val="top"/>
          </w:tcPr>
          <w:p w14:paraId="10125E6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r w14:paraId="4CFF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61921EB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461" w:type="dxa"/>
            <w:noWrap w:val="0"/>
            <w:vAlign w:val="top"/>
          </w:tcPr>
          <w:p w14:paraId="5D37A97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一体式中口径水表</w:t>
            </w:r>
          </w:p>
        </w:tc>
        <w:tc>
          <w:tcPr>
            <w:tcW w:w="1945" w:type="dxa"/>
            <w:noWrap w:val="0"/>
            <w:vAlign w:val="top"/>
          </w:tcPr>
          <w:p w14:paraId="2B27C07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56A18154">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B</w:t>
      </w:r>
    </w:p>
    <w:p w14:paraId="6EFDE02C">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故障代码编排规范</w:t>
      </w:r>
      <w:r>
        <w:rPr>
          <w:rFonts w:hint="eastAsia" w:ascii="宋体" w:hAnsi="宋体" w:eastAsia="宋体" w:cs="宋体"/>
          <w:b w:val="0"/>
          <w:bCs w:val="0"/>
          <w:color w:val="auto"/>
          <w:sz w:val="21"/>
          <w:szCs w:val="21"/>
          <w:highlight w:val="none"/>
        </w:rPr>
        <w:t>）</w:t>
      </w:r>
    </w:p>
    <w:p w14:paraId="4B1D137D">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420" w:firstLineChars="20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每种故障对应以下故障代码表中的一个比特位（Bit）,存在故障则该位置1，否则置0。</w:t>
      </w:r>
    </w:p>
    <w:p w14:paraId="33886356">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drawing>
          <wp:inline distT="0" distB="0" distL="114300" distR="114300">
            <wp:extent cx="5630545" cy="664210"/>
            <wp:effectExtent l="0" t="0" r="8255" b="2540"/>
            <wp:docPr id="20" name="图片 2"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ZB5$%8IU%ZB`O~JC2UA0ZX"/>
                    <pic:cNvPicPr>
                      <a:picLocks noChangeAspect="1"/>
                    </pic:cNvPicPr>
                  </pic:nvPicPr>
                  <pic:blipFill>
                    <a:blip r:embed="rId12"/>
                    <a:stretch>
                      <a:fillRect/>
                    </a:stretch>
                  </pic:blipFill>
                  <pic:spPr>
                    <a:xfrm>
                      <a:off x="0" y="0"/>
                      <a:ext cx="5630545" cy="664210"/>
                    </a:xfrm>
                    <a:prstGeom prst="rect">
                      <a:avLst/>
                    </a:prstGeom>
                    <a:noFill/>
                    <a:ln>
                      <a:noFill/>
                    </a:ln>
                  </pic:spPr>
                </pic:pic>
              </a:graphicData>
            </a:graphic>
          </wp:inline>
        </w:drawing>
      </w:r>
    </w:p>
    <w:p w14:paraId="46D7BB9F">
      <w:pPr>
        <w:pStyle w:val="37"/>
        <w:keepNext w:val="0"/>
        <w:keepLines w:val="0"/>
        <w:pageBreakBefore w:val="0"/>
        <w:kinsoku/>
        <w:wordWrap/>
        <w:overflowPunct/>
        <w:topLinePunct w:val="0"/>
        <w:bidi w:val="0"/>
        <w:adjustRightInd w:val="0"/>
        <w:snapToGrid w:val="0"/>
        <w:spacing w:beforeAutospacing="0" w:after="0" w:line="360" w:lineRule="auto"/>
        <w:ind w:left="300" w:right="0" w:firstLine="0" w:firstLineChars="0"/>
        <w:jc w:val="center"/>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故障代码位序示意图（共64个位，对应编码中的bit0至bit63）</w:t>
      </w:r>
    </w:p>
    <w:p w14:paraId="4656CEE8">
      <w:pPr>
        <w:pStyle w:val="37"/>
        <w:keepNext w:val="0"/>
        <w:keepLines w:val="0"/>
        <w:pageBreakBefore w:val="0"/>
        <w:kinsoku/>
        <w:wordWrap/>
        <w:overflowPunct/>
        <w:topLinePunct w:val="0"/>
        <w:bidi w:val="0"/>
        <w:adjustRightInd w:val="0"/>
        <w:snapToGrid w:val="0"/>
        <w:spacing w:beforeAutospacing="0" w:after="0" w:line="360" w:lineRule="auto"/>
        <w:ind w:left="300" w:right="0" w:firstLine="0" w:firstLineChars="0"/>
        <w:jc w:val="center"/>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故障代码表（位号1对应下位机编程中下标为0的Bit0）：</w:t>
      </w:r>
    </w:p>
    <w:tbl>
      <w:tblPr>
        <w:tblStyle w:val="39"/>
        <w:tblW w:w="4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267"/>
        <w:gridCol w:w="6901"/>
      </w:tblGrid>
      <w:tr w14:paraId="2800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noWrap w:val="0"/>
            <w:vAlign w:val="center"/>
          </w:tcPr>
          <w:p w14:paraId="13BC802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字节号</w:t>
            </w:r>
          </w:p>
        </w:tc>
        <w:tc>
          <w:tcPr>
            <w:tcW w:w="664" w:type="pct"/>
            <w:noWrap w:val="0"/>
            <w:vAlign w:val="center"/>
          </w:tcPr>
          <w:p w14:paraId="6B06CEF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位号</w:t>
            </w:r>
          </w:p>
        </w:tc>
        <w:tc>
          <w:tcPr>
            <w:tcW w:w="3617" w:type="pct"/>
            <w:noWrap w:val="0"/>
            <w:vAlign w:val="center"/>
          </w:tcPr>
          <w:p w14:paraId="1266ACB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p>
        </w:tc>
      </w:tr>
      <w:tr w14:paraId="7A5B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14:paraId="4DFBED2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64" w:type="pct"/>
            <w:noWrap w:val="0"/>
            <w:vAlign w:val="center"/>
          </w:tcPr>
          <w:p w14:paraId="246A186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617" w:type="pct"/>
            <w:noWrap w:val="0"/>
            <w:vAlign w:val="center"/>
          </w:tcPr>
          <w:p w14:paraId="544F3D4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反向报警</w:t>
            </w:r>
          </w:p>
        </w:tc>
      </w:tr>
      <w:tr w14:paraId="2CB3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6F159AC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F0242D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617" w:type="pct"/>
            <w:noWrap w:val="0"/>
            <w:vAlign w:val="center"/>
          </w:tcPr>
          <w:p w14:paraId="4C655A6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流量过载报警</w:t>
            </w:r>
          </w:p>
        </w:tc>
      </w:tr>
      <w:tr w14:paraId="6F2A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1DB6065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1F7BAE4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617" w:type="pct"/>
            <w:noWrap w:val="0"/>
            <w:vAlign w:val="center"/>
          </w:tcPr>
          <w:p w14:paraId="55A3CCB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流量上限报警</w:t>
            </w:r>
          </w:p>
        </w:tc>
      </w:tr>
      <w:tr w14:paraId="11B4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12CAA28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1ADC57E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617" w:type="pct"/>
            <w:noWrap w:val="0"/>
            <w:vAlign w:val="center"/>
          </w:tcPr>
          <w:p w14:paraId="0BBBAAA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流量下限报警</w:t>
            </w:r>
          </w:p>
        </w:tc>
      </w:tr>
      <w:tr w14:paraId="28F6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6F20462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3559289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617" w:type="pct"/>
            <w:noWrap w:val="0"/>
            <w:vAlign w:val="center"/>
          </w:tcPr>
          <w:p w14:paraId="7CDD925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流量限制报警</w:t>
            </w:r>
          </w:p>
        </w:tc>
      </w:tr>
      <w:tr w14:paraId="2169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7DF009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19815A2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617" w:type="pct"/>
            <w:noWrap w:val="0"/>
            <w:vAlign w:val="center"/>
          </w:tcPr>
          <w:p w14:paraId="2B210C0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总量报警</w:t>
            </w:r>
          </w:p>
        </w:tc>
      </w:tr>
      <w:tr w14:paraId="7FDA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32DD7E3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522FEC0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617" w:type="pct"/>
            <w:noWrap w:val="0"/>
            <w:vAlign w:val="center"/>
          </w:tcPr>
          <w:p w14:paraId="3A1D905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低电预警</w:t>
            </w:r>
          </w:p>
        </w:tc>
      </w:tr>
      <w:tr w14:paraId="2771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36DA4CA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AC35B5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617" w:type="pct"/>
            <w:noWrap w:val="0"/>
            <w:vAlign w:val="center"/>
          </w:tcPr>
          <w:p w14:paraId="597BAA2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低电报警</w:t>
            </w:r>
          </w:p>
        </w:tc>
      </w:tr>
      <w:tr w14:paraId="0A5F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14:paraId="3638AD6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4" w:type="pct"/>
            <w:noWrap w:val="0"/>
            <w:vAlign w:val="center"/>
          </w:tcPr>
          <w:p w14:paraId="7B61357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617" w:type="pct"/>
            <w:noWrap w:val="0"/>
            <w:vAlign w:val="center"/>
          </w:tcPr>
          <w:p w14:paraId="1374440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电源报警</w:t>
            </w:r>
          </w:p>
        </w:tc>
      </w:tr>
      <w:tr w14:paraId="08BC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74A0C1A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03DF767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617" w:type="pct"/>
            <w:noWrap w:val="0"/>
            <w:vAlign w:val="center"/>
          </w:tcPr>
          <w:p w14:paraId="7ACD03B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电源故障</w:t>
            </w:r>
          </w:p>
        </w:tc>
      </w:tr>
      <w:tr w14:paraId="25ED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7B995AD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70575DD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617" w:type="pct"/>
            <w:noWrap w:val="0"/>
            <w:vAlign w:val="center"/>
          </w:tcPr>
          <w:p w14:paraId="7493017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电极偏差报警</w:t>
            </w:r>
          </w:p>
        </w:tc>
      </w:tr>
      <w:tr w14:paraId="4A48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CCA65A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993536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3617" w:type="pct"/>
            <w:noWrap w:val="0"/>
            <w:vAlign w:val="center"/>
          </w:tcPr>
          <w:p w14:paraId="14AA827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高直流电压（报警）</w:t>
            </w:r>
          </w:p>
        </w:tc>
      </w:tr>
      <w:tr w14:paraId="5E26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3DC2CA9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532B2FE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3617" w:type="pct"/>
            <w:noWrap w:val="0"/>
            <w:vAlign w:val="center"/>
          </w:tcPr>
          <w:p w14:paraId="59CDB81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高直流电压（电池电源）</w:t>
            </w:r>
          </w:p>
        </w:tc>
      </w:tr>
      <w:tr w14:paraId="0720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33006DD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5A10886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3617" w:type="pct"/>
            <w:noWrap w:val="0"/>
            <w:vAlign w:val="center"/>
          </w:tcPr>
          <w:p w14:paraId="07DD07C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高直流电压（任何电源类型）</w:t>
            </w:r>
          </w:p>
        </w:tc>
      </w:tr>
      <w:tr w14:paraId="680F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687F32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675C67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617" w:type="pct"/>
            <w:noWrap w:val="0"/>
            <w:vAlign w:val="center"/>
          </w:tcPr>
          <w:p w14:paraId="6F1FDD6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线圈电流错误</w:t>
            </w:r>
          </w:p>
        </w:tc>
      </w:tr>
      <w:tr w14:paraId="78B6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FEC80F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019E3E3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617" w:type="pct"/>
            <w:noWrap w:val="0"/>
            <w:vAlign w:val="center"/>
          </w:tcPr>
          <w:p w14:paraId="4B1DC00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外部电池故障</w:t>
            </w:r>
          </w:p>
        </w:tc>
      </w:tr>
      <w:tr w14:paraId="0744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14:paraId="1DDEA1F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664" w:type="pct"/>
            <w:noWrap w:val="0"/>
            <w:vAlign w:val="center"/>
          </w:tcPr>
          <w:p w14:paraId="52C6E7C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3617" w:type="pct"/>
            <w:noWrap w:val="0"/>
            <w:vAlign w:val="center"/>
          </w:tcPr>
          <w:p w14:paraId="1873FB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测温探头短路</w:t>
            </w:r>
          </w:p>
        </w:tc>
      </w:tr>
      <w:tr w14:paraId="6213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1F67730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5C2CD11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617" w:type="pct"/>
            <w:noWrap w:val="0"/>
            <w:vAlign w:val="center"/>
          </w:tcPr>
          <w:p w14:paraId="09FBA43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测温探头断路</w:t>
            </w:r>
          </w:p>
        </w:tc>
      </w:tr>
      <w:tr w14:paraId="1F70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6282747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03B025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3617" w:type="pct"/>
            <w:noWrap w:val="0"/>
            <w:vAlign w:val="center"/>
          </w:tcPr>
          <w:p w14:paraId="0DA6F76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水温超范围</w:t>
            </w:r>
          </w:p>
        </w:tc>
      </w:tr>
      <w:tr w14:paraId="0C86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97742D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4891956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3617" w:type="pct"/>
            <w:noWrap w:val="0"/>
            <w:vAlign w:val="center"/>
          </w:tcPr>
          <w:p w14:paraId="0597D84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信号强度不稳定</w:t>
            </w:r>
          </w:p>
        </w:tc>
      </w:tr>
      <w:tr w14:paraId="2DF4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60AFE80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195AC90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3617" w:type="pct"/>
            <w:noWrap w:val="0"/>
            <w:vAlign w:val="center"/>
          </w:tcPr>
          <w:p w14:paraId="15FB24C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信号强度过弱</w:t>
            </w:r>
          </w:p>
        </w:tc>
      </w:tr>
      <w:tr w14:paraId="0049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7E16FB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708825D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3617" w:type="pct"/>
            <w:noWrap w:val="0"/>
            <w:vAlign w:val="center"/>
          </w:tcPr>
          <w:p w14:paraId="4C20C7A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信号强度较强</w:t>
            </w:r>
          </w:p>
        </w:tc>
      </w:tr>
      <w:tr w14:paraId="6B3F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B8E3F8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0F6CC00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3617" w:type="pct"/>
            <w:noWrap w:val="0"/>
            <w:vAlign w:val="center"/>
          </w:tcPr>
          <w:p w14:paraId="366FE65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增益报警</w:t>
            </w:r>
          </w:p>
        </w:tc>
      </w:tr>
      <w:tr w14:paraId="6421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46B9C32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66987A2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3617" w:type="pct"/>
            <w:noWrap w:val="0"/>
            <w:vAlign w:val="center"/>
          </w:tcPr>
          <w:p w14:paraId="1A83D1C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E2PROM损坏</w:t>
            </w:r>
          </w:p>
        </w:tc>
      </w:tr>
      <w:tr w14:paraId="2373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14:paraId="4639E14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64" w:type="pct"/>
            <w:noWrap w:val="0"/>
            <w:vAlign w:val="center"/>
          </w:tcPr>
          <w:p w14:paraId="7F80A6E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3617" w:type="pct"/>
            <w:noWrap w:val="0"/>
            <w:vAlign w:val="center"/>
          </w:tcPr>
          <w:p w14:paraId="008654A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坏/电路板异常</w:t>
            </w:r>
          </w:p>
        </w:tc>
      </w:tr>
      <w:tr w14:paraId="7212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79EE88A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FDBDA9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3617" w:type="pct"/>
            <w:noWrap w:val="0"/>
            <w:vAlign w:val="center"/>
          </w:tcPr>
          <w:p w14:paraId="0F1AB53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换能器故障</w:t>
            </w:r>
          </w:p>
        </w:tc>
      </w:tr>
      <w:tr w14:paraId="592C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C707BF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51A625E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3617" w:type="pct"/>
            <w:noWrap w:val="0"/>
            <w:vAlign w:val="center"/>
          </w:tcPr>
          <w:p w14:paraId="4B43E3C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空管报警</w:t>
            </w:r>
          </w:p>
        </w:tc>
      </w:tr>
      <w:tr w14:paraId="4DA1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7CC16F5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3C13A07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3617" w:type="pct"/>
            <w:noWrap w:val="0"/>
            <w:vAlign w:val="center"/>
          </w:tcPr>
          <w:p w14:paraId="23F775F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低阻抗报警</w:t>
            </w:r>
          </w:p>
        </w:tc>
      </w:tr>
      <w:tr w14:paraId="28EF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3123252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7C8CD83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3617" w:type="pct"/>
            <w:noWrap w:val="0"/>
            <w:vAlign w:val="center"/>
          </w:tcPr>
          <w:p w14:paraId="3C036F7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泄漏报警</w:t>
            </w:r>
          </w:p>
        </w:tc>
      </w:tr>
      <w:tr w14:paraId="7EBF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99D03F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7C9FD98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3617" w:type="pct"/>
            <w:noWrap w:val="0"/>
            <w:vAlign w:val="center"/>
          </w:tcPr>
          <w:p w14:paraId="33F3991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压力测量故障</w:t>
            </w:r>
          </w:p>
        </w:tc>
      </w:tr>
      <w:tr w14:paraId="05B5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15E8631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502B7A4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3617" w:type="pct"/>
            <w:noWrap w:val="0"/>
            <w:vAlign w:val="center"/>
          </w:tcPr>
          <w:p w14:paraId="44FD8CF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GPS定位故障</w:t>
            </w:r>
          </w:p>
        </w:tc>
      </w:tr>
      <w:tr w14:paraId="0673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4EE378E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42FAF14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3617" w:type="pct"/>
            <w:noWrap w:val="0"/>
            <w:vAlign w:val="center"/>
          </w:tcPr>
          <w:p w14:paraId="3314AC7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水表通信故障</w:t>
            </w:r>
          </w:p>
        </w:tc>
      </w:tr>
      <w:tr w14:paraId="195E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14:paraId="14F8518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664" w:type="pct"/>
            <w:noWrap w:val="0"/>
            <w:vAlign w:val="center"/>
          </w:tcPr>
          <w:p w14:paraId="032C5A7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3617" w:type="pct"/>
            <w:noWrap w:val="0"/>
            <w:vAlign w:val="center"/>
          </w:tcPr>
          <w:p w14:paraId="256BE7C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ABB内部报警</w:t>
            </w:r>
          </w:p>
        </w:tc>
      </w:tr>
      <w:tr w14:paraId="0E30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34F939C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520816C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3617" w:type="pct"/>
            <w:noWrap w:val="0"/>
            <w:vAlign w:val="center"/>
          </w:tcPr>
          <w:p w14:paraId="02CB557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MID（只读）开关</w:t>
            </w:r>
          </w:p>
        </w:tc>
      </w:tr>
      <w:tr w14:paraId="1B94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4C0B959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39AA95D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3617" w:type="pct"/>
            <w:noWrap w:val="0"/>
            <w:vAlign w:val="center"/>
          </w:tcPr>
          <w:p w14:paraId="50AFD09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传感器常见故障</w:t>
            </w:r>
          </w:p>
        </w:tc>
      </w:tr>
      <w:tr w14:paraId="39CD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991E0C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00C659E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3617" w:type="pct"/>
            <w:noWrap w:val="0"/>
            <w:vAlign w:val="center"/>
          </w:tcPr>
          <w:p w14:paraId="6A6D8AC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传感器和换能器之间通讯故障</w:t>
            </w:r>
          </w:p>
        </w:tc>
      </w:tr>
      <w:tr w14:paraId="6903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49CCC53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A64CB8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3617" w:type="pct"/>
            <w:noWrap w:val="0"/>
            <w:vAlign w:val="center"/>
          </w:tcPr>
          <w:p w14:paraId="772B2FE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绝缘错误</w:t>
            </w:r>
          </w:p>
        </w:tc>
      </w:tr>
      <w:tr w14:paraId="16F0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163A9F0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5271ED3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3617" w:type="pct"/>
            <w:noWrap w:val="0"/>
            <w:vAlign w:val="center"/>
          </w:tcPr>
          <w:p w14:paraId="5102698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励磁报警</w:t>
            </w:r>
          </w:p>
        </w:tc>
      </w:tr>
      <w:tr w14:paraId="3CA1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AE2CEF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151409F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3617" w:type="pct"/>
            <w:noWrap w:val="0"/>
            <w:vAlign w:val="center"/>
          </w:tcPr>
          <w:p w14:paraId="29D7448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励磁线圈断开报警</w:t>
            </w:r>
          </w:p>
        </w:tc>
      </w:tr>
      <w:tr w14:paraId="5C98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5F04149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446253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3617" w:type="pct"/>
            <w:noWrap w:val="0"/>
            <w:vAlign w:val="center"/>
          </w:tcPr>
          <w:p w14:paraId="46DAC99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脉冲过载报警</w:t>
            </w:r>
          </w:p>
        </w:tc>
      </w:tr>
      <w:tr w14:paraId="7B9C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14:paraId="4E576BB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664" w:type="pct"/>
            <w:noWrap w:val="0"/>
            <w:vAlign w:val="center"/>
          </w:tcPr>
          <w:p w14:paraId="42206E0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3617" w:type="pct"/>
            <w:noWrap w:val="0"/>
            <w:vAlign w:val="center"/>
          </w:tcPr>
          <w:p w14:paraId="20DC60D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前置放大器过载</w:t>
            </w:r>
          </w:p>
        </w:tc>
      </w:tr>
      <w:tr w14:paraId="38E3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89DAB1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3AF7D92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3617" w:type="pct"/>
            <w:noWrap w:val="0"/>
            <w:vAlign w:val="center"/>
          </w:tcPr>
          <w:p w14:paraId="15EE351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声波接收超时</w:t>
            </w:r>
          </w:p>
        </w:tc>
      </w:tr>
      <w:tr w14:paraId="1318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F4E108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4D76041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3617" w:type="pct"/>
            <w:noWrap w:val="0"/>
            <w:vAlign w:val="center"/>
          </w:tcPr>
          <w:p w14:paraId="4A09DEF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输出脉冲溢出报警</w:t>
            </w:r>
          </w:p>
        </w:tc>
      </w:tr>
      <w:tr w14:paraId="096C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FF1F6D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4FDDDCF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3617" w:type="pct"/>
            <w:noWrap w:val="0"/>
            <w:vAlign w:val="center"/>
          </w:tcPr>
          <w:p w14:paraId="57D5341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数据库校验和错误</w:t>
            </w:r>
          </w:p>
        </w:tc>
      </w:tr>
      <w:tr w14:paraId="271F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4BA0064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754A4BA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3617" w:type="pct"/>
            <w:noWrap w:val="0"/>
            <w:vAlign w:val="center"/>
          </w:tcPr>
          <w:p w14:paraId="265D24C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未连接传感器</w:t>
            </w:r>
          </w:p>
        </w:tc>
      </w:tr>
      <w:tr w14:paraId="46CD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6E429A5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45F7402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3617" w:type="pct"/>
            <w:noWrap w:val="0"/>
            <w:vAlign w:val="center"/>
          </w:tcPr>
          <w:p w14:paraId="37B7C07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未连接线圈</w:t>
            </w:r>
          </w:p>
        </w:tc>
      </w:tr>
      <w:tr w14:paraId="0314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948FE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1978331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3617" w:type="pct"/>
            <w:noWrap w:val="0"/>
            <w:vAlign w:val="center"/>
          </w:tcPr>
          <w:p w14:paraId="00D5912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系统报警</w:t>
            </w:r>
          </w:p>
        </w:tc>
      </w:tr>
      <w:tr w14:paraId="73AF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738FD71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71CE887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3617" w:type="pct"/>
            <w:noWrap w:val="0"/>
            <w:vAlign w:val="center"/>
          </w:tcPr>
          <w:p w14:paraId="43DB9F4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消费间隔报警</w:t>
            </w:r>
          </w:p>
        </w:tc>
      </w:tr>
      <w:tr w14:paraId="7A40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14:paraId="376441A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664" w:type="pct"/>
            <w:noWrap w:val="0"/>
            <w:vAlign w:val="center"/>
          </w:tcPr>
          <w:p w14:paraId="1C2CA07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3617" w:type="pct"/>
            <w:noWrap w:val="0"/>
            <w:vAlign w:val="center"/>
          </w:tcPr>
          <w:p w14:paraId="7F1B577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信号捕获</w:t>
            </w:r>
          </w:p>
        </w:tc>
      </w:tr>
      <w:tr w14:paraId="0B9C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A70C73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7E675EB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3617" w:type="pct"/>
            <w:noWrap w:val="0"/>
            <w:vAlign w:val="center"/>
          </w:tcPr>
          <w:p w14:paraId="7D6015E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RTU与水表通信故障（485通信故障）</w:t>
            </w:r>
          </w:p>
        </w:tc>
      </w:tr>
      <w:tr w14:paraId="005C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4982E97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00FF442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3617" w:type="pct"/>
            <w:noWrap w:val="0"/>
            <w:vAlign w:val="center"/>
          </w:tcPr>
          <w:p w14:paraId="7987A0B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磁干扰报警</w:t>
            </w:r>
          </w:p>
        </w:tc>
      </w:tr>
      <w:tr w14:paraId="41CE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74695C4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4BC0DD8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3617" w:type="pct"/>
            <w:noWrap w:val="0"/>
            <w:vAlign w:val="center"/>
          </w:tcPr>
          <w:p w14:paraId="5D0CD0B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电子模块分离报警</w:t>
            </w:r>
          </w:p>
        </w:tc>
      </w:tr>
      <w:tr w14:paraId="4EDC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E7F5C4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FEEF9F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3617" w:type="pct"/>
            <w:noWrap w:val="0"/>
            <w:vAlign w:val="center"/>
          </w:tcPr>
          <w:p w14:paraId="12C1C98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拆盖报警</w:t>
            </w:r>
          </w:p>
        </w:tc>
      </w:tr>
      <w:tr w14:paraId="71E0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5E17286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42AF7FB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3617" w:type="pct"/>
            <w:noWrap w:val="0"/>
            <w:vAlign w:val="center"/>
          </w:tcPr>
          <w:p w14:paraId="7B912B2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更换电池报警</w:t>
            </w:r>
          </w:p>
        </w:tc>
      </w:tr>
      <w:tr w14:paraId="310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8363EE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6968E38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3617" w:type="pct"/>
            <w:noWrap w:val="0"/>
            <w:vAlign w:val="center"/>
          </w:tcPr>
          <w:p w14:paraId="314F401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14:paraId="5D71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3E6287C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0D51217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3617" w:type="pct"/>
            <w:noWrap w:val="0"/>
            <w:vAlign w:val="center"/>
          </w:tcPr>
          <w:p w14:paraId="1723B4F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14:paraId="4AA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restart"/>
            <w:noWrap w:val="0"/>
            <w:vAlign w:val="center"/>
          </w:tcPr>
          <w:p w14:paraId="7CF1523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664" w:type="pct"/>
            <w:noWrap w:val="0"/>
            <w:vAlign w:val="center"/>
          </w:tcPr>
          <w:p w14:paraId="207F75F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3617" w:type="pct"/>
            <w:noWrap w:val="0"/>
            <w:vAlign w:val="center"/>
          </w:tcPr>
          <w:p w14:paraId="08C6053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14:paraId="534F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4D56571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905C37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3617" w:type="pct"/>
            <w:noWrap w:val="0"/>
            <w:vAlign w:val="center"/>
          </w:tcPr>
          <w:p w14:paraId="16FDBC2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14:paraId="14E9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79B980E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5B8EC46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3617" w:type="pct"/>
            <w:noWrap w:val="0"/>
            <w:vAlign w:val="center"/>
          </w:tcPr>
          <w:p w14:paraId="71083C2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14:paraId="4793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4BEA772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D4595B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3617" w:type="pct"/>
            <w:noWrap w:val="0"/>
            <w:vAlign w:val="center"/>
          </w:tcPr>
          <w:p w14:paraId="1AFD4FB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14:paraId="3B64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9C2AB6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24ABF59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3617" w:type="pct"/>
            <w:noWrap w:val="0"/>
            <w:vAlign w:val="center"/>
          </w:tcPr>
          <w:p w14:paraId="4CB6B41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14:paraId="5705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7479C63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3D43B79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3617" w:type="pct"/>
            <w:noWrap w:val="0"/>
            <w:vAlign w:val="center"/>
          </w:tcPr>
          <w:p w14:paraId="1BCB26F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14:paraId="6668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08B1367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7687F93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3617" w:type="pct"/>
            <w:noWrap w:val="0"/>
            <w:vAlign w:val="center"/>
          </w:tcPr>
          <w:p w14:paraId="0D90399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r w14:paraId="5590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pct"/>
            <w:vMerge w:val="continue"/>
            <w:noWrap w:val="0"/>
            <w:vAlign w:val="center"/>
          </w:tcPr>
          <w:p w14:paraId="245730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64" w:type="pct"/>
            <w:noWrap w:val="0"/>
            <w:vAlign w:val="center"/>
          </w:tcPr>
          <w:p w14:paraId="7B38D7C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3617" w:type="pct"/>
            <w:noWrap w:val="0"/>
            <w:vAlign w:val="center"/>
          </w:tcPr>
          <w:p w14:paraId="74BDF74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预留</w:t>
            </w:r>
          </w:p>
        </w:tc>
      </w:tr>
    </w:tbl>
    <w:p w14:paraId="66F36379">
      <w:pPr>
        <w:pStyle w:val="211"/>
        <w:keepNext w:val="0"/>
        <w:keepLines w:val="0"/>
        <w:pageBreakBefore w:val="0"/>
        <w:widowControl w:val="0"/>
        <w:kinsoku/>
        <w:wordWrap/>
        <w:overflowPunct/>
        <w:topLinePunct w:val="0"/>
        <w:autoSpaceDE/>
        <w:autoSpaceDN/>
        <w:bidi w:val="0"/>
        <w:adjustRightInd w:val="0"/>
        <w:snapToGrid w:val="0"/>
        <w:spacing w:before="0" w:beforeAutospacing="0" w:line="360" w:lineRule="auto"/>
        <w:ind w:right="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C</w:t>
      </w:r>
    </w:p>
    <w:p w14:paraId="1874E8F0">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仪表数据说明</w:t>
      </w:r>
      <w:r>
        <w:rPr>
          <w:rFonts w:hint="eastAsia" w:ascii="宋体" w:hAnsi="宋体" w:eastAsia="宋体" w:cs="宋体"/>
          <w:b w:val="0"/>
          <w:bCs w:val="0"/>
          <w:color w:val="auto"/>
          <w:sz w:val="21"/>
          <w:szCs w:val="21"/>
          <w:highlight w:val="none"/>
        </w:rPr>
        <w:t>）</w:t>
      </w:r>
    </w:p>
    <w:tbl>
      <w:tblPr>
        <w:tblStyle w:val="3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60"/>
        <w:gridCol w:w="1870"/>
        <w:gridCol w:w="1720"/>
        <w:gridCol w:w="1740"/>
        <w:gridCol w:w="1663"/>
      </w:tblGrid>
      <w:tr w14:paraId="5D65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noWrap w:val="0"/>
            <w:vAlign w:val="center"/>
          </w:tcPr>
          <w:p w14:paraId="4E14128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32DCAF5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数据段代码（TAG）</w:t>
            </w:r>
          </w:p>
        </w:tc>
        <w:tc>
          <w:tcPr>
            <w:tcW w:w="1870" w:type="dxa"/>
            <w:noWrap w:val="0"/>
            <w:vAlign w:val="center"/>
          </w:tcPr>
          <w:p w14:paraId="66C2275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含义</w:t>
            </w:r>
          </w:p>
        </w:tc>
        <w:tc>
          <w:tcPr>
            <w:tcW w:w="1720" w:type="dxa"/>
            <w:noWrap w:val="0"/>
            <w:vAlign w:val="center"/>
          </w:tcPr>
          <w:p w14:paraId="2FEE219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第一时段数据(VALUE)</w:t>
            </w:r>
          </w:p>
        </w:tc>
        <w:tc>
          <w:tcPr>
            <w:tcW w:w="1740" w:type="dxa"/>
            <w:noWrap w:val="0"/>
            <w:vAlign w:val="center"/>
          </w:tcPr>
          <w:p w14:paraId="739DFA4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663" w:type="dxa"/>
            <w:noWrap w:val="0"/>
            <w:vAlign w:val="center"/>
          </w:tcPr>
          <w:p w14:paraId="64BF658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第N时段数据</w:t>
            </w:r>
          </w:p>
        </w:tc>
      </w:tr>
      <w:tr w14:paraId="26AA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restart"/>
            <w:noWrap w:val="0"/>
            <w:vAlign w:val="center"/>
          </w:tcPr>
          <w:p w14:paraId="010548A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79BBFF4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20H</w:t>
            </w:r>
          </w:p>
        </w:tc>
        <w:tc>
          <w:tcPr>
            <w:tcW w:w="1870" w:type="dxa"/>
            <w:noWrap w:val="0"/>
            <w:vAlign w:val="center"/>
          </w:tcPr>
          <w:p w14:paraId="57D75AD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正向瞬时流量（单位：立方米/小时）</w:t>
            </w:r>
          </w:p>
        </w:tc>
        <w:tc>
          <w:tcPr>
            <w:tcW w:w="1720" w:type="dxa"/>
            <w:noWrap w:val="0"/>
            <w:vAlign w:val="center"/>
          </w:tcPr>
          <w:p w14:paraId="34BDD44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14:paraId="4EA5FD5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14:paraId="1DD60AF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14:paraId="34A5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4C35BB6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673ADCC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21H</w:t>
            </w:r>
          </w:p>
        </w:tc>
        <w:tc>
          <w:tcPr>
            <w:tcW w:w="1870" w:type="dxa"/>
            <w:noWrap w:val="0"/>
            <w:vAlign w:val="center"/>
          </w:tcPr>
          <w:p w14:paraId="1CAA80C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反向瞬时流量（单位：立方米/小时）</w:t>
            </w:r>
          </w:p>
        </w:tc>
        <w:tc>
          <w:tcPr>
            <w:tcW w:w="1720" w:type="dxa"/>
            <w:noWrap w:val="0"/>
            <w:vAlign w:val="center"/>
          </w:tcPr>
          <w:p w14:paraId="2A7729E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14:paraId="486A017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14:paraId="4AB681A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14:paraId="5861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139308F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6478B2E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22H</w:t>
            </w:r>
          </w:p>
        </w:tc>
        <w:tc>
          <w:tcPr>
            <w:tcW w:w="1870" w:type="dxa"/>
            <w:noWrap w:val="0"/>
            <w:vAlign w:val="center"/>
          </w:tcPr>
          <w:p w14:paraId="775A6EB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正向累计行度（单位：立方米）</w:t>
            </w:r>
          </w:p>
        </w:tc>
        <w:tc>
          <w:tcPr>
            <w:tcW w:w="1720" w:type="dxa"/>
            <w:noWrap w:val="0"/>
            <w:vAlign w:val="center"/>
          </w:tcPr>
          <w:p w14:paraId="7D5D3CF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740" w:type="dxa"/>
            <w:noWrap w:val="0"/>
            <w:vAlign w:val="center"/>
          </w:tcPr>
          <w:p w14:paraId="69FEBDB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c>
          <w:tcPr>
            <w:tcW w:w="1663" w:type="dxa"/>
            <w:noWrap w:val="0"/>
            <w:vAlign w:val="center"/>
          </w:tcPr>
          <w:p w14:paraId="6741342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r>
      <w:tr w14:paraId="4C06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48CB6A6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3921B9B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23H</w:t>
            </w:r>
          </w:p>
        </w:tc>
        <w:tc>
          <w:tcPr>
            <w:tcW w:w="1870" w:type="dxa"/>
            <w:noWrap w:val="0"/>
            <w:vAlign w:val="center"/>
          </w:tcPr>
          <w:p w14:paraId="61C6370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反向累计行度（单位：立方米）</w:t>
            </w:r>
          </w:p>
        </w:tc>
        <w:tc>
          <w:tcPr>
            <w:tcW w:w="1720" w:type="dxa"/>
            <w:noWrap w:val="0"/>
            <w:vAlign w:val="center"/>
          </w:tcPr>
          <w:p w14:paraId="123E56F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740" w:type="dxa"/>
            <w:noWrap w:val="0"/>
            <w:vAlign w:val="center"/>
          </w:tcPr>
          <w:p w14:paraId="79DAE50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c>
          <w:tcPr>
            <w:tcW w:w="1663" w:type="dxa"/>
            <w:noWrap w:val="0"/>
            <w:vAlign w:val="center"/>
          </w:tcPr>
          <w:p w14:paraId="4167BBE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r>
      <w:tr w14:paraId="4627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1A1378A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3F19FEE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24H</w:t>
            </w:r>
          </w:p>
        </w:tc>
        <w:tc>
          <w:tcPr>
            <w:tcW w:w="1870" w:type="dxa"/>
            <w:noWrap w:val="0"/>
            <w:vAlign w:val="center"/>
          </w:tcPr>
          <w:p w14:paraId="5E9413A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净累计行度（单位：立方米）</w:t>
            </w:r>
          </w:p>
        </w:tc>
        <w:tc>
          <w:tcPr>
            <w:tcW w:w="1720" w:type="dxa"/>
            <w:noWrap w:val="0"/>
            <w:vAlign w:val="center"/>
          </w:tcPr>
          <w:p w14:paraId="0A753FE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740" w:type="dxa"/>
            <w:noWrap w:val="0"/>
            <w:vAlign w:val="center"/>
          </w:tcPr>
          <w:p w14:paraId="71BDD21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c>
          <w:tcPr>
            <w:tcW w:w="1663" w:type="dxa"/>
            <w:noWrap w:val="0"/>
            <w:vAlign w:val="center"/>
          </w:tcPr>
          <w:p w14:paraId="2D98079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4字节浮点数（相对上一时刻增量）</w:t>
            </w:r>
          </w:p>
        </w:tc>
      </w:tr>
      <w:tr w14:paraId="445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restart"/>
            <w:noWrap w:val="0"/>
            <w:vAlign w:val="center"/>
          </w:tcPr>
          <w:p w14:paraId="1C0C3E5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扩展数据段</w:t>
            </w:r>
          </w:p>
        </w:tc>
        <w:tc>
          <w:tcPr>
            <w:tcW w:w="1060" w:type="dxa"/>
            <w:noWrap w:val="0"/>
            <w:vAlign w:val="center"/>
          </w:tcPr>
          <w:p w14:paraId="14B3B97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30H</w:t>
            </w:r>
          </w:p>
        </w:tc>
        <w:tc>
          <w:tcPr>
            <w:tcW w:w="1870" w:type="dxa"/>
            <w:noWrap w:val="0"/>
            <w:vAlign w:val="center"/>
          </w:tcPr>
          <w:p w14:paraId="350BB1E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阀门状态</w:t>
            </w:r>
          </w:p>
        </w:tc>
        <w:tc>
          <w:tcPr>
            <w:tcW w:w="1720" w:type="dxa"/>
            <w:noWrap w:val="0"/>
            <w:vAlign w:val="center"/>
          </w:tcPr>
          <w:p w14:paraId="698A2C7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740" w:type="dxa"/>
            <w:noWrap w:val="0"/>
            <w:vAlign w:val="center"/>
          </w:tcPr>
          <w:p w14:paraId="499B7EA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663" w:type="dxa"/>
            <w:noWrap w:val="0"/>
            <w:vAlign w:val="center"/>
          </w:tcPr>
          <w:p w14:paraId="2F0DBCF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r>
      <w:tr w14:paraId="5AFA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2B318DF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440FA35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31H</w:t>
            </w:r>
          </w:p>
        </w:tc>
        <w:tc>
          <w:tcPr>
            <w:tcW w:w="1870" w:type="dxa"/>
            <w:noWrap w:val="0"/>
            <w:vAlign w:val="center"/>
          </w:tcPr>
          <w:p w14:paraId="3C58600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压力</w:t>
            </w:r>
          </w:p>
        </w:tc>
        <w:tc>
          <w:tcPr>
            <w:tcW w:w="1720" w:type="dxa"/>
            <w:noWrap w:val="0"/>
            <w:vAlign w:val="center"/>
          </w:tcPr>
          <w:p w14:paraId="784A480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14:paraId="118EA51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14:paraId="6F8FF0D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14:paraId="1BAF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09C4576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167A610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32H</w:t>
            </w:r>
          </w:p>
        </w:tc>
        <w:tc>
          <w:tcPr>
            <w:tcW w:w="1870" w:type="dxa"/>
            <w:noWrap w:val="0"/>
            <w:vAlign w:val="center"/>
          </w:tcPr>
          <w:p w14:paraId="550C5EE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电池电压（备注4）</w:t>
            </w:r>
          </w:p>
        </w:tc>
        <w:tc>
          <w:tcPr>
            <w:tcW w:w="1720" w:type="dxa"/>
            <w:noWrap w:val="0"/>
            <w:vAlign w:val="center"/>
          </w:tcPr>
          <w:p w14:paraId="4838E1B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740" w:type="dxa"/>
            <w:noWrap w:val="0"/>
            <w:vAlign w:val="center"/>
          </w:tcPr>
          <w:p w14:paraId="314F409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663" w:type="dxa"/>
            <w:noWrap w:val="0"/>
            <w:vAlign w:val="center"/>
          </w:tcPr>
          <w:p w14:paraId="7A15DCF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r>
      <w:tr w14:paraId="0381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28766C7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57DA360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33H</w:t>
            </w:r>
          </w:p>
        </w:tc>
        <w:tc>
          <w:tcPr>
            <w:tcW w:w="1870" w:type="dxa"/>
            <w:noWrap w:val="0"/>
            <w:vAlign w:val="center"/>
          </w:tcPr>
          <w:p w14:paraId="6537365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温度</w:t>
            </w:r>
          </w:p>
        </w:tc>
        <w:tc>
          <w:tcPr>
            <w:tcW w:w="1720" w:type="dxa"/>
            <w:noWrap w:val="0"/>
            <w:vAlign w:val="center"/>
          </w:tcPr>
          <w:p w14:paraId="5ACC4DA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2字节（备注1）</w:t>
            </w:r>
          </w:p>
        </w:tc>
        <w:tc>
          <w:tcPr>
            <w:tcW w:w="1740" w:type="dxa"/>
            <w:noWrap w:val="0"/>
            <w:vAlign w:val="center"/>
          </w:tcPr>
          <w:p w14:paraId="1C6D861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2字节（备注1）</w:t>
            </w:r>
          </w:p>
        </w:tc>
        <w:tc>
          <w:tcPr>
            <w:tcW w:w="1663" w:type="dxa"/>
            <w:noWrap w:val="0"/>
            <w:vAlign w:val="center"/>
          </w:tcPr>
          <w:p w14:paraId="17DAF96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2字节（备注1）</w:t>
            </w:r>
          </w:p>
        </w:tc>
      </w:tr>
      <w:tr w14:paraId="248D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7454D5C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5249450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34H</w:t>
            </w:r>
          </w:p>
        </w:tc>
        <w:tc>
          <w:tcPr>
            <w:tcW w:w="1870" w:type="dxa"/>
            <w:noWrap w:val="0"/>
            <w:vAlign w:val="center"/>
          </w:tcPr>
          <w:p w14:paraId="6E58658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信号强度</w:t>
            </w:r>
          </w:p>
        </w:tc>
        <w:tc>
          <w:tcPr>
            <w:tcW w:w="1720" w:type="dxa"/>
            <w:noWrap w:val="0"/>
            <w:vAlign w:val="center"/>
          </w:tcPr>
          <w:p w14:paraId="1CB379D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740" w:type="dxa"/>
            <w:noWrap w:val="0"/>
            <w:vAlign w:val="center"/>
          </w:tcPr>
          <w:p w14:paraId="2EA6B67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663" w:type="dxa"/>
            <w:noWrap w:val="0"/>
            <w:vAlign w:val="center"/>
          </w:tcPr>
          <w:p w14:paraId="7D53553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r>
      <w:tr w14:paraId="196E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0CBE736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10B4CF6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35H</w:t>
            </w:r>
          </w:p>
        </w:tc>
        <w:tc>
          <w:tcPr>
            <w:tcW w:w="1870" w:type="dxa"/>
            <w:noWrap w:val="0"/>
            <w:vAlign w:val="center"/>
          </w:tcPr>
          <w:p w14:paraId="12A889E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GPS经纬度（备注2）</w:t>
            </w:r>
          </w:p>
        </w:tc>
        <w:tc>
          <w:tcPr>
            <w:tcW w:w="1720" w:type="dxa"/>
            <w:noWrap w:val="0"/>
            <w:vAlign w:val="center"/>
          </w:tcPr>
          <w:p w14:paraId="1F89659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8字节浮点数（经度）+8字节浮点数（纬度）</w:t>
            </w:r>
          </w:p>
        </w:tc>
        <w:tc>
          <w:tcPr>
            <w:tcW w:w="1740" w:type="dxa"/>
            <w:noWrap w:val="0"/>
            <w:vAlign w:val="center"/>
          </w:tcPr>
          <w:p w14:paraId="4A94AE8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w:t>
            </w:r>
          </w:p>
          <w:p w14:paraId="21F3ACE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（经纬度固定只传1个时刻数）</w:t>
            </w:r>
          </w:p>
        </w:tc>
        <w:tc>
          <w:tcPr>
            <w:tcW w:w="1663" w:type="dxa"/>
            <w:noWrap w:val="0"/>
            <w:vAlign w:val="center"/>
          </w:tcPr>
          <w:p w14:paraId="15679AD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w:t>
            </w:r>
          </w:p>
          <w:p w14:paraId="36D4113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（经纬度固定只传1个时刻数）</w:t>
            </w:r>
          </w:p>
        </w:tc>
      </w:tr>
      <w:tr w14:paraId="3EF7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restart"/>
            <w:noWrap w:val="0"/>
            <w:vAlign w:val="center"/>
          </w:tcPr>
          <w:p w14:paraId="2F2D919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水质数据段</w:t>
            </w:r>
          </w:p>
        </w:tc>
        <w:tc>
          <w:tcPr>
            <w:tcW w:w="1060" w:type="dxa"/>
            <w:noWrap w:val="0"/>
            <w:vAlign w:val="center"/>
          </w:tcPr>
          <w:p w14:paraId="4C846EB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1870" w:type="dxa"/>
            <w:noWrap w:val="0"/>
            <w:vAlign w:val="center"/>
          </w:tcPr>
          <w:p w14:paraId="11A51A3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pH</w:t>
            </w:r>
          </w:p>
        </w:tc>
        <w:tc>
          <w:tcPr>
            <w:tcW w:w="1720" w:type="dxa"/>
            <w:noWrap w:val="0"/>
            <w:vAlign w:val="center"/>
          </w:tcPr>
          <w:p w14:paraId="50B875B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14:paraId="77A03CB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14:paraId="200A395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14:paraId="6E11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7FB1612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5A21FD0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1870" w:type="dxa"/>
            <w:noWrap w:val="0"/>
            <w:vAlign w:val="center"/>
          </w:tcPr>
          <w:p w14:paraId="0373AD6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浊度</w:t>
            </w:r>
          </w:p>
        </w:tc>
        <w:tc>
          <w:tcPr>
            <w:tcW w:w="1720" w:type="dxa"/>
            <w:noWrap w:val="0"/>
            <w:vAlign w:val="center"/>
          </w:tcPr>
          <w:p w14:paraId="523D9C0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14:paraId="4F5C0B1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14:paraId="1B87AEB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r w14:paraId="2AF1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14:paraId="12AC937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1060" w:type="dxa"/>
            <w:noWrap w:val="0"/>
            <w:vAlign w:val="center"/>
          </w:tcPr>
          <w:p w14:paraId="538F606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870" w:type="dxa"/>
            <w:noWrap w:val="0"/>
            <w:vAlign w:val="center"/>
          </w:tcPr>
          <w:p w14:paraId="1AE0276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余氯</w:t>
            </w:r>
          </w:p>
        </w:tc>
        <w:tc>
          <w:tcPr>
            <w:tcW w:w="1720" w:type="dxa"/>
            <w:noWrap w:val="0"/>
            <w:vAlign w:val="center"/>
          </w:tcPr>
          <w:p w14:paraId="33AFC44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740" w:type="dxa"/>
            <w:noWrap w:val="0"/>
            <w:vAlign w:val="center"/>
          </w:tcPr>
          <w:p w14:paraId="50C05CE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663" w:type="dxa"/>
            <w:noWrap w:val="0"/>
            <w:vAlign w:val="center"/>
          </w:tcPr>
          <w:p w14:paraId="2620F70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r>
    </w:tbl>
    <w:p w14:paraId="2EC2B872">
      <w:pPr>
        <w:pStyle w:val="18"/>
        <w:keepNext w:val="0"/>
        <w:keepLines w:val="0"/>
        <w:pageBreakBefore w:val="0"/>
        <w:kinsoku/>
        <w:wordWrap/>
        <w:overflowPunct/>
        <w:topLinePunct w:val="0"/>
        <w:bidi w:val="0"/>
        <w:adjustRightInd w:val="0"/>
        <w:snapToGrid w:val="0"/>
        <w:spacing w:beforeAutospacing="0" w:line="360" w:lineRule="auto"/>
        <w:ind w:right="0"/>
        <w:jc w:val="both"/>
        <w:outlineLvl w:val="9"/>
        <w:rPr>
          <w:rFonts w:hint="eastAsia" w:ascii="宋体" w:hAnsi="宋体" w:eastAsia="宋体" w:cs="宋体"/>
          <w:b w:val="0"/>
          <w:bCs w:val="0"/>
          <w:color w:val="auto"/>
          <w:sz w:val="21"/>
          <w:szCs w:val="21"/>
          <w:highlight w:val="none"/>
        </w:rPr>
      </w:pPr>
    </w:p>
    <w:p w14:paraId="25FD1774">
      <w:pPr>
        <w:pStyle w:val="18"/>
        <w:keepNext w:val="0"/>
        <w:keepLines w:val="0"/>
        <w:pageBreakBefore w:val="0"/>
        <w:kinsoku/>
        <w:wordWrap/>
        <w:overflowPunct/>
        <w:topLinePunct w:val="0"/>
        <w:bidi w:val="0"/>
        <w:adjustRightInd w:val="0"/>
        <w:snapToGrid w:val="0"/>
        <w:spacing w:beforeAutospacing="0" w:line="360" w:lineRule="auto"/>
        <w:ind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通用数据段</w:t>
      </w:r>
      <w:r>
        <w:rPr>
          <w:rFonts w:hint="eastAsia" w:ascii="宋体" w:hAnsi="宋体" w:eastAsia="宋体" w:cs="宋体"/>
          <w:b w:val="0"/>
          <w:bCs w:val="0"/>
          <w:color w:val="auto"/>
          <w:sz w:val="21"/>
          <w:szCs w:val="21"/>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161"/>
        <w:gridCol w:w="1107"/>
        <w:gridCol w:w="992"/>
        <w:gridCol w:w="1384"/>
        <w:gridCol w:w="1276"/>
        <w:gridCol w:w="1239"/>
      </w:tblGrid>
      <w:tr w14:paraId="100D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noWrap w:val="0"/>
            <w:vAlign w:val="center"/>
          </w:tcPr>
          <w:p w14:paraId="2086F51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14:paraId="52FF47B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数据段代码</w:t>
            </w:r>
          </w:p>
        </w:tc>
        <w:tc>
          <w:tcPr>
            <w:tcW w:w="1161" w:type="dxa"/>
            <w:noWrap w:val="0"/>
            <w:vAlign w:val="center"/>
          </w:tcPr>
          <w:p w14:paraId="4299E05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含义</w:t>
            </w:r>
          </w:p>
        </w:tc>
        <w:tc>
          <w:tcPr>
            <w:tcW w:w="1107" w:type="dxa"/>
            <w:noWrap w:val="0"/>
            <w:vAlign w:val="center"/>
          </w:tcPr>
          <w:p w14:paraId="6ED8C60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通道总数</w:t>
            </w:r>
          </w:p>
        </w:tc>
        <w:tc>
          <w:tcPr>
            <w:tcW w:w="992" w:type="dxa"/>
            <w:noWrap w:val="0"/>
            <w:vAlign w:val="center"/>
          </w:tcPr>
          <w:p w14:paraId="7B22572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通道号</w:t>
            </w:r>
          </w:p>
        </w:tc>
        <w:tc>
          <w:tcPr>
            <w:tcW w:w="1384" w:type="dxa"/>
            <w:noWrap w:val="0"/>
            <w:vAlign w:val="center"/>
          </w:tcPr>
          <w:p w14:paraId="4DE325D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第一时段数据</w:t>
            </w:r>
          </w:p>
        </w:tc>
        <w:tc>
          <w:tcPr>
            <w:tcW w:w="1276" w:type="dxa"/>
            <w:noWrap w:val="0"/>
            <w:vAlign w:val="center"/>
          </w:tcPr>
          <w:p w14:paraId="6E78B0B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239" w:type="dxa"/>
            <w:noWrap w:val="0"/>
            <w:vAlign w:val="center"/>
          </w:tcPr>
          <w:p w14:paraId="7E03712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第N时段数据</w:t>
            </w:r>
          </w:p>
        </w:tc>
      </w:tr>
      <w:tr w14:paraId="5B3D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restart"/>
            <w:noWrap w:val="0"/>
            <w:vAlign w:val="center"/>
          </w:tcPr>
          <w:p w14:paraId="34583B1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通用数据段</w:t>
            </w:r>
          </w:p>
        </w:tc>
        <w:tc>
          <w:tcPr>
            <w:tcW w:w="992" w:type="dxa"/>
            <w:noWrap w:val="0"/>
            <w:vAlign w:val="center"/>
          </w:tcPr>
          <w:p w14:paraId="1C91044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0AH</w:t>
            </w:r>
          </w:p>
        </w:tc>
        <w:tc>
          <w:tcPr>
            <w:tcW w:w="1161" w:type="dxa"/>
            <w:noWrap w:val="0"/>
            <w:vAlign w:val="center"/>
          </w:tcPr>
          <w:p w14:paraId="47D7F77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模拟量</w:t>
            </w:r>
          </w:p>
        </w:tc>
        <w:tc>
          <w:tcPr>
            <w:tcW w:w="1107" w:type="dxa"/>
            <w:noWrap w:val="0"/>
            <w:vAlign w:val="center"/>
          </w:tcPr>
          <w:p w14:paraId="1BE66A7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14:paraId="78C602E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14:paraId="07BAC97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276" w:type="dxa"/>
            <w:noWrap w:val="0"/>
            <w:vAlign w:val="center"/>
          </w:tcPr>
          <w:p w14:paraId="75A3DF0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c>
          <w:tcPr>
            <w:tcW w:w="1239" w:type="dxa"/>
            <w:noWrap w:val="0"/>
            <w:vAlign w:val="center"/>
          </w:tcPr>
          <w:p w14:paraId="10AB0CF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2字节</w:t>
            </w:r>
          </w:p>
        </w:tc>
      </w:tr>
      <w:tr w14:paraId="3CA7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14:paraId="631D2BF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14:paraId="50B3FBA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0BH</w:t>
            </w:r>
          </w:p>
        </w:tc>
        <w:tc>
          <w:tcPr>
            <w:tcW w:w="1161" w:type="dxa"/>
            <w:noWrap w:val="0"/>
            <w:vAlign w:val="center"/>
          </w:tcPr>
          <w:p w14:paraId="66F927A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脉冲量</w:t>
            </w:r>
          </w:p>
        </w:tc>
        <w:tc>
          <w:tcPr>
            <w:tcW w:w="1107" w:type="dxa"/>
            <w:noWrap w:val="0"/>
            <w:vAlign w:val="center"/>
          </w:tcPr>
          <w:p w14:paraId="0AAF85C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14:paraId="26C44F8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14:paraId="46C5B81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1276" w:type="dxa"/>
            <w:noWrap w:val="0"/>
            <w:vAlign w:val="center"/>
          </w:tcPr>
          <w:p w14:paraId="43EBDE4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1239" w:type="dxa"/>
            <w:noWrap w:val="0"/>
            <w:vAlign w:val="center"/>
          </w:tcPr>
          <w:p w14:paraId="5DC962F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r>
      <w:tr w14:paraId="546C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14:paraId="285EE5B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14:paraId="7A28692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0CH</w:t>
            </w:r>
          </w:p>
        </w:tc>
        <w:tc>
          <w:tcPr>
            <w:tcW w:w="1161" w:type="dxa"/>
            <w:noWrap w:val="0"/>
            <w:vAlign w:val="center"/>
          </w:tcPr>
          <w:p w14:paraId="3C1C504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开关量</w:t>
            </w:r>
          </w:p>
        </w:tc>
        <w:tc>
          <w:tcPr>
            <w:tcW w:w="1107" w:type="dxa"/>
            <w:noWrap w:val="0"/>
            <w:vAlign w:val="center"/>
          </w:tcPr>
          <w:p w14:paraId="00E347D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14:paraId="30E9430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w:t>
            </w:r>
          </w:p>
        </w:tc>
        <w:tc>
          <w:tcPr>
            <w:tcW w:w="1384" w:type="dxa"/>
            <w:noWrap w:val="0"/>
            <w:vAlign w:val="center"/>
          </w:tcPr>
          <w:p w14:paraId="591770E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备注3</w:t>
            </w:r>
          </w:p>
        </w:tc>
        <w:tc>
          <w:tcPr>
            <w:tcW w:w="1276" w:type="dxa"/>
            <w:noWrap w:val="0"/>
            <w:vAlign w:val="center"/>
          </w:tcPr>
          <w:p w14:paraId="00F9D70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备注3</w:t>
            </w:r>
          </w:p>
        </w:tc>
        <w:tc>
          <w:tcPr>
            <w:tcW w:w="1239" w:type="dxa"/>
            <w:noWrap w:val="0"/>
            <w:vAlign w:val="center"/>
          </w:tcPr>
          <w:p w14:paraId="701D503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备注3</w:t>
            </w:r>
          </w:p>
        </w:tc>
      </w:tr>
      <w:tr w14:paraId="1A44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14:paraId="5725FC3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14:paraId="30A54D3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0DH</w:t>
            </w:r>
          </w:p>
        </w:tc>
        <w:tc>
          <w:tcPr>
            <w:tcW w:w="1161" w:type="dxa"/>
            <w:noWrap w:val="0"/>
            <w:vAlign w:val="center"/>
          </w:tcPr>
          <w:p w14:paraId="51DACB5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ASCII</w:t>
            </w:r>
          </w:p>
        </w:tc>
        <w:tc>
          <w:tcPr>
            <w:tcW w:w="1107" w:type="dxa"/>
            <w:noWrap w:val="0"/>
            <w:vAlign w:val="center"/>
          </w:tcPr>
          <w:p w14:paraId="2CA4D66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14:paraId="18E46CE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14:paraId="165DF03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以\0 结束</w:t>
            </w:r>
          </w:p>
        </w:tc>
        <w:tc>
          <w:tcPr>
            <w:tcW w:w="1276" w:type="dxa"/>
            <w:noWrap w:val="0"/>
            <w:vAlign w:val="center"/>
          </w:tcPr>
          <w:p w14:paraId="4BCB345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以\0 结束</w:t>
            </w:r>
          </w:p>
        </w:tc>
        <w:tc>
          <w:tcPr>
            <w:tcW w:w="1239" w:type="dxa"/>
            <w:noWrap w:val="0"/>
            <w:vAlign w:val="center"/>
          </w:tcPr>
          <w:p w14:paraId="1787AC0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以\0 结束</w:t>
            </w:r>
          </w:p>
        </w:tc>
      </w:tr>
      <w:tr w14:paraId="75B4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14:paraId="378CA24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14:paraId="2402104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0FH</w:t>
            </w:r>
          </w:p>
        </w:tc>
        <w:tc>
          <w:tcPr>
            <w:tcW w:w="1161" w:type="dxa"/>
            <w:noWrap w:val="0"/>
            <w:vAlign w:val="center"/>
          </w:tcPr>
          <w:p w14:paraId="6091A4E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4字节浮点数</w:t>
            </w:r>
          </w:p>
        </w:tc>
        <w:tc>
          <w:tcPr>
            <w:tcW w:w="1107" w:type="dxa"/>
            <w:noWrap w:val="0"/>
            <w:vAlign w:val="center"/>
          </w:tcPr>
          <w:p w14:paraId="3316C63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14:paraId="206A722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14:paraId="31A4196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1276" w:type="dxa"/>
            <w:noWrap w:val="0"/>
            <w:vAlign w:val="center"/>
          </w:tcPr>
          <w:p w14:paraId="7855858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c>
          <w:tcPr>
            <w:tcW w:w="1239" w:type="dxa"/>
            <w:noWrap w:val="0"/>
            <w:vAlign w:val="center"/>
          </w:tcPr>
          <w:p w14:paraId="6D3C40D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4字节</w:t>
            </w:r>
          </w:p>
        </w:tc>
      </w:tr>
      <w:tr w14:paraId="472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14:paraId="65D3B86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14:paraId="4253BE8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10H</w:t>
            </w:r>
          </w:p>
        </w:tc>
        <w:tc>
          <w:tcPr>
            <w:tcW w:w="1161" w:type="dxa"/>
            <w:noWrap w:val="0"/>
            <w:vAlign w:val="center"/>
          </w:tcPr>
          <w:p w14:paraId="7CD0188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8字节浮点数</w:t>
            </w:r>
          </w:p>
        </w:tc>
        <w:tc>
          <w:tcPr>
            <w:tcW w:w="1107" w:type="dxa"/>
            <w:noWrap w:val="0"/>
            <w:vAlign w:val="center"/>
          </w:tcPr>
          <w:p w14:paraId="4ECC225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14:paraId="35039C0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14:paraId="1265BEA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276" w:type="dxa"/>
            <w:noWrap w:val="0"/>
            <w:vAlign w:val="center"/>
          </w:tcPr>
          <w:p w14:paraId="6E15E17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239" w:type="dxa"/>
            <w:noWrap w:val="0"/>
            <w:vAlign w:val="center"/>
          </w:tcPr>
          <w:p w14:paraId="4BE1F50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r>
      <w:tr w14:paraId="6FF8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2" w:type="dxa"/>
            <w:vMerge w:val="continue"/>
            <w:noWrap w:val="0"/>
            <w:vAlign w:val="center"/>
          </w:tcPr>
          <w:p w14:paraId="4576469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992" w:type="dxa"/>
            <w:noWrap w:val="0"/>
            <w:vAlign w:val="center"/>
          </w:tcPr>
          <w:p w14:paraId="0A32F47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11H</w:t>
            </w:r>
          </w:p>
        </w:tc>
        <w:tc>
          <w:tcPr>
            <w:tcW w:w="1161" w:type="dxa"/>
            <w:noWrap w:val="0"/>
            <w:vAlign w:val="center"/>
          </w:tcPr>
          <w:p w14:paraId="63594B9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8字节长整型</w:t>
            </w:r>
          </w:p>
        </w:tc>
        <w:tc>
          <w:tcPr>
            <w:tcW w:w="1107" w:type="dxa"/>
            <w:noWrap w:val="0"/>
            <w:vAlign w:val="center"/>
          </w:tcPr>
          <w:p w14:paraId="3E0E5FE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992" w:type="dxa"/>
            <w:noWrap w:val="0"/>
            <w:vAlign w:val="center"/>
          </w:tcPr>
          <w:p w14:paraId="18534C4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1字节</w:t>
            </w:r>
          </w:p>
        </w:tc>
        <w:tc>
          <w:tcPr>
            <w:tcW w:w="1384" w:type="dxa"/>
            <w:noWrap w:val="0"/>
            <w:vAlign w:val="center"/>
          </w:tcPr>
          <w:p w14:paraId="5CE079C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276" w:type="dxa"/>
            <w:noWrap w:val="0"/>
            <w:vAlign w:val="center"/>
          </w:tcPr>
          <w:p w14:paraId="2F52E18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c>
          <w:tcPr>
            <w:tcW w:w="1239" w:type="dxa"/>
            <w:noWrap w:val="0"/>
            <w:vAlign w:val="center"/>
          </w:tcPr>
          <w:p w14:paraId="4B909FD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8字节</w:t>
            </w:r>
          </w:p>
        </w:tc>
      </w:tr>
    </w:tbl>
    <w:p w14:paraId="0F2494A8">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备注1：单位为摄氏度，数值倍率为0.1，例如：数据值315*0.1＝31.5℃；</w:t>
      </w:r>
    </w:p>
    <w:p w14:paraId="042D9891">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备注2：单位为度，东经为正，西经为负，北纬为正，南纬为负。GPS经纬度值占用字节较多，因此每帧数据中只包含一个时刻值即可；</w:t>
      </w:r>
    </w:p>
    <w:p w14:paraId="148BA85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备注3：若通道总数小于等于8 ，此字节数为1；若通道总数大于8小于等于16此字节数为2。第一个字节的bit0-bit7表示第1—8开关量通道值；第二字节的bit0-bit7表示第9—16开关量通道值；；</w:t>
      </w:r>
    </w:p>
    <w:p w14:paraId="30046EA3">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备注4：高字节在前，低字节在后。设备上发时将电压放大100倍后使用整型传输，上位机解码时将数值还原。示例：02H E8H = 744 * 0.01 =7.44V。</w:t>
      </w:r>
    </w:p>
    <w:p w14:paraId="2C5B2839">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0" w:firstLineChars="0"/>
        <w:outlineLvl w:val="9"/>
        <w:rPr>
          <w:rFonts w:hint="eastAsia" w:ascii="宋体" w:hAnsi="宋体" w:eastAsia="宋体" w:cs="宋体"/>
          <w:b/>
          <w:bCs/>
          <w:color w:val="auto"/>
          <w:sz w:val="21"/>
          <w:szCs w:val="21"/>
          <w:highlight w:val="none"/>
          <w:lang w:val="en-US" w:eastAsia="zh-CN"/>
        </w:rPr>
      </w:pPr>
    </w:p>
    <w:p w14:paraId="1DCE66B8">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四、售后服务及质保期</w:t>
      </w:r>
    </w:p>
    <w:p w14:paraId="1079A919">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投标人须保证对招标人具有完善的售后服务体系。投标人须配合远程设备的通讯调试；</w:t>
      </w:r>
    </w:p>
    <w:p w14:paraId="61E54255">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投标人须提供技术文件资料，包括但不限于在远传调试、移交过程中需要的技术资料、上下行接口文件材料及服务；</w:t>
      </w:r>
    </w:p>
    <w:p w14:paraId="2782561E">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投标人负责向招标人有关人员提供技术培训，使其能对设备进行日常的维护保养及能对一般故障进行维修，并向培训人员提供详细的操作手册、技术维修及调试参数等相关资料；</w:t>
      </w:r>
    </w:p>
    <w:p w14:paraId="1B1EF9E8">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投标人须有稳定的售后服务体系，接到招标人的售后需求需在6小时以内做出响应；如需到现场处理，投标人需在接到招标人通知后24小时内到达现场进行处理。</w:t>
      </w:r>
    </w:p>
    <w:p w14:paraId="0BD9548B">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 超声波水表整表（含配套远传模块、计量电池、通讯电池和通讯资费）质保期为6年，</w:t>
      </w:r>
      <w:r>
        <w:rPr>
          <w:rFonts w:hint="eastAsia" w:ascii="宋体" w:hAnsi="宋体" w:eastAsia="宋体" w:cs="宋体"/>
          <w:b w:val="0"/>
          <w:bCs w:val="0"/>
          <w:color w:val="auto"/>
          <w:sz w:val="21"/>
          <w:szCs w:val="21"/>
          <w:highlight w:val="none"/>
          <w:lang w:val="en-US" w:eastAsia="zh-CN"/>
        </w:rPr>
        <w:t>按每批次货物送达招标人指定地点交货验收合格起算。</w:t>
      </w:r>
      <w:r>
        <w:rPr>
          <w:rFonts w:hint="eastAsia" w:ascii="宋体" w:hAnsi="宋体" w:eastAsia="宋体" w:cs="宋体"/>
          <w:color w:val="auto"/>
          <w:sz w:val="21"/>
          <w:szCs w:val="21"/>
          <w:highlight w:val="none"/>
          <w:lang w:val="en-US" w:eastAsia="zh-CN"/>
        </w:rPr>
        <w:t>质保期内，投标人对货物进行免费保修。</w:t>
      </w:r>
    </w:p>
    <w:p w14:paraId="264E5FF6">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0" w:firstLineChars="0"/>
        <w:outlineLvl w:val="9"/>
        <w:rPr>
          <w:rFonts w:hint="eastAsia" w:ascii="宋体" w:hAnsi="宋体" w:eastAsia="宋体" w:cs="宋体"/>
          <w:b/>
          <w:bCs/>
          <w:color w:val="auto"/>
          <w:sz w:val="21"/>
          <w:szCs w:val="21"/>
          <w:highlight w:val="none"/>
          <w:lang w:val="en-US" w:eastAsia="zh-CN"/>
        </w:rPr>
      </w:pPr>
    </w:p>
    <w:p w14:paraId="6EFAD092">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五、货款结算方式</w:t>
      </w:r>
    </w:p>
    <w:p w14:paraId="1A3F35F6">
      <w:pPr>
        <w:pStyle w:val="37"/>
        <w:keepNext w:val="0"/>
        <w:keepLines w:val="0"/>
        <w:pageBreakBefore w:val="0"/>
        <w:kinsoku/>
        <w:wordWrap/>
        <w:overflowPunct/>
        <w:topLinePunct w:val="0"/>
        <w:bidi w:val="0"/>
        <w:adjustRightInd w:val="0"/>
        <w:snapToGrid w:val="0"/>
        <w:spacing w:beforeAutospacing="0" w:after="0" w:line="360" w:lineRule="auto"/>
        <w:ind w:left="0" w:leftChars="0" w:right="0" w:firstLine="420" w:firstLineChars="200"/>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p>
    <w:p w14:paraId="11950A01">
      <w:pPr>
        <w:pStyle w:val="38"/>
        <w:keepNext w:val="0"/>
        <w:keepLines w:val="0"/>
        <w:pageBreakBefore w:val="0"/>
        <w:kinsoku/>
        <w:wordWrap/>
        <w:overflowPunct/>
        <w:topLinePunct w:val="0"/>
        <w:bidi w:val="0"/>
        <w:outlineLvl w:val="9"/>
        <w:rPr>
          <w:rFonts w:hint="eastAsia"/>
          <w:color w:val="auto"/>
          <w:highlight w:val="none"/>
          <w:lang w:val="en-US" w:eastAsia="zh-CN"/>
        </w:rPr>
      </w:pPr>
    </w:p>
    <w:p w14:paraId="4D402B14">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六、货款支付方式</w:t>
      </w:r>
    </w:p>
    <w:p w14:paraId="0BD9E622">
      <w:pPr>
        <w:keepNext w:val="0"/>
        <w:keepLines w:val="0"/>
        <w:pageBreakBefore w:val="0"/>
        <w:widowControl w:val="0"/>
        <w:numPr>
          <w:ilvl w:val="1"/>
          <w:numId w:val="0"/>
        </w:numPr>
        <w:kinsoku/>
        <w:wordWrap/>
        <w:overflowPunct/>
        <w:topLinePunct w:val="0"/>
        <w:bidi w:val="0"/>
        <w:adjustRightInd w:val="0"/>
        <w:snapToGrid w:val="0"/>
        <w:spacing w:beforeAutospacing="0" w:line="360" w:lineRule="auto"/>
        <w:ind w:left="0" w:leftChars="0" w:right="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人发出单笔《供货通知单》后，在收到投标人按本项目合同约定提供与本批次货款等额的供货保函或现金担保并经招标人财务人员审核合格后30个工作日内，招标人支付至该批货物货款总额（含销项税额）的100%。</w:t>
      </w:r>
    </w:p>
    <w:p w14:paraId="024875E3">
      <w:pPr>
        <w:keepNext w:val="0"/>
        <w:keepLines w:val="0"/>
        <w:pageBreakBefore w:val="0"/>
        <w:kinsoku/>
        <w:wordWrap/>
        <w:overflowPunct/>
        <w:topLinePunct w:val="0"/>
        <w:bidi w:val="0"/>
        <w:ind w:firstLine="420" w:firstLineChars="200"/>
        <w:outlineLvl w:val="9"/>
        <w:rPr>
          <w:rFonts w:hint="eastAsia" w:ascii="宋体" w:hAnsi="宋体" w:eastAsia="宋体" w:cs="宋体"/>
          <w:b w:val="0"/>
          <w:bCs w:val="0"/>
          <w:color w:val="auto"/>
          <w:sz w:val="21"/>
          <w:szCs w:val="21"/>
          <w:highlight w:val="none"/>
          <w:lang w:val="en-US" w:eastAsia="zh-CN"/>
        </w:rPr>
      </w:pPr>
    </w:p>
    <w:p w14:paraId="27BD6E34">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七、预算表</w:t>
      </w:r>
    </w:p>
    <w:tbl>
      <w:tblPr>
        <w:tblStyle w:val="3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
        <w:gridCol w:w="942"/>
        <w:gridCol w:w="975"/>
        <w:gridCol w:w="3121"/>
        <w:gridCol w:w="552"/>
        <w:gridCol w:w="759"/>
        <w:gridCol w:w="1767"/>
        <w:gridCol w:w="1493"/>
      </w:tblGrid>
      <w:tr w14:paraId="2B73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365"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3900B891">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90E17">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名称</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AE9D9">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口径规格</w:t>
            </w:r>
          </w:p>
        </w:tc>
        <w:tc>
          <w:tcPr>
            <w:tcW w:w="15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631A5">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技术指标</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37B6C">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单位</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A54E7">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数量</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231B1">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不含税预算综合单价（元）</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ECC73">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不含税合价（元）</w:t>
            </w:r>
          </w:p>
        </w:tc>
      </w:tr>
      <w:tr w14:paraId="3D3A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4D83AB70">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1 </w:t>
            </w:r>
          </w:p>
        </w:tc>
        <w:tc>
          <w:tcPr>
            <w:tcW w:w="454" w:type="pct"/>
            <w:vMerge w:val="restart"/>
            <w:tcBorders>
              <w:top w:val="single" w:color="000000" w:sz="4" w:space="0"/>
              <w:left w:val="single" w:color="000000" w:sz="4" w:space="0"/>
              <w:right w:val="single" w:color="000000" w:sz="4" w:space="0"/>
            </w:tcBorders>
            <w:shd w:val="clear" w:color="FDE9D9" w:fill="FFFFFF"/>
            <w:noWrap w:val="0"/>
            <w:vAlign w:val="center"/>
          </w:tcPr>
          <w:p w14:paraId="139862BF">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缩径超声波水表 </w:t>
            </w:r>
          </w:p>
        </w:tc>
        <w:tc>
          <w:tcPr>
            <w:tcW w:w="47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EF0A170">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505" w:type="pct"/>
            <w:vMerge w:val="restart"/>
            <w:tcBorders>
              <w:top w:val="single" w:color="000000" w:sz="4" w:space="0"/>
              <w:left w:val="single" w:color="000000" w:sz="4" w:space="0"/>
              <w:right w:val="single" w:color="000000" w:sz="4" w:space="0"/>
            </w:tcBorders>
            <w:shd w:val="clear" w:color="FDE9D9" w:fill="FFFFFF"/>
            <w:noWrap w:val="0"/>
            <w:vAlign w:val="center"/>
          </w:tcPr>
          <w:p w14:paraId="1E4D579F">
            <w:pPr>
              <w:keepNext w:val="0"/>
              <w:keepLines w:val="0"/>
              <w:pageBreakBefore w:val="0"/>
              <w:widowControl/>
              <w:suppressLineNumbers w:val="0"/>
              <w:kinsoku/>
              <w:wordWrap/>
              <w:overflowPunct/>
              <w:topLinePunct w:val="0"/>
              <w:bidi w:val="0"/>
              <w:jc w:val="left"/>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1.配件要求：每台超声波水表需包含1套远传模块和2个垫圈，不含法兰;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2.表体材质为不锈钢；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3.内置锂电池，无须外部供电;</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4.具体详见用户需求书.</w:t>
            </w:r>
          </w:p>
        </w:tc>
        <w:tc>
          <w:tcPr>
            <w:tcW w:w="2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63295A8">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CEF4E71">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718</w:t>
            </w:r>
          </w:p>
        </w:tc>
        <w:tc>
          <w:tcPr>
            <w:tcW w:w="1767"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3DAF5DA">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2018.22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4E6B4">
            <w:pPr>
              <w:keepNext w:val="0"/>
              <w:keepLines w:val="0"/>
              <w:widowControl/>
              <w:suppressLineNumbers w:val="0"/>
              <w:jc w:val="right"/>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1449081.96 </w:t>
            </w:r>
          </w:p>
        </w:tc>
      </w:tr>
      <w:tr w14:paraId="038E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5869">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2 </w:t>
            </w:r>
          </w:p>
        </w:tc>
        <w:tc>
          <w:tcPr>
            <w:tcW w:w="454" w:type="pct"/>
            <w:vMerge w:val="continue"/>
            <w:tcBorders>
              <w:left w:val="single" w:color="000000" w:sz="4" w:space="0"/>
              <w:right w:val="single" w:color="000000" w:sz="4" w:space="0"/>
            </w:tcBorders>
            <w:shd w:val="clear" w:color="FDE9D9" w:fill="FFFFFF"/>
            <w:noWrap w:val="0"/>
            <w:vAlign w:val="center"/>
          </w:tcPr>
          <w:p w14:paraId="622F1C40">
            <w:pPr>
              <w:keepNext w:val="0"/>
              <w:keepLines w:val="0"/>
              <w:pageBreakBefore w:val="0"/>
              <w:kinsoku/>
              <w:wordWrap/>
              <w:overflowPunct/>
              <w:topLinePunct w:val="0"/>
              <w:bidi w:val="0"/>
              <w:jc w:val="center"/>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0A87D">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505" w:type="pct"/>
            <w:vMerge w:val="continue"/>
            <w:tcBorders>
              <w:left w:val="single" w:color="000000" w:sz="4" w:space="0"/>
              <w:right w:val="single" w:color="000000" w:sz="4" w:space="0"/>
            </w:tcBorders>
            <w:shd w:val="clear" w:color="FDE9D9" w:fill="FFFFFF"/>
            <w:noWrap w:val="0"/>
            <w:vAlign w:val="center"/>
          </w:tcPr>
          <w:p w14:paraId="44CE964F">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289D4">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C62C5">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w:t>
            </w:r>
          </w:p>
        </w:tc>
        <w:tc>
          <w:tcPr>
            <w:tcW w:w="1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AF9DC">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2272.32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14909">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1711056.96 </w:t>
            </w:r>
          </w:p>
        </w:tc>
      </w:tr>
      <w:tr w14:paraId="7EE9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4EC0DCFA">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3 </w:t>
            </w:r>
          </w:p>
        </w:tc>
        <w:tc>
          <w:tcPr>
            <w:tcW w:w="454" w:type="pct"/>
            <w:vMerge w:val="continue"/>
            <w:tcBorders>
              <w:left w:val="single" w:color="000000" w:sz="4" w:space="0"/>
              <w:right w:val="single" w:color="000000" w:sz="4" w:space="0"/>
            </w:tcBorders>
            <w:shd w:val="clear" w:color="FDE9D9" w:fill="FFFFFF"/>
            <w:noWrap w:val="0"/>
            <w:vAlign w:val="center"/>
          </w:tcPr>
          <w:p w14:paraId="1E7E7BB6">
            <w:pPr>
              <w:keepNext w:val="0"/>
              <w:keepLines w:val="0"/>
              <w:pageBreakBefore w:val="0"/>
              <w:kinsoku/>
              <w:wordWrap/>
              <w:overflowPunct/>
              <w:topLinePunct w:val="0"/>
              <w:bidi w:val="0"/>
              <w:jc w:val="center"/>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C6CAE00">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505" w:type="pct"/>
            <w:vMerge w:val="continue"/>
            <w:tcBorders>
              <w:left w:val="single" w:color="000000" w:sz="4" w:space="0"/>
              <w:right w:val="single" w:color="000000" w:sz="4" w:space="0"/>
            </w:tcBorders>
            <w:shd w:val="clear" w:color="FDE9D9" w:fill="FFFFFF"/>
            <w:noWrap w:val="0"/>
            <w:vAlign w:val="center"/>
          </w:tcPr>
          <w:p w14:paraId="7FED0CFF">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802E599">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17ABDCF">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175</w:t>
            </w:r>
          </w:p>
        </w:tc>
        <w:tc>
          <w:tcPr>
            <w:tcW w:w="1767"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120D9CA">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2751.77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1C2C5">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481559.75 </w:t>
            </w:r>
          </w:p>
        </w:tc>
      </w:tr>
      <w:tr w14:paraId="7354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0F4DC">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4 </w:t>
            </w:r>
          </w:p>
        </w:tc>
        <w:tc>
          <w:tcPr>
            <w:tcW w:w="454" w:type="pct"/>
            <w:vMerge w:val="continue"/>
            <w:tcBorders>
              <w:left w:val="single" w:color="000000" w:sz="4" w:space="0"/>
              <w:right w:val="single" w:color="000000" w:sz="4" w:space="0"/>
            </w:tcBorders>
            <w:shd w:val="clear" w:color="FDE9D9" w:fill="FFFFFF"/>
            <w:noWrap w:val="0"/>
            <w:vAlign w:val="center"/>
          </w:tcPr>
          <w:p w14:paraId="419CB6DC">
            <w:pPr>
              <w:keepNext w:val="0"/>
              <w:keepLines w:val="0"/>
              <w:pageBreakBefore w:val="0"/>
              <w:kinsoku/>
              <w:wordWrap/>
              <w:overflowPunct/>
              <w:topLinePunct w:val="0"/>
              <w:bidi w:val="0"/>
              <w:jc w:val="center"/>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382FD">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505" w:type="pct"/>
            <w:vMerge w:val="continue"/>
            <w:tcBorders>
              <w:left w:val="single" w:color="000000" w:sz="4" w:space="0"/>
              <w:right w:val="single" w:color="000000" w:sz="4" w:space="0"/>
            </w:tcBorders>
            <w:shd w:val="clear" w:color="FDE9D9" w:fill="FFFFFF"/>
            <w:noWrap w:val="0"/>
            <w:vAlign w:val="center"/>
          </w:tcPr>
          <w:p w14:paraId="00A74BAB">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73438">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F7D4A">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8398F">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3482.98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D0D7E">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254257.54 </w:t>
            </w:r>
          </w:p>
        </w:tc>
      </w:tr>
      <w:tr w14:paraId="7206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01D76">
            <w:pPr>
              <w:keepNext w:val="0"/>
              <w:keepLines w:val="0"/>
              <w:pageBreakBefore w:val="0"/>
              <w:widowControl/>
              <w:suppressLineNumbers w:val="0"/>
              <w:kinsoku/>
              <w:wordWrap/>
              <w:overflowPunct/>
              <w:topLinePunct w:val="0"/>
              <w:bidi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454" w:type="pct"/>
            <w:vMerge w:val="continue"/>
            <w:tcBorders>
              <w:left w:val="single" w:color="000000" w:sz="4" w:space="0"/>
              <w:bottom w:val="single" w:color="000000" w:sz="4" w:space="0"/>
              <w:right w:val="single" w:color="000000" w:sz="4" w:space="0"/>
            </w:tcBorders>
            <w:shd w:val="clear" w:color="FDE9D9" w:fill="FFFFFF"/>
            <w:noWrap w:val="0"/>
            <w:vAlign w:val="center"/>
          </w:tcPr>
          <w:p w14:paraId="41847521">
            <w:pPr>
              <w:keepNext w:val="0"/>
              <w:keepLines w:val="0"/>
              <w:pageBreakBefore w:val="0"/>
              <w:kinsoku/>
              <w:wordWrap/>
              <w:overflowPunct/>
              <w:topLinePunct w:val="0"/>
              <w:bidi w:val="0"/>
              <w:jc w:val="center"/>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2D319">
            <w:pPr>
              <w:keepNext w:val="0"/>
              <w:keepLines w:val="0"/>
              <w:pageBreakBefore w:val="0"/>
              <w:widowControl/>
              <w:suppressLineNumbers w:val="0"/>
              <w:kinsoku/>
              <w:wordWrap/>
              <w:overflowPunct/>
              <w:topLinePunct w:val="0"/>
              <w:bidi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1505" w:type="pct"/>
            <w:vMerge w:val="continue"/>
            <w:tcBorders>
              <w:left w:val="single" w:color="000000" w:sz="4" w:space="0"/>
              <w:bottom w:val="single" w:color="000000" w:sz="4" w:space="0"/>
              <w:right w:val="single" w:color="000000" w:sz="4" w:space="0"/>
            </w:tcBorders>
            <w:shd w:val="clear" w:color="FDE9D9" w:fill="FFFFFF"/>
            <w:noWrap w:val="0"/>
            <w:vAlign w:val="center"/>
          </w:tcPr>
          <w:p w14:paraId="7B9CA718">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5E6A6">
            <w:pPr>
              <w:keepNext w:val="0"/>
              <w:keepLines w:val="0"/>
              <w:pageBreakBefore w:val="0"/>
              <w:widowControl/>
              <w:suppressLineNumbers w:val="0"/>
              <w:kinsoku/>
              <w:wordWrap/>
              <w:overflowPunct/>
              <w:topLinePunct w:val="0"/>
              <w:bidi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F9F0A">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00970">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4203.20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D0CF2">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21016.00 </w:t>
            </w:r>
          </w:p>
        </w:tc>
      </w:tr>
      <w:tr w14:paraId="1461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76C654CC">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6 </w:t>
            </w:r>
          </w:p>
        </w:tc>
        <w:tc>
          <w:tcPr>
            <w:tcW w:w="454" w:type="pct"/>
            <w:vMerge w:val="restart"/>
            <w:tcBorders>
              <w:top w:val="single" w:color="000000" w:sz="4" w:space="0"/>
              <w:left w:val="single" w:color="000000" w:sz="4" w:space="0"/>
              <w:right w:val="single" w:color="000000" w:sz="4" w:space="0"/>
            </w:tcBorders>
            <w:shd w:val="clear" w:color="FDE9D9" w:fill="FFFFFF"/>
            <w:noWrap w:val="0"/>
            <w:vAlign w:val="center"/>
          </w:tcPr>
          <w:p w14:paraId="59BB8751">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通径超声波水表 </w:t>
            </w:r>
          </w:p>
        </w:tc>
        <w:tc>
          <w:tcPr>
            <w:tcW w:w="47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752E5D7">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505" w:type="pct"/>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E38FBFC">
            <w:pPr>
              <w:keepNext w:val="0"/>
              <w:keepLines w:val="0"/>
              <w:pageBreakBefore w:val="0"/>
              <w:widowControl/>
              <w:suppressLineNumbers w:val="0"/>
              <w:kinsoku/>
              <w:wordWrap/>
              <w:overflowPunct/>
              <w:topLinePunct w:val="0"/>
              <w:bidi w:val="0"/>
              <w:jc w:val="left"/>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1.配件要求：每台超声波水表需包含1套远传模块和2个垫圈，不含法兰;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2.表体材质为不锈钢；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3.内置锂电池，无须外部供电;</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4.具体详见用户需求书.</w:t>
            </w:r>
          </w:p>
        </w:tc>
        <w:tc>
          <w:tcPr>
            <w:tcW w:w="2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51A748B">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C92B539">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542</w:t>
            </w:r>
          </w:p>
        </w:tc>
        <w:tc>
          <w:tcPr>
            <w:tcW w:w="1767"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46B29E7">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2089.78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7AA56">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1132660.76 </w:t>
            </w:r>
          </w:p>
        </w:tc>
      </w:tr>
      <w:tr w14:paraId="6289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D0365">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7 </w:t>
            </w:r>
          </w:p>
        </w:tc>
        <w:tc>
          <w:tcPr>
            <w:tcW w:w="454" w:type="pct"/>
            <w:vMerge w:val="continue"/>
            <w:tcBorders>
              <w:left w:val="single" w:color="000000" w:sz="4" w:space="0"/>
              <w:right w:val="single" w:color="000000" w:sz="4" w:space="0"/>
            </w:tcBorders>
            <w:shd w:val="clear" w:color="FDE9D9" w:fill="FFFFFF"/>
            <w:noWrap w:val="0"/>
            <w:vAlign w:val="center"/>
          </w:tcPr>
          <w:p w14:paraId="07EC6A85">
            <w:pPr>
              <w:keepNext w:val="0"/>
              <w:keepLines w:val="0"/>
              <w:pageBreakBefore w:val="0"/>
              <w:kinsoku/>
              <w:wordWrap/>
              <w:overflowPunct/>
              <w:topLinePunct w:val="0"/>
              <w:bidi w:val="0"/>
              <w:jc w:val="center"/>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589F0">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505"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260350F">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DA282">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AC956">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607</w:t>
            </w:r>
          </w:p>
        </w:tc>
        <w:tc>
          <w:tcPr>
            <w:tcW w:w="1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CB8E0">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2322.84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EFE6D">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1409963.88 </w:t>
            </w:r>
          </w:p>
        </w:tc>
      </w:tr>
      <w:tr w14:paraId="7BCB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11EC26B1">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8 </w:t>
            </w:r>
          </w:p>
        </w:tc>
        <w:tc>
          <w:tcPr>
            <w:tcW w:w="454" w:type="pct"/>
            <w:vMerge w:val="continue"/>
            <w:tcBorders>
              <w:left w:val="single" w:color="000000" w:sz="4" w:space="0"/>
              <w:right w:val="single" w:color="000000" w:sz="4" w:space="0"/>
            </w:tcBorders>
            <w:shd w:val="clear" w:color="FDE9D9" w:fill="FFFFFF"/>
            <w:noWrap w:val="0"/>
            <w:vAlign w:val="center"/>
          </w:tcPr>
          <w:p w14:paraId="17D9A174">
            <w:pPr>
              <w:keepNext w:val="0"/>
              <w:keepLines w:val="0"/>
              <w:pageBreakBefore w:val="0"/>
              <w:kinsoku/>
              <w:wordWrap/>
              <w:overflowPunct/>
              <w:topLinePunct w:val="0"/>
              <w:bidi w:val="0"/>
              <w:jc w:val="center"/>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12BB3D7">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505"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E08BD55">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0CE9ED7">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034816D">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145</w:t>
            </w:r>
          </w:p>
        </w:tc>
        <w:tc>
          <w:tcPr>
            <w:tcW w:w="1767"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AD8FBE4">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2822.22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43E57">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409221.90 </w:t>
            </w:r>
          </w:p>
        </w:tc>
      </w:tr>
      <w:tr w14:paraId="089D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1951">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9 </w:t>
            </w:r>
          </w:p>
        </w:tc>
        <w:tc>
          <w:tcPr>
            <w:tcW w:w="454" w:type="pct"/>
            <w:vMerge w:val="continue"/>
            <w:tcBorders>
              <w:left w:val="single" w:color="000000" w:sz="4" w:space="0"/>
              <w:right w:val="single" w:color="000000" w:sz="4" w:space="0"/>
            </w:tcBorders>
            <w:shd w:val="clear" w:color="FDE9D9" w:fill="FFFFFF"/>
            <w:noWrap w:val="0"/>
            <w:vAlign w:val="center"/>
          </w:tcPr>
          <w:p w14:paraId="17DE6541">
            <w:pPr>
              <w:keepNext w:val="0"/>
              <w:keepLines w:val="0"/>
              <w:pageBreakBefore w:val="0"/>
              <w:kinsoku/>
              <w:wordWrap/>
              <w:overflowPunct/>
              <w:topLinePunct w:val="0"/>
              <w:bidi w:val="0"/>
              <w:jc w:val="center"/>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D305A">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505"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740F3DE">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0CB77">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7A172">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47D83">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3487.51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B8987">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272025.78 </w:t>
            </w:r>
          </w:p>
        </w:tc>
      </w:tr>
      <w:tr w14:paraId="2331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5653C">
            <w:pPr>
              <w:keepNext w:val="0"/>
              <w:keepLines w:val="0"/>
              <w:pageBreakBefore w:val="0"/>
              <w:widowControl/>
              <w:suppressLineNumbers w:val="0"/>
              <w:kinsoku/>
              <w:wordWrap/>
              <w:overflowPunct/>
              <w:topLinePunct w:val="0"/>
              <w:bidi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10</w:t>
            </w:r>
          </w:p>
        </w:tc>
        <w:tc>
          <w:tcPr>
            <w:tcW w:w="454" w:type="pct"/>
            <w:vMerge w:val="continue"/>
            <w:tcBorders>
              <w:left w:val="single" w:color="000000" w:sz="4" w:space="0"/>
              <w:right w:val="single" w:color="000000" w:sz="4" w:space="0"/>
            </w:tcBorders>
            <w:shd w:val="clear" w:color="FDE9D9" w:fill="FFFFFF"/>
            <w:noWrap w:val="0"/>
            <w:vAlign w:val="center"/>
          </w:tcPr>
          <w:p w14:paraId="4ED3B489">
            <w:pPr>
              <w:keepNext w:val="0"/>
              <w:keepLines w:val="0"/>
              <w:pageBreakBefore w:val="0"/>
              <w:kinsoku/>
              <w:wordWrap/>
              <w:overflowPunct/>
              <w:topLinePunct w:val="0"/>
              <w:bidi w:val="0"/>
              <w:jc w:val="center"/>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7FC3F">
            <w:pPr>
              <w:keepNext w:val="0"/>
              <w:keepLines w:val="0"/>
              <w:pageBreakBefore w:val="0"/>
              <w:widowControl/>
              <w:suppressLineNumbers w:val="0"/>
              <w:kinsoku/>
              <w:wordWrap/>
              <w:overflowPunct/>
              <w:topLinePunct w:val="0"/>
              <w:bidi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DN250</w:t>
            </w:r>
          </w:p>
        </w:tc>
        <w:tc>
          <w:tcPr>
            <w:tcW w:w="1505" w:type="pct"/>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084CABF">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F1F0F">
            <w:pPr>
              <w:keepNext w:val="0"/>
              <w:keepLines w:val="0"/>
              <w:pageBreakBefore w:val="0"/>
              <w:widowControl/>
              <w:suppressLineNumbers w:val="0"/>
              <w:kinsoku/>
              <w:wordWrap/>
              <w:overflowPunct/>
              <w:topLinePunct w:val="0"/>
              <w:bidi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06DC4">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52C82">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4533.60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F55B3">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18134.40 </w:t>
            </w:r>
          </w:p>
        </w:tc>
      </w:tr>
      <w:tr w14:paraId="51D2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3124">
            <w:pPr>
              <w:keepNext w:val="0"/>
              <w:keepLines w:val="0"/>
              <w:pageBreakBefore w:val="0"/>
              <w:widowControl/>
              <w:suppressLineNumbers w:val="0"/>
              <w:kinsoku/>
              <w:wordWrap/>
              <w:overflowPunct/>
              <w:topLinePunct w:val="0"/>
              <w:bidi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11</w:t>
            </w:r>
          </w:p>
        </w:tc>
        <w:tc>
          <w:tcPr>
            <w:tcW w:w="454" w:type="pct"/>
            <w:vMerge w:val="continue"/>
            <w:tcBorders>
              <w:left w:val="single" w:color="000000" w:sz="4" w:space="0"/>
              <w:bottom w:val="single" w:color="000000" w:sz="4" w:space="0"/>
              <w:right w:val="single" w:color="000000" w:sz="4" w:space="0"/>
            </w:tcBorders>
            <w:shd w:val="clear" w:color="FDE9D9" w:fill="FFFFFF"/>
            <w:noWrap w:val="0"/>
            <w:vAlign w:val="center"/>
          </w:tcPr>
          <w:p w14:paraId="6AFA6034">
            <w:pPr>
              <w:keepNext w:val="0"/>
              <w:keepLines w:val="0"/>
              <w:pageBreakBefore w:val="0"/>
              <w:kinsoku/>
              <w:wordWrap/>
              <w:overflowPunct/>
              <w:topLinePunct w:val="0"/>
              <w:bidi w:val="0"/>
              <w:jc w:val="center"/>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4C0ED">
            <w:pPr>
              <w:keepNext w:val="0"/>
              <w:keepLines w:val="0"/>
              <w:pageBreakBefore w:val="0"/>
              <w:widowControl/>
              <w:suppressLineNumbers w:val="0"/>
              <w:kinsoku/>
              <w:wordWrap/>
              <w:overflowPunct/>
              <w:topLinePunct w:val="0"/>
              <w:bidi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DN300</w:t>
            </w:r>
          </w:p>
        </w:tc>
        <w:tc>
          <w:tcPr>
            <w:tcW w:w="1505" w:type="pct"/>
            <w:vMerge w:val="continue"/>
            <w:tcBorders>
              <w:top w:val="single" w:color="000000" w:sz="4" w:space="0"/>
              <w:left w:val="single" w:color="000000" w:sz="4" w:space="0"/>
              <w:bottom w:val="single" w:color="auto" w:sz="4" w:space="0"/>
              <w:right w:val="single" w:color="000000" w:sz="4" w:space="0"/>
            </w:tcBorders>
            <w:shd w:val="clear" w:color="FDE9D9" w:fill="FFFFFF"/>
            <w:noWrap w:val="0"/>
            <w:vAlign w:val="center"/>
          </w:tcPr>
          <w:p w14:paraId="3CB9D16A">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5AB24">
            <w:pPr>
              <w:keepNext w:val="0"/>
              <w:keepLines w:val="0"/>
              <w:pageBreakBefore w:val="0"/>
              <w:widowControl/>
              <w:suppressLineNumbers w:val="0"/>
              <w:kinsoku/>
              <w:wordWrap/>
              <w:overflowPunct/>
              <w:topLinePunct w:val="0"/>
              <w:bidi w:val="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EAA12">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FE77C">
            <w:pPr>
              <w:keepNext w:val="0"/>
              <w:keepLines w:val="0"/>
              <w:widowControl/>
              <w:suppressLineNumbers w:val="0"/>
              <w:jc w:val="center"/>
              <w:textAlignment w:val="center"/>
              <w:rPr>
                <w:rFonts w:hint="default" w:ascii="宋体" w:hAnsi="宋体" w:eastAsia="宋体" w:cs="宋体"/>
                <w:b w:val="0"/>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5579.69 </w:t>
            </w: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729FE">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100434.42 </w:t>
            </w:r>
          </w:p>
        </w:tc>
      </w:tr>
      <w:tr w14:paraId="0F1D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9565E">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汇总</w:t>
            </w:r>
          </w:p>
        </w:tc>
        <w:tc>
          <w:tcPr>
            <w:tcW w:w="454" w:type="pc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CF84AF6">
            <w:pPr>
              <w:keepNext w:val="0"/>
              <w:keepLines w:val="0"/>
              <w:pageBreakBefore w:val="0"/>
              <w:kinsoku/>
              <w:wordWrap/>
              <w:overflowPunct/>
              <w:topLinePunct w:val="0"/>
              <w:bidi w:val="0"/>
              <w:outlineLvl w:val="9"/>
              <w:rPr>
                <w:rFonts w:hint="eastAsia" w:ascii="宋体" w:hAnsi="宋体" w:eastAsia="宋体" w:cs="宋体"/>
                <w:b w:val="0"/>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4ACBC">
            <w:pPr>
              <w:keepNext w:val="0"/>
              <w:keepLines w:val="0"/>
              <w:pageBreakBefore w:val="0"/>
              <w:kinsoku/>
              <w:wordWrap/>
              <w:overflowPunct/>
              <w:topLinePunct w:val="0"/>
              <w:bidi w:val="0"/>
              <w:jc w:val="left"/>
              <w:outlineLvl w:val="9"/>
              <w:rPr>
                <w:rFonts w:hint="eastAsia" w:ascii="宋体" w:hAnsi="宋体" w:eastAsia="宋体" w:cs="宋体"/>
                <w:b w:val="0"/>
                <w:bCs/>
                <w:i w:val="0"/>
                <w:iCs w:val="0"/>
                <w:color w:val="auto"/>
                <w:sz w:val="21"/>
                <w:szCs w:val="21"/>
                <w:highlight w:val="none"/>
                <w:u w:val="none"/>
              </w:rPr>
            </w:pPr>
          </w:p>
        </w:tc>
        <w:tc>
          <w:tcPr>
            <w:tcW w:w="1505" w:type="pct"/>
            <w:tcBorders>
              <w:top w:val="single" w:color="auto" w:sz="4" w:space="0"/>
              <w:left w:val="single" w:color="000000" w:sz="4" w:space="0"/>
              <w:bottom w:val="single" w:color="000000" w:sz="4" w:space="0"/>
              <w:right w:val="single" w:color="000000" w:sz="4" w:space="0"/>
            </w:tcBorders>
            <w:shd w:val="clear" w:color="FDE9D9" w:fill="FFFFFF"/>
            <w:noWrap w:val="0"/>
            <w:vAlign w:val="center"/>
          </w:tcPr>
          <w:p w14:paraId="2247DECC">
            <w:pPr>
              <w:keepNext w:val="0"/>
              <w:keepLines w:val="0"/>
              <w:pageBreakBefore w:val="0"/>
              <w:kinsoku/>
              <w:wordWrap/>
              <w:overflowPunct/>
              <w:topLinePunct w:val="0"/>
              <w:bidi w:val="0"/>
              <w:jc w:val="left"/>
              <w:outlineLvl w:val="9"/>
              <w:rPr>
                <w:rFonts w:hint="eastAsia" w:ascii="宋体" w:hAnsi="宋体" w:eastAsia="宋体" w:cs="宋体"/>
                <w:b w:val="0"/>
                <w:i w:val="0"/>
                <w:iCs w:val="0"/>
                <w:color w:val="auto"/>
                <w:sz w:val="21"/>
                <w:szCs w:val="21"/>
                <w:highlight w:val="none"/>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D8CBA">
            <w:pPr>
              <w:keepNext w:val="0"/>
              <w:keepLines w:val="0"/>
              <w:pageBreakBefore w:val="0"/>
              <w:kinsoku/>
              <w:wordWrap/>
              <w:overflowPunct/>
              <w:topLinePunct w:val="0"/>
              <w:bidi w:val="0"/>
              <w:jc w:val="center"/>
              <w:outlineLvl w:val="9"/>
              <w:rPr>
                <w:rFonts w:hint="eastAsia" w:ascii="宋体" w:hAnsi="宋体" w:eastAsia="宋体" w:cs="宋体"/>
                <w:b w:val="0"/>
                <w:bCs/>
                <w:i w:val="0"/>
                <w:iCs w:val="0"/>
                <w:color w:val="auto"/>
                <w:sz w:val="21"/>
                <w:szCs w:val="21"/>
                <w:highlight w:val="none"/>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414F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3118</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69FB0">
            <w:pPr>
              <w:keepNext w:val="0"/>
              <w:keepLines w:val="0"/>
              <w:pageBreakBefore w:val="0"/>
              <w:kinsoku/>
              <w:wordWrap/>
              <w:overflowPunct/>
              <w:topLinePunct w:val="0"/>
              <w:bidi w:val="0"/>
              <w:jc w:val="center"/>
              <w:outlineLvl w:val="9"/>
              <w:rPr>
                <w:rFonts w:hint="default" w:ascii="宋体" w:hAnsi="宋体" w:eastAsia="宋体" w:cs="宋体"/>
                <w:b w:val="0"/>
                <w:bCs/>
                <w:i w:val="0"/>
                <w:iCs w:val="0"/>
                <w:color w:val="auto"/>
                <w:sz w:val="21"/>
                <w:szCs w:val="21"/>
                <w:highlight w:val="none"/>
                <w:u w:val="none"/>
                <w:lang w:val="en-US" w:eastAsia="zh-CN"/>
              </w:rPr>
            </w:pPr>
            <w:r>
              <w:rPr>
                <w:rFonts w:hint="eastAsia" w:ascii="宋体" w:hAnsi="宋体" w:eastAsia="宋体" w:cs="宋体"/>
                <w:b w:val="0"/>
                <w:bCs/>
                <w:i w:val="0"/>
                <w:iCs w:val="0"/>
                <w:color w:val="auto"/>
                <w:sz w:val="21"/>
                <w:szCs w:val="21"/>
                <w:highlight w:val="none"/>
                <w:u w:val="none"/>
                <w:lang w:val="en-US" w:eastAsia="zh-CN"/>
              </w:rPr>
              <w:t>/</w:t>
            </w:r>
          </w:p>
        </w:tc>
        <w:tc>
          <w:tcPr>
            <w:tcW w:w="7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7742">
            <w:pPr>
              <w:keepNext w:val="0"/>
              <w:keepLines w:val="0"/>
              <w:pageBreakBefore w:val="0"/>
              <w:widowControl/>
              <w:suppressLineNumbers w:val="0"/>
              <w:kinsoku/>
              <w:wordWrap/>
              <w:overflowPunct/>
              <w:topLinePunct w:val="0"/>
              <w:bidi w:val="0"/>
              <w:jc w:val="right"/>
              <w:textAlignment w:val="center"/>
              <w:outlineLvl w:val="9"/>
              <w:rPr>
                <w:rFonts w:hint="eastAsia" w:ascii="宋体" w:hAnsi="宋体" w:eastAsia="宋体" w:cs="宋体"/>
                <w:b w:val="0"/>
                <w:bCs/>
                <w:i w:val="0"/>
                <w:iCs w:val="0"/>
                <w:color w:val="auto"/>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7259413.35</w:t>
            </w:r>
          </w:p>
        </w:tc>
      </w:tr>
    </w:tbl>
    <w:p w14:paraId="05CC09FF">
      <w:pPr>
        <w:keepNext w:val="0"/>
        <w:keepLines w:val="0"/>
        <w:pageBreakBefore w:val="0"/>
        <w:kinsoku/>
        <w:wordWrap/>
        <w:overflowPunct/>
        <w:topLinePunct w:val="0"/>
        <w:bidi w:val="0"/>
        <w:outlineLvl w:val="9"/>
        <w:rPr>
          <w:color w:val="auto"/>
          <w:highlight w:val="none"/>
        </w:rPr>
      </w:pPr>
    </w:p>
    <w:p w14:paraId="74F95D87">
      <w:pPr>
        <w:rPr>
          <w:highlight w:val="none"/>
        </w:rPr>
      </w:pPr>
    </w:p>
    <w:bookmarkEnd w:id="551"/>
    <w:bookmarkEnd w:id="552"/>
    <w:p w14:paraId="0E9DB9D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53" w:name="_Toc10807"/>
      <w:bookmarkStart w:id="554" w:name="_Toc32534"/>
      <w:bookmarkStart w:id="555" w:name="_Toc14255"/>
      <w:bookmarkStart w:id="556" w:name="_Toc20578"/>
      <w:bookmarkStart w:id="557" w:name="_Toc12163"/>
      <w:bookmarkStart w:id="558" w:name="_Toc450662892"/>
      <w:bookmarkStart w:id="559" w:name="_Toc4351"/>
      <w:bookmarkStart w:id="560" w:name="_Toc19477"/>
      <w:bookmarkStart w:id="561" w:name="_Toc142508359"/>
      <w:bookmarkStart w:id="562" w:name="_Toc7731"/>
      <w:bookmarkStart w:id="563" w:name="_Toc11281_WPSOffice_Level1"/>
      <w:bookmarkStart w:id="564"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53"/>
      <w:bookmarkEnd w:id="554"/>
      <w:bookmarkEnd w:id="555"/>
      <w:bookmarkEnd w:id="556"/>
      <w:bookmarkEnd w:id="557"/>
    </w:p>
    <w:p w14:paraId="01D6EB8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C24144C">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41C22DC">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6851C0E">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val="en-US" w:eastAsia="zh-CN"/>
        </w:rPr>
        <w:t>东莞市供水计量设施更新项目（2026-2027年计量仪表)</w:t>
      </w:r>
      <w:r>
        <w:rPr>
          <w:rFonts w:hint="eastAsia" w:ascii="宋体" w:hAnsi="宋体" w:eastAsia="宋体" w:cs="Times New Roman"/>
          <w:b/>
          <w:color w:val="auto"/>
          <w:kern w:val="0"/>
          <w:sz w:val="52"/>
          <w:szCs w:val="96"/>
          <w:highlight w:val="none"/>
          <w:lang w:eastAsia="zh-CN"/>
        </w:rPr>
        <w:t>－超声波水表</w:t>
      </w:r>
    </w:p>
    <w:p w14:paraId="7D89F121">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AB22BA5">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3EB404FC">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w:t>
      </w:r>
      <w:r>
        <w:rPr>
          <w:rFonts w:hint="eastAsia" w:ascii="宋体" w:hAnsi="宋体" w:eastAsia="宋体" w:cs="Times New Roman"/>
          <w:b/>
          <w:bCs/>
          <w:color w:val="auto"/>
          <w:kern w:val="0"/>
          <w:sz w:val="24"/>
          <w:szCs w:val="21"/>
          <w:highlight w:val="none"/>
          <w:lang w:val="en-US" w:eastAsia="zh-CN"/>
        </w:rPr>
        <w:t xml:space="preserve">    </w:t>
      </w:r>
      <w:r>
        <w:rPr>
          <w:rFonts w:hint="eastAsia" w:ascii="宋体" w:hAnsi="宋体" w:eastAsia="宋体" w:cs="Times New Roman"/>
          <w:b/>
          <w:bCs/>
          <w:color w:val="auto"/>
          <w:kern w:val="0"/>
          <w:sz w:val="24"/>
          <w:szCs w:val="21"/>
          <w:highlight w:val="none"/>
        </w:rPr>
        <w:t>）</w:t>
      </w:r>
    </w:p>
    <w:p w14:paraId="5372D23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2B85F0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4A21F0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DF2571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33DCB69">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eastAsia="zh-CN"/>
        </w:rPr>
        <w:t>东莞市水务环境投资控股集团供水有限公司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207A352D">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6AECC63">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p>
    <w:p w14:paraId="446691B3">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08D040E">
      <w:pPr>
        <w:autoSpaceDE w:val="0"/>
        <w:autoSpaceDN w:val="0"/>
        <w:adjustRightInd w:val="0"/>
        <w:jc w:val="left"/>
        <w:rPr>
          <w:rFonts w:ascii="宋体" w:hAnsi="宋体" w:eastAsia="宋体" w:cs="宋体"/>
          <w:b/>
          <w:bCs/>
          <w:color w:val="auto"/>
          <w:kern w:val="0"/>
          <w:sz w:val="28"/>
          <w:szCs w:val="28"/>
          <w:highlight w:val="none"/>
        </w:rPr>
      </w:pPr>
    </w:p>
    <w:p w14:paraId="065BD3DE">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14:paraId="6D0F1D9C">
      <w:pPr>
        <w:keepNext w:val="0"/>
        <w:keepLines w:val="0"/>
        <w:pageBreakBefore w:val="0"/>
        <w:widowControl w:val="0"/>
        <w:kinsoku/>
        <w:wordWrap/>
        <w:overflowPunct/>
        <w:topLinePunct w:val="0"/>
        <w:bidi w:val="0"/>
        <w:adjustRightInd w:val="0"/>
        <w:snapToGrid w:val="0"/>
        <w:spacing w:line="36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lang w:eastAsia="zh-CN"/>
        </w:rPr>
        <w:t>东莞市水务环境投资控股集团供水有限公司</w:t>
      </w:r>
    </w:p>
    <w:p w14:paraId="702D820C">
      <w:pPr>
        <w:keepNext w:val="0"/>
        <w:keepLines w:val="0"/>
        <w:pageBreakBefore w:val="0"/>
        <w:widowControl w:val="0"/>
        <w:kinsoku/>
        <w:wordWrap/>
        <w:overflowPunct/>
        <w:topLinePunct w:val="0"/>
        <w:bidi w:val="0"/>
        <w:adjustRightInd w:val="0"/>
        <w:snapToGrid w:val="0"/>
        <w:spacing w:line="360" w:lineRule="auto"/>
        <w:ind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lang w:val="en-US" w:eastAsia="zh-CN"/>
        </w:rPr>
        <w:t xml:space="preserve">                         </w:t>
      </w:r>
    </w:p>
    <w:p w14:paraId="3C4B5E6F">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p>
    <w:p w14:paraId="3B509488">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日公示的</w:t>
      </w:r>
      <w:r>
        <w:rPr>
          <w:rFonts w:hint="eastAsia" w:ascii="宋体" w:hAnsi="宋体" w:eastAsia="宋体" w:cs="宋体"/>
          <w:color w:val="auto"/>
          <w:szCs w:val="21"/>
          <w:highlight w:val="none"/>
        </w:rPr>
        <w:t>东莞市供水计量设施更新项目（2026-2027年计量仪表)－超声波水表</w:t>
      </w:r>
      <w:r>
        <w:rPr>
          <w:rFonts w:hint="eastAsia" w:ascii="宋体" w:hAnsi="宋体" w:eastAsia="宋体" w:cs="宋体"/>
          <w:color w:val="auto"/>
          <w:sz w:val="21"/>
          <w:szCs w:val="21"/>
          <w:highlight w:val="none"/>
        </w:rPr>
        <w:t>项目中标结果（</w:t>
      </w:r>
      <w:r>
        <w:rPr>
          <w:rFonts w:hint="eastAsia" w:ascii="宋体" w:hAnsi="宋体" w:eastAsia="宋体" w:cs="宋体"/>
          <w:color w:val="auto"/>
          <w:sz w:val="21"/>
          <w:szCs w:val="21"/>
          <w:highlight w:val="none"/>
          <w:lang w:eastAsia="zh-CN"/>
        </w:rPr>
        <w:t>招 标 编 号：YFGL-202601011</w:t>
      </w:r>
      <w:r>
        <w:rPr>
          <w:rFonts w:hint="eastAsia" w:ascii="宋体" w:hAnsi="宋体" w:eastAsia="宋体" w:cs="宋体"/>
          <w:color w:val="auto"/>
          <w:sz w:val="21"/>
          <w:szCs w:val="21"/>
          <w:highlight w:val="none"/>
          <w:lang w:val="en-US" w:eastAsia="zh-CN"/>
        </w:rPr>
        <w:t xml:space="preserve"> ，下称项目</w:t>
      </w:r>
      <w:r>
        <w:rPr>
          <w:rFonts w:hint="eastAsia" w:ascii="宋体" w:hAnsi="宋体" w:eastAsia="宋体" w:cs="宋体"/>
          <w:color w:val="auto"/>
          <w:sz w:val="21"/>
          <w:szCs w:val="21"/>
          <w:highlight w:val="none"/>
        </w:rPr>
        <w:t>）和招标文件的要求，经双方协商一致，签订本合同。</w:t>
      </w:r>
    </w:p>
    <w:p w14:paraId="1CC48240">
      <w:pPr>
        <w:keepNext w:val="0"/>
        <w:keepLines w:val="0"/>
        <w:pageBreakBefore w:val="0"/>
        <w:widowControl w:val="0"/>
        <w:kinsoku/>
        <w:wordWrap/>
        <w:overflowPunct/>
        <w:topLinePunct w:val="0"/>
        <w:bidi w:val="0"/>
        <w:adjustRightInd w:val="0"/>
        <w:snapToGrid w:val="0"/>
        <w:spacing w:line="360" w:lineRule="auto"/>
        <w:ind w:right="0" w:firstLine="373" w:firstLineChars="177"/>
        <w:rPr>
          <w:rFonts w:hint="eastAsia" w:ascii="宋体" w:hAnsi="宋体" w:eastAsia="宋体" w:cs="宋体"/>
          <w:b/>
          <w:color w:val="auto"/>
          <w:sz w:val="21"/>
          <w:szCs w:val="21"/>
          <w:highlight w:val="none"/>
        </w:rPr>
      </w:pPr>
    </w:p>
    <w:p w14:paraId="7E20418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65" w:name="_Toc28914"/>
      <w:bookmarkStart w:id="566" w:name="_Toc1554"/>
      <w:bookmarkStart w:id="567" w:name="_Toc9393"/>
      <w:bookmarkStart w:id="568" w:name="_Toc3976"/>
      <w:r>
        <w:rPr>
          <w:rFonts w:hint="eastAsia" w:ascii="宋体" w:hAnsi="宋体" w:eastAsia="宋体" w:cs="宋体"/>
          <w:b/>
          <w:color w:val="auto"/>
          <w:szCs w:val="21"/>
          <w:highlight w:val="none"/>
        </w:rPr>
        <w:t>第一条 合同项目</w:t>
      </w:r>
      <w:bookmarkEnd w:id="565"/>
      <w:bookmarkEnd w:id="566"/>
      <w:bookmarkEnd w:id="567"/>
      <w:bookmarkEnd w:id="568"/>
    </w:p>
    <w:p w14:paraId="5A9F7CCD">
      <w:pPr>
        <w:adjustRightInd w:val="0"/>
        <w:snapToGrid w:val="0"/>
        <w:spacing w:line="360" w:lineRule="auto"/>
        <w:ind w:firstLine="371" w:firstLineChars="177"/>
        <w:rPr>
          <w:rFonts w:hint="default"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1、合同采购清单：详见本合同附件2《采购清单》。乙方知悉并同意：《采购清单》中的采购数量为暂定数量，仅为便于计算合同暂定价使用，不作为甲方最终采购数量的保证。甲方的最终采购数量按乙方实际交付并经验收合格的数量统计</w:t>
      </w:r>
      <w:r>
        <w:rPr>
          <w:rFonts w:hint="eastAsia" w:ascii="Times New Roman" w:hAnsi="Times New Roman" w:eastAsia="宋体" w:cs="Times New Roman"/>
          <w:color w:val="auto"/>
          <w:szCs w:val="21"/>
          <w:highlight w:val="none"/>
          <w:lang w:eastAsia="zh-CN"/>
        </w:rPr>
        <w:t>。</w:t>
      </w:r>
    </w:p>
    <w:p w14:paraId="651641F3">
      <w:pPr>
        <w:adjustRightInd w:val="0"/>
        <w:snapToGrid w:val="0"/>
        <w:spacing w:line="360" w:lineRule="auto"/>
        <w:ind w:firstLine="371" w:firstLineChars="177"/>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2、合同期和供货期：合同期限2年，自本合同签订之日起计。合同期内，甲方根据采购需求和东莞市的法定计量检定机构的水表检定能力分批次下达《供货通知单》，乙方分批次供货。每批次货物的供货期（即该批次货物从订货到交付并验收合格期间）以《供货通知单》载明为准，甲方有权根据东莞市的法定计量检定机构的水表检定能力决定是否延长该批次货物的供货期。</w:t>
      </w:r>
    </w:p>
    <w:p w14:paraId="5A92045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9"/>
        <w:rPr>
          <w:rFonts w:hint="eastAsia" w:ascii="宋体" w:hAnsi="宋体" w:eastAsia="宋体" w:cs="宋体"/>
          <w:b/>
          <w:color w:val="auto"/>
          <w:szCs w:val="21"/>
          <w:highlight w:val="none"/>
        </w:rPr>
      </w:pPr>
    </w:p>
    <w:p w14:paraId="57BA00B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69" w:name="_Toc31045"/>
      <w:bookmarkStart w:id="570" w:name="_Toc26810"/>
      <w:bookmarkStart w:id="571" w:name="_Toc9253"/>
      <w:bookmarkStart w:id="572" w:name="_Toc13521"/>
      <w:r>
        <w:rPr>
          <w:rFonts w:hint="eastAsia" w:ascii="宋体" w:hAnsi="宋体" w:eastAsia="宋体" w:cs="宋体"/>
          <w:b/>
          <w:color w:val="auto"/>
          <w:szCs w:val="21"/>
          <w:highlight w:val="none"/>
        </w:rPr>
        <w:t>第二条 合同价</w:t>
      </w:r>
      <w:bookmarkEnd w:id="569"/>
      <w:bookmarkEnd w:id="570"/>
      <w:bookmarkEnd w:id="571"/>
      <w:bookmarkEnd w:id="572"/>
    </w:p>
    <w:p w14:paraId="6E2A6FF6">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1、本合同价采用折扣系数作为计价模式，根据项目中标通知书，本项目执行的折扣系数为：</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w:t>
      </w:r>
    </w:p>
    <w:p w14:paraId="740E8ECD">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Times New Roman" w:hAnsi="Times New Roman" w:eastAsia="宋体" w:cs="Times New Roman"/>
          <w:color w:val="auto"/>
          <w:szCs w:val="21"/>
          <w:highlight w:val="none"/>
          <w:lang w:val="en-US" w:eastAsia="zh-CN"/>
        </w:rPr>
        <w:t>每批次不含税合价=该批次验收合格的货物</w:t>
      </w:r>
      <w:r>
        <w:rPr>
          <w:rFonts w:hint="eastAsia" w:ascii="宋体" w:hAnsi="宋体" w:eastAsia="宋体" w:cs="宋体"/>
          <w:color w:val="auto"/>
          <w:kern w:val="2"/>
          <w:sz w:val="21"/>
          <w:szCs w:val="21"/>
          <w:highlight w:val="none"/>
          <w:lang w:val="en-US" w:eastAsia="zh-CN" w:bidi="ar-SA"/>
        </w:rPr>
        <w:t>数量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不含税中标综合单价</w:t>
      </w:r>
      <w:r>
        <w:rPr>
          <w:rFonts w:hint="eastAsia" w:ascii="宋体" w:hAnsi="宋体" w:eastAsia="宋体" w:cs="Times New Roman"/>
          <w:color w:val="auto"/>
          <w:kern w:val="2"/>
          <w:sz w:val="21"/>
          <w:szCs w:val="21"/>
          <w:highlight w:val="none"/>
          <w:lang w:val="en-US" w:eastAsia="zh-CN" w:bidi="ar-SA"/>
        </w:rPr>
        <w:t>。其中，不含税中标综合单价</w:t>
      </w:r>
      <w:r>
        <w:rPr>
          <w:rFonts w:hint="default" w:ascii="宋体" w:hAnsi="宋体" w:eastAsia="宋体" w:cs="Times New Roman"/>
          <w:color w:val="auto"/>
          <w:kern w:val="2"/>
          <w:sz w:val="21"/>
          <w:szCs w:val="21"/>
          <w:highlight w:val="none"/>
          <w:lang w:val="en-US" w:eastAsia="zh-CN" w:bidi="ar-SA"/>
        </w:rPr>
        <w:t>=《用户需求书》附件《预算表》载明的对应规格水表</w:t>
      </w:r>
      <w:r>
        <w:rPr>
          <w:rFonts w:hint="eastAsia" w:ascii="宋体" w:hAnsi="宋体" w:eastAsia="宋体" w:cs="Times New Roman"/>
          <w:color w:val="auto"/>
          <w:kern w:val="2"/>
          <w:sz w:val="21"/>
          <w:szCs w:val="21"/>
          <w:highlight w:val="none"/>
          <w:lang w:val="en-US" w:eastAsia="zh-CN" w:bidi="ar-SA"/>
        </w:rPr>
        <w:t>不含税预算综合单价×中标折扣系数。不含税中标综合单价出现小数点的，保留小数点后两位，从小数点后第3位四舍五入。</w:t>
      </w:r>
    </w:p>
    <w:p w14:paraId="25188C18">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3、合同暂定价（不含销项税额）=Σ（《采购清单》的暂定采购数量×对应不含税预算综合单价）×中标折扣系数，金额为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）。合同暂定总价（含销项税额）=Σ（《采购清单》的暂定采购数量×对应不含税预算综合单价×（1+增值税税率））×中标折扣系数，金额为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）。前述合同暂定总价（含销项税额）仅作为本合同履约担保的计算基数，不作为实际结算依据。</w:t>
      </w:r>
    </w:p>
    <w:p w14:paraId="1D62E400">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4、根据《中华人民共和国增值税法》及其实施条例的规定，本合同项目的增值税税率为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，前述合同暂定价对应暂定的销项税额为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由甲方承担。在本合同履行过程中因税收政策变动导致增值税税率调整，依法应调整销项税额的，依法调整；但因乙方未按合同约定完成供货、未根据合同约定提供合法、完整的请款资料、货物验收不合格导致的返工或退货、验收合格前的非正常损耗等原因导致销项税额增加的，相应损失由乙方承担。</w:t>
      </w:r>
    </w:p>
    <w:p w14:paraId="1D143F58">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因乙方未按法定税率计算税额或未根据本合同约定出具对应税额的增值税普通发票等乙方原因导致甲方多支付税额的，乙方必须退还甲方，给甲方造成损失的，乙方应当赔偿。</w:t>
      </w:r>
    </w:p>
    <w:p w14:paraId="24789222">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5、不含税中标综合单价包括但不限于：</w:t>
      </w:r>
    </w:p>
    <w:p w14:paraId="6A445227">
      <w:pPr>
        <w:adjustRightInd w:val="0"/>
        <w:snapToGrid w:val="0"/>
        <w:spacing w:line="360" w:lineRule="auto"/>
        <w:ind w:firstLine="420" w:firstLineChars="200"/>
        <w:rPr>
          <w:rFonts w:ascii="宋体" w:hAnsi="宋体" w:eastAsia="宋体" w:cs="Arial"/>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单个</w:t>
      </w:r>
      <w:r>
        <w:rPr>
          <w:rFonts w:hint="eastAsia" w:ascii="宋体" w:hAnsi="宋体" w:eastAsia="宋体" w:cs="Times New Roman"/>
          <w:color w:val="auto"/>
          <w:szCs w:val="21"/>
          <w:highlight w:val="none"/>
        </w:rPr>
        <w:t>水表及其附件的制造及系统集成、</w:t>
      </w:r>
      <w:r>
        <w:rPr>
          <w:rFonts w:hint="eastAsia" w:ascii="宋体" w:hAnsi="宋体" w:eastAsia="宋体" w:cs="Times New Roman"/>
          <w:color w:val="auto"/>
          <w:szCs w:val="21"/>
          <w:highlight w:val="none"/>
          <w:lang w:val="en-US" w:eastAsia="zh-CN"/>
        </w:rPr>
        <w:t>印刷费、</w:t>
      </w:r>
      <w:r>
        <w:rPr>
          <w:rFonts w:hint="eastAsia" w:ascii="宋体" w:hAnsi="宋体" w:eastAsia="宋体" w:cs="Times New Roman"/>
          <w:color w:val="auto"/>
          <w:szCs w:val="21"/>
          <w:highlight w:val="none"/>
        </w:rPr>
        <w:t>检定、运输（至</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指定的仓库或</w:t>
      </w:r>
      <w:r>
        <w:rPr>
          <w:rFonts w:hint="eastAsia" w:ascii="Times New Roman" w:hAnsi="Times New Roman" w:eastAsia="宋体" w:cs="Times New Roman"/>
          <w:color w:val="auto"/>
          <w:szCs w:val="24"/>
          <w:highlight w:val="none"/>
          <w:lang w:eastAsia="zh-CN"/>
        </w:rPr>
        <w:t>项目</w:t>
      </w:r>
      <w:r>
        <w:rPr>
          <w:rFonts w:hint="eastAsia" w:ascii="宋体" w:hAnsi="宋体" w:eastAsia="宋体" w:cs="Times New Roman"/>
          <w:color w:val="auto"/>
          <w:szCs w:val="21"/>
          <w:highlight w:val="none"/>
        </w:rPr>
        <w:t>现场）、保险、装卸、远传调试，验收等费用</w:t>
      </w:r>
      <w:r>
        <w:rPr>
          <w:rFonts w:hint="eastAsia" w:ascii="宋体" w:hAnsi="宋体" w:eastAsia="宋体" w:cs="Times New Roman"/>
          <w:color w:val="auto"/>
          <w:szCs w:val="21"/>
          <w:highlight w:val="none"/>
          <w:lang w:val="zh-CN"/>
        </w:rPr>
        <w:t>；</w:t>
      </w:r>
    </w:p>
    <w:p w14:paraId="26E2F271">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270E46CD">
      <w:pPr>
        <w:adjustRightInd w:val="0"/>
        <w:snapToGrid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Times New Roman" w:hAnsi="Times New Roman" w:eastAsia="宋体" w:cs="Times New Roman"/>
          <w:color w:val="auto"/>
          <w:szCs w:val="21"/>
          <w:highlight w:val="none"/>
        </w:rPr>
        <w:t>验收时为达到相关标准而可能增加的、不合格货物更换、零配件更换等费用</w:t>
      </w:r>
      <w:r>
        <w:rPr>
          <w:rFonts w:hint="eastAsia" w:ascii="宋体" w:hAnsi="宋体" w:eastAsia="宋体" w:cs="Times New Roman"/>
          <w:color w:val="auto"/>
          <w:szCs w:val="21"/>
          <w:highlight w:val="none"/>
          <w:lang w:val="zh-CN"/>
        </w:rPr>
        <w:t>；</w:t>
      </w:r>
    </w:p>
    <w:p w14:paraId="7FDC256D">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（4）设备备品备件（含零配件）、设备拆装维修所需特殊专用工具购置费；</w:t>
      </w:r>
    </w:p>
    <w:p w14:paraId="17E21778">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Times New Roman" w:hAnsi="Times New Roman" w:eastAsia="宋体" w:cs="Times New Roman"/>
          <w:color w:val="auto"/>
          <w:szCs w:val="21"/>
          <w:highlight w:val="none"/>
        </w:rPr>
        <w:t>日常技术指导，免费的质保期保修服务，包括但不限于对设备的运行指导，免费维修、保修或更换配件，在设备出现严重故障、影响正常运行、修复有困难的情况下，对设备进行免费更换的费用；</w:t>
      </w:r>
    </w:p>
    <w:p w14:paraId="62222E13">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（6）招标</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lang w:eastAsia="zh-CN"/>
        </w:rPr>
        <w:t>清单</w:t>
      </w:r>
      <w:r>
        <w:rPr>
          <w:rFonts w:hint="eastAsia" w:ascii="宋体" w:hAnsi="宋体" w:eastAsia="宋体" w:cs="Times New Roman"/>
          <w:color w:val="auto"/>
          <w:szCs w:val="21"/>
          <w:highlight w:val="none"/>
        </w:rPr>
        <w:t>虽未列出，但为满足</w:t>
      </w:r>
      <w:r>
        <w:rPr>
          <w:rFonts w:hint="eastAsia" w:ascii="宋体" w:hAnsi="宋体" w:eastAsia="宋体" w:cs="Times New Roman"/>
          <w:color w:val="auto"/>
          <w:szCs w:val="21"/>
          <w:highlight w:val="none"/>
          <w:lang w:val="en-US" w:eastAsia="zh-CN"/>
        </w:rPr>
        <w:t>水表</w:t>
      </w:r>
      <w:r>
        <w:rPr>
          <w:rFonts w:hint="eastAsia" w:ascii="宋体" w:hAnsi="宋体" w:eastAsia="宋体" w:cs="Times New Roman"/>
          <w:color w:val="auto"/>
          <w:szCs w:val="21"/>
          <w:highlight w:val="none"/>
        </w:rPr>
        <w:t>功能所必需的设备材料购置费；</w:t>
      </w:r>
    </w:p>
    <w:p w14:paraId="3BF2FAC1">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（7）合理利润、</w:t>
      </w:r>
      <w:r>
        <w:rPr>
          <w:rFonts w:hint="eastAsia" w:ascii="Times New Roman" w:hAnsi="宋体" w:eastAsia="宋体" w:cs="Times New Roman"/>
          <w:color w:val="auto"/>
          <w:szCs w:val="21"/>
          <w:highlight w:val="none"/>
          <w:lang w:val="zh-CN"/>
        </w:rPr>
        <w:t>乙方销项税额以外的税费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中标服务费</w:t>
      </w:r>
      <w:r>
        <w:rPr>
          <w:rFonts w:hint="eastAsia" w:ascii="宋体" w:hAnsi="宋体" w:eastAsia="宋体" w:cs="Times New Roman"/>
          <w:color w:val="auto"/>
          <w:szCs w:val="21"/>
          <w:highlight w:val="none"/>
        </w:rPr>
        <w:t>等；</w:t>
      </w:r>
    </w:p>
    <w:p w14:paraId="218251ED">
      <w:pPr>
        <w:adjustRightInd w:val="0"/>
        <w:snapToGrid w:val="0"/>
        <w:spacing w:line="360" w:lineRule="auto"/>
        <w:ind w:firstLine="420" w:firstLineChars="20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（8）法律法规、</w:t>
      </w:r>
      <w:r>
        <w:rPr>
          <w:rFonts w:hint="eastAsia" w:ascii="宋体" w:hAnsi="宋体" w:eastAsia="宋体" w:cs="Times New Roman"/>
          <w:color w:val="auto"/>
          <w:szCs w:val="21"/>
          <w:highlight w:val="none"/>
          <w:lang w:val="zh-CN"/>
        </w:rPr>
        <w:t>商业公认、招标文件规定由乙方承担的其他费用。</w:t>
      </w:r>
    </w:p>
    <w:p w14:paraId="28BB044A">
      <w:pPr>
        <w:tabs>
          <w:tab w:val="left" w:pos="0"/>
        </w:tabs>
        <w:adjustRightInd w:val="0"/>
        <w:snapToGrid w:val="0"/>
        <w:spacing w:line="360" w:lineRule="auto"/>
        <w:ind w:firstLine="420" w:firstLineChars="200"/>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6、在合同履行过程中如发现有任何货物（含配件、技术资料等）漏项或短缺，无论投标报价是否列明，乙方均应在接到甲方通知后</w:t>
      </w:r>
      <w:r>
        <w:rPr>
          <w:rFonts w:ascii="宋体" w:hAnsi="宋体" w:eastAsia="宋体" w:cs="Times New Roman"/>
          <w:color w:val="auto"/>
          <w:kern w:val="2"/>
          <w:sz w:val="21"/>
          <w:szCs w:val="21"/>
          <w:highlight w:val="none"/>
          <w:lang w:val="en-US" w:eastAsia="zh-CN" w:bidi="ar-SA"/>
        </w:rPr>
        <w:t>10</w:t>
      </w:r>
      <w:r>
        <w:rPr>
          <w:rFonts w:hint="eastAsia" w:ascii="宋体" w:hAnsi="宋体" w:eastAsia="宋体" w:cs="Times New Roman"/>
          <w:color w:val="auto"/>
          <w:kern w:val="2"/>
          <w:sz w:val="21"/>
          <w:szCs w:val="21"/>
          <w:highlight w:val="none"/>
          <w:lang w:val="en-US" w:eastAsia="zh-CN" w:bidi="ar-SA"/>
        </w:rPr>
        <w:t>日内免费补齐货物，否则视为逾期供货。</w:t>
      </w:r>
    </w:p>
    <w:p w14:paraId="713D5AA3">
      <w:pPr>
        <w:tabs>
          <w:tab w:val="left" w:pos="0"/>
        </w:tabs>
        <w:adjustRightInd w:val="0"/>
        <w:snapToGrid w:val="0"/>
        <w:spacing w:line="360" w:lineRule="auto"/>
        <w:ind w:firstLine="420" w:firstLineChars="200"/>
        <w:textAlignment w:val="baseline"/>
        <w:rPr>
          <w:rFonts w:hint="eastAsia" w:ascii="宋体" w:hAnsi="宋体" w:eastAsia="宋体" w:cs="Times New Roman"/>
          <w:color w:val="auto"/>
          <w:kern w:val="2"/>
          <w:sz w:val="21"/>
          <w:szCs w:val="21"/>
          <w:highlight w:val="none"/>
          <w:lang w:val="en-US" w:eastAsia="zh-CN" w:bidi="ar-SA"/>
        </w:rPr>
      </w:pPr>
    </w:p>
    <w:p w14:paraId="0AE9E80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73" w:name="_Toc24585"/>
      <w:bookmarkStart w:id="574" w:name="_Toc12793"/>
      <w:bookmarkStart w:id="575" w:name="_Toc13975"/>
      <w:bookmarkStart w:id="576" w:name="_Toc24131"/>
      <w:r>
        <w:rPr>
          <w:rFonts w:hint="eastAsia" w:ascii="宋体" w:hAnsi="宋体" w:eastAsia="宋体" w:cs="宋体"/>
          <w:b/>
          <w:color w:val="auto"/>
          <w:szCs w:val="21"/>
          <w:highlight w:val="none"/>
        </w:rPr>
        <w:t>第三条 合同组成</w:t>
      </w:r>
      <w:bookmarkEnd w:id="573"/>
      <w:bookmarkEnd w:id="574"/>
      <w:bookmarkEnd w:id="575"/>
      <w:bookmarkEnd w:id="576"/>
    </w:p>
    <w:p w14:paraId="3498A9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含用户需求书）、答疑文件、投标文件及相关承诺、协议等均为本合同不可分割之一部分，与本合同同具法律效力，该等文件与本合同正文约定不一致的，以</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合同正文约定为准，本合同正文未约定的，前述该等文件有约定的，按该等文件执行。</w:t>
      </w:r>
    </w:p>
    <w:p w14:paraId="7DA7371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558E42C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77" w:name="_Toc22131"/>
      <w:bookmarkStart w:id="578" w:name="_Toc8886"/>
      <w:bookmarkStart w:id="579" w:name="_Toc29658"/>
      <w:bookmarkStart w:id="580" w:name="_Toc1838"/>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包装、运输与装卸</w:t>
      </w:r>
      <w:bookmarkEnd w:id="577"/>
      <w:bookmarkEnd w:id="578"/>
      <w:bookmarkEnd w:id="579"/>
      <w:bookmarkEnd w:id="580"/>
    </w:p>
    <w:p w14:paraId="2650F3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1、本合同项下货物的包装均应有良好的防湿、防锈、防潮、防雨、防腐及防碰撞的措施</w:t>
      </w:r>
      <w:r>
        <w:rPr>
          <w:rFonts w:hint="eastAsia" w:ascii="宋体" w:hAnsi="宋体" w:eastAsia="宋体" w:cs="宋体"/>
          <w:color w:val="auto"/>
          <w:szCs w:val="21"/>
          <w:highlight w:val="none"/>
          <w:lang w:eastAsia="zh-CN"/>
        </w:rPr>
        <w:t>，符合国家、行业相关标准</w:t>
      </w:r>
      <w:r>
        <w:rPr>
          <w:rFonts w:hint="eastAsia" w:ascii="宋体" w:hAnsi="宋体" w:eastAsia="宋体" w:cs="宋体"/>
          <w:color w:val="auto"/>
          <w:szCs w:val="21"/>
          <w:highlight w:val="none"/>
          <w:lang w:val="en-US" w:eastAsia="zh-CN"/>
        </w:rPr>
        <w:t>以及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用户需求书</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lang w:eastAsia="zh-CN"/>
        </w:rPr>
        <w:t>规定</w:t>
      </w:r>
      <w:r>
        <w:rPr>
          <w:rFonts w:hint="eastAsia" w:ascii="宋体" w:hAnsi="宋体" w:eastAsia="宋体" w:cs="宋体"/>
          <w:color w:val="auto"/>
          <w:szCs w:val="21"/>
          <w:highlight w:val="none"/>
        </w:rPr>
        <w:t>。</w:t>
      </w:r>
    </w:p>
    <w:p w14:paraId="1B8CC7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应附有合格证</w:t>
      </w:r>
      <w:r>
        <w:rPr>
          <w:rFonts w:hint="eastAsia" w:ascii="宋体" w:hAnsi="宋体" w:eastAsia="宋体" w:cs="Times New Roman"/>
          <w:color w:val="auto"/>
          <w:szCs w:val="21"/>
          <w:highlight w:val="none"/>
          <w:lang w:eastAsia="zh-CN"/>
        </w:rPr>
        <w:t>及</w:t>
      </w:r>
      <w:r>
        <w:rPr>
          <w:rFonts w:hint="eastAsia" w:ascii="宋体" w:hAnsi="宋体" w:eastAsia="宋体" w:cs="Times New Roman"/>
          <w:color w:val="auto"/>
          <w:szCs w:val="21"/>
          <w:highlight w:val="none"/>
          <w:lang w:val="en-US" w:eastAsia="zh-CN"/>
        </w:rPr>
        <w:t>检定合格证（标签或证书）或校准证书</w:t>
      </w:r>
      <w:r>
        <w:rPr>
          <w:rFonts w:hint="eastAsia" w:ascii="宋体" w:hAnsi="宋体" w:eastAsia="宋体" w:cs="宋体"/>
          <w:color w:val="auto"/>
          <w:szCs w:val="21"/>
          <w:highlight w:val="none"/>
        </w:rPr>
        <w:t>。</w:t>
      </w:r>
    </w:p>
    <w:p w14:paraId="7D7C05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、各种设备的松散零星部件应采用可靠安全的包装方式，装入尺寸适当的箱内，并尽可能整车发运。栅格式箱子或类似的包装，只能用于盛装不至于被偷窃或被其他物品或雨水造成损坏的设备及零部件。</w:t>
      </w:r>
    </w:p>
    <w:p w14:paraId="33CEFF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乙方负责选择安全、合规的运输方式，将货物运至甲方指定地点，运输过程中的一切风险（含毁损、灭失、延误）由乙方承担；货物到达交货地点后的吊卸、搬运费用由乙方承担，乙方应确保装卸过程规范，避免货物损坏；运输、装卸过程中发生货物损坏、短缺的，乙方应在甲方通知后7日内免费补货或更换，逾期未补的，视为逾期交货，按本合同约定承担违约责任</w:t>
      </w:r>
      <w:r>
        <w:rPr>
          <w:rFonts w:hint="eastAsia" w:ascii="宋体" w:hAnsi="宋体" w:eastAsia="宋体" w:cs="宋体"/>
          <w:color w:val="auto"/>
          <w:szCs w:val="21"/>
          <w:highlight w:val="none"/>
        </w:rPr>
        <w:t>。</w:t>
      </w:r>
    </w:p>
    <w:p w14:paraId="35E83A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因乙方运输方式违法导致货物被查处、扣押或产生行政处罚的，由乙方承担全部责任（含罚款、货物损失、交货延误损失等），甲方有权解除合同或要求乙方重新供货。</w:t>
      </w:r>
    </w:p>
    <w:p w14:paraId="4E0E75C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467696D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81" w:name="_Toc31837"/>
      <w:bookmarkStart w:id="582" w:name="_Toc11499"/>
      <w:bookmarkStart w:id="583" w:name="_Toc28580"/>
      <w:bookmarkStart w:id="584" w:name="_Toc6517"/>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保险</w:t>
      </w:r>
      <w:bookmarkEnd w:id="581"/>
      <w:bookmarkEnd w:id="582"/>
      <w:bookmarkEnd w:id="583"/>
      <w:bookmarkEnd w:id="584"/>
    </w:p>
    <w:p w14:paraId="28F0BDDD">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乙方应负责为本合同项下所有货物购买相应的商业保险，保险费已包含在合同价中。如因乙方未能投保或保险人不予承担相应责任而货物在经甲方验收合格前的运输、装卸等过程中发生毁损、灭失的风险由乙方自行承担。</w:t>
      </w:r>
    </w:p>
    <w:p w14:paraId="001CA9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一旦上述货物发生保险事故，乙方除依法向保险人请求赔偿保险金外，应继续依约向甲方提供满足项目要求的货物，由此造成</w:t>
      </w:r>
      <w:r>
        <w:rPr>
          <w:rFonts w:hint="eastAsia" w:ascii="宋体" w:hAnsi="宋体" w:eastAsia="宋体" w:cs="Times New Roman"/>
          <w:color w:val="auto"/>
          <w:szCs w:val="21"/>
          <w:highlight w:val="none"/>
          <w:lang w:val="en-US" w:eastAsia="zh-CN"/>
        </w:rPr>
        <w:t>供</w:t>
      </w:r>
      <w:r>
        <w:rPr>
          <w:rFonts w:hint="eastAsia" w:ascii="宋体" w:hAnsi="宋体" w:eastAsia="宋体" w:cs="Times New Roman"/>
          <w:color w:val="auto"/>
          <w:szCs w:val="21"/>
          <w:highlight w:val="none"/>
        </w:rPr>
        <w:t>货延误的，乙方应按合同约定承担违约责任</w:t>
      </w:r>
      <w:r>
        <w:rPr>
          <w:rFonts w:hint="eastAsia" w:ascii="宋体" w:hAnsi="宋体" w:eastAsia="宋体" w:cs="宋体"/>
          <w:color w:val="auto"/>
          <w:szCs w:val="21"/>
          <w:highlight w:val="none"/>
        </w:rPr>
        <w:t>。</w:t>
      </w:r>
    </w:p>
    <w:p w14:paraId="088DF52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rPr>
      </w:pPr>
    </w:p>
    <w:p w14:paraId="6E85A84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85" w:name="_Toc15721"/>
      <w:bookmarkStart w:id="586" w:name="_Toc14289"/>
      <w:bookmarkStart w:id="587" w:name="_Toc14964"/>
      <w:bookmarkStart w:id="588" w:name="_Toc18898"/>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 xml:space="preserve">条 </w:t>
      </w:r>
      <w:r>
        <w:rPr>
          <w:rFonts w:hint="eastAsia" w:ascii="宋体" w:hAnsi="宋体" w:eastAsia="宋体" w:cs="宋体"/>
          <w:b/>
          <w:color w:val="auto"/>
          <w:szCs w:val="21"/>
          <w:highlight w:val="none"/>
          <w:lang w:val="en-US" w:eastAsia="zh-CN"/>
        </w:rPr>
        <w:t>供</w:t>
      </w:r>
      <w:r>
        <w:rPr>
          <w:rFonts w:hint="eastAsia" w:ascii="宋体" w:hAnsi="宋体" w:eastAsia="宋体" w:cs="宋体"/>
          <w:b/>
          <w:color w:val="auto"/>
          <w:szCs w:val="21"/>
          <w:highlight w:val="none"/>
        </w:rPr>
        <w:t>货约定</w:t>
      </w:r>
      <w:bookmarkEnd w:id="585"/>
      <w:bookmarkEnd w:id="586"/>
      <w:bookmarkEnd w:id="587"/>
      <w:bookmarkEnd w:id="588"/>
    </w:p>
    <w:p w14:paraId="33D0692F">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b w:val="0"/>
          <w:bCs w:val="0"/>
          <w:color w:val="auto"/>
          <w:sz w:val="21"/>
          <w:szCs w:val="21"/>
          <w:highlight w:val="none"/>
          <w:lang w:val="en-US" w:eastAsia="zh-CN"/>
        </w:rPr>
        <w:t>供货流程</w:t>
      </w:r>
      <w:r>
        <w:rPr>
          <w:rFonts w:hint="eastAsia" w:ascii="宋体" w:hAnsi="宋体" w:eastAsia="宋体" w:cs="Times New Roman"/>
          <w:b w:val="0"/>
          <w:bCs w:val="0"/>
          <w:color w:val="auto"/>
          <w:sz w:val="21"/>
          <w:szCs w:val="21"/>
          <w:highlight w:val="none"/>
        </w:rPr>
        <w:t>：甲方</w:t>
      </w:r>
      <w:r>
        <w:rPr>
          <w:rFonts w:hint="eastAsia" w:ascii="宋体" w:hAnsi="宋体" w:eastAsia="宋体" w:cs="Times New Roman"/>
          <w:b w:val="0"/>
          <w:bCs w:val="0"/>
          <w:color w:val="auto"/>
          <w:sz w:val="21"/>
          <w:szCs w:val="21"/>
          <w:highlight w:val="none"/>
          <w:lang w:val="en-US" w:eastAsia="zh-CN"/>
        </w:rPr>
        <w:t>按批次向乙方下达《</w:t>
      </w:r>
      <w:r>
        <w:rPr>
          <w:rFonts w:hint="eastAsia" w:ascii="宋体" w:hAnsi="宋体" w:eastAsia="宋体" w:cs="Times New Roman"/>
          <w:b w:val="0"/>
          <w:bCs w:val="0"/>
          <w:color w:val="auto"/>
          <w:sz w:val="21"/>
          <w:szCs w:val="21"/>
          <w:highlight w:val="none"/>
        </w:rPr>
        <w:t>供货通知</w:t>
      </w:r>
      <w:r>
        <w:rPr>
          <w:rFonts w:hint="eastAsia" w:ascii="宋体" w:hAnsi="宋体" w:eastAsia="宋体" w:cs="Times New Roman"/>
          <w:b w:val="0"/>
          <w:bCs w:val="0"/>
          <w:color w:val="auto"/>
          <w:sz w:val="21"/>
          <w:szCs w:val="21"/>
          <w:highlight w:val="none"/>
          <w:lang w:val="en-US" w:eastAsia="zh-CN"/>
        </w:rPr>
        <w:t>单》</w:t>
      </w:r>
      <w:r>
        <w:rPr>
          <w:rFonts w:hint="eastAsia" w:ascii="宋体" w:hAnsi="宋体" w:eastAsia="宋体" w:cs="Times New Roman"/>
          <w:b w:val="0"/>
          <w:bCs w:val="0"/>
          <w:color w:val="auto"/>
          <w:sz w:val="21"/>
          <w:szCs w:val="21"/>
          <w:highlight w:val="none"/>
        </w:rPr>
        <w:t>，</w:t>
      </w:r>
      <w:r>
        <w:rPr>
          <w:rFonts w:hint="eastAsia" w:ascii="宋体" w:hAnsi="宋体" w:eastAsia="宋体" w:cs="Times New Roman"/>
          <w:b w:val="0"/>
          <w:bCs w:val="0"/>
          <w:color w:val="auto"/>
          <w:sz w:val="21"/>
          <w:szCs w:val="21"/>
          <w:highlight w:val="none"/>
          <w:lang w:val="en-US" w:eastAsia="zh-CN"/>
        </w:rPr>
        <w:t>无论甲方是否支付了该批次的货款含税总价，</w:t>
      </w:r>
      <w:r>
        <w:rPr>
          <w:rFonts w:hint="eastAsia" w:ascii="宋体" w:hAnsi="宋体" w:eastAsia="宋体" w:cs="Times New Roman"/>
          <w:b w:val="0"/>
          <w:bCs w:val="0"/>
          <w:color w:val="auto"/>
          <w:sz w:val="21"/>
          <w:szCs w:val="21"/>
          <w:highlight w:val="none"/>
        </w:rPr>
        <w:t>乙方</w:t>
      </w:r>
      <w:r>
        <w:rPr>
          <w:rFonts w:hint="eastAsia" w:ascii="宋体" w:hAnsi="宋体" w:eastAsia="宋体" w:cs="Times New Roman"/>
          <w:b w:val="0"/>
          <w:bCs w:val="0"/>
          <w:color w:val="auto"/>
          <w:sz w:val="21"/>
          <w:szCs w:val="21"/>
          <w:highlight w:val="none"/>
          <w:lang w:val="en-US" w:eastAsia="zh-CN"/>
        </w:rPr>
        <w:t>均应按照</w:t>
      </w:r>
      <w:r>
        <w:rPr>
          <w:rFonts w:hint="eastAsia" w:ascii="宋体" w:hAnsi="宋体" w:eastAsia="宋体" w:cs="Times New Roman"/>
          <w:b w:val="0"/>
          <w:bCs w:val="0"/>
          <w:color w:val="auto"/>
          <w:sz w:val="21"/>
          <w:szCs w:val="21"/>
          <w:highlight w:val="none"/>
        </w:rPr>
        <w:t>《供货通知单》</w:t>
      </w:r>
      <w:r>
        <w:rPr>
          <w:rFonts w:hint="eastAsia" w:ascii="宋体" w:hAnsi="宋体" w:eastAsia="宋体" w:cs="Times New Roman"/>
          <w:b w:val="0"/>
          <w:bCs w:val="0"/>
          <w:color w:val="auto"/>
          <w:sz w:val="21"/>
          <w:szCs w:val="21"/>
          <w:highlight w:val="none"/>
          <w:lang w:val="en-US" w:eastAsia="zh-CN"/>
        </w:rPr>
        <w:t>上载明的供货期限内完成该批次货物的生产、交付及到货验收。</w:t>
      </w:r>
    </w:p>
    <w:p w14:paraId="7A602ECB">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2、交货地点</w:t>
      </w:r>
      <w:r>
        <w:rPr>
          <w:rFonts w:hint="eastAsia" w:ascii="宋体" w:hAnsi="宋体" w:eastAsia="宋体" w:cs="Times New Roman"/>
          <w:color w:val="auto"/>
          <w:sz w:val="21"/>
          <w:szCs w:val="21"/>
          <w:highlight w:val="none"/>
          <w:lang w:eastAsia="zh-CN"/>
        </w:rPr>
        <w:t>：由《供货通知单》明确具体地址</w:t>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color w:val="auto"/>
          <w:sz w:val="21"/>
          <w:szCs w:val="21"/>
          <w:highlight w:val="none"/>
        </w:rPr>
        <w:t>仓库或项目</w:t>
      </w:r>
      <w:r>
        <w:rPr>
          <w:rFonts w:hint="eastAsia" w:ascii="宋体" w:hAnsi="宋体" w:eastAsia="宋体" w:cs="Times New Roman"/>
          <w:color w:val="auto"/>
          <w:sz w:val="21"/>
          <w:szCs w:val="21"/>
          <w:highlight w:val="none"/>
          <w:lang w:val="en-US" w:eastAsia="zh-CN"/>
        </w:rPr>
        <w:t>现场</w:t>
      </w:r>
      <w:r>
        <w:rPr>
          <w:rFonts w:hint="eastAsia" w:ascii="宋体" w:hAnsi="宋体" w:eastAsia="宋体" w:cs="Times New Roman"/>
          <w:color w:val="auto"/>
          <w:sz w:val="21"/>
          <w:szCs w:val="21"/>
          <w:highlight w:val="none"/>
        </w:rPr>
        <w:t>）。甲方如需变更交货地点，甲方应提前</w:t>
      </w:r>
      <w:r>
        <w:rPr>
          <w:rFonts w:hint="eastAsia" w:ascii="宋体" w:hAnsi="宋体" w:eastAsia="宋体" w:cs="Times New Roman"/>
          <w:color w:val="auto"/>
          <w:sz w:val="21"/>
          <w:szCs w:val="21"/>
          <w:highlight w:val="none"/>
          <w:lang w:val="en-US" w:eastAsia="zh-CN"/>
        </w:rPr>
        <w:t>3日</w:t>
      </w:r>
      <w:r>
        <w:rPr>
          <w:rFonts w:hint="eastAsia" w:ascii="宋体" w:hAnsi="宋体" w:eastAsia="宋体" w:cs="Times New Roman"/>
          <w:color w:val="auto"/>
          <w:sz w:val="21"/>
          <w:szCs w:val="21"/>
          <w:highlight w:val="none"/>
        </w:rPr>
        <w:t>以上通知乙方。乙方负责货物送至</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color w:val="auto"/>
          <w:sz w:val="21"/>
          <w:szCs w:val="21"/>
          <w:highlight w:val="none"/>
        </w:rPr>
        <w:t>地点的吊卸</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搬运，</w:t>
      </w:r>
      <w:r>
        <w:rPr>
          <w:rFonts w:hint="eastAsia" w:ascii="宋体" w:hAnsi="宋体" w:eastAsia="宋体" w:cs="Times New Roman"/>
          <w:color w:val="auto"/>
          <w:sz w:val="21"/>
          <w:szCs w:val="21"/>
          <w:highlight w:val="none"/>
        </w:rPr>
        <w:t>费用</w:t>
      </w:r>
      <w:r>
        <w:rPr>
          <w:rFonts w:hint="eastAsia" w:ascii="宋体" w:hAnsi="宋体" w:eastAsia="宋体" w:cs="Times New Roman"/>
          <w:color w:val="auto"/>
          <w:sz w:val="21"/>
          <w:szCs w:val="21"/>
          <w:highlight w:val="none"/>
          <w:lang w:val="en-US" w:eastAsia="zh-CN"/>
        </w:rPr>
        <w:t>已包含在合同价中</w:t>
      </w:r>
      <w:r>
        <w:rPr>
          <w:rFonts w:hint="eastAsia" w:ascii="宋体" w:hAnsi="宋体" w:eastAsia="宋体" w:cs="Times New Roman"/>
          <w:color w:val="auto"/>
          <w:sz w:val="21"/>
          <w:szCs w:val="21"/>
          <w:highlight w:val="none"/>
        </w:rPr>
        <w:t>。</w:t>
      </w:r>
    </w:p>
    <w:p w14:paraId="4BCD32F6">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3、风险转移：</w:t>
      </w:r>
      <w:r>
        <w:rPr>
          <w:rFonts w:hint="eastAsia" w:ascii="宋体" w:hAnsi="宋体" w:eastAsia="宋体" w:cs="Times New Roman"/>
          <w:color w:val="auto"/>
          <w:sz w:val="21"/>
          <w:szCs w:val="21"/>
          <w:highlight w:val="none"/>
        </w:rPr>
        <w:t>货物经甲乙双方签署《</w:t>
      </w:r>
      <w:r>
        <w:rPr>
          <w:rFonts w:hint="eastAsia" w:ascii="宋体" w:hAnsi="宋体" w:eastAsia="宋体" w:cs="Times New Roman"/>
          <w:color w:val="auto"/>
          <w:sz w:val="21"/>
          <w:szCs w:val="21"/>
          <w:highlight w:val="none"/>
          <w:lang w:val="en-US" w:eastAsia="zh-CN"/>
        </w:rPr>
        <w:t>货物</w:t>
      </w:r>
      <w:r>
        <w:rPr>
          <w:rFonts w:hint="eastAsia" w:ascii="宋体" w:hAnsi="宋体" w:eastAsia="宋体" w:cs="Times New Roman"/>
          <w:color w:val="auto"/>
          <w:sz w:val="21"/>
          <w:szCs w:val="21"/>
          <w:highlight w:val="none"/>
        </w:rPr>
        <w:t>到货验收表》后，风险转移至甲方；验收合格前的毁损、灭失风险及相关费用，由乙方承担。</w:t>
      </w:r>
    </w:p>
    <w:p w14:paraId="04F084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p>
    <w:p w14:paraId="10DA66A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89" w:name="_Toc13261"/>
      <w:bookmarkStart w:id="590" w:name="_Toc18944"/>
      <w:bookmarkStart w:id="591" w:name="_Toc19555"/>
      <w:bookmarkStart w:id="592" w:name="_Toc30758"/>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 xml:space="preserve">条 </w:t>
      </w:r>
      <w:r>
        <w:rPr>
          <w:rFonts w:hint="eastAsia" w:ascii="宋体" w:hAnsi="宋体" w:eastAsia="宋体" w:cs="宋体"/>
          <w:b/>
          <w:color w:val="auto"/>
          <w:szCs w:val="21"/>
          <w:highlight w:val="none"/>
          <w:lang w:val="en-US" w:eastAsia="zh-CN"/>
        </w:rPr>
        <w:t>到货</w:t>
      </w:r>
      <w:r>
        <w:rPr>
          <w:rFonts w:hint="eastAsia" w:ascii="宋体" w:hAnsi="宋体" w:eastAsia="宋体" w:cs="宋体"/>
          <w:b/>
          <w:color w:val="auto"/>
          <w:szCs w:val="21"/>
          <w:highlight w:val="none"/>
        </w:rPr>
        <w:t>验收</w:t>
      </w:r>
      <w:bookmarkEnd w:id="589"/>
      <w:bookmarkEnd w:id="590"/>
      <w:bookmarkEnd w:id="591"/>
      <w:bookmarkEnd w:id="592"/>
    </w:p>
    <w:p w14:paraId="4B1C8C6D">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1、验收依据：本合同、《用户需求书》、国家及行业标准、乙方投标文件承诺、甲方下达的《供货通知单》。</w:t>
      </w:r>
    </w:p>
    <w:p w14:paraId="64C6F803">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2、乙方须提交水表对应的由东莞地区法定计量检定机构出具的水表检定合格证书（标签或证书）或校准证书，对证书的真实性、准确性负责。未提交或提交虚假、无效证书的，甲方有权拒收，视为乙方违约。</w:t>
      </w:r>
    </w:p>
    <w:p w14:paraId="47B556A3">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3、到货验收流程：</w:t>
      </w:r>
    </w:p>
    <w:p w14:paraId="19C64200">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（1）单次到货验收：乙方按《供货通知单》列明的供货需求，将检定合格或校准的水表运输至甲方指定地点，在货物送达后即时开展验收：</w:t>
      </w:r>
    </w:p>
    <w:p w14:paraId="2AAD3688">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①数量核对：核查到货水表数量与《供货通知单》《送货单》是否一致，无短缺、错发情形；</w:t>
      </w:r>
    </w:p>
    <w:p w14:paraId="6BE1B372">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外观及参数检查：确认水表外壳无破损、印刷的“东莞水务环境集团供水公司L0G0+客服热线96968”字样清晰，指示装置或铭牌上的计量参数、流向箭头、公称口径、制造年月和编号等信息完整准确，符合《用户需求书》2.2.6条要求；</w:t>
      </w:r>
    </w:p>
    <w:p w14:paraId="5100689B">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③检定复核：查验是否附上东莞地区法定计量检定机构出具的水表检定合格证书（标签或证书）或校准证书；</w:t>
      </w:r>
    </w:p>
    <w:p w14:paraId="46EE994B">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④签署凭证：经检查全部符合要求的，签署《送货单》及《货物到货验收表》，作为对应货物验收合格的依据；不符合要求的，甲方有权拒收，乙方应在7日内免费更换或补齐。</w:t>
      </w:r>
    </w:p>
    <w:p w14:paraId="083D3CB6">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（2）批次整体到货验收：当《供货通知单》列明的全部货物均完成到货验收，且向甲方提交签署完毕的该批次项下全部货物的《送货单》及《货物到货验收表》后，该批次供货视为完成整体到货验收。</w:t>
      </w:r>
    </w:p>
    <w:p w14:paraId="5BD8B6AF">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4、不合格处理：</w:t>
      </w:r>
    </w:p>
    <w:p w14:paraId="3D9A10DB">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（1）验收发现货物短缺、破损、规格不符、参数错误，乙方应在甲方要求的期限内免费补齐、更换，并承担往返运输费、复检费；</w:t>
      </w:r>
    </w:p>
    <w:p w14:paraId="7AEA1360">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（2）乙方逾期未补齐、更换或更换后仍不合格的，视为该批次逾期供货，按本合同合同约定执行；</w:t>
      </w:r>
    </w:p>
    <w:p w14:paraId="11749E19">
      <w:pPr>
        <w:adjustRightInd w:val="0"/>
        <w:snapToGrid w:val="0"/>
        <w:spacing w:line="360" w:lineRule="auto"/>
        <w:ind w:firstLine="371" w:firstLineChars="177"/>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（3）验收过程中产生的所有检验费用（含抽检、复检、鉴定费），均由乙方承担。</w:t>
      </w:r>
    </w:p>
    <w:p w14:paraId="659B6ACB">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宋体"/>
          <w:b w:val="0"/>
          <w:bCs w:val="0"/>
          <w:color w:val="auto"/>
          <w:sz w:val="21"/>
          <w:szCs w:val="21"/>
          <w:highlight w:val="none"/>
          <w:lang w:val="en-US" w:eastAsia="zh-CN"/>
        </w:rPr>
        <w:t>5、甲方已签署《货物到货验收表》仅代表对验收表上载明的货物数量、规格、型号、外观及检定合格或校准的确认，若在使用中甲方发现货物存在质量缺陷，甲方仍有权依据《用户需求书》技术要求及本合同其他相关规定，向乙方主张维修、更换、承担违约金及损失赔偿的权利。</w:t>
      </w:r>
    </w:p>
    <w:p w14:paraId="0DB02B5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Cs w:val="21"/>
          <w:highlight w:val="none"/>
        </w:rPr>
      </w:pPr>
    </w:p>
    <w:p w14:paraId="2B6C7D7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593" w:name="_Toc1538"/>
      <w:bookmarkStart w:id="594" w:name="_Toc19814"/>
      <w:bookmarkStart w:id="595" w:name="_Toc11394"/>
      <w:bookmarkStart w:id="596" w:name="_Toc9112"/>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 xml:space="preserve">条 </w:t>
      </w:r>
      <w:r>
        <w:rPr>
          <w:rFonts w:hint="eastAsia" w:ascii="宋体" w:hAnsi="宋体" w:eastAsia="宋体" w:cs="宋体"/>
          <w:b/>
          <w:color w:val="auto"/>
          <w:szCs w:val="21"/>
          <w:highlight w:val="none"/>
          <w:lang w:val="en-US" w:eastAsia="zh-CN"/>
        </w:rPr>
        <w:t>货款</w:t>
      </w:r>
      <w:r>
        <w:rPr>
          <w:rFonts w:hint="eastAsia" w:ascii="宋体" w:hAnsi="宋体" w:eastAsia="宋体" w:cs="宋体"/>
          <w:b/>
          <w:color w:val="auto"/>
          <w:szCs w:val="21"/>
          <w:highlight w:val="none"/>
        </w:rPr>
        <w:t>支付</w:t>
      </w:r>
      <w:bookmarkEnd w:id="593"/>
      <w:bookmarkEnd w:id="594"/>
      <w:bookmarkEnd w:id="595"/>
      <w:bookmarkEnd w:id="596"/>
    </w:p>
    <w:p w14:paraId="1449CB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甲方发出单笔《供货通知单》后，在收到乙方按本合同约定提供与本批次货款含税总价等额的供货担保（银行独立保函或现金担保）并经甲方审核合格后30个工作日内，甲方支付至该批次货物货款含税总价的100%。</w:t>
      </w:r>
    </w:p>
    <w:p w14:paraId="441633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2、供货担保要求（优先银行独立保函，现金担保为补充）：</w:t>
      </w:r>
    </w:p>
    <w:p w14:paraId="5B38B5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银行独立保函：乙方应在甲方支付该批次货款前，向甲方提交与《供货通知单》载明的含税总价等额的、不可撤销的见索即付型独立保函。保函需由国有商业银行、全国性股份制商业银行开立，受益人为甲方，担保范围包括乙方按《供货通知单》约定按时足量供货、货物质量合格及履行本合同项下其他义务，保函有效期至该批次货物全部验收合格后28日。双方确认，因发票开具四舍五入导致实际支付金额与保函存在差额的，不影响保函效力，该保函仍对该批次全部供货义务承担担保责任。</w:t>
      </w:r>
    </w:p>
    <w:p w14:paraId="1262B6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现金担保：若乙方确因客观原因无法按时开具上述银行独立保函，可向甲方提交书面现金担保申请，经甲方书面同意后，乙方应在甲方付款前将与《供货通知单》载明的含税总价等额的现金转入甲方指定账户。该笔现金作为该批次供货的供货担保，甲方仅作存储，不作他用；因发票开具四舍五入导致实际支付金额与现金担保金额存在差额的，不影响担保效力，待该批次货物全部验收合格后28日内，甲方按现金担保原金额全额无息返还至乙方指定账户。</w:t>
      </w:r>
    </w:p>
    <w:p w14:paraId="5C53E4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特殊情况：如乙方提供现金担保后能够补充提供银行独立保函的，乙方可向甲方提出申请退还现金担保并转成由银行独立保函进行供货担保，经甲方同意后，甲方按现金担保原金额全额无息返还至乙方指定账户。</w:t>
      </w:r>
    </w:p>
    <w:p w14:paraId="220F87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3、支付流程：</w:t>
      </w:r>
    </w:p>
    <w:p w14:paraId="7AADAB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乙方完成担保提交（提供符合本合同约定的银行独立保函审核通过或现金担保足额到账）后，应向甲方出具付款申请及与该批次货物实际结算金额一致的合法有效增值税普通发票（发票金额按国家税收相关规定四舍五入保留小数点后两位）；</w:t>
      </w:r>
    </w:p>
    <w:p w14:paraId="3143A7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（2）甲方收到上述全部资料并审核无误后，按发票载明的含税金额全额支付至乙方指定银行账户（该金额与《供货通知单》含税总价存在差额的为四舍五入所致，视为双方无争议）；</w:t>
      </w:r>
    </w:p>
    <w:p w14:paraId="68B772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（3）乙方账户信息发生变更的，应提前15日书面通知甲方并提供有效证明，未及时通知导致付款失败或延误的，责任由乙方承担，甲方不构成违约。</w:t>
      </w:r>
    </w:p>
    <w:p w14:paraId="6B83A4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4、担保处置与返还：</w:t>
      </w:r>
    </w:p>
    <w:p w14:paraId="080139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银行独立保函：该批次货物全部验收合格后28日，独立保函自动失效；若乙方未按《供货通知单》的约定供货且未按甲方要求改正的，甲方有权依据保函约定直接向开立银行索赔，索赔金额为乙方未按《供货通知单》约定供货对应的货款结算价。</w:t>
      </w:r>
    </w:p>
    <w:p w14:paraId="33FD7BE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现金担保：该批次货物全部验收合格后28日内或乙方重新提供该批次货物的银行独立保函，甲方按乙方原转入的现金担保金额全额无息返还；若乙方未按《供货通知单》的约定供货且未按甲方要求改正的，甲方有权从该笔现金担保中直接扣除乙方未按《供货通知单》约定供货对应的货款结算价，扣除后剩余部分无息返还。</w:t>
      </w:r>
    </w:p>
    <w:p w14:paraId="41523F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5、特殊情形处理：</w:t>
      </w:r>
    </w:p>
    <w:p w14:paraId="534380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（1）因资金支付政策调整导致甲方付款时间变化的，甲方应在供货前通知乙方，付款时间相应调整，不视为甲方违约；</w:t>
      </w:r>
    </w:p>
    <w:p w14:paraId="67550C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val="en-US" w:eastAsia="zh-CN"/>
        </w:rPr>
        <w:t>（2）乙方提交的银行独立保函不符合本合同约定（如开立银行资质不符、金额不足等）或现金未按时足额到账的，甲方有权暂缓支付该批次货款</w:t>
      </w:r>
      <w:r>
        <w:rPr>
          <w:rFonts w:hint="eastAsia" w:ascii="宋体" w:hAnsi="宋体" w:eastAsia="宋体" w:cs="Times New Roman"/>
          <w:color w:val="auto"/>
          <w:sz w:val="21"/>
          <w:szCs w:val="21"/>
          <w:highlight w:val="none"/>
        </w:rPr>
        <w:t>。</w:t>
      </w:r>
    </w:p>
    <w:p w14:paraId="75AC191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2" w:firstLineChars="200"/>
        <w:jc w:val="both"/>
        <w:textAlignment w:val="baseline"/>
        <w:outlineLvl w:val="9"/>
        <w:rPr>
          <w:rFonts w:hint="eastAsia" w:ascii="宋体" w:hAnsi="宋体" w:eastAsia="宋体" w:cs="宋体"/>
          <w:b/>
          <w:color w:val="auto"/>
          <w:kern w:val="2"/>
          <w:sz w:val="21"/>
          <w:szCs w:val="21"/>
          <w:highlight w:val="none"/>
          <w:lang w:val="en-US" w:eastAsia="zh-CN" w:bidi="ar-SA"/>
        </w:rPr>
      </w:pPr>
    </w:p>
    <w:p w14:paraId="2D18A6B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2" w:firstLineChars="200"/>
        <w:jc w:val="both"/>
        <w:textAlignment w:val="baseline"/>
        <w:outlineLvl w:val="1"/>
        <w:rPr>
          <w:rFonts w:hint="eastAsia" w:ascii="宋体" w:hAnsi="宋体" w:eastAsia="宋体" w:cs="宋体"/>
          <w:b/>
          <w:color w:val="auto"/>
          <w:kern w:val="2"/>
          <w:sz w:val="21"/>
          <w:szCs w:val="21"/>
          <w:highlight w:val="none"/>
          <w:lang w:val="en-US" w:eastAsia="zh-CN" w:bidi="ar-SA"/>
        </w:rPr>
      </w:pPr>
      <w:bookmarkStart w:id="597" w:name="_Toc17698"/>
      <w:bookmarkStart w:id="598" w:name="_Toc15126"/>
      <w:bookmarkStart w:id="599" w:name="_Toc9528"/>
      <w:bookmarkStart w:id="600" w:name="_Toc25793"/>
      <w:r>
        <w:rPr>
          <w:rFonts w:hint="eastAsia" w:ascii="宋体" w:hAnsi="宋体" w:eastAsia="宋体" w:cs="宋体"/>
          <w:b/>
          <w:color w:val="auto"/>
          <w:kern w:val="2"/>
          <w:sz w:val="21"/>
          <w:szCs w:val="21"/>
          <w:highlight w:val="none"/>
          <w:lang w:val="en-US" w:eastAsia="zh-CN" w:bidi="ar-SA"/>
        </w:rPr>
        <w:t>第九条 技术服务和培训</w:t>
      </w:r>
      <w:bookmarkEnd w:id="597"/>
      <w:bookmarkEnd w:id="598"/>
      <w:bookmarkEnd w:id="599"/>
      <w:bookmarkEnd w:id="600"/>
    </w:p>
    <w:p w14:paraId="1F6CED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1、技术服务</w:t>
      </w:r>
    </w:p>
    <w:p w14:paraId="76DE7F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（1）乙方应及时提供与本合同</w:t>
      </w:r>
      <w:r>
        <w:rPr>
          <w:rFonts w:hint="eastAsia" w:ascii="宋体" w:hAnsi="宋体" w:eastAsia="宋体" w:cs="宋体"/>
          <w:color w:val="auto"/>
          <w:szCs w:val="21"/>
          <w:highlight w:val="none"/>
          <w:lang w:val="en-US" w:eastAsia="zh-CN"/>
        </w:rPr>
        <w:t>计量仪表</w:t>
      </w:r>
      <w:r>
        <w:rPr>
          <w:rFonts w:hint="eastAsia" w:ascii="宋体" w:hAnsi="宋体" w:eastAsia="宋体" w:cs="宋体"/>
          <w:color w:val="auto"/>
          <w:szCs w:val="21"/>
          <w:highlight w:val="none"/>
        </w:rPr>
        <w:t>有关的验收、</w:t>
      </w:r>
      <w:r>
        <w:rPr>
          <w:rFonts w:hint="eastAsia" w:ascii="宋体" w:hAnsi="宋体" w:eastAsia="宋体" w:cs="宋体"/>
          <w:color w:val="auto"/>
          <w:szCs w:val="21"/>
          <w:highlight w:val="none"/>
          <w:lang w:val="en-US" w:eastAsia="zh-CN"/>
        </w:rPr>
        <w:t>远传调试、使用及</w:t>
      </w:r>
      <w:r>
        <w:rPr>
          <w:rFonts w:hint="eastAsia" w:ascii="宋体" w:hAnsi="宋体" w:eastAsia="宋体" w:cs="宋体"/>
          <w:color w:val="auto"/>
          <w:szCs w:val="21"/>
          <w:highlight w:val="none"/>
        </w:rPr>
        <w:t>检修等相应的技术指导、技术配合、技术培训。</w:t>
      </w:r>
    </w:p>
    <w:p w14:paraId="6B2EA6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（2）甲方有权将乙方所提供的一切与本合同</w:t>
      </w:r>
      <w:r>
        <w:rPr>
          <w:rFonts w:hint="eastAsia" w:ascii="宋体" w:hAnsi="宋体" w:eastAsia="宋体" w:cs="宋体"/>
          <w:color w:val="auto"/>
          <w:szCs w:val="21"/>
          <w:highlight w:val="none"/>
          <w:lang w:val="en-US" w:eastAsia="zh-CN"/>
        </w:rPr>
        <w:t>计量仪表</w:t>
      </w:r>
      <w:r>
        <w:rPr>
          <w:rFonts w:hint="eastAsia" w:ascii="宋体" w:hAnsi="宋体" w:eastAsia="宋体" w:cs="宋体"/>
          <w:color w:val="auto"/>
          <w:szCs w:val="21"/>
          <w:highlight w:val="none"/>
        </w:rPr>
        <w:t>有关的资料分发给与本项目有关的各方，并不由此而构成任何侵权，亦无需事先取得乙方的同意，但双方不得向任何与本项目无关的第三方提供。</w:t>
      </w:r>
    </w:p>
    <w:p w14:paraId="5A3F2F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（3）乙方须对一切与本合同有关（包括外购）的供货、</w:t>
      </w:r>
      <w:r>
        <w:rPr>
          <w:rFonts w:hint="eastAsia" w:ascii="宋体" w:hAnsi="宋体" w:eastAsia="宋体" w:cs="宋体"/>
          <w:color w:val="auto"/>
          <w:szCs w:val="21"/>
          <w:highlight w:val="none"/>
          <w:lang w:val="en-US" w:eastAsia="zh-CN"/>
        </w:rPr>
        <w:t>仪表</w:t>
      </w:r>
      <w:r>
        <w:rPr>
          <w:rFonts w:hint="eastAsia" w:ascii="宋体" w:hAnsi="宋体" w:eastAsia="宋体" w:cs="宋体"/>
          <w:color w:val="auto"/>
          <w:szCs w:val="21"/>
          <w:highlight w:val="none"/>
        </w:rPr>
        <w:t>及技术接口、技术服务等问题负全部责任。凡与本合同设备相连接的其它设备装置，乙方有提供接口和技术配合的义务，并不由此而向甲方主张发生合同价格以外的任何费用。</w:t>
      </w:r>
    </w:p>
    <w:p w14:paraId="76BA9B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（4）由于乙方未按要求派人指导而造成的直接损失应由乙方负责。造成甲方损失的，乙方需足额赔偿。</w:t>
      </w:r>
    </w:p>
    <w:p w14:paraId="0805A5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2、人员培训</w:t>
      </w:r>
    </w:p>
    <w:p w14:paraId="422E0B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当甲方提出培训需求时，</w:t>
      </w:r>
      <w:r>
        <w:rPr>
          <w:rFonts w:hint="eastAsia" w:ascii="宋体" w:hAnsi="宋体" w:eastAsia="宋体" w:cs="宋体"/>
          <w:color w:val="auto"/>
          <w:szCs w:val="21"/>
          <w:highlight w:val="none"/>
        </w:rPr>
        <w:t>乙方为甲方免费提供操作及维护培训，主要内容为货物的基本结构、性能、主要部件的构造及原理，日常使用操作、保养与管理，常见故障的原因分析与排除，紧急情况的处理等。培训费用由乙方承担，该费用已包含在合同价中。</w:t>
      </w:r>
    </w:p>
    <w:p w14:paraId="7010CFD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40484C7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601" w:name="_Toc23521"/>
      <w:bookmarkStart w:id="602" w:name="_Toc17494"/>
      <w:bookmarkStart w:id="603" w:name="_Toc16493"/>
      <w:bookmarkStart w:id="604" w:name="_Toc7966"/>
      <w:r>
        <w:rPr>
          <w:rFonts w:hint="eastAsia" w:ascii="宋体" w:hAnsi="宋体" w:eastAsia="宋体" w:cs="宋体"/>
          <w:b/>
          <w:color w:val="auto"/>
          <w:szCs w:val="21"/>
          <w:highlight w:val="none"/>
        </w:rPr>
        <w:t>第十条 履约担保</w:t>
      </w:r>
      <w:bookmarkEnd w:id="601"/>
      <w:bookmarkEnd w:id="602"/>
      <w:bookmarkEnd w:id="603"/>
      <w:bookmarkEnd w:id="604"/>
    </w:p>
    <w:p w14:paraId="07C4FB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w:t>
      </w:r>
      <w:r>
        <w:rPr>
          <w:rFonts w:hint="eastAsia" w:ascii="宋体" w:hAnsi="宋体" w:eastAsia="宋体" w:cs="宋体"/>
          <w:color w:val="auto"/>
          <w:szCs w:val="21"/>
          <w:highlight w:val="none"/>
          <w:lang w:eastAsia="zh-CN"/>
        </w:rPr>
        <w:t>（计算结果保留小数点后两位，第三位四舍五入）</w:t>
      </w:r>
      <w:r>
        <w:rPr>
          <w:rFonts w:hint="eastAsia" w:ascii="宋体" w:hAnsi="宋体" w:eastAsia="宋体" w:cs="宋体"/>
          <w:color w:val="auto"/>
          <w:szCs w:val="21"/>
          <w:highlight w:val="none"/>
        </w:rPr>
        <w:t>由乙方从以下方式中任选一种：</w:t>
      </w:r>
    </w:p>
    <w:p w14:paraId="4E744C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履约保证金（银行转账形式）金额为合同暂定</w:t>
      </w:r>
      <w:r>
        <w:rPr>
          <w:rFonts w:hint="eastAsia" w:ascii="宋体" w:hAnsi="宋体" w:eastAsia="宋体" w:cs="宋体"/>
          <w:bCs/>
          <w:color w:val="auto"/>
          <w:szCs w:val="21"/>
          <w:highlight w:val="none"/>
          <w:u w:val="single"/>
        </w:rPr>
        <w:t>总</w:t>
      </w:r>
      <w:r>
        <w:rPr>
          <w:rFonts w:hint="eastAsia" w:ascii="宋体" w:hAnsi="宋体" w:eastAsia="宋体" w:cs="宋体"/>
          <w:color w:val="auto"/>
          <w:szCs w:val="21"/>
          <w:highlight w:val="none"/>
          <w:u w:val="single"/>
        </w:rPr>
        <w:t>价（含销项税额）的5%；</w:t>
      </w:r>
    </w:p>
    <w:p w14:paraId="26B323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不可撤销银行履约保函金额为合同暂定</w:t>
      </w:r>
      <w:r>
        <w:rPr>
          <w:rFonts w:hint="eastAsia" w:ascii="宋体" w:hAnsi="宋体" w:eastAsia="宋体" w:cs="宋体"/>
          <w:bCs/>
          <w:color w:val="auto"/>
          <w:szCs w:val="21"/>
          <w:highlight w:val="none"/>
          <w:u w:val="single"/>
        </w:rPr>
        <w:t>总</w:t>
      </w:r>
      <w:r>
        <w:rPr>
          <w:rFonts w:hint="eastAsia" w:ascii="宋体" w:hAnsi="宋体" w:eastAsia="宋体" w:cs="宋体"/>
          <w:color w:val="auto"/>
          <w:szCs w:val="21"/>
          <w:highlight w:val="none"/>
          <w:u w:val="single"/>
        </w:rPr>
        <w:t>价（含销项税额）的8%；</w:t>
      </w:r>
    </w:p>
    <w:p w14:paraId="14B82E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履约保证保险</w:t>
      </w:r>
      <w:r>
        <w:rPr>
          <w:rFonts w:hint="eastAsia" w:ascii="宋体" w:hAnsi="宋体" w:eastAsia="宋体" w:cs="宋体"/>
          <w:color w:val="auto"/>
          <w:sz w:val="21"/>
          <w:szCs w:val="21"/>
          <w:highlight w:val="none"/>
          <w:u w:val="single"/>
        </w:rPr>
        <w:t>金额为合同暂定</w:t>
      </w:r>
      <w:r>
        <w:rPr>
          <w:rFonts w:hint="eastAsia" w:ascii="宋体" w:hAnsi="宋体" w:eastAsia="宋体" w:cs="宋体"/>
          <w:bCs/>
          <w:color w:val="auto"/>
          <w:sz w:val="21"/>
          <w:szCs w:val="21"/>
          <w:highlight w:val="none"/>
          <w:u w:val="single"/>
        </w:rPr>
        <w:t>总</w:t>
      </w:r>
      <w:r>
        <w:rPr>
          <w:rFonts w:hint="eastAsia" w:ascii="宋体" w:hAnsi="宋体" w:eastAsia="宋体" w:cs="宋体"/>
          <w:color w:val="auto"/>
          <w:sz w:val="21"/>
          <w:szCs w:val="21"/>
          <w:highlight w:val="none"/>
          <w:u w:val="single"/>
        </w:rPr>
        <w:t>价（含销项税额）的8%；</w:t>
      </w:r>
    </w:p>
    <w:p w14:paraId="5C4380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担保公司履约担保书金额为合同暂定</w:t>
      </w:r>
      <w:r>
        <w:rPr>
          <w:rFonts w:hint="eastAsia" w:ascii="宋体" w:hAnsi="宋体" w:eastAsia="宋体" w:cs="宋体"/>
          <w:bCs/>
          <w:color w:val="auto"/>
          <w:szCs w:val="21"/>
          <w:highlight w:val="none"/>
          <w:u w:val="single"/>
        </w:rPr>
        <w:t>总</w:t>
      </w:r>
      <w:r>
        <w:rPr>
          <w:rFonts w:hint="eastAsia" w:ascii="宋体" w:hAnsi="宋体" w:eastAsia="宋体" w:cs="宋体"/>
          <w:color w:val="auto"/>
          <w:szCs w:val="21"/>
          <w:highlight w:val="none"/>
          <w:u w:val="single"/>
        </w:rPr>
        <w:t>价（含销项税额）的10%</w:t>
      </w:r>
      <w:r>
        <w:rPr>
          <w:rFonts w:hint="eastAsia" w:ascii="宋体" w:hAnsi="宋体" w:eastAsia="宋体" w:cs="宋体"/>
          <w:color w:val="auto"/>
          <w:szCs w:val="21"/>
          <w:highlight w:val="none"/>
        </w:rPr>
        <w:t>。</w:t>
      </w:r>
    </w:p>
    <w:p w14:paraId="2209E2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2、履约担保用于</w:t>
      </w:r>
      <w:r>
        <w:rPr>
          <w:rFonts w:hint="eastAsia" w:ascii="宋体" w:hAnsi="宋体" w:eastAsia="宋体" w:cs="宋体"/>
          <w:color w:val="auto"/>
          <w:szCs w:val="21"/>
          <w:highlight w:val="none"/>
          <w:lang w:val="en-US" w:eastAsia="zh-CN"/>
        </w:rPr>
        <w:t>补偿</w:t>
      </w:r>
      <w:r>
        <w:rPr>
          <w:rFonts w:hint="eastAsia" w:ascii="宋体" w:hAnsi="宋体" w:eastAsia="宋体" w:cs="宋体"/>
          <w:color w:val="auto"/>
          <w:szCs w:val="21"/>
          <w:highlight w:val="none"/>
        </w:rPr>
        <w:t>甲方因乙方</w:t>
      </w:r>
      <w:r>
        <w:rPr>
          <w:rFonts w:hint="eastAsia" w:ascii="宋体" w:hAnsi="宋体" w:eastAsia="宋体" w:cs="宋体"/>
          <w:color w:val="auto"/>
          <w:szCs w:val="21"/>
          <w:highlight w:val="none"/>
          <w:lang w:val="en-US" w:eastAsia="zh-CN"/>
        </w:rPr>
        <w:t>未完全履行</w:t>
      </w:r>
      <w:r>
        <w:rPr>
          <w:rFonts w:hint="eastAsia" w:ascii="宋体" w:hAnsi="宋体" w:eastAsia="宋体" w:cs="宋体"/>
          <w:color w:val="auto"/>
          <w:szCs w:val="21"/>
          <w:highlight w:val="none"/>
        </w:rPr>
        <w:t>合同义务而蒙受的损失。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如发生下列任一情况时，甲方有权</w:t>
      </w:r>
      <w:r>
        <w:rPr>
          <w:rFonts w:hint="eastAsia" w:ascii="宋体" w:hAnsi="宋体" w:eastAsia="宋体" w:cs="宋体"/>
          <w:color w:val="auto"/>
          <w:szCs w:val="21"/>
          <w:highlight w:val="none"/>
          <w:lang w:val="en-US" w:eastAsia="zh-CN"/>
        </w:rPr>
        <w:t>依据本</w:t>
      </w:r>
      <w:r>
        <w:rPr>
          <w:rFonts w:hint="eastAsia" w:ascii="宋体" w:hAnsi="宋体" w:eastAsia="宋体" w:cs="宋体"/>
          <w:color w:val="auto"/>
          <w:szCs w:val="21"/>
          <w:highlight w:val="none"/>
        </w:rPr>
        <w:t>合同追究违约责任，</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有权提取履约担保弥补损失</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进行相应处理：</w:t>
      </w:r>
    </w:p>
    <w:p w14:paraId="2C5564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（1）乙方将合同项下的</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的权利义务全部转让给第三方，或未经甲方书面同意将部分权利义务转让给第三方</w:t>
      </w:r>
      <w:r>
        <w:rPr>
          <w:rFonts w:hint="eastAsia" w:ascii="宋体" w:hAnsi="宋体" w:eastAsia="宋体" w:cs="宋体"/>
          <w:color w:val="auto"/>
          <w:szCs w:val="21"/>
          <w:highlight w:val="none"/>
          <w:lang w:eastAsia="zh-CN"/>
        </w:rPr>
        <w:t>；</w:t>
      </w:r>
    </w:p>
    <w:p w14:paraId="5DB6AA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）在合同履行期间，因乙方货物质量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安装或运行等问题造成损害</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侵权损失（包括但不限于甲方经济损失、第三人人身财产损失等）、</w:t>
      </w:r>
      <w:r>
        <w:rPr>
          <w:rFonts w:hint="eastAsia" w:ascii="宋体" w:hAnsi="宋体" w:eastAsia="宋体" w:cs="宋体"/>
          <w:color w:val="auto"/>
          <w:szCs w:val="21"/>
          <w:highlight w:val="none"/>
          <w:lang w:val="en-US" w:eastAsia="zh-CN"/>
        </w:rPr>
        <w:t>或乙方</w:t>
      </w:r>
      <w:r>
        <w:rPr>
          <w:rFonts w:hint="eastAsia" w:ascii="宋体" w:hAnsi="宋体" w:eastAsia="宋体" w:cs="宋体"/>
          <w:color w:val="auto"/>
          <w:szCs w:val="21"/>
          <w:highlight w:val="none"/>
        </w:rPr>
        <w:t>拖欠设备供应商货款（含第三方劳务费用等）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与其所雇用员工发生劳资纠纷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或出现</w:t>
      </w:r>
      <w:r>
        <w:rPr>
          <w:rFonts w:hint="eastAsia" w:ascii="宋体" w:hAnsi="宋体" w:eastAsia="宋体" w:cs="宋体"/>
          <w:color w:val="auto"/>
          <w:szCs w:val="21"/>
          <w:highlight w:val="none"/>
        </w:rPr>
        <w:t>上访、闹事</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其他影响甲方生产经营等情况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且乙方</w:t>
      </w:r>
      <w:r>
        <w:rPr>
          <w:rFonts w:hint="eastAsia" w:ascii="宋体" w:hAnsi="宋体" w:eastAsia="宋体" w:cs="宋体"/>
          <w:color w:val="auto"/>
          <w:szCs w:val="21"/>
          <w:highlight w:val="none"/>
        </w:rPr>
        <w:t>未及时妥善处理的</w:t>
      </w:r>
      <w:r>
        <w:rPr>
          <w:rFonts w:hint="eastAsia" w:ascii="宋体" w:hAnsi="宋体" w:eastAsia="宋体" w:cs="宋体"/>
          <w:color w:val="auto"/>
          <w:szCs w:val="21"/>
          <w:highlight w:val="none"/>
          <w:lang w:eastAsia="zh-CN"/>
        </w:rPr>
        <w:t>；</w:t>
      </w:r>
    </w:p>
    <w:p w14:paraId="64E06D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）在合同履行期间，乙方违约产生的违约金、</w:t>
      </w:r>
      <w:r>
        <w:rPr>
          <w:rFonts w:hint="eastAsia" w:ascii="宋体" w:hAnsi="宋体" w:eastAsia="宋体" w:cs="宋体"/>
          <w:color w:val="auto"/>
          <w:szCs w:val="21"/>
          <w:highlight w:val="none"/>
          <w:lang w:val="en-US" w:eastAsia="zh-CN"/>
        </w:rPr>
        <w:t>损失</w:t>
      </w:r>
      <w:r>
        <w:rPr>
          <w:rFonts w:hint="eastAsia" w:ascii="宋体" w:hAnsi="宋体" w:eastAsia="宋体" w:cs="宋体"/>
          <w:color w:val="auto"/>
          <w:szCs w:val="21"/>
          <w:highlight w:val="none"/>
        </w:rPr>
        <w:t>赔偿或其他应付费用等款项，甲方有权直接从未付货物款项中扣除或使用履约担保予以支付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不足部分继续追偿</w:t>
      </w:r>
      <w:r>
        <w:rPr>
          <w:rFonts w:hint="eastAsia" w:ascii="宋体" w:hAnsi="宋体" w:eastAsia="宋体" w:cs="宋体"/>
          <w:color w:val="auto"/>
          <w:szCs w:val="21"/>
          <w:highlight w:val="none"/>
          <w:lang w:eastAsia="zh-CN"/>
        </w:rPr>
        <w:t>；</w:t>
      </w:r>
    </w:p>
    <w:p w14:paraId="4CA2C1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）合同期内，</w:t>
      </w:r>
      <w:r>
        <w:rPr>
          <w:rFonts w:hint="eastAsia" w:ascii="宋体" w:hAnsi="宋体" w:eastAsia="宋体" w:cs="Times New Roman"/>
          <w:color w:val="auto"/>
          <w:szCs w:val="21"/>
          <w:highlight w:val="none"/>
        </w:rPr>
        <w:t>乙方不能及时完成某项合同义务</w:t>
      </w:r>
      <w:r>
        <w:rPr>
          <w:rFonts w:hint="eastAsia" w:ascii="宋体" w:hAnsi="宋体" w:eastAsia="宋体" w:cs="宋体"/>
          <w:color w:val="auto"/>
          <w:szCs w:val="21"/>
          <w:highlight w:val="none"/>
        </w:rPr>
        <w:t>。</w:t>
      </w:r>
    </w:p>
    <w:p w14:paraId="4C9A61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）其他根据本合同约定或法律规定，甲方可使用履约担保的情形。</w:t>
      </w:r>
    </w:p>
    <w:p w14:paraId="2F87D9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 w:val="21"/>
          <w:szCs w:val="21"/>
          <w:highlight w:val="none"/>
        </w:rPr>
        <w:t>乙方</w:t>
      </w:r>
      <w:r>
        <w:rPr>
          <w:rFonts w:hint="eastAsia" w:ascii="宋体" w:hAnsi="宋体" w:eastAsia="宋体" w:cs="宋体"/>
          <w:color w:val="auto"/>
          <w:kern w:val="0"/>
          <w:szCs w:val="21"/>
          <w:highlight w:val="none"/>
        </w:rPr>
        <w:t>以履约保证金（银行转账形式）提供</w:t>
      </w:r>
      <w:r>
        <w:rPr>
          <w:rFonts w:hint="eastAsia" w:ascii="宋体" w:hAnsi="宋体" w:eastAsia="宋体" w:cs="宋体"/>
          <w:color w:val="auto"/>
          <w:sz w:val="21"/>
          <w:szCs w:val="21"/>
          <w:highlight w:val="none"/>
        </w:rPr>
        <w:t>履约担保的，</w:t>
      </w:r>
      <w:r>
        <w:rPr>
          <w:rFonts w:hint="eastAsia" w:ascii="宋体" w:hAnsi="宋体" w:eastAsia="宋体" w:cs="宋体"/>
          <w:color w:val="auto"/>
          <w:kern w:val="0"/>
          <w:szCs w:val="21"/>
          <w:highlight w:val="none"/>
        </w:rPr>
        <w:t>在合同期限届满并完成全部供货验收合格后二十八（28）日</w:t>
      </w:r>
      <w:r>
        <w:rPr>
          <w:rFonts w:hint="eastAsia" w:ascii="宋体" w:hAnsi="宋体" w:eastAsia="宋体" w:cs="宋体"/>
          <w:color w:val="auto"/>
          <w:szCs w:val="21"/>
          <w:highlight w:val="none"/>
        </w:rPr>
        <w:t>后，经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确认，</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可向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提交退回履约担保的申请。</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审核无异议后，办理履约担保退还手续，退回时一律以银行转账的形式无息退回到</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w:t>
      </w:r>
    </w:p>
    <w:p w14:paraId="541DAF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4、如乙方提供不可撤销银行履约保函（或履约保证保险或担保公司履约担保书）作为履约担保的，不可撤销银行履约保函或履约保证保险或担保公司履约担保书</w:t>
      </w:r>
      <w:r>
        <w:rPr>
          <w:rFonts w:hint="eastAsia" w:ascii="宋体" w:hAnsi="宋体" w:eastAsia="宋体" w:cs="宋体"/>
          <w:color w:val="auto"/>
          <w:szCs w:val="21"/>
          <w:highlight w:val="none"/>
          <w:lang w:eastAsia="zh-CN"/>
        </w:rPr>
        <w:t>应从合同签订之日起至合同期限届满并完成全部供货验收合格后二十八（28）日内保持有效</w:t>
      </w:r>
      <w:r>
        <w:rPr>
          <w:rFonts w:hint="eastAsia" w:ascii="宋体" w:hAnsi="宋体" w:eastAsia="宋体" w:cs="宋体"/>
          <w:color w:val="auto"/>
          <w:szCs w:val="21"/>
          <w:highlight w:val="none"/>
        </w:rPr>
        <w:t>。如不可撤销银行履约保函或履约保证保险或担保公司履约担保书在规定有效期届满时而货物尚未全部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应付而未付</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款中扣除。</w:t>
      </w:r>
    </w:p>
    <w:p w14:paraId="71AE966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在合同履行期间应保证履约担保有效及金额符合招标文件要求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因合同内容变更、保证金使用等原因导致履约担保金额不满足招标文件要求的，乙方应当在履约担保金额不足之日起15天内予以补足；如违反的，甲方有权按</w:t>
      </w:r>
      <w:r>
        <w:rPr>
          <w:rFonts w:hint="eastAsia" w:ascii="宋体" w:hAnsi="宋体" w:eastAsia="宋体" w:cs="宋体"/>
          <w:color w:val="auto"/>
          <w:szCs w:val="21"/>
          <w:highlight w:val="none"/>
          <w:lang w:val="en-US" w:eastAsia="zh-CN"/>
        </w:rPr>
        <w:t>需补</w:t>
      </w:r>
      <w:r>
        <w:rPr>
          <w:rFonts w:hint="eastAsia" w:ascii="宋体" w:hAnsi="宋体" w:eastAsia="宋体" w:cs="宋体"/>
          <w:color w:val="auto"/>
          <w:szCs w:val="21"/>
          <w:highlight w:val="none"/>
        </w:rPr>
        <w:t>足部分金额为限要求乙方承担违约金，违约金可直接从应付而未付</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款中扣除。</w:t>
      </w:r>
    </w:p>
    <w:p w14:paraId="487E0437">
      <w:pPr>
        <w:rPr>
          <w:rFonts w:hint="eastAsia"/>
          <w:color w:val="auto"/>
          <w:highlight w:val="none"/>
        </w:rPr>
      </w:pPr>
    </w:p>
    <w:p w14:paraId="1494DC47">
      <w:pPr>
        <w:adjustRightInd w:val="0"/>
        <w:snapToGrid w:val="0"/>
        <w:spacing w:line="360" w:lineRule="auto"/>
        <w:ind w:firstLine="373" w:firstLineChars="177"/>
        <w:outlineLvl w:val="1"/>
        <w:rPr>
          <w:rFonts w:hint="eastAsia" w:ascii="宋体" w:hAnsi="宋体" w:eastAsia="宋体" w:cs="Times New Roman"/>
          <w:b/>
          <w:color w:val="auto"/>
          <w:szCs w:val="21"/>
          <w:highlight w:val="none"/>
          <w:lang w:eastAsia="zh-CN"/>
        </w:rPr>
      </w:pPr>
      <w:bookmarkStart w:id="605" w:name="_Toc6487"/>
      <w:bookmarkStart w:id="606" w:name="_Toc22209"/>
      <w:bookmarkStart w:id="607" w:name="_Toc8655"/>
      <w:bookmarkStart w:id="608" w:name="_Toc14214"/>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一</w:t>
      </w:r>
      <w:r>
        <w:rPr>
          <w:rFonts w:hint="eastAsia" w:ascii="宋体" w:hAnsi="宋体" w:eastAsia="宋体" w:cs="Times New Roman"/>
          <w:b/>
          <w:color w:val="auto"/>
          <w:szCs w:val="21"/>
          <w:highlight w:val="none"/>
        </w:rPr>
        <w:t xml:space="preserve">条 </w:t>
      </w:r>
      <w:r>
        <w:rPr>
          <w:rFonts w:hint="eastAsia" w:ascii="宋体" w:hAnsi="宋体" w:eastAsia="宋体" w:cs="Times New Roman"/>
          <w:b/>
          <w:color w:val="auto"/>
          <w:szCs w:val="21"/>
          <w:highlight w:val="none"/>
          <w:lang w:val="en-US" w:eastAsia="zh-CN"/>
        </w:rPr>
        <w:t>供货担保</w:t>
      </w:r>
      <w:bookmarkEnd w:id="605"/>
      <w:bookmarkEnd w:id="606"/>
      <w:bookmarkEnd w:id="607"/>
      <w:bookmarkEnd w:id="608"/>
    </w:p>
    <w:p w14:paraId="177759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1、本条款所称“供货担保”即本合同</w:t>
      </w:r>
      <w:r>
        <w:rPr>
          <w:rFonts w:hint="eastAsia" w:ascii="宋体" w:hAnsi="宋体" w:eastAsia="宋体" w:cs="Times New Roman"/>
          <w:b w:val="0"/>
          <w:bCs/>
          <w:color w:val="auto"/>
          <w:szCs w:val="21"/>
          <w:highlight w:val="none"/>
          <w:lang w:val="en-US" w:eastAsia="zh-CN"/>
        </w:rPr>
        <w:t>前文</w:t>
      </w:r>
      <w:r>
        <w:rPr>
          <w:rFonts w:hint="eastAsia" w:ascii="宋体" w:hAnsi="宋体" w:eastAsia="宋体" w:cs="宋体"/>
          <w:color w:val="auto"/>
          <w:szCs w:val="21"/>
          <w:highlight w:val="none"/>
          <w:lang w:val="en-US" w:eastAsia="zh-CN"/>
        </w:rPr>
        <w:t>约定的、乙方为每批次货款支付提供的不可撤销见索即付的银行独立保函或现金担保，与</w:t>
      </w:r>
      <w:r>
        <w:rPr>
          <w:rFonts w:hint="eastAsia" w:ascii="宋体" w:hAnsi="宋体" w:eastAsia="宋体" w:cs="Times New Roman"/>
          <w:b w:val="0"/>
          <w:bCs/>
          <w:color w:val="auto"/>
          <w:szCs w:val="21"/>
          <w:highlight w:val="none"/>
          <w:lang w:val="en-US" w:eastAsia="zh-CN"/>
        </w:rPr>
        <w:t>本合同约定的</w:t>
      </w:r>
      <w:r>
        <w:rPr>
          <w:rFonts w:hint="eastAsia" w:ascii="宋体" w:hAnsi="宋体" w:eastAsia="宋体" w:cs="宋体"/>
          <w:color w:val="auto"/>
          <w:szCs w:val="21"/>
          <w:highlight w:val="none"/>
          <w:lang w:val="en-US" w:eastAsia="zh-CN"/>
        </w:rPr>
        <w:t>“履约担保”为并行担保机制，互不替代、互不抵扣，共同保障本合同履行。</w:t>
      </w:r>
    </w:p>
    <w:p w14:paraId="36084D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银行独立保函的开立银行、担保金额、有效期、核心条款等，严格按照本合同第八条第2款第（1）项约定执行，乙方提交的保函需明确载明“见索即付”“独立保函”性质，不得附加任何影响保函效力的限制性条款。</w:t>
      </w:r>
    </w:p>
    <w:p w14:paraId="74BA31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3、乙方未按</w:t>
      </w:r>
      <w:r>
        <w:rPr>
          <w:rFonts w:hint="eastAsia" w:ascii="宋体" w:hAnsi="宋体" w:eastAsia="宋体" w:cs="Times New Roman"/>
          <w:b w:val="0"/>
          <w:bCs/>
          <w:color w:val="auto"/>
          <w:szCs w:val="21"/>
          <w:highlight w:val="none"/>
          <w:lang w:val="en-US" w:eastAsia="zh-CN"/>
        </w:rPr>
        <w:t>本合同</w:t>
      </w:r>
      <w:r>
        <w:rPr>
          <w:rFonts w:hint="eastAsia" w:ascii="宋体" w:hAnsi="宋体" w:eastAsia="宋体" w:cs="宋体"/>
          <w:color w:val="auto"/>
          <w:szCs w:val="21"/>
          <w:highlight w:val="none"/>
          <w:lang w:val="en-US" w:eastAsia="zh-CN"/>
        </w:rPr>
        <w:t>约定提交合格银行独立保函或现金担保的，甲方有权暂缓支付对应批次货款，且不承担任何违约责任，由此导致的后果均由乙方承担。</w:t>
      </w:r>
    </w:p>
    <w:p w14:paraId="0C7C12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4、甲方就该批次货物的到货验收不合格向开立独立保函的银行发起索赔或直接扣除现金担保时，无需事先向乙方追偿或举证证明损失金额。</w:t>
      </w:r>
    </w:p>
    <w:p w14:paraId="3B73A4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应保证</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担保</w:t>
      </w:r>
      <w:r>
        <w:rPr>
          <w:rFonts w:hint="eastAsia" w:ascii="宋体" w:hAnsi="宋体" w:eastAsia="宋体" w:cs="Times New Roman"/>
          <w:color w:val="auto"/>
          <w:szCs w:val="21"/>
          <w:highlight w:val="none"/>
          <w:lang w:val="en-US" w:eastAsia="zh-CN"/>
        </w:rPr>
        <w:t>有效及符合本合同要求</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因</w:t>
      </w:r>
      <w:r>
        <w:rPr>
          <w:rFonts w:hint="eastAsia" w:ascii="宋体" w:hAnsi="宋体" w:eastAsia="宋体" w:cs="Times New Roman"/>
          <w:color w:val="auto"/>
          <w:szCs w:val="21"/>
          <w:highlight w:val="none"/>
          <w:lang w:val="en-US" w:eastAsia="zh-CN"/>
        </w:rPr>
        <w:t>甲方发起索赔或直接扣除现金担保</w:t>
      </w:r>
      <w:r>
        <w:rPr>
          <w:rFonts w:hint="eastAsia" w:ascii="宋体" w:hAnsi="宋体" w:eastAsia="宋体" w:cs="Times New Roman"/>
          <w:color w:val="auto"/>
          <w:szCs w:val="21"/>
          <w:highlight w:val="none"/>
        </w:rPr>
        <w:t>等原因导致</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担保</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lang w:val="en-US" w:eastAsia="zh-CN"/>
        </w:rPr>
        <w:t>保函</w:t>
      </w:r>
      <w:r>
        <w:rPr>
          <w:rFonts w:hint="eastAsia" w:ascii="宋体" w:hAnsi="宋体" w:eastAsia="宋体" w:cs="Times New Roman"/>
          <w:color w:val="auto"/>
          <w:szCs w:val="21"/>
          <w:highlight w:val="none"/>
        </w:rPr>
        <w:t>金额</w:t>
      </w:r>
      <w:r>
        <w:rPr>
          <w:rFonts w:hint="eastAsia" w:ascii="宋体" w:hAnsi="宋体" w:eastAsia="宋体" w:cs="Times New Roman"/>
          <w:color w:val="auto"/>
          <w:szCs w:val="21"/>
          <w:highlight w:val="none"/>
          <w:lang w:val="en-US" w:eastAsia="zh-CN"/>
        </w:rPr>
        <w:t>或现金余额少于该批次</w:t>
      </w:r>
      <w:r>
        <w:rPr>
          <w:rFonts w:hint="eastAsia" w:ascii="宋体" w:hAnsi="宋体" w:eastAsia="宋体" w:cs="Times New Roman"/>
          <w:color w:val="auto"/>
          <w:sz w:val="21"/>
          <w:szCs w:val="21"/>
          <w:highlight w:val="none"/>
          <w:lang w:val="en-US" w:eastAsia="zh-CN"/>
        </w:rPr>
        <w:t>《供货通知单》载明的含税总价</w:t>
      </w:r>
      <w:r>
        <w:rPr>
          <w:rFonts w:hint="eastAsia" w:ascii="宋体" w:hAnsi="宋体" w:eastAsia="宋体" w:cs="Times New Roman"/>
          <w:color w:val="auto"/>
          <w:szCs w:val="21"/>
          <w:highlight w:val="none"/>
        </w:rPr>
        <w:t>的，乙方应当在</w:t>
      </w:r>
      <w:r>
        <w:rPr>
          <w:rFonts w:hint="eastAsia" w:ascii="宋体" w:hAnsi="宋体" w:eastAsia="宋体" w:cs="Times New Roman"/>
          <w:color w:val="auto"/>
          <w:szCs w:val="21"/>
          <w:highlight w:val="none"/>
          <w:lang w:val="en-US" w:eastAsia="zh-CN"/>
        </w:rPr>
        <w:t>保函</w:t>
      </w:r>
      <w:r>
        <w:rPr>
          <w:rFonts w:hint="eastAsia" w:ascii="宋体" w:hAnsi="宋体" w:eastAsia="宋体" w:cs="Times New Roman"/>
          <w:color w:val="auto"/>
          <w:szCs w:val="21"/>
          <w:highlight w:val="none"/>
        </w:rPr>
        <w:t>金额不足</w:t>
      </w:r>
      <w:r>
        <w:rPr>
          <w:rFonts w:hint="eastAsia" w:ascii="宋体" w:hAnsi="宋体" w:eastAsia="宋体" w:cs="Times New Roman"/>
          <w:color w:val="auto"/>
          <w:szCs w:val="21"/>
          <w:highlight w:val="none"/>
          <w:lang w:val="en-US" w:eastAsia="zh-CN"/>
        </w:rPr>
        <w:t>或现金担保金额不足</w:t>
      </w:r>
      <w:r>
        <w:rPr>
          <w:rFonts w:hint="eastAsia" w:ascii="宋体" w:hAnsi="宋体" w:eastAsia="宋体" w:cs="Times New Roman"/>
          <w:color w:val="auto"/>
          <w:szCs w:val="21"/>
          <w:highlight w:val="none"/>
        </w:rPr>
        <w:t>之日起15天内予以补足；如违反的，甲方有权按</w:t>
      </w:r>
      <w:r>
        <w:rPr>
          <w:rFonts w:hint="eastAsia" w:ascii="宋体" w:hAnsi="宋体" w:eastAsia="宋体" w:cs="Times New Roman"/>
          <w:color w:val="auto"/>
          <w:szCs w:val="21"/>
          <w:highlight w:val="none"/>
          <w:lang w:val="en-US" w:eastAsia="zh-CN"/>
        </w:rPr>
        <w:t>需补</w:t>
      </w:r>
      <w:r>
        <w:rPr>
          <w:rFonts w:hint="eastAsia" w:ascii="宋体" w:hAnsi="宋体" w:eastAsia="宋体" w:cs="Times New Roman"/>
          <w:color w:val="auto"/>
          <w:szCs w:val="21"/>
          <w:highlight w:val="none"/>
        </w:rPr>
        <w:t>足部分金额为限要求乙方承担违约金，违约金可直接从应付而未付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履约担保</w:t>
      </w:r>
      <w:r>
        <w:rPr>
          <w:rFonts w:hint="eastAsia" w:ascii="宋体" w:hAnsi="宋体" w:eastAsia="宋体" w:cs="Times New Roman"/>
          <w:color w:val="auto"/>
          <w:szCs w:val="21"/>
          <w:highlight w:val="none"/>
        </w:rPr>
        <w:t>中扣除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不足部分甲方有权继续追偿</w:t>
      </w:r>
      <w:r>
        <w:rPr>
          <w:rFonts w:hint="eastAsia" w:ascii="宋体" w:hAnsi="宋体" w:eastAsia="宋体" w:cs="Times New Roman"/>
          <w:color w:val="auto"/>
          <w:szCs w:val="21"/>
          <w:highlight w:val="none"/>
          <w:lang w:eastAsia="zh-CN"/>
        </w:rPr>
        <w:t>。</w:t>
      </w:r>
    </w:p>
    <w:p w14:paraId="20873CB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
          <w:color w:val="auto"/>
          <w:szCs w:val="21"/>
          <w:highlight w:val="none"/>
        </w:rPr>
      </w:pPr>
    </w:p>
    <w:p w14:paraId="12D2F91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609" w:name="_Toc12577"/>
      <w:bookmarkStart w:id="610" w:name="_Toc32115"/>
      <w:bookmarkStart w:id="611" w:name="_Toc1449"/>
      <w:bookmarkStart w:id="612" w:name="_Toc17242"/>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权利保证</w:t>
      </w:r>
      <w:bookmarkEnd w:id="609"/>
      <w:bookmarkEnd w:id="610"/>
      <w:bookmarkEnd w:id="611"/>
      <w:bookmarkEnd w:id="612"/>
    </w:p>
    <w:p w14:paraId="0FE927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乙方应保证合同项下提供的货物（含技术资料、远传模块软件等）不侵犯任何第三方的专利、商标、</w:t>
      </w:r>
      <w:r>
        <w:rPr>
          <w:rFonts w:hint="eastAsia" w:ascii="宋体" w:hAnsi="宋体" w:eastAsia="宋体" w:cs="宋体"/>
          <w:b w:val="0"/>
          <w:bCs/>
          <w:color w:val="auto"/>
          <w:szCs w:val="21"/>
          <w:highlight w:val="none"/>
          <w:lang w:val="en-US" w:eastAsia="zh-CN"/>
        </w:rPr>
        <w:t>著作</w:t>
      </w:r>
      <w:r>
        <w:rPr>
          <w:rFonts w:hint="eastAsia" w:ascii="宋体" w:hAnsi="宋体" w:eastAsia="宋体" w:cs="宋体"/>
          <w:b w:val="0"/>
          <w:bCs/>
          <w:color w:val="auto"/>
          <w:szCs w:val="21"/>
          <w:highlight w:val="none"/>
        </w:rPr>
        <w:t>权</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商业秘密等知识产权</w:t>
      </w:r>
      <w:r>
        <w:rPr>
          <w:rFonts w:hint="eastAsia" w:ascii="宋体" w:hAnsi="宋体" w:eastAsia="宋体" w:cs="宋体"/>
          <w:b w:val="0"/>
          <w:bCs/>
          <w:color w:val="auto"/>
          <w:szCs w:val="21"/>
          <w:highlight w:val="none"/>
        </w:rPr>
        <w:t>及其</w:t>
      </w:r>
      <w:r>
        <w:rPr>
          <w:rFonts w:hint="eastAsia" w:ascii="宋体" w:hAnsi="宋体" w:eastAsia="宋体" w:cs="宋体"/>
          <w:b w:val="0"/>
          <w:bCs/>
          <w:color w:val="auto"/>
          <w:szCs w:val="21"/>
          <w:highlight w:val="none"/>
          <w:lang w:eastAsia="zh-CN"/>
        </w:rPr>
        <w:t>他</w:t>
      </w:r>
      <w:r>
        <w:rPr>
          <w:rFonts w:hint="eastAsia" w:ascii="宋体" w:hAnsi="宋体" w:eastAsia="宋体" w:cs="宋体"/>
          <w:b w:val="0"/>
          <w:bCs/>
          <w:color w:val="auto"/>
          <w:szCs w:val="21"/>
          <w:highlight w:val="none"/>
          <w:lang w:val="en-US" w:eastAsia="zh-CN"/>
        </w:rPr>
        <w:t>合法</w:t>
      </w:r>
      <w:r>
        <w:rPr>
          <w:rFonts w:hint="eastAsia" w:ascii="宋体" w:hAnsi="宋体" w:eastAsia="宋体" w:cs="宋体"/>
          <w:b w:val="0"/>
          <w:bCs/>
          <w:color w:val="auto"/>
          <w:szCs w:val="21"/>
          <w:highlight w:val="none"/>
        </w:rPr>
        <w:t>权利</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若因乙方提供的货物存在上述侵权情形，导致甲方被第三方投诉、索赔或涉诉的，乙方须承担全部责任及费用（包括但不限于第三方索赔款、诉讼费、律师费、鉴定费、公证费、行政罚款、甲方为应对纠纷支付的合理开支等）；如因此造成甲方直接损失（包括但不限于货款损失、商誉损失、停工损失等）的，乙方应予以全额赔偿，甲方有权同时依据本合同</w:t>
      </w:r>
      <w:r>
        <w:rPr>
          <w:rFonts w:hint="eastAsia" w:ascii="宋体" w:hAnsi="宋体" w:eastAsia="宋体" w:cs="宋体"/>
          <w:b w:val="0"/>
          <w:bCs/>
          <w:color w:val="auto"/>
          <w:szCs w:val="21"/>
          <w:highlight w:val="none"/>
          <w:lang w:val="en-US" w:eastAsia="zh-CN"/>
        </w:rPr>
        <w:t>约定</w:t>
      </w:r>
      <w:r>
        <w:rPr>
          <w:rFonts w:hint="eastAsia" w:ascii="宋体" w:hAnsi="宋体" w:eastAsia="宋体" w:cs="宋体"/>
          <w:b w:val="0"/>
          <w:bCs/>
          <w:color w:val="auto"/>
          <w:szCs w:val="21"/>
          <w:highlight w:val="none"/>
        </w:rPr>
        <w:t>追究乙方违约责任。</w:t>
      </w:r>
    </w:p>
    <w:p w14:paraId="3A67EFC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p>
    <w:p w14:paraId="3B90FAD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default" w:ascii="宋体" w:hAnsi="宋体" w:eastAsia="宋体" w:cs="宋体"/>
          <w:b/>
          <w:color w:val="auto"/>
          <w:szCs w:val="21"/>
          <w:highlight w:val="none"/>
          <w:lang w:val="en-US" w:eastAsia="zh-CN"/>
        </w:rPr>
      </w:pPr>
      <w:bookmarkStart w:id="613" w:name="_Toc3885"/>
      <w:bookmarkStart w:id="614" w:name="_Toc23025"/>
      <w:bookmarkStart w:id="615" w:name="_Toc28030"/>
      <w:bookmarkStart w:id="616" w:name="_Toc22084"/>
      <w:r>
        <w:rPr>
          <w:rFonts w:hint="eastAsia" w:ascii="宋体" w:hAnsi="宋体" w:eastAsia="宋体" w:cs="宋体"/>
          <w:b/>
          <w:color w:val="auto"/>
          <w:szCs w:val="21"/>
          <w:highlight w:val="none"/>
          <w:lang w:val="en-US" w:eastAsia="zh-CN"/>
        </w:rPr>
        <w:t>第十三条 质量保证与质量争议处理</w:t>
      </w:r>
      <w:bookmarkEnd w:id="613"/>
      <w:bookmarkEnd w:id="614"/>
      <w:bookmarkEnd w:id="615"/>
      <w:bookmarkEnd w:id="616"/>
    </w:p>
    <w:p w14:paraId="283958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Hans"/>
        </w:rPr>
      </w:pPr>
      <w:bookmarkStart w:id="617" w:name="_Toc7442"/>
      <w:bookmarkStart w:id="618" w:name="_Toc763"/>
      <w:bookmarkStart w:id="619" w:name="_Toc26260"/>
      <w:bookmarkStart w:id="620" w:name="_Toc9029"/>
      <w:r>
        <w:rPr>
          <w:rFonts w:hint="eastAsia" w:ascii="宋体" w:hAnsi="宋体" w:eastAsia="宋体" w:cs="宋体"/>
          <w:b w:val="0"/>
          <w:bCs/>
          <w:color w:val="auto"/>
          <w:szCs w:val="21"/>
          <w:highlight w:val="none"/>
          <w:lang w:eastAsia="zh-Hans"/>
        </w:rPr>
        <w:t>1、</w:t>
      </w:r>
      <w:r>
        <w:rPr>
          <w:rFonts w:hint="eastAsia" w:ascii="宋体" w:hAnsi="宋体" w:eastAsia="宋体" w:cs="宋体"/>
          <w:b w:val="0"/>
          <w:bCs/>
          <w:color w:val="auto"/>
          <w:szCs w:val="21"/>
          <w:highlight w:val="none"/>
          <w:lang w:val="en-US" w:eastAsia="zh-CN"/>
        </w:rPr>
        <w:t>乙方保证所供货物</w:t>
      </w:r>
      <w:r>
        <w:rPr>
          <w:rFonts w:hint="eastAsia" w:ascii="宋体" w:hAnsi="宋体" w:eastAsia="宋体" w:cs="宋体"/>
          <w:b w:val="0"/>
          <w:bCs/>
          <w:color w:val="auto"/>
          <w:szCs w:val="21"/>
          <w:highlight w:val="none"/>
          <w:lang w:eastAsia="zh-Hans"/>
        </w:rPr>
        <w:t>符合国家</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eastAsia="zh-Hans"/>
        </w:rPr>
        <w:t>行业标准及厂方出厂标准，并符合《用户需求书》</w:t>
      </w:r>
      <w:r>
        <w:rPr>
          <w:rFonts w:hint="eastAsia" w:ascii="宋体" w:hAnsi="宋体" w:eastAsia="宋体" w:cs="宋体"/>
          <w:b w:val="0"/>
          <w:bCs/>
          <w:color w:val="auto"/>
          <w:szCs w:val="21"/>
          <w:highlight w:val="none"/>
          <w:lang w:val="en-US" w:eastAsia="zh-CN"/>
        </w:rPr>
        <w:t>列明的</w:t>
      </w:r>
      <w:r>
        <w:rPr>
          <w:rFonts w:hint="eastAsia" w:ascii="宋体" w:hAnsi="宋体" w:eastAsia="宋体" w:cs="宋体"/>
          <w:b w:val="0"/>
          <w:bCs/>
          <w:color w:val="auto"/>
          <w:szCs w:val="21"/>
          <w:highlight w:val="none"/>
          <w:lang w:eastAsia="zh-Hans"/>
        </w:rPr>
        <w:t>技术标准和</w:t>
      </w:r>
      <w:r>
        <w:rPr>
          <w:rFonts w:hint="eastAsia" w:ascii="宋体" w:hAnsi="宋体" w:eastAsia="宋体" w:cs="宋体"/>
          <w:b w:val="0"/>
          <w:bCs/>
          <w:color w:val="auto"/>
          <w:szCs w:val="21"/>
          <w:highlight w:val="none"/>
          <w:lang w:val="en-US" w:eastAsia="zh-CN"/>
        </w:rPr>
        <w:t>技术</w:t>
      </w:r>
      <w:r>
        <w:rPr>
          <w:rFonts w:hint="eastAsia" w:ascii="宋体" w:hAnsi="宋体" w:eastAsia="宋体" w:cs="宋体"/>
          <w:b w:val="0"/>
          <w:bCs/>
          <w:color w:val="auto"/>
          <w:szCs w:val="21"/>
          <w:highlight w:val="none"/>
          <w:lang w:eastAsia="zh-Hans"/>
        </w:rPr>
        <w:t>要求，完全满足甲方的实际使用需要。</w:t>
      </w:r>
      <w:bookmarkEnd w:id="617"/>
      <w:bookmarkEnd w:id="618"/>
      <w:bookmarkEnd w:id="619"/>
      <w:bookmarkEnd w:id="620"/>
    </w:p>
    <w:p w14:paraId="5AC231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CN"/>
        </w:rPr>
      </w:pPr>
      <w:bookmarkStart w:id="621" w:name="_Toc4998"/>
      <w:bookmarkStart w:id="622" w:name="_Toc973"/>
      <w:bookmarkStart w:id="623" w:name="_Toc27893"/>
      <w:bookmarkStart w:id="624" w:name="_Toc17194"/>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eastAsia="zh-Hans"/>
        </w:rPr>
        <w:t>、DN</w:t>
      </w:r>
      <w:r>
        <w:rPr>
          <w:rFonts w:hint="eastAsia" w:ascii="宋体" w:hAnsi="宋体" w:eastAsia="宋体" w:cs="宋体"/>
          <w:b w:val="0"/>
          <w:bCs/>
          <w:color w:val="auto"/>
          <w:szCs w:val="21"/>
          <w:highlight w:val="none"/>
          <w:lang w:val="en-US" w:eastAsia="zh-CN"/>
        </w:rPr>
        <w:t>80</w:t>
      </w:r>
      <w:r>
        <w:rPr>
          <w:rFonts w:hint="eastAsia" w:ascii="宋体" w:hAnsi="宋体" w:eastAsia="宋体" w:cs="宋体"/>
          <w:b w:val="0"/>
          <w:bCs/>
          <w:color w:val="auto"/>
          <w:szCs w:val="21"/>
          <w:highlight w:val="none"/>
          <w:lang w:eastAsia="zh-Hans"/>
        </w:rPr>
        <w:t>~DN</w:t>
      </w:r>
      <w:r>
        <w:rPr>
          <w:rFonts w:hint="eastAsia" w:ascii="宋体" w:hAnsi="宋体" w:eastAsia="宋体" w:cs="宋体"/>
          <w:b w:val="0"/>
          <w:bCs/>
          <w:color w:val="auto"/>
          <w:szCs w:val="21"/>
          <w:highlight w:val="none"/>
          <w:lang w:val="en-US" w:eastAsia="zh-CN"/>
        </w:rPr>
        <w:t>300超声波</w:t>
      </w:r>
      <w:r>
        <w:rPr>
          <w:rFonts w:hint="eastAsia" w:ascii="宋体" w:hAnsi="宋体" w:eastAsia="宋体" w:cs="宋体"/>
          <w:b w:val="0"/>
          <w:bCs/>
          <w:color w:val="auto"/>
          <w:szCs w:val="21"/>
          <w:highlight w:val="none"/>
          <w:lang w:eastAsia="zh-Hans"/>
        </w:rPr>
        <w:t>水表整表(含配套远传模块、计量电池、通讯电池和通讯资费)质保期为6年</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自</w:t>
      </w:r>
      <w:r>
        <w:rPr>
          <w:rFonts w:hint="eastAsia" w:ascii="宋体" w:hAnsi="宋体" w:eastAsia="宋体" w:cs="宋体"/>
          <w:b w:val="0"/>
          <w:bCs/>
          <w:color w:val="auto"/>
          <w:szCs w:val="21"/>
          <w:highlight w:val="none"/>
        </w:rPr>
        <w:t>每批次</w:t>
      </w:r>
      <w:r>
        <w:rPr>
          <w:rFonts w:hint="eastAsia" w:ascii="宋体" w:hAnsi="宋体" w:eastAsia="宋体" w:cs="宋体"/>
          <w:b w:val="0"/>
          <w:bCs/>
          <w:color w:val="auto"/>
          <w:szCs w:val="21"/>
          <w:highlight w:val="none"/>
          <w:lang w:eastAsia="zh-Hans"/>
        </w:rPr>
        <w:t>货物</w:t>
      </w:r>
      <w:r>
        <w:rPr>
          <w:rFonts w:hint="eastAsia" w:ascii="宋体" w:hAnsi="宋体" w:eastAsia="宋体" w:cs="宋体"/>
          <w:b w:val="0"/>
          <w:bCs/>
          <w:color w:val="auto"/>
          <w:szCs w:val="21"/>
          <w:highlight w:val="none"/>
          <w:lang w:val="en-US" w:eastAsia="zh-CN"/>
        </w:rPr>
        <w:t>到货</w:t>
      </w:r>
      <w:r>
        <w:rPr>
          <w:rFonts w:hint="eastAsia" w:ascii="宋体" w:hAnsi="宋体" w:eastAsia="宋体" w:cs="宋体"/>
          <w:b w:val="0"/>
          <w:bCs/>
          <w:color w:val="auto"/>
          <w:szCs w:val="21"/>
          <w:highlight w:val="none"/>
          <w:lang w:eastAsia="zh-Hans"/>
        </w:rPr>
        <w:t>验收合格之日起算。</w:t>
      </w:r>
      <w:bookmarkEnd w:id="621"/>
      <w:bookmarkEnd w:id="622"/>
      <w:bookmarkEnd w:id="623"/>
      <w:bookmarkEnd w:id="624"/>
    </w:p>
    <w:p w14:paraId="71BD46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GB" w:eastAsia="zh-Hans"/>
        </w:rPr>
      </w:pPr>
      <w:bookmarkStart w:id="625" w:name="_Toc8069"/>
      <w:bookmarkStart w:id="626" w:name="_Toc10385"/>
      <w:bookmarkStart w:id="627" w:name="_Toc26520"/>
      <w:bookmarkStart w:id="628" w:name="_Toc16271"/>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GB" w:eastAsia="zh-Hans"/>
        </w:rPr>
        <w:t>、质保期内乙方免费维修、更换产品。如因乙方原因导致货物出现严重质量或技术问题而必须完全停止运行，或乙方未能及时维修、替换缺陷货物，该质保期相应延长。</w:t>
      </w:r>
      <w:bookmarkEnd w:id="625"/>
      <w:bookmarkEnd w:id="626"/>
      <w:bookmarkEnd w:id="627"/>
      <w:bookmarkEnd w:id="628"/>
    </w:p>
    <w:p w14:paraId="07CCC5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GB" w:eastAsia="zh-Hans"/>
        </w:rPr>
      </w:pPr>
      <w:bookmarkStart w:id="629" w:name="_Toc6268"/>
      <w:bookmarkStart w:id="630" w:name="_Toc2917"/>
      <w:bookmarkStart w:id="631" w:name="_Toc9389"/>
      <w:bookmarkStart w:id="632" w:name="_Toc29500"/>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val="en-GB" w:eastAsia="zh-Hans"/>
        </w:rPr>
        <w:t>、质保期内出现质量故障的，若乙方接到甲方售后通知须于</w:t>
      </w:r>
      <w:r>
        <w:rPr>
          <w:rFonts w:hint="eastAsia" w:ascii="宋体" w:hAnsi="宋体" w:eastAsia="宋体" w:cs="宋体"/>
          <w:b w:val="0"/>
          <w:bCs/>
          <w:color w:val="auto"/>
          <w:szCs w:val="21"/>
          <w:highlight w:val="none"/>
          <w:u w:val="single"/>
          <w:lang w:val="en-GB" w:eastAsia="zh-Hans"/>
        </w:rPr>
        <w:t xml:space="preserve">   </w:t>
      </w:r>
      <w:r>
        <w:rPr>
          <w:rFonts w:hint="eastAsia" w:ascii="宋体" w:hAnsi="宋体" w:eastAsia="宋体" w:cs="宋体"/>
          <w:b w:val="0"/>
          <w:bCs/>
          <w:color w:val="auto"/>
          <w:szCs w:val="21"/>
          <w:highlight w:val="none"/>
          <w:lang w:val="en-GB" w:eastAsia="zh-Hans"/>
        </w:rPr>
        <w:t>小时内作出响应，当甲方要求现场处理时，乙方需派遣有经验的技术人员于</w:t>
      </w:r>
      <w:r>
        <w:rPr>
          <w:rFonts w:hint="eastAsia" w:ascii="宋体" w:hAnsi="宋体" w:eastAsia="宋体" w:cs="宋体"/>
          <w:b w:val="0"/>
          <w:bCs/>
          <w:color w:val="auto"/>
          <w:szCs w:val="21"/>
          <w:highlight w:val="none"/>
          <w:u w:val="single"/>
          <w:lang w:val="en-GB" w:eastAsia="zh-Hans"/>
        </w:rPr>
        <w:t xml:space="preserve">   </w:t>
      </w:r>
      <w:r>
        <w:rPr>
          <w:rFonts w:hint="eastAsia" w:ascii="宋体" w:hAnsi="宋体" w:eastAsia="宋体" w:cs="宋体"/>
          <w:b w:val="0"/>
          <w:bCs/>
          <w:color w:val="auto"/>
          <w:szCs w:val="21"/>
          <w:highlight w:val="none"/>
          <w:lang w:val="en-GB" w:eastAsia="zh-Hans"/>
        </w:rPr>
        <w:t>小时内携带必备的工具和资料无条件到场处理。逾期处理的，甲方有权自行或委托第三方处理，费用由乙方支付。</w:t>
      </w:r>
      <w:bookmarkEnd w:id="629"/>
      <w:bookmarkEnd w:id="630"/>
      <w:bookmarkEnd w:id="631"/>
      <w:bookmarkEnd w:id="632"/>
    </w:p>
    <w:p w14:paraId="088F32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GB" w:eastAsia="zh-Hans"/>
        </w:rPr>
      </w:pPr>
      <w:bookmarkStart w:id="633" w:name="_Toc29572"/>
      <w:bookmarkStart w:id="634" w:name="_Toc9472"/>
      <w:bookmarkStart w:id="635" w:name="_Toc13241"/>
      <w:bookmarkStart w:id="636" w:name="_Toc28250"/>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val="en-GB" w:eastAsia="zh-Hans"/>
        </w:rPr>
        <w:t>、质保期内发现货物存在缺陷的质量问题，甲方有权要求乙方进行整改。具体的整改要求、整改合格标准及整改期限，以甲方发出的整改通知书为准。</w:t>
      </w:r>
      <w:bookmarkEnd w:id="633"/>
      <w:bookmarkEnd w:id="634"/>
      <w:bookmarkEnd w:id="635"/>
      <w:bookmarkEnd w:id="636"/>
    </w:p>
    <w:p w14:paraId="0E5D0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GB" w:eastAsia="zh-Hans"/>
        </w:rPr>
      </w:pPr>
      <w:bookmarkStart w:id="637" w:name="_Toc12495"/>
      <w:bookmarkStart w:id="638" w:name="_Toc9082"/>
      <w:bookmarkStart w:id="639" w:name="_Toc12682"/>
      <w:bookmarkStart w:id="640" w:name="_Toc31298"/>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val="en-GB" w:eastAsia="zh-Hans"/>
        </w:rPr>
        <w:t>、若乙方对甲方认定的质量问题提出异议的，应在争议发生后7日内提交东莞市质检部门或有资质及鉴定能力的鉴定机构进行质量鉴定，鉴定费由乙方先行垫付。鉴定结果确认货物质量符合合同（含附件）约定的，鉴定费由甲方承担；不符合合同约定的，鉴定费由乙方承担，乙方同时按本合同约定承担违约责任。</w:t>
      </w:r>
      <w:bookmarkEnd w:id="637"/>
      <w:bookmarkEnd w:id="638"/>
      <w:bookmarkEnd w:id="639"/>
      <w:bookmarkEnd w:id="640"/>
    </w:p>
    <w:p w14:paraId="31E024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rPr>
      </w:pPr>
      <w:bookmarkStart w:id="641" w:name="_Toc5619"/>
      <w:bookmarkStart w:id="642" w:name="_Toc25648"/>
      <w:bookmarkStart w:id="643" w:name="_Toc21557"/>
      <w:bookmarkStart w:id="644" w:name="_Toc19915"/>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val="en-GB" w:eastAsia="zh-Hans"/>
        </w:rPr>
        <w:t>、甲方在使用货物时所遇技术问题或修改通讯对接协议、系统功能模块等，乙方应按甲方要求及时向甲方无偿提供服务</w:t>
      </w:r>
      <w:r>
        <w:rPr>
          <w:rFonts w:hint="eastAsia" w:ascii="宋体" w:hAnsi="宋体" w:eastAsia="宋体" w:cs="宋体"/>
          <w:b w:val="0"/>
          <w:bCs/>
          <w:color w:val="auto"/>
          <w:szCs w:val="21"/>
          <w:highlight w:val="none"/>
          <w:lang w:eastAsia="zh-Hans"/>
        </w:rPr>
        <w:t>。</w:t>
      </w:r>
      <w:bookmarkEnd w:id="641"/>
      <w:bookmarkEnd w:id="642"/>
      <w:bookmarkEnd w:id="643"/>
      <w:bookmarkEnd w:id="644"/>
    </w:p>
    <w:p w14:paraId="0065BB3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p>
    <w:p w14:paraId="5630381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lang w:val="en-US" w:eastAsia="zh-CN"/>
        </w:rPr>
      </w:pPr>
      <w:bookmarkStart w:id="645" w:name="_Toc32250"/>
      <w:bookmarkStart w:id="646" w:name="_Toc22331"/>
      <w:bookmarkStart w:id="647" w:name="_Toc3279"/>
      <w:bookmarkStart w:id="648" w:name="_Toc2458"/>
      <w:r>
        <w:rPr>
          <w:rFonts w:hint="eastAsia" w:ascii="宋体" w:hAnsi="宋体" w:eastAsia="宋体" w:cs="宋体"/>
          <w:b/>
          <w:color w:val="auto"/>
          <w:szCs w:val="21"/>
          <w:highlight w:val="none"/>
          <w:lang w:val="en-US" w:eastAsia="zh-CN"/>
        </w:rPr>
        <w:t>第十四条 违约责任</w:t>
      </w:r>
      <w:bookmarkEnd w:id="645"/>
      <w:bookmarkEnd w:id="646"/>
      <w:bookmarkEnd w:id="647"/>
      <w:bookmarkEnd w:id="648"/>
    </w:p>
    <w:p w14:paraId="647268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US" w:eastAsia="zh-Hans"/>
        </w:rPr>
      </w:pPr>
      <w:bookmarkStart w:id="649" w:name="_Toc22781"/>
      <w:bookmarkStart w:id="650" w:name="_Toc25066"/>
      <w:bookmarkStart w:id="651" w:name="_Toc32092"/>
      <w:bookmarkStart w:id="652" w:name="_Toc7745"/>
      <w:r>
        <w:rPr>
          <w:rFonts w:hint="eastAsia" w:ascii="宋体" w:hAnsi="宋体" w:eastAsia="宋体" w:cs="宋体"/>
          <w:b w:val="0"/>
          <w:bCs/>
          <w:color w:val="auto"/>
          <w:szCs w:val="21"/>
          <w:highlight w:val="none"/>
          <w:lang w:val="en-US" w:eastAsia="zh-Hans"/>
        </w:rPr>
        <w:t>1、乙方未按《供货通知单》约定的时间全部供货，每逾期一日，应按逾期供货货物的含税总价的5‰向甲方支付违约金，累计不超过逾期供货货物的含税总价的15%。逾期超过_30_日的，甲方有权选择以下任一或多项救济措施：</w:t>
      </w:r>
      <w:bookmarkEnd w:id="649"/>
      <w:bookmarkEnd w:id="650"/>
      <w:bookmarkEnd w:id="651"/>
      <w:bookmarkEnd w:id="652"/>
    </w:p>
    <w:p w14:paraId="46E3AD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US" w:eastAsia="zh-Hans"/>
        </w:rPr>
      </w:pPr>
      <w:bookmarkStart w:id="653" w:name="_Toc23155"/>
      <w:bookmarkStart w:id="654" w:name="_Toc20910"/>
      <w:bookmarkStart w:id="655" w:name="_Toc15729"/>
      <w:bookmarkStart w:id="656" w:name="_Toc21382"/>
      <w:r>
        <w:rPr>
          <w:rFonts w:hint="eastAsia" w:ascii="宋体" w:hAnsi="宋体" w:eastAsia="宋体" w:cs="宋体"/>
          <w:b w:val="0"/>
          <w:bCs/>
          <w:color w:val="auto"/>
          <w:szCs w:val="21"/>
          <w:highlight w:val="none"/>
          <w:lang w:val="en-US" w:eastAsia="zh-Hans"/>
        </w:rPr>
        <w:t>（1）要求乙方在   日内全额退还该批次已支付的全部货款；</w:t>
      </w:r>
      <w:bookmarkEnd w:id="653"/>
      <w:bookmarkEnd w:id="654"/>
      <w:bookmarkEnd w:id="655"/>
      <w:bookmarkEnd w:id="656"/>
    </w:p>
    <w:p w14:paraId="7CAF26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Hans"/>
        </w:rPr>
      </w:pPr>
      <w:bookmarkStart w:id="657" w:name="_Toc3139"/>
      <w:bookmarkStart w:id="658" w:name="_Toc8984"/>
      <w:bookmarkStart w:id="659" w:name="_Toc9224"/>
      <w:bookmarkStart w:id="660" w:name="_Toc9834"/>
      <w:r>
        <w:rPr>
          <w:rFonts w:hint="eastAsia" w:ascii="宋体" w:hAnsi="宋体" w:eastAsia="宋体" w:cs="宋体"/>
          <w:b w:val="0"/>
          <w:bCs/>
          <w:color w:val="auto"/>
          <w:szCs w:val="21"/>
          <w:highlight w:val="none"/>
          <w:lang w:val="en-US" w:eastAsia="zh-Hans"/>
        </w:rPr>
        <w:t>（2）要求乙方按该批次货款含税总价的10%支付违约金，如违约金不足以弥补因乙方逾期供货给甲方造成的实际损失，不足部分乙方还应继续承担；</w:t>
      </w:r>
      <w:bookmarkEnd w:id="657"/>
      <w:bookmarkEnd w:id="658"/>
      <w:bookmarkEnd w:id="659"/>
      <w:bookmarkEnd w:id="660"/>
    </w:p>
    <w:p w14:paraId="0C3C6D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Hans"/>
        </w:rPr>
      </w:pPr>
      <w:bookmarkStart w:id="661" w:name="_Toc19247"/>
      <w:bookmarkStart w:id="662" w:name="_Toc15873"/>
      <w:bookmarkStart w:id="663" w:name="_Toc6704"/>
      <w:bookmarkStart w:id="664" w:name="_Toc7222"/>
      <w:r>
        <w:rPr>
          <w:rFonts w:hint="eastAsia" w:ascii="宋体" w:hAnsi="宋体" w:eastAsia="宋体" w:cs="宋体"/>
          <w:b w:val="0"/>
          <w:bCs/>
          <w:color w:val="auto"/>
          <w:szCs w:val="21"/>
          <w:highlight w:val="none"/>
          <w:lang w:eastAsia="zh-Hans"/>
        </w:rPr>
        <w:t>（</w:t>
      </w:r>
      <w:r>
        <w:rPr>
          <w:rFonts w:hint="eastAsia" w:ascii="宋体" w:hAnsi="宋体" w:eastAsia="宋体" w:cs="宋体"/>
          <w:b w:val="0"/>
          <w:bCs/>
          <w:color w:val="auto"/>
          <w:szCs w:val="21"/>
          <w:highlight w:val="none"/>
          <w:lang w:val="en-US" w:eastAsia="zh-Hans"/>
        </w:rPr>
        <w:t>3</w:t>
      </w:r>
      <w:r>
        <w:rPr>
          <w:rFonts w:hint="eastAsia" w:ascii="宋体" w:hAnsi="宋体" w:eastAsia="宋体" w:cs="宋体"/>
          <w:b w:val="0"/>
          <w:bCs/>
          <w:color w:val="auto"/>
          <w:szCs w:val="21"/>
          <w:highlight w:val="none"/>
          <w:lang w:eastAsia="zh-Hans"/>
        </w:rPr>
        <w:t>）单方解除合同，乙方除</w:t>
      </w:r>
      <w:r>
        <w:rPr>
          <w:rFonts w:hint="eastAsia" w:ascii="宋体" w:hAnsi="宋体" w:eastAsia="宋体" w:cs="宋体"/>
          <w:b w:val="0"/>
          <w:bCs/>
          <w:color w:val="auto"/>
          <w:szCs w:val="21"/>
          <w:highlight w:val="none"/>
          <w:lang w:val="en-US" w:eastAsia="zh-Hans"/>
        </w:rPr>
        <w:t>按本款第（1）（2）点</w:t>
      </w:r>
      <w:r>
        <w:rPr>
          <w:rFonts w:hint="eastAsia" w:ascii="宋体" w:hAnsi="宋体" w:eastAsia="宋体" w:cs="宋体"/>
          <w:b w:val="0"/>
          <w:bCs/>
          <w:color w:val="auto"/>
          <w:szCs w:val="21"/>
          <w:highlight w:val="none"/>
          <w:lang w:eastAsia="zh-Hans"/>
        </w:rPr>
        <w:t>履行退款、赔偿义务外，还应按合同暂定总价的</w:t>
      </w:r>
      <w:r>
        <w:rPr>
          <w:rFonts w:hint="eastAsia" w:ascii="宋体" w:hAnsi="宋体" w:eastAsia="宋体" w:cs="宋体"/>
          <w:b w:val="0"/>
          <w:bCs/>
          <w:color w:val="auto"/>
          <w:szCs w:val="21"/>
          <w:highlight w:val="none"/>
          <w:lang w:val="en-US" w:eastAsia="zh-Hans"/>
        </w:rPr>
        <w:t>20</w:t>
      </w:r>
      <w:r>
        <w:rPr>
          <w:rFonts w:hint="eastAsia" w:ascii="宋体" w:hAnsi="宋体" w:eastAsia="宋体" w:cs="宋体"/>
          <w:b w:val="0"/>
          <w:bCs/>
          <w:color w:val="auto"/>
          <w:szCs w:val="21"/>
          <w:highlight w:val="none"/>
          <w:lang w:eastAsia="zh-Hans"/>
        </w:rPr>
        <w:t>%支付违约金。</w:t>
      </w:r>
      <w:bookmarkEnd w:id="661"/>
      <w:bookmarkEnd w:id="662"/>
      <w:bookmarkEnd w:id="663"/>
      <w:bookmarkEnd w:id="664"/>
    </w:p>
    <w:p w14:paraId="7EFFB6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Hans"/>
        </w:rPr>
      </w:pPr>
      <w:bookmarkStart w:id="665" w:name="_Toc6008"/>
      <w:bookmarkStart w:id="666" w:name="_Toc28711"/>
      <w:bookmarkStart w:id="667" w:name="_Toc27781"/>
      <w:bookmarkStart w:id="668" w:name="_Toc7836"/>
      <w:r>
        <w:rPr>
          <w:rFonts w:hint="eastAsia" w:ascii="宋体" w:hAnsi="宋体" w:eastAsia="宋体" w:cs="宋体"/>
          <w:b w:val="0"/>
          <w:bCs/>
          <w:color w:val="auto"/>
          <w:szCs w:val="21"/>
          <w:highlight w:val="none"/>
          <w:lang w:val="en-US" w:eastAsia="zh-Hans"/>
        </w:rPr>
        <w:t>2、</w:t>
      </w:r>
      <w:r>
        <w:rPr>
          <w:rFonts w:hint="eastAsia" w:ascii="宋体" w:hAnsi="宋体" w:eastAsia="宋体" w:cs="宋体"/>
          <w:b w:val="0"/>
          <w:bCs/>
          <w:color w:val="auto"/>
          <w:szCs w:val="21"/>
          <w:highlight w:val="none"/>
          <w:lang w:eastAsia="zh-Hans"/>
        </w:rPr>
        <w:t>质保期内，</w:t>
      </w:r>
      <w:r>
        <w:rPr>
          <w:rFonts w:hint="eastAsia" w:ascii="宋体" w:hAnsi="宋体" w:eastAsia="宋体" w:cs="宋体"/>
          <w:b w:val="0"/>
          <w:bCs/>
          <w:color w:val="auto"/>
          <w:szCs w:val="21"/>
          <w:highlight w:val="none"/>
          <w:lang w:val="en-US" w:eastAsia="zh-Hans"/>
        </w:rPr>
        <w:t>若乙方所供</w:t>
      </w:r>
      <w:r>
        <w:rPr>
          <w:rFonts w:hint="eastAsia" w:ascii="宋体" w:hAnsi="宋体" w:eastAsia="宋体" w:cs="宋体"/>
          <w:b w:val="0"/>
          <w:bCs/>
          <w:color w:val="auto"/>
          <w:szCs w:val="21"/>
          <w:highlight w:val="none"/>
          <w:lang w:eastAsia="zh-Hans"/>
        </w:rPr>
        <w:t>货物</w:t>
      </w:r>
      <w:r>
        <w:rPr>
          <w:rFonts w:hint="eastAsia" w:ascii="宋体" w:hAnsi="宋体" w:eastAsia="宋体" w:cs="宋体"/>
          <w:b w:val="0"/>
          <w:bCs/>
          <w:color w:val="auto"/>
          <w:szCs w:val="21"/>
          <w:highlight w:val="none"/>
          <w:lang w:val="en-US" w:eastAsia="zh-Hans"/>
        </w:rPr>
        <w:t>出现缺陷的质量问题，且逾期未完成整改或整改仍不合格</w:t>
      </w:r>
      <w:r>
        <w:rPr>
          <w:rFonts w:hint="eastAsia" w:ascii="宋体" w:hAnsi="宋体" w:eastAsia="宋体" w:cs="宋体"/>
          <w:b w:val="0"/>
          <w:bCs/>
          <w:color w:val="auto"/>
          <w:szCs w:val="21"/>
          <w:highlight w:val="none"/>
          <w:lang w:eastAsia="zh-Hans"/>
        </w:rPr>
        <w:t>的，</w:t>
      </w:r>
      <w:r>
        <w:rPr>
          <w:rFonts w:hint="eastAsia" w:ascii="宋体" w:hAnsi="宋体" w:eastAsia="宋体" w:cs="宋体"/>
          <w:b w:val="0"/>
          <w:bCs/>
          <w:color w:val="auto"/>
          <w:szCs w:val="21"/>
          <w:highlight w:val="none"/>
          <w:lang w:val="en-US" w:eastAsia="zh-Hans"/>
        </w:rPr>
        <w:t>应按照该</w:t>
      </w:r>
      <w:r>
        <w:rPr>
          <w:rFonts w:hint="eastAsia" w:ascii="宋体" w:hAnsi="宋体" w:eastAsia="宋体" w:cs="宋体"/>
          <w:b w:val="0"/>
          <w:bCs/>
          <w:color w:val="auto"/>
          <w:szCs w:val="21"/>
          <w:highlight w:val="none"/>
          <w:lang w:eastAsia="zh-Hans"/>
        </w:rPr>
        <w:t>货物价款</w:t>
      </w:r>
      <w:r>
        <w:rPr>
          <w:rFonts w:hint="eastAsia" w:ascii="宋体" w:hAnsi="宋体" w:eastAsia="宋体" w:cs="宋体"/>
          <w:b w:val="0"/>
          <w:bCs/>
          <w:color w:val="auto"/>
          <w:szCs w:val="21"/>
          <w:highlight w:val="none"/>
          <w:lang w:val="en-US" w:eastAsia="zh-Hans"/>
        </w:rPr>
        <w:t>20</w:t>
      </w:r>
      <w:r>
        <w:rPr>
          <w:rFonts w:hint="eastAsia" w:ascii="宋体" w:hAnsi="宋体" w:eastAsia="宋体" w:cs="宋体"/>
          <w:b w:val="0"/>
          <w:bCs/>
          <w:color w:val="auto"/>
          <w:szCs w:val="21"/>
          <w:highlight w:val="none"/>
          <w:lang w:eastAsia="zh-Hans"/>
        </w:rPr>
        <w:t>0%</w:t>
      </w:r>
      <w:r>
        <w:rPr>
          <w:rFonts w:hint="eastAsia" w:ascii="宋体" w:hAnsi="宋体" w:eastAsia="宋体" w:cs="宋体"/>
          <w:b w:val="0"/>
          <w:bCs/>
          <w:color w:val="auto"/>
          <w:szCs w:val="21"/>
          <w:highlight w:val="none"/>
          <w:lang w:val="en-US" w:eastAsia="zh-Hans"/>
        </w:rPr>
        <w:t>向甲方支付违约</w:t>
      </w:r>
      <w:r>
        <w:rPr>
          <w:rFonts w:hint="eastAsia" w:ascii="宋体" w:hAnsi="宋体" w:eastAsia="宋体" w:cs="宋体"/>
          <w:b w:val="0"/>
          <w:bCs/>
          <w:color w:val="auto"/>
          <w:szCs w:val="21"/>
          <w:highlight w:val="none"/>
          <w:lang w:eastAsia="zh-Hans"/>
        </w:rPr>
        <w:t>金。</w:t>
      </w:r>
      <w:bookmarkEnd w:id="665"/>
      <w:bookmarkEnd w:id="666"/>
      <w:bookmarkEnd w:id="667"/>
      <w:bookmarkEnd w:id="668"/>
    </w:p>
    <w:p w14:paraId="45775E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US" w:eastAsia="zh-Hans"/>
        </w:rPr>
      </w:pPr>
      <w:bookmarkStart w:id="669" w:name="_Toc7336"/>
      <w:bookmarkStart w:id="670" w:name="_Toc9678"/>
      <w:bookmarkStart w:id="671" w:name="_Toc23971"/>
      <w:bookmarkStart w:id="672" w:name="_Toc17117"/>
      <w:r>
        <w:rPr>
          <w:rFonts w:hint="eastAsia" w:ascii="宋体" w:hAnsi="宋体" w:eastAsia="宋体" w:cs="宋体"/>
          <w:b w:val="0"/>
          <w:bCs/>
          <w:color w:val="auto"/>
          <w:szCs w:val="21"/>
          <w:highlight w:val="none"/>
          <w:lang w:val="en-US" w:eastAsia="zh-Hans"/>
        </w:rPr>
        <w:t>3、乙方所供货物经质量鉴定不合格的，除</w:t>
      </w:r>
      <w:r>
        <w:rPr>
          <w:rFonts w:hint="eastAsia" w:ascii="宋体" w:hAnsi="宋体" w:eastAsia="宋体" w:cs="宋体"/>
          <w:b w:val="0"/>
          <w:bCs/>
          <w:color w:val="auto"/>
          <w:szCs w:val="21"/>
          <w:highlight w:val="none"/>
          <w:lang w:eastAsia="zh-Hans"/>
        </w:rPr>
        <w:t>应按本合同约定承担</w:t>
      </w:r>
      <w:r>
        <w:rPr>
          <w:rFonts w:hint="eastAsia" w:ascii="宋体" w:hAnsi="宋体" w:eastAsia="宋体" w:cs="宋体"/>
          <w:b w:val="0"/>
          <w:bCs/>
          <w:color w:val="auto"/>
          <w:szCs w:val="21"/>
          <w:highlight w:val="none"/>
          <w:lang w:val="en-US" w:eastAsia="zh-Hans"/>
        </w:rPr>
        <w:t>质保期免费维修</w:t>
      </w:r>
      <w:r>
        <w:rPr>
          <w:rFonts w:hint="eastAsia" w:ascii="宋体" w:hAnsi="宋体" w:eastAsia="宋体" w:cs="宋体"/>
          <w:b w:val="0"/>
          <w:bCs/>
          <w:color w:val="auto"/>
          <w:szCs w:val="21"/>
          <w:highlight w:val="none"/>
          <w:lang w:eastAsia="zh-Hans"/>
        </w:rPr>
        <w:t>、更换责任</w:t>
      </w:r>
      <w:r>
        <w:rPr>
          <w:rFonts w:hint="eastAsia" w:ascii="宋体" w:hAnsi="宋体" w:eastAsia="宋体" w:cs="宋体"/>
          <w:b w:val="0"/>
          <w:bCs/>
          <w:color w:val="auto"/>
          <w:szCs w:val="21"/>
          <w:highlight w:val="none"/>
          <w:lang w:val="en-US" w:eastAsia="zh-Hans"/>
        </w:rPr>
        <w:t>外</w:t>
      </w:r>
      <w:r>
        <w:rPr>
          <w:rFonts w:hint="eastAsia" w:ascii="宋体" w:hAnsi="宋体" w:eastAsia="宋体" w:cs="宋体"/>
          <w:b w:val="0"/>
          <w:bCs/>
          <w:color w:val="auto"/>
          <w:szCs w:val="21"/>
          <w:highlight w:val="none"/>
          <w:lang w:eastAsia="zh-Hans"/>
        </w:rPr>
        <w:t>，</w:t>
      </w:r>
      <w:r>
        <w:rPr>
          <w:rFonts w:hint="eastAsia" w:ascii="宋体" w:hAnsi="宋体" w:eastAsia="宋体" w:cs="宋体"/>
          <w:b w:val="0"/>
          <w:bCs/>
          <w:color w:val="auto"/>
          <w:szCs w:val="21"/>
          <w:highlight w:val="none"/>
          <w:lang w:val="en-US" w:eastAsia="zh-Hans"/>
        </w:rPr>
        <w:t>还应</w:t>
      </w:r>
      <w:r>
        <w:rPr>
          <w:rFonts w:hint="eastAsia" w:ascii="宋体" w:hAnsi="宋体" w:eastAsia="宋体" w:cs="宋体"/>
          <w:b w:val="0"/>
          <w:bCs/>
          <w:color w:val="auto"/>
          <w:szCs w:val="21"/>
          <w:highlight w:val="none"/>
          <w:lang w:eastAsia="zh-Hans"/>
        </w:rPr>
        <w:t>支付</w:t>
      </w:r>
      <w:r>
        <w:rPr>
          <w:rFonts w:hint="eastAsia" w:ascii="宋体" w:hAnsi="宋体" w:eastAsia="宋体" w:cs="宋体"/>
          <w:b w:val="0"/>
          <w:bCs/>
          <w:color w:val="auto"/>
          <w:szCs w:val="21"/>
          <w:highlight w:val="none"/>
          <w:lang w:val="en-US" w:eastAsia="zh-Hans"/>
        </w:rPr>
        <w:t>相当于</w:t>
      </w:r>
      <w:r>
        <w:rPr>
          <w:rFonts w:hint="eastAsia" w:ascii="宋体" w:hAnsi="宋体" w:eastAsia="宋体" w:cs="宋体"/>
          <w:b w:val="0"/>
          <w:bCs/>
          <w:color w:val="auto"/>
          <w:szCs w:val="21"/>
          <w:highlight w:val="none"/>
          <w:lang w:eastAsia="zh-Hans"/>
        </w:rPr>
        <w:t>该批次货款</w:t>
      </w:r>
      <w:r>
        <w:rPr>
          <w:rFonts w:hint="eastAsia" w:ascii="宋体" w:hAnsi="宋体" w:eastAsia="宋体" w:cs="宋体"/>
          <w:b w:val="0"/>
          <w:bCs/>
          <w:color w:val="auto"/>
          <w:szCs w:val="21"/>
          <w:highlight w:val="none"/>
          <w:lang w:val="en-US" w:eastAsia="zh-Hans"/>
        </w:rPr>
        <w:t>含税总价</w:t>
      </w:r>
      <w:r>
        <w:rPr>
          <w:rFonts w:hint="eastAsia" w:ascii="宋体" w:hAnsi="宋体" w:eastAsia="宋体" w:cs="宋体"/>
          <w:b w:val="0"/>
          <w:bCs/>
          <w:color w:val="auto"/>
          <w:szCs w:val="21"/>
          <w:highlight w:val="none"/>
          <w:lang w:eastAsia="zh-Hans"/>
        </w:rPr>
        <w:t>5%的违约金；</w:t>
      </w:r>
      <w:r>
        <w:rPr>
          <w:rFonts w:hint="eastAsia" w:ascii="宋体" w:hAnsi="宋体" w:eastAsia="宋体" w:cs="宋体"/>
          <w:b w:val="0"/>
          <w:bCs/>
          <w:color w:val="auto"/>
          <w:szCs w:val="21"/>
          <w:highlight w:val="none"/>
          <w:lang w:val="en-US" w:eastAsia="zh-Hans"/>
        </w:rPr>
        <w:t>逾期更换或更换后仍质量不合格的，</w:t>
      </w:r>
      <w:r>
        <w:rPr>
          <w:rFonts w:hint="eastAsia" w:ascii="宋体" w:hAnsi="宋体" w:eastAsia="宋体" w:cs="宋体"/>
          <w:b w:val="0"/>
          <w:bCs/>
          <w:color w:val="auto"/>
          <w:szCs w:val="21"/>
          <w:highlight w:val="none"/>
          <w:lang w:eastAsia="zh-Hans"/>
        </w:rPr>
        <w:t>乙方</w:t>
      </w:r>
      <w:r>
        <w:rPr>
          <w:rFonts w:hint="eastAsia" w:ascii="宋体" w:hAnsi="宋体" w:eastAsia="宋体" w:cs="宋体"/>
          <w:b w:val="0"/>
          <w:bCs/>
          <w:color w:val="auto"/>
          <w:szCs w:val="21"/>
          <w:highlight w:val="none"/>
          <w:lang w:val="en-US" w:eastAsia="zh-Hans"/>
        </w:rPr>
        <w:t>应当</w:t>
      </w:r>
      <w:r>
        <w:rPr>
          <w:rFonts w:hint="eastAsia" w:ascii="宋体" w:hAnsi="宋体" w:eastAsia="宋体" w:cs="宋体"/>
          <w:b w:val="0"/>
          <w:bCs/>
          <w:color w:val="auto"/>
          <w:szCs w:val="21"/>
          <w:highlight w:val="none"/>
          <w:lang w:eastAsia="zh-Hans"/>
        </w:rPr>
        <w:t>全额退还该批次已付货款，</w:t>
      </w:r>
      <w:r>
        <w:rPr>
          <w:rFonts w:hint="eastAsia" w:ascii="宋体" w:hAnsi="宋体" w:eastAsia="宋体" w:cs="宋体"/>
          <w:b w:val="0"/>
          <w:bCs/>
          <w:color w:val="auto"/>
          <w:szCs w:val="21"/>
          <w:highlight w:val="none"/>
          <w:lang w:val="en-US" w:eastAsia="zh-Hans"/>
        </w:rPr>
        <w:t>并</w:t>
      </w:r>
      <w:r>
        <w:rPr>
          <w:rFonts w:hint="eastAsia" w:ascii="宋体" w:hAnsi="宋体" w:eastAsia="宋体" w:cs="宋体"/>
          <w:b w:val="0"/>
          <w:bCs/>
          <w:color w:val="auto"/>
          <w:szCs w:val="21"/>
          <w:highlight w:val="none"/>
          <w:lang w:eastAsia="zh-Hans"/>
        </w:rPr>
        <w:t>支付</w:t>
      </w:r>
      <w:r>
        <w:rPr>
          <w:rFonts w:hint="eastAsia" w:ascii="宋体" w:hAnsi="宋体" w:eastAsia="宋体" w:cs="宋体"/>
          <w:b w:val="0"/>
          <w:bCs/>
          <w:color w:val="auto"/>
          <w:szCs w:val="21"/>
          <w:highlight w:val="none"/>
          <w:lang w:val="en-US" w:eastAsia="zh-Hans"/>
        </w:rPr>
        <w:t>相当于该批次货款含税总价</w:t>
      </w:r>
      <w:r>
        <w:rPr>
          <w:rFonts w:hint="eastAsia" w:ascii="宋体" w:hAnsi="宋体" w:eastAsia="宋体" w:cs="宋体"/>
          <w:b w:val="0"/>
          <w:bCs/>
          <w:color w:val="auto"/>
          <w:szCs w:val="21"/>
          <w:highlight w:val="none"/>
          <w:lang w:eastAsia="zh-Hans"/>
        </w:rPr>
        <w:t>10%的违约金</w:t>
      </w:r>
      <w:r>
        <w:rPr>
          <w:rFonts w:hint="eastAsia" w:ascii="宋体" w:hAnsi="宋体" w:eastAsia="宋体" w:cs="宋体"/>
          <w:b w:val="0"/>
          <w:bCs/>
          <w:color w:val="auto"/>
          <w:szCs w:val="21"/>
          <w:highlight w:val="none"/>
          <w:lang w:val="en-US" w:eastAsia="zh-Hans"/>
        </w:rPr>
        <w:t>。</w:t>
      </w:r>
      <w:bookmarkEnd w:id="669"/>
      <w:bookmarkEnd w:id="670"/>
      <w:bookmarkEnd w:id="671"/>
      <w:bookmarkEnd w:id="672"/>
    </w:p>
    <w:p w14:paraId="59108F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Hans"/>
        </w:rPr>
      </w:pPr>
      <w:bookmarkStart w:id="673" w:name="_Toc20221"/>
      <w:bookmarkStart w:id="674" w:name="_Toc1150"/>
      <w:bookmarkStart w:id="675" w:name="_Toc7851"/>
      <w:bookmarkStart w:id="676" w:name="_Toc32089"/>
      <w:r>
        <w:rPr>
          <w:rFonts w:hint="eastAsia" w:ascii="宋体" w:hAnsi="宋体" w:eastAsia="宋体" w:cs="宋体"/>
          <w:b w:val="0"/>
          <w:bCs/>
          <w:color w:val="auto"/>
          <w:szCs w:val="21"/>
          <w:highlight w:val="none"/>
          <w:lang w:val="en-US" w:eastAsia="zh-Hans"/>
        </w:rPr>
        <w:t>4、因乙方所供货物存在缺陷</w:t>
      </w:r>
      <w:r>
        <w:rPr>
          <w:rFonts w:hint="eastAsia" w:ascii="宋体" w:hAnsi="宋体" w:eastAsia="宋体" w:cs="宋体"/>
          <w:b w:val="0"/>
          <w:bCs/>
          <w:color w:val="auto"/>
          <w:szCs w:val="21"/>
          <w:highlight w:val="none"/>
          <w:lang w:val="en-GB" w:eastAsia="zh-Hans"/>
        </w:rPr>
        <w:t>给甲方或第三方造成</w:t>
      </w:r>
      <w:r>
        <w:rPr>
          <w:rFonts w:hint="eastAsia" w:ascii="宋体" w:hAnsi="宋体" w:eastAsia="宋体" w:cs="宋体"/>
          <w:b w:val="0"/>
          <w:bCs/>
          <w:color w:val="auto"/>
          <w:szCs w:val="21"/>
          <w:highlight w:val="none"/>
          <w:lang w:val="en-US" w:eastAsia="zh-Hans"/>
        </w:rPr>
        <w:t>实际</w:t>
      </w:r>
      <w:r>
        <w:rPr>
          <w:rFonts w:hint="eastAsia" w:ascii="宋体" w:hAnsi="宋体" w:eastAsia="宋体" w:cs="宋体"/>
          <w:b w:val="0"/>
          <w:bCs/>
          <w:color w:val="auto"/>
          <w:szCs w:val="21"/>
          <w:highlight w:val="none"/>
          <w:lang w:val="en-GB" w:eastAsia="zh-Hans"/>
        </w:rPr>
        <w:t>损失的，</w:t>
      </w:r>
      <w:r>
        <w:rPr>
          <w:rFonts w:hint="eastAsia" w:ascii="宋体" w:hAnsi="宋体" w:eastAsia="宋体" w:cs="宋体"/>
          <w:b w:val="0"/>
          <w:bCs/>
          <w:color w:val="auto"/>
          <w:szCs w:val="21"/>
          <w:highlight w:val="none"/>
          <w:lang w:val="en-US" w:eastAsia="zh-Hans"/>
        </w:rPr>
        <w:t>乙方应当对实际损失进行赔偿；</w:t>
      </w:r>
      <w:r>
        <w:rPr>
          <w:rFonts w:hint="eastAsia" w:ascii="宋体" w:hAnsi="宋体" w:eastAsia="宋体" w:cs="宋体"/>
          <w:b w:val="0"/>
          <w:bCs/>
          <w:color w:val="auto"/>
          <w:szCs w:val="21"/>
          <w:highlight w:val="none"/>
          <w:lang w:eastAsia="zh-Hans"/>
        </w:rPr>
        <w:t>当</w:t>
      </w:r>
      <w:r>
        <w:rPr>
          <w:rFonts w:hint="eastAsia" w:ascii="宋体" w:hAnsi="宋体" w:eastAsia="宋体" w:cs="宋体"/>
          <w:b w:val="0"/>
          <w:bCs/>
          <w:color w:val="auto"/>
          <w:szCs w:val="21"/>
          <w:highlight w:val="none"/>
          <w:lang w:val="en-US" w:eastAsia="zh-Hans"/>
        </w:rPr>
        <w:t>实际</w:t>
      </w:r>
      <w:r>
        <w:rPr>
          <w:rFonts w:hint="eastAsia" w:ascii="宋体" w:hAnsi="宋体" w:eastAsia="宋体" w:cs="宋体"/>
          <w:b w:val="0"/>
          <w:bCs/>
          <w:color w:val="auto"/>
          <w:szCs w:val="21"/>
          <w:highlight w:val="none"/>
          <w:lang w:eastAsia="zh-Hans"/>
        </w:rPr>
        <w:t>损失无法计算时，按</w:t>
      </w:r>
      <w:r>
        <w:rPr>
          <w:rFonts w:hint="eastAsia" w:ascii="宋体" w:hAnsi="宋体" w:eastAsia="宋体" w:cs="宋体"/>
          <w:b w:val="0"/>
          <w:bCs/>
          <w:color w:val="auto"/>
          <w:szCs w:val="21"/>
          <w:highlight w:val="none"/>
          <w:lang w:val="en-US" w:eastAsia="zh-Hans"/>
        </w:rPr>
        <w:t>存在缺陷</w:t>
      </w:r>
      <w:r>
        <w:rPr>
          <w:rFonts w:hint="eastAsia" w:ascii="宋体" w:hAnsi="宋体" w:eastAsia="宋体" w:cs="宋体"/>
          <w:b w:val="0"/>
          <w:bCs/>
          <w:color w:val="auto"/>
          <w:szCs w:val="21"/>
          <w:highlight w:val="none"/>
          <w:lang w:eastAsia="zh-Hans"/>
        </w:rPr>
        <w:t>货物</w:t>
      </w:r>
      <w:r>
        <w:rPr>
          <w:rFonts w:hint="eastAsia" w:ascii="宋体" w:hAnsi="宋体" w:eastAsia="宋体" w:cs="宋体"/>
          <w:b w:val="0"/>
          <w:bCs/>
          <w:color w:val="auto"/>
          <w:szCs w:val="21"/>
          <w:highlight w:val="none"/>
          <w:lang w:val="en-US" w:eastAsia="zh-Hans"/>
        </w:rPr>
        <w:t>对应批次的含税</w:t>
      </w:r>
      <w:r>
        <w:rPr>
          <w:rFonts w:hint="eastAsia" w:ascii="宋体" w:hAnsi="宋体" w:eastAsia="宋体" w:cs="宋体"/>
          <w:b w:val="0"/>
          <w:bCs/>
          <w:color w:val="auto"/>
          <w:szCs w:val="21"/>
          <w:highlight w:val="none"/>
          <w:lang w:eastAsia="zh-Hans"/>
        </w:rPr>
        <w:t>总</w:t>
      </w:r>
      <w:r>
        <w:rPr>
          <w:rFonts w:hint="eastAsia" w:ascii="宋体" w:hAnsi="宋体" w:eastAsia="宋体" w:cs="宋体"/>
          <w:b w:val="0"/>
          <w:bCs/>
          <w:color w:val="auto"/>
          <w:szCs w:val="21"/>
          <w:highlight w:val="none"/>
          <w:lang w:val="en-US" w:eastAsia="zh-Hans"/>
        </w:rPr>
        <w:t>价</w:t>
      </w:r>
      <w:r>
        <w:rPr>
          <w:rFonts w:hint="eastAsia" w:ascii="宋体" w:hAnsi="宋体" w:eastAsia="宋体" w:cs="宋体"/>
          <w:b w:val="0"/>
          <w:bCs/>
          <w:color w:val="auto"/>
          <w:szCs w:val="21"/>
          <w:highlight w:val="none"/>
          <w:lang w:eastAsia="zh-Hans"/>
        </w:rPr>
        <w:t>的20%赔偿。</w:t>
      </w:r>
      <w:bookmarkEnd w:id="673"/>
      <w:bookmarkEnd w:id="674"/>
      <w:bookmarkEnd w:id="675"/>
      <w:bookmarkEnd w:id="676"/>
    </w:p>
    <w:p w14:paraId="1D7810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Hans"/>
        </w:rPr>
      </w:pPr>
      <w:bookmarkStart w:id="677" w:name="_Toc7146"/>
      <w:bookmarkStart w:id="678" w:name="_Toc22438"/>
      <w:bookmarkStart w:id="679" w:name="_Toc1580"/>
      <w:bookmarkStart w:id="680" w:name="_Toc18918"/>
      <w:r>
        <w:rPr>
          <w:rFonts w:hint="eastAsia" w:ascii="宋体" w:hAnsi="宋体" w:eastAsia="宋体" w:cs="宋体"/>
          <w:b w:val="0"/>
          <w:bCs/>
          <w:color w:val="auto"/>
          <w:szCs w:val="21"/>
          <w:highlight w:val="none"/>
          <w:lang w:val="en-US" w:eastAsia="zh-Hans"/>
        </w:rPr>
        <w:t>5、</w:t>
      </w:r>
      <w:r>
        <w:rPr>
          <w:rFonts w:hint="eastAsia" w:ascii="宋体" w:hAnsi="宋体" w:eastAsia="宋体" w:cs="宋体"/>
          <w:b w:val="0"/>
          <w:bCs/>
          <w:color w:val="auto"/>
          <w:szCs w:val="21"/>
          <w:highlight w:val="none"/>
          <w:lang w:eastAsia="zh-Hans"/>
        </w:rPr>
        <w:t>乙方未按约定</w:t>
      </w:r>
      <w:r>
        <w:rPr>
          <w:rFonts w:hint="eastAsia" w:ascii="宋体" w:hAnsi="宋体" w:eastAsia="宋体" w:cs="宋体"/>
          <w:b w:val="0"/>
          <w:bCs/>
          <w:color w:val="auto"/>
          <w:szCs w:val="21"/>
          <w:highlight w:val="none"/>
          <w:lang w:val="en-US" w:eastAsia="zh-Hans"/>
        </w:rPr>
        <w:t>响应</w:t>
      </w:r>
      <w:r>
        <w:rPr>
          <w:rFonts w:hint="eastAsia" w:ascii="宋体" w:hAnsi="宋体" w:eastAsia="宋体" w:cs="宋体"/>
          <w:b w:val="0"/>
          <w:bCs/>
          <w:color w:val="auto"/>
          <w:szCs w:val="21"/>
          <w:highlight w:val="none"/>
          <w:lang w:eastAsia="zh-Hans"/>
        </w:rPr>
        <w:t>售后服务</w:t>
      </w:r>
      <w:r>
        <w:rPr>
          <w:rFonts w:hint="eastAsia" w:ascii="宋体" w:hAnsi="宋体" w:eastAsia="宋体" w:cs="宋体"/>
          <w:b w:val="0"/>
          <w:bCs/>
          <w:color w:val="auto"/>
          <w:szCs w:val="21"/>
          <w:highlight w:val="none"/>
          <w:lang w:val="en-US" w:eastAsia="zh-Hans"/>
        </w:rPr>
        <w:t>需求（逾期超过6小时）或逾期到达现场（逾期超过24小时）</w:t>
      </w:r>
      <w:r>
        <w:rPr>
          <w:rFonts w:hint="eastAsia" w:ascii="宋体" w:hAnsi="宋体" w:eastAsia="宋体" w:cs="宋体"/>
          <w:b w:val="0"/>
          <w:bCs/>
          <w:color w:val="auto"/>
          <w:szCs w:val="21"/>
          <w:highlight w:val="none"/>
          <w:lang w:eastAsia="zh-Hans"/>
        </w:rPr>
        <w:t>的，每逾期1次，支付该批次货款</w:t>
      </w:r>
      <w:r>
        <w:rPr>
          <w:rFonts w:hint="eastAsia" w:ascii="宋体" w:hAnsi="宋体" w:eastAsia="宋体" w:cs="宋体"/>
          <w:b w:val="0"/>
          <w:bCs/>
          <w:color w:val="auto"/>
          <w:szCs w:val="21"/>
          <w:highlight w:val="none"/>
          <w:lang w:val="en-US" w:eastAsia="zh-Hans"/>
        </w:rPr>
        <w:t>含税总价</w:t>
      </w:r>
      <w:r>
        <w:rPr>
          <w:rFonts w:hint="eastAsia" w:ascii="宋体" w:hAnsi="宋体" w:eastAsia="宋体" w:cs="宋体"/>
          <w:b w:val="0"/>
          <w:bCs/>
          <w:color w:val="auto"/>
          <w:szCs w:val="21"/>
          <w:highlight w:val="none"/>
          <w:lang w:eastAsia="zh-Hans"/>
        </w:rPr>
        <w:t>0.5‰的违约金，</w:t>
      </w:r>
      <w:r>
        <w:rPr>
          <w:rFonts w:hint="eastAsia" w:ascii="宋体" w:hAnsi="宋体" w:eastAsia="宋体" w:cs="宋体"/>
          <w:b w:val="0"/>
          <w:bCs/>
          <w:color w:val="auto"/>
          <w:szCs w:val="21"/>
          <w:highlight w:val="none"/>
          <w:lang w:val="en-US" w:eastAsia="zh-Hans"/>
        </w:rPr>
        <w:t>累计不超过合同暂定总价的</w:t>
      </w:r>
      <w:r>
        <w:rPr>
          <w:rFonts w:hint="eastAsia" w:ascii="宋体" w:hAnsi="宋体" w:eastAsia="宋体" w:cs="宋体"/>
          <w:b w:val="0"/>
          <w:bCs/>
          <w:color w:val="auto"/>
          <w:szCs w:val="21"/>
          <w:highlight w:val="none"/>
          <w:lang w:eastAsia="zh-Hans"/>
        </w:rPr>
        <w:t>5‰</w:t>
      </w:r>
      <w:r>
        <w:rPr>
          <w:rFonts w:hint="eastAsia" w:ascii="宋体" w:hAnsi="宋体" w:eastAsia="宋体" w:cs="宋体"/>
          <w:b w:val="0"/>
          <w:bCs/>
          <w:color w:val="auto"/>
          <w:szCs w:val="21"/>
          <w:highlight w:val="none"/>
          <w:lang w:val="en-US" w:eastAsia="zh-Hans"/>
        </w:rPr>
        <w:t>。因售后延误导致甲方或第三方损失的，乙方承担全部赔偿责任。</w:t>
      </w:r>
      <w:bookmarkEnd w:id="677"/>
      <w:bookmarkEnd w:id="678"/>
      <w:bookmarkEnd w:id="679"/>
      <w:bookmarkEnd w:id="680"/>
    </w:p>
    <w:p w14:paraId="589990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Hans"/>
        </w:rPr>
      </w:pPr>
      <w:bookmarkStart w:id="681" w:name="_Toc12891"/>
      <w:bookmarkStart w:id="682" w:name="_Toc29859"/>
      <w:bookmarkStart w:id="683" w:name="_Toc12223"/>
      <w:bookmarkStart w:id="684" w:name="_Toc12160"/>
      <w:r>
        <w:rPr>
          <w:rFonts w:hint="eastAsia" w:ascii="宋体" w:hAnsi="宋体" w:eastAsia="宋体" w:cs="宋体"/>
          <w:b w:val="0"/>
          <w:bCs/>
          <w:color w:val="auto"/>
          <w:szCs w:val="21"/>
          <w:highlight w:val="none"/>
          <w:lang w:val="en-US" w:eastAsia="zh-Hans"/>
        </w:rPr>
        <w:t>6、</w:t>
      </w:r>
      <w:r>
        <w:rPr>
          <w:rFonts w:hint="eastAsia" w:ascii="宋体" w:hAnsi="宋体" w:eastAsia="宋体" w:cs="宋体"/>
          <w:b w:val="0"/>
          <w:bCs/>
          <w:color w:val="auto"/>
          <w:szCs w:val="21"/>
          <w:highlight w:val="none"/>
          <w:lang w:eastAsia="zh-Hans"/>
        </w:rPr>
        <w:t>在本合同履行期限内，乙方</w:t>
      </w:r>
      <w:r>
        <w:rPr>
          <w:rFonts w:hint="eastAsia" w:ascii="宋体" w:hAnsi="宋体" w:eastAsia="宋体" w:cs="宋体"/>
          <w:b w:val="0"/>
          <w:bCs/>
          <w:color w:val="auto"/>
          <w:szCs w:val="21"/>
          <w:highlight w:val="none"/>
          <w:lang w:val="en-US" w:eastAsia="zh-Hans"/>
        </w:rPr>
        <w:t>擅自</w:t>
      </w:r>
      <w:r>
        <w:rPr>
          <w:rFonts w:hint="eastAsia" w:ascii="宋体" w:hAnsi="宋体" w:eastAsia="宋体" w:cs="宋体"/>
          <w:b w:val="0"/>
          <w:bCs/>
          <w:color w:val="auto"/>
          <w:szCs w:val="21"/>
          <w:highlight w:val="none"/>
          <w:lang w:eastAsia="zh-Hans"/>
        </w:rPr>
        <w:t>将本合同约定项下的全部项目</w:t>
      </w:r>
      <w:r>
        <w:rPr>
          <w:rFonts w:hint="eastAsia" w:ascii="宋体" w:hAnsi="宋体" w:eastAsia="宋体" w:cs="宋体"/>
          <w:b w:val="0"/>
          <w:bCs/>
          <w:color w:val="auto"/>
          <w:szCs w:val="21"/>
          <w:highlight w:val="none"/>
          <w:lang w:val="en-US" w:eastAsia="zh-Hans"/>
        </w:rPr>
        <w:t>转包</w:t>
      </w:r>
      <w:r>
        <w:rPr>
          <w:rFonts w:hint="eastAsia" w:ascii="宋体" w:hAnsi="宋体" w:eastAsia="宋体" w:cs="宋体"/>
          <w:b w:val="0"/>
          <w:bCs/>
          <w:color w:val="auto"/>
          <w:szCs w:val="21"/>
          <w:highlight w:val="none"/>
          <w:lang w:eastAsia="zh-Hans"/>
        </w:rPr>
        <w:t>或部分项目</w:t>
      </w:r>
      <w:r>
        <w:rPr>
          <w:rFonts w:hint="eastAsia" w:ascii="宋体" w:hAnsi="宋体" w:eastAsia="宋体" w:cs="宋体"/>
          <w:b w:val="0"/>
          <w:bCs/>
          <w:color w:val="auto"/>
          <w:szCs w:val="21"/>
          <w:highlight w:val="none"/>
          <w:lang w:val="en-US" w:eastAsia="zh-Hans"/>
        </w:rPr>
        <w:t>分</w:t>
      </w:r>
      <w:r>
        <w:rPr>
          <w:rFonts w:hint="eastAsia" w:ascii="宋体" w:hAnsi="宋体" w:eastAsia="宋体" w:cs="宋体"/>
          <w:b w:val="0"/>
          <w:bCs/>
          <w:color w:val="auto"/>
          <w:szCs w:val="21"/>
          <w:highlight w:val="none"/>
          <w:lang w:eastAsia="zh-Hans"/>
        </w:rPr>
        <w:t>包给第三方的，甲方有权单方解除合同</w:t>
      </w:r>
      <w:r>
        <w:rPr>
          <w:rFonts w:hint="eastAsia" w:ascii="宋体" w:hAnsi="宋体" w:eastAsia="宋体" w:cs="宋体"/>
          <w:b w:val="0"/>
          <w:bCs/>
          <w:color w:val="auto"/>
          <w:szCs w:val="21"/>
          <w:highlight w:val="none"/>
          <w:lang w:val="en-US" w:eastAsia="zh-Hans"/>
        </w:rPr>
        <w:t>并</w:t>
      </w:r>
      <w:r>
        <w:rPr>
          <w:rFonts w:hint="eastAsia" w:ascii="宋体" w:hAnsi="宋体" w:eastAsia="宋体" w:cs="宋体"/>
          <w:b w:val="0"/>
          <w:bCs/>
          <w:color w:val="auto"/>
          <w:szCs w:val="21"/>
          <w:highlight w:val="none"/>
          <w:lang w:eastAsia="zh-Hans"/>
        </w:rPr>
        <w:t>要求乙方</w:t>
      </w:r>
      <w:r>
        <w:rPr>
          <w:rFonts w:hint="eastAsia" w:ascii="宋体" w:hAnsi="宋体" w:eastAsia="宋体" w:cs="宋体"/>
          <w:b w:val="0"/>
          <w:bCs/>
          <w:color w:val="auto"/>
          <w:szCs w:val="21"/>
          <w:highlight w:val="none"/>
          <w:lang w:val="en-US" w:eastAsia="zh-Hans"/>
        </w:rPr>
        <w:t>支付</w:t>
      </w:r>
      <w:r>
        <w:rPr>
          <w:rFonts w:hint="eastAsia" w:ascii="宋体" w:hAnsi="宋体" w:eastAsia="宋体" w:cs="宋体"/>
          <w:b w:val="0"/>
          <w:bCs/>
          <w:color w:val="auto"/>
          <w:szCs w:val="21"/>
          <w:highlight w:val="none"/>
          <w:lang w:eastAsia="zh-Hans"/>
        </w:rPr>
        <w:t>合同暂定总价（含销项税额）20%的</w:t>
      </w:r>
      <w:r>
        <w:rPr>
          <w:rFonts w:hint="eastAsia" w:ascii="宋体" w:hAnsi="宋体" w:eastAsia="宋体" w:cs="宋体"/>
          <w:b w:val="0"/>
          <w:bCs/>
          <w:color w:val="auto"/>
          <w:szCs w:val="21"/>
          <w:highlight w:val="none"/>
          <w:lang w:val="en-US" w:eastAsia="zh-Hans"/>
        </w:rPr>
        <w:t>违约金，退还全部已支付货款</w:t>
      </w:r>
      <w:r>
        <w:rPr>
          <w:rFonts w:hint="eastAsia" w:ascii="宋体" w:hAnsi="宋体" w:eastAsia="宋体" w:cs="宋体"/>
          <w:b w:val="0"/>
          <w:bCs/>
          <w:color w:val="auto"/>
          <w:szCs w:val="21"/>
          <w:highlight w:val="none"/>
          <w:lang w:eastAsia="zh-Hans"/>
        </w:rPr>
        <w:t>。</w:t>
      </w:r>
      <w:bookmarkEnd w:id="681"/>
      <w:bookmarkEnd w:id="682"/>
      <w:bookmarkEnd w:id="683"/>
      <w:bookmarkEnd w:id="684"/>
    </w:p>
    <w:p w14:paraId="55371D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Hans"/>
        </w:rPr>
      </w:pPr>
      <w:bookmarkStart w:id="685" w:name="_Toc13164"/>
      <w:bookmarkStart w:id="686" w:name="_Toc22687"/>
      <w:bookmarkStart w:id="687" w:name="_Toc18668"/>
      <w:bookmarkStart w:id="688" w:name="_Toc10150"/>
      <w:r>
        <w:rPr>
          <w:rFonts w:hint="eastAsia" w:ascii="宋体" w:hAnsi="宋体" w:eastAsia="宋体" w:cs="宋体"/>
          <w:b w:val="0"/>
          <w:bCs/>
          <w:color w:val="auto"/>
          <w:szCs w:val="21"/>
          <w:highlight w:val="none"/>
          <w:lang w:val="en-US" w:eastAsia="zh-Hans"/>
        </w:rPr>
        <w:t>7、</w:t>
      </w:r>
      <w:r>
        <w:rPr>
          <w:rFonts w:hint="eastAsia" w:ascii="宋体" w:hAnsi="宋体" w:eastAsia="宋体" w:cs="宋体"/>
          <w:b w:val="0"/>
          <w:bCs/>
          <w:color w:val="auto"/>
          <w:szCs w:val="21"/>
          <w:highlight w:val="none"/>
          <w:lang w:eastAsia="zh-Hans"/>
        </w:rPr>
        <w:t>乙方提供的货物侵犯第三方知识产权的，</w:t>
      </w:r>
      <w:r>
        <w:rPr>
          <w:rFonts w:hint="eastAsia" w:ascii="宋体" w:hAnsi="宋体" w:eastAsia="宋体" w:cs="宋体"/>
          <w:b w:val="0"/>
          <w:bCs/>
          <w:color w:val="auto"/>
          <w:szCs w:val="21"/>
          <w:highlight w:val="none"/>
          <w:lang w:val="en-US" w:eastAsia="zh-Hans"/>
        </w:rPr>
        <w:t>除</w:t>
      </w:r>
      <w:r>
        <w:rPr>
          <w:rFonts w:hint="eastAsia" w:ascii="宋体" w:hAnsi="宋体" w:eastAsia="宋体" w:cs="宋体"/>
          <w:b w:val="0"/>
          <w:bCs/>
          <w:color w:val="auto"/>
          <w:szCs w:val="21"/>
          <w:highlight w:val="none"/>
          <w:lang w:eastAsia="zh-Hans"/>
        </w:rPr>
        <w:t>按本合同“</w:t>
      </w:r>
      <w:r>
        <w:rPr>
          <w:rFonts w:hint="eastAsia" w:ascii="宋体" w:hAnsi="宋体" w:eastAsia="宋体" w:cs="宋体"/>
          <w:b w:val="0"/>
          <w:bCs/>
          <w:color w:val="auto"/>
          <w:szCs w:val="21"/>
          <w:highlight w:val="none"/>
          <w:lang w:val="en-US" w:eastAsia="zh-Hans"/>
        </w:rPr>
        <w:t>权利保证</w:t>
      </w:r>
      <w:r>
        <w:rPr>
          <w:rFonts w:hint="eastAsia" w:ascii="宋体" w:hAnsi="宋体" w:eastAsia="宋体" w:cs="宋体"/>
          <w:b w:val="0"/>
          <w:bCs/>
          <w:color w:val="auto"/>
          <w:szCs w:val="21"/>
          <w:highlight w:val="none"/>
          <w:lang w:eastAsia="zh-Hans"/>
        </w:rPr>
        <w:t>”</w:t>
      </w:r>
      <w:r>
        <w:rPr>
          <w:rFonts w:hint="eastAsia" w:ascii="宋体" w:hAnsi="宋体" w:eastAsia="宋体" w:cs="宋体"/>
          <w:b w:val="0"/>
          <w:bCs/>
          <w:color w:val="auto"/>
          <w:szCs w:val="21"/>
          <w:highlight w:val="none"/>
          <w:lang w:val="en-US" w:eastAsia="zh-Hans"/>
        </w:rPr>
        <w:t>条款约定</w:t>
      </w:r>
      <w:r>
        <w:rPr>
          <w:rFonts w:hint="eastAsia" w:ascii="宋体" w:hAnsi="宋体" w:eastAsia="宋体" w:cs="宋体"/>
          <w:b w:val="0"/>
          <w:bCs/>
          <w:color w:val="auto"/>
          <w:szCs w:val="21"/>
          <w:highlight w:val="none"/>
          <w:lang w:eastAsia="zh-Hans"/>
        </w:rPr>
        <w:t>承担责任</w:t>
      </w:r>
      <w:r>
        <w:rPr>
          <w:rFonts w:hint="eastAsia" w:ascii="宋体" w:hAnsi="宋体" w:eastAsia="宋体" w:cs="宋体"/>
          <w:b w:val="0"/>
          <w:bCs/>
          <w:color w:val="auto"/>
          <w:szCs w:val="21"/>
          <w:highlight w:val="none"/>
          <w:lang w:val="en-US" w:eastAsia="zh-Hans"/>
        </w:rPr>
        <w:t>外</w:t>
      </w:r>
      <w:r>
        <w:rPr>
          <w:rFonts w:hint="eastAsia" w:ascii="宋体" w:hAnsi="宋体" w:eastAsia="宋体" w:cs="宋体"/>
          <w:b w:val="0"/>
          <w:bCs/>
          <w:color w:val="auto"/>
          <w:szCs w:val="21"/>
          <w:highlight w:val="none"/>
          <w:lang w:eastAsia="zh-Hans"/>
        </w:rPr>
        <w:t>，</w:t>
      </w:r>
      <w:r>
        <w:rPr>
          <w:rFonts w:hint="eastAsia" w:ascii="宋体" w:hAnsi="宋体" w:eastAsia="宋体" w:cs="宋体"/>
          <w:b w:val="0"/>
          <w:bCs/>
          <w:color w:val="auto"/>
          <w:szCs w:val="21"/>
          <w:highlight w:val="none"/>
          <w:lang w:val="en-US" w:eastAsia="zh-Hans"/>
        </w:rPr>
        <w:t>还应向甲方</w:t>
      </w:r>
      <w:r>
        <w:rPr>
          <w:rFonts w:hint="eastAsia" w:ascii="宋体" w:hAnsi="宋体" w:eastAsia="宋体" w:cs="宋体"/>
          <w:b w:val="0"/>
          <w:bCs/>
          <w:color w:val="auto"/>
          <w:szCs w:val="21"/>
          <w:highlight w:val="none"/>
          <w:lang w:eastAsia="zh-Hans"/>
        </w:rPr>
        <w:t>支付</w:t>
      </w:r>
      <w:r>
        <w:rPr>
          <w:rFonts w:hint="eastAsia" w:ascii="宋体" w:hAnsi="宋体" w:eastAsia="宋体" w:cs="宋体"/>
          <w:b w:val="0"/>
          <w:bCs/>
          <w:color w:val="auto"/>
          <w:szCs w:val="21"/>
          <w:highlight w:val="none"/>
          <w:lang w:val="en-US" w:eastAsia="zh-Hans"/>
        </w:rPr>
        <w:t>相当于</w:t>
      </w:r>
      <w:r>
        <w:rPr>
          <w:rFonts w:hint="eastAsia" w:ascii="宋体" w:hAnsi="宋体" w:eastAsia="宋体" w:cs="宋体"/>
          <w:b w:val="0"/>
          <w:bCs/>
          <w:color w:val="auto"/>
          <w:szCs w:val="21"/>
          <w:highlight w:val="none"/>
          <w:lang w:eastAsia="zh-Hans"/>
        </w:rPr>
        <w:t>合同暂定总价（含销项税额）10%的违约金，</w:t>
      </w:r>
      <w:r>
        <w:rPr>
          <w:rFonts w:hint="eastAsia" w:ascii="宋体" w:hAnsi="宋体" w:eastAsia="宋体" w:cs="宋体"/>
          <w:b w:val="0"/>
          <w:bCs/>
          <w:color w:val="auto"/>
          <w:szCs w:val="21"/>
          <w:highlight w:val="none"/>
          <w:lang w:val="en-US" w:eastAsia="zh-Hans"/>
        </w:rPr>
        <w:t>同时，</w:t>
      </w:r>
      <w:r>
        <w:rPr>
          <w:rFonts w:hint="eastAsia" w:ascii="宋体" w:hAnsi="宋体" w:eastAsia="宋体" w:cs="宋体"/>
          <w:b w:val="0"/>
          <w:bCs/>
          <w:color w:val="auto"/>
          <w:szCs w:val="21"/>
          <w:highlight w:val="none"/>
          <w:lang w:eastAsia="zh-Hans"/>
        </w:rPr>
        <w:t>甲方有权解除本合同并要求乙方退还全部已支付货款。</w:t>
      </w:r>
      <w:bookmarkEnd w:id="685"/>
      <w:bookmarkEnd w:id="686"/>
      <w:bookmarkEnd w:id="687"/>
      <w:bookmarkEnd w:id="688"/>
    </w:p>
    <w:p w14:paraId="0F2416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US" w:eastAsia="zh-Hans"/>
        </w:rPr>
      </w:pPr>
      <w:bookmarkStart w:id="689" w:name="_Toc22080"/>
      <w:bookmarkStart w:id="690" w:name="_Toc6376"/>
      <w:bookmarkStart w:id="691" w:name="_Toc32133"/>
      <w:bookmarkStart w:id="692" w:name="_Toc131"/>
      <w:r>
        <w:rPr>
          <w:rFonts w:hint="eastAsia" w:ascii="宋体" w:hAnsi="宋体" w:eastAsia="宋体" w:cs="宋体"/>
          <w:b w:val="0"/>
          <w:bCs/>
          <w:color w:val="auto"/>
          <w:szCs w:val="21"/>
          <w:highlight w:val="none"/>
          <w:lang w:val="en-US" w:eastAsia="zh-Hans"/>
        </w:rPr>
        <w:t>8、乙方未按本合同要求退还已付货款的，应按应退货款金额的万分之五按日支付逾期退款违约金。</w:t>
      </w:r>
      <w:bookmarkEnd w:id="689"/>
      <w:bookmarkEnd w:id="690"/>
      <w:bookmarkEnd w:id="691"/>
      <w:bookmarkEnd w:id="692"/>
    </w:p>
    <w:p w14:paraId="63C2BF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US" w:eastAsia="zh-Hans"/>
        </w:rPr>
      </w:pPr>
      <w:bookmarkStart w:id="693" w:name="_Toc25118"/>
      <w:bookmarkStart w:id="694" w:name="_Toc32401"/>
      <w:bookmarkStart w:id="695" w:name="_Toc25661"/>
      <w:bookmarkStart w:id="696" w:name="_Toc12461"/>
      <w:r>
        <w:rPr>
          <w:rFonts w:hint="eastAsia" w:ascii="宋体" w:hAnsi="宋体" w:eastAsia="宋体" w:cs="宋体"/>
          <w:b w:val="0"/>
          <w:bCs/>
          <w:color w:val="auto"/>
          <w:szCs w:val="21"/>
          <w:highlight w:val="none"/>
          <w:lang w:val="en-US" w:eastAsia="zh-Hans"/>
        </w:rPr>
        <w:t>9、乙方应当严格按照本合同约定履行供货和质保义务，除出现法律规定或本合同约定的情形外，乙方不得擅自中止履行或任意解除合同，如有违反，乙方应按照合同</w:t>
      </w:r>
      <w:r>
        <w:rPr>
          <w:rFonts w:hint="eastAsia" w:ascii="宋体" w:hAnsi="宋体" w:eastAsia="宋体" w:cs="宋体"/>
          <w:b w:val="0"/>
          <w:bCs/>
          <w:color w:val="auto"/>
          <w:szCs w:val="21"/>
          <w:highlight w:val="none"/>
          <w:lang w:eastAsia="zh-Hans"/>
        </w:rPr>
        <w:t>暂定总价的</w:t>
      </w:r>
      <w:r>
        <w:rPr>
          <w:rFonts w:hint="eastAsia" w:ascii="宋体" w:hAnsi="宋体" w:eastAsia="宋体" w:cs="宋体"/>
          <w:b w:val="0"/>
          <w:bCs/>
          <w:color w:val="auto"/>
          <w:szCs w:val="21"/>
          <w:highlight w:val="none"/>
          <w:lang w:val="en-US" w:eastAsia="zh-Hans"/>
        </w:rPr>
        <w:t>20</w:t>
      </w:r>
      <w:r>
        <w:rPr>
          <w:rFonts w:hint="eastAsia" w:ascii="宋体" w:hAnsi="宋体" w:eastAsia="宋体" w:cs="宋体"/>
          <w:b w:val="0"/>
          <w:bCs/>
          <w:color w:val="auto"/>
          <w:szCs w:val="21"/>
          <w:highlight w:val="none"/>
          <w:lang w:eastAsia="zh-Hans"/>
        </w:rPr>
        <w:t>%</w:t>
      </w:r>
      <w:r>
        <w:rPr>
          <w:rFonts w:hint="eastAsia" w:ascii="宋体" w:hAnsi="宋体" w:eastAsia="宋体" w:cs="宋体"/>
          <w:b w:val="0"/>
          <w:bCs/>
          <w:color w:val="auto"/>
          <w:szCs w:val="21"/>
          <w:highlight w:val="none"/>
          <w:lang w:val="en-US" w:eastAsia="zh-Hans"/>
        </w:rPr>
        <w:t>向甲方</w:t>
      </w:r>
      <w:r>
        <w:rPr>
          <w:rFonts w:hint="eastAsia" w:ascii="宋体" w:hAnsi="宋体" w:eastAsia="宋体" w:cs="宋体"/>
          <w:b w:val="0"/>
          <w:bCs/>
          <w:color w:val="auto"/>
          <w:szCs w:val="21"/>
          <w:highlight w:val="none"/>
          <w:lang w:eastAsia="zh-Hans"/>
        </w:rPr>
        <w:t>支付违约金。</w:t>
      </w:r>
      <w:r>
        <w:rPr>
          <w:rFonts w:hint="eastAsia" w:ascii="宋体" w:hAnsi="宋体" w:eastAsia="宋体" w:cs="宋体"/>
          <w:b w:val="0"/>
          <w:bCs/>
          <w:color w:val="auto"/>
          <w:szCs w:val="21"/>
          <w:highlight w:val="none"/>
          <w:lang w:val="en-US" w:eastAsia="zh-Hans"/>
        </w:rPr>
        <w:t>如违约金不足以弥补由此给甲方造成的实际损失的，不足部分乙方还应继续承担。</w:t>
      </w:r>
      <w:bookmarkEnd w:id="693"/>
      <w:bookmarkEnd w:id="694"/>
      <w:bookmarkEnd w:id="695"/>
      <w:bookmarkEnd w:id="696"/>
    </w:p>
    <w:p w14:paraId="6D061E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val="en-US" w:eastAsia="zh-Hans"/>
        </w:rPr>
      </w:pPr>
      <w:bookmarkStart w:id="697" w:name="_Toc26334"/>
      <w:bookmarkStart w:id="698" w:name="_Toc28195"/>
      <w:bookmarkStart w:id="699" w:name="_Toc17750"/>
      <w:bookmarkStart w:id="700" w:name="_Toc13279"/>
      <w:r>
        <w:rPr>
          <w:rFonts w:hint="eastAsia" w:ascii="宋体" w:hAnsi="宋体" w:eastAsia="宋体" w:cs="宋体"/>
          <w:b w:val="0"/>
          <w:bCs/>
          <w:color w:val="auto"/>
          <w:szCs w:val="21"/>
          <w:highlight w:val="none"/>
          <w:lang w:val="en-US" w:eastAsia="zh-Hans"/>
        </w:rPr>
        <w:t>10、因乙方违约导致甲方解除合同，甲方重新招标产生的损失（如重新招标的费用、新中标价与原中标价的差价等）由乙方承担。</w:t>
      </w:r>
      <w:bookmarkEnd w:id="697"/>
      <w:bookmarkEnd w:id="698"/>
      <w:bookmarkEnd w:id="699"/>
      <w:bookmarkEnd w:id="700"/>
    </w:p>
    <w:p w14:paraId="1C3A6B3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default" w:ascii="宋体" w:hAnsi="宋体" w:eastAsia="宋体" w:cs="宋体"/>
          <w:b w:val="0"/>
          <w:bCs/>
          <w:color w:val="auto"/>
          <w:szCs w:val="21"/>
          <w:highlight w:val="none"/>
          <w:lang w:val="en-US" w:eastAsia="zh-CN"/>
        </w:rPr>
      </w:pPr>
      <w:bookmarkStart w:id="701" w:name="_Toc25450"/>
      <w:bookmarkStart w:id="702" w:name="_Toc24565"/>
      <w:bookmarkStart w:id="703" w:name="_Toc21802"/>
      <w:bookmarkStart w:id="704" w:name="_Toc21904"/>
      <w:r>
        <w:rPr>
          <w:rFonts w:hint="eastAsia" w:ascii="宋体" w:hAnsi="宋体" w:eastAsia="宋体" w:cs="宋体"/>
          <w:b w:val="0"/>
          <w:bCs/>
          <w:color w:val="auto"/>
          <w:szCs w:val="21"/>
          <w:highlight w:val="none"/>
          <w:lang w:val="en-US" w:eastAsia="zh-CN"/>
        </w:rPr>
        <w:t>11、如出现本合同约定退货退款情形，如水表已安装，拆除的费用由乙方承担，甲方在收到相应退还货物的货款及拆除费用后再将货物退还给乙方，乙方应在收到甲方通知后15个工作日自行运回货物。乙方逾期不处理，每逾期1日，应按照该退回货物含税总价5‰向甲方支付违约金，违约金累计不超过需退回货物含税总价的15%，逾期30日，乙方除按照上述约定支付违约金外，甲方还有权处置该批次货物，由此产生的后果由乙方自行承担。</w:t>
      </w:r>
      <w:bookmarkEnd w:id="701"/>
      <w:bookmarkEnd w:id="702"/>
      <w:bookmarkEnd w:id="703"/>
      <w:bookmarkEnd w:id="704"/>
    </w:p>
    <w:p w14:paraId="6230B5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1"/>
        <w:rPr>
          <w:rFonts w:hint="eastAsia" w:ascii="宋体" w:hAnsi="宋体" w:eastAsia="宋体" w:cs="宋体"/>
          <w:b w:val="0"/>
          <w:bCs/>
          <w:color w:val="auto"/>
          <w:szCs w:val="21"/>
          <w:highlight w:val="none"/>
          <w:lang w:eastAsia="zh-Hans"/>
        </w:rPr>
      </w:pPr>
      <w:bookmarkStart w:id="705" w:name="_Toc3282"/>
      <w:bookmarkStart w:id="706" w:name="_Toc28929"/>
      <w:bookmarkStart w:id="707" w:name="_Toc7488"/>
      <w:bookmarkStart w:id="708" w:name="_Toc30827"/>
      <w:r>
        <w:rPr>
          <w:rFonts w:hint="eastAsia" w:ascii="宋体" w:hAnsi="宋体" w:eastAsia="宋体" w:cs="宋体"/>
          <w:b w:val="0"/>
          <w:bCs/>
          <w:color w:val="auto"/>
          <w:szCs w:val="21"/>
          <w:highlight w:val="none"/>
          <w:lang w:val="en-US" w:eastAsia="zh-Hans"/>
        </w:rPr>
        <w:t>1</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val="en-US" w:eastAsia="zh-Hans"/>
        </w:rPr>
        <w:t>、</w:t>
      </w:r>
      <w:r>
        <w:rPr>
          <w:rFonts w:hint="eastAsia" w:ascii="宋体" w:hAnsi="宋体" w:eastAsia="宋体" w:cs="宋体"/>
          <w:b w:val="0"/>
          <w:bCs/>
          <w:color w:val="auto"/>
          <w:szCs w:val="21"/>
          <w:highlight w:val="none"/>
          <w:lang w:eastAsia="zh-Hans"/>
        </w:rPr>
        <w:t>因乙方违反本合同约定导致甲方权益受损的，甲方为维护自身权益所支付的所有费用均由乙方承担，包括但不限于甲方为此支付的诉讼费、律师费、鉴定费、公证费、交通住宿费、财产保全责任保险费、调查取证费等全部费用。</w:t>
      </w:r>
      <w:bookmarkEnd w:id="705"/>
      <w:bookmarkEnd w:id="706"/>
      <w:bookmarkEnd w:id="707"/>
      <w:bookmarkEnd w:id="708"/>
    </w:p>
    <w:p w14:paraId="03AB809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p>
    <w:p w14:paraId="53C2D04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709" w:name="_Toc5160"/>
      <w:bookmarkStart w:id="710" w:name="_Toc2807"/>
      <w:bookmarkStart w:id="711" w:name="_Toc28699"/>
      <w:bookmarkStart w:id="712" w:name="_Toc32301"/>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不可抗力</w:t>
      </w:r>
      <w:bookmarkEnd w:id="709"/>
      <w:bookmarkEnd w:id="710"/>
      <w:bookmarkEnd w:id="711"/>
      <w:bookmarkEnd w:id="712"/>
    </w:p>
    <w:p w14:paraId="394158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ascii="宋体" w:hAnsi="宋体" w:eastAsia="宋体" w:cs="宋体"/>
          <w:color w:val="auto"/>
          <w:szCs w:val="21"/>
          <w:highlight w:val="none"/>
        </w:rPr>
        <w:t>。</w:t>
      </w:r>
    </w:p>
    <w:p w14:paraId="5DDEBD1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58A4CD9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713" w:name="_Toc199"/>
      <w:bookmarkStart w:id="714" w:name="_Toc19037"/>
      <w:bookmarkStart w:id="715" w:name="_Toc24659"/>
      <w:bookmarkStart w:id="716" w:name="_Toc18989"/>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争议解决</w:t>
      </w:r>
      <w:bookmarkEnd w:id="713"/>
      <w:bookmarkEnd w:id="714"/>
      <w:bookmarkEnd w:id="715"/>
      <w:bookmarkEnd w:id="716"/>
    </w:p>
    <w:p w14:paraId="4CD6A0B2">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双方在履约中发生争执和分歧，双方应通过友好协商解决，如不能通过友好协商解决的，双方同意向</w:t>
      </w:r>
      <w:r>
        <w:rPr>
          <w:rFonts w:hint="eastAsia" w:ascii="宋体" w:hAnsi="宋体" w:eastAsia="宋体" w:cs="Times New Roman"/>
          <w:color w:val="auto"/>
          <w:szCs w:val="21"/>
          <w:highlight w:val="none"/>
          <w:lang w:val="en-US" w:eastAsia="zh-CN"/>
        </w:rPr>
        <w:t>甲方住所地有管辖权的人民</w:t>
      </w:r>
      <w:r>
        <w:rPr>
          <w:rFonts w:hint="eastAsia" w:ascii="宋体" w:hAnsi="宋体" w:eastAsia="宋体" w:cs="Times New Roman"/>
          <w:color w:val="auto"/>
          <w:szCs w:val="21"/>
          <w:highlight w:val="none"/>
        </w:rPr>
        <w:t>法院提起诉讼解决。</w:t>
      </w:r>
    </w:p>
    <w:p w14:paraId="4B00E88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Cs w:val="21"/>
          <w:highlight w:val="none"/>
        </w:rPr>
      </w:pPr>
    </w:p>
    <w:p w14:paraId="768C1D8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outlineLvl w:val="1"/>
        <w:rPr>
          <w:rFonts w:hint="eastAsia" w:ascii="宋体" w:hAnsi="宋体" w:eastAsia="宋体" w:cs="宋体"/>
          <w:b/>
          <w:color w:val="auto"/>
          <w:szCs w:val="21"/>
          <w:highlight w:val="none"/>
        </w:rPr>
      </w:pPr>
      <w:bookmarkStart w:id="717" w:name="_Toc30395"/>
      <w:bookmarkStart w:id="718" w:name="_Toc12138"/>
      <w:bookmarkStart w:id="719" w:name="_Toc23149"/>
      <w:bookmarkStart w:id="720" w:name="_Toc32180"/>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十七</w:t>
      </w:r>
      <w:r>
        <w:rPr>
          <w:rFonts w:hint="eastAsia" w:ascii="宋体" w:hAnsi="宋体" w:eastAsia="宋体" w:cs="宋体"/>
          <w:b/>
          <w:color w:val="auto"/>
          <w:szCs w:val="21"/>
          <w:highlight w:val="none"/>
        </w:rPr>
        <w:t>条 其他</w:t>
      </w:r>
      <w:bookmarkEnd w:id="717"/>
      <w:bookmarkEnd w:id="718"/>
      <w:bookmarkEnd w:id="719"/>
      <w:bookmarkEnd w:id="720"/>
    </w:p>
    <w:p w14:paraId="715D669C">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合同履</w:t>
      </w:r>
      <w:r>
        <w:rPr>
          <w:rFonts w:hint="eastAsia" w:ascii="宋体" w:hAnsi="宋体" w:eastAsia="宋体" w:cs="Times New Roman"/>
          <w:color w:val="auto"/>
          <w:szCs w:val="21"/>
          <w:highlight w:val="none"/>
          <w:lang w:val="en-US" w:eastAsia="zh-CN"/>
        </w:rPr>
        <w:t>行</w:t>
      </w:r>
      <w:r>
        <w:rPr>
          <w:rFonts w:hint="eastAsia" w:ascii="宋体" w:hAnsi="宋体" w:eastAsia="宋体" w:cs="Times New Roman"/>
          <w:color w:val="auto"/>
          <w:szCs w:val="21"/>
          <w:highlight w:val="none"/>
        </w:rPr>
        <w:t>过程中，对货物报价、技术参数等条款存在多种理解的，按公平原则及合同目的解释，优先保护甲方合理权益；乙方投标文件未响应招标文件实质性要求的，视为乙方同意按招标文件执行，相关费用已包含在合同价中。</w:t>
      </w:r>
    </w:p>
    <w:p w14:paraId="707A11BA">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、本合同壹式</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份，甲方执 </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份，乙方执</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份，招标代理机构 壹 份均具有同等法律效力。</w:t>
      </w:r>
    </w:p>
    <w:p w14:paraId="2F81E91A">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、本合同自甲乙双方法定代表人或负责人签字并</w:t>
      </w:r>
      <w:r>
        <w:rPr>
          <w:rFonts w:hint="eastAsia" w:ascii="宋体" w:hAnsi="宋体" w:eastAsia="宋体" w:cs="Times New Roman"/>
          <w:color w:val="auto"/>
          <w:szCs w:val="21"/>
          <w:highlight w:val="none"/>
          <w:lang w:eastAsia="zh-CN"/>
        </w:rPr>
        <w:t>加</w:t>
      </w:r>
      <w:r>
        <w:rPr>
          <w:rFonts w:hint="eastAsia" w:ascii="宋体" w:hAnsi="宋体" w:eastAsia="宋体" w:cs="Times New Roman"/>
          <w:color w:val="auto"/>
          <w:szCs w:val="21"/>
          <w:highlight w:val="none"/>
        </w:rPr>
        <w:t>盖</w:t>
      </w:r>
      <w:r>
        <w:rPr>
          <w:rFonts w:hint="eastAsia" w:ascii="宋体" w:hAnsi="宋体" w:eastAsia="宋体" w:cs="Times New Roman"/>
          <w:color w:val="auto"/>
          <w:szCs w:val="21"/>
          <w:highlight w:val="none"/>
          <w:lang w:eastAsia="zh-CN"/>
        </w:rPr>
        <w:t>公司公</w:t>
      </w:r>
      <w:r>
        <w:rPr>
          <w:rFonts w:hint="eastAsia" w:ascii="宋体" w:hAnsi="宋体" w:eastAsia="宋体" w:cs="Times New Roman"/>
          <w:color w:val="auto"/>
          <w:szCs w:val="21"/>
          <w:highlight w:val="none"/>
        </w:rPr>
        <w:t>章</w:t>
      </w:r>
      <w:r>
        <w:rPr>
          <w:rFonts w:hint="eastAsia" w:ascii="宋体" w:hAnsi="宋体" w:eastAsia="宋体" w:cs="Times New Roman"/>
          <w:color w:val="auto"/>
          <w:szCs w:val="21"/>
          <w:highlight w:val="none"/>
          <w:lang w:val="en-US" w:eastAsia="zh-CN"/>
        </w:rPr>
        <w:t>后</w:t>
      </w:r>
      <w:r>
        <w:rPr>
          <w:rFonts w:hint="eastAsia" w:ascii="宋体" w:hAnsi="宋体" w:eastAsia="宋体" w:cs="Times New Roman"/>
          <w:color w:val="auto"/>
          <w:szCs w:val="21"/>
          <w:highlight w:val="none"/>
        </w:rPr>
        <w:t>生效，至全部合同义务履行完毕（含质保期届满）终止。</w:t>
      </w:r>
    </w:p>
    <w:p w14:paraId="2185DE5C">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、本合同及</w:t>
      </w:r>
      <w:r>
        <w:rPr>
          <w:rFonts w:hint="eastAsia" w:ascii="宋体" w:hAnsi="宋体" w:eastAsia="宋体" w:cs="Times New Roman"/>
          <w:color w:val="auto"/>
          <w:szCs w:val="21"/>
          <w:highlight w:val="none"/>
          <w:lang w:val="en-US" w:eastAsia="zh-CN"/>
        </w:rPr>
        <w:t>附件</w:t>
      </w:r>
      <w:r>
        <w:rPr>
          <w:rFonts w:hint="eastAsia" w:ascii="宋体" w:hAnsi="宋体" w:eastAsia="宋体" w:cs="Times New Roman"/>
          <w:color w:val="auto"/>
          <w:szCs w:val="21"/>
          <w:highlight w:val="none"/>
        </w:rPr>
        <w:t>均为合同的有效组成部分。</w:t>
      </w:r>
      <w:r>
        <w:rPr>
          <w:rFonts w:ascii="宋体" w:hAnsi="宋体" w:eastAsia="宋体" w:cs="Times New Roman"/>
          <w:color w:val="auto"/>
          <w:szCs w:val="21"/>
          <w:highlight w:val="none"/>
        </w:rPr>
        <w:t>本合同未尽事宜，由双方协商</w:t>
      </w:r>
      <w:r>
        <w:rPr>
          <w:rFonts w:hint="eastAsia" w:ascii="宋体" w:hAnsi="宋体" w:eastAsia="宋体" w:cs="Times New Roman"/>
          <w:color w:val="auto"/>
          <w:szCs w:val="21"/>
          <w:highlight w:val="none"/>
        </w:rPr>
        <w:t>签订补充协议，补充协议与本合同具有同等法律效力</w:t>
      </w:r>
      <w:r>
        <w:rPr>
          <w:rFonts w:ascii="宋体" w:hAnsi="宋体" w:eastAsia="宋体" w:cs="Times New Roman"/>
          <w:color w:val="auto"/>
          <w:szCs w:val="21"/>
          <w:highlight w:val="none"/>
        </w:rPr>
        <w:t>。</w:t>
      </w:r>
    </w:p>
    <w:p w14:paraId="3B88E5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p>
    <w:p w14:paraId="0D0E92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附件：1.用户需求书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含附件《预算表》</w:t>
      </w:r>
      <w:r>
        <w:rPr>
          <w:rFonts w:hint="eastAsia" w:ascii="宋体" w:hAnsi="宋体" w:eastAsia="宋体" w:cs="Times New Roman"/>
          <w:color w:val="auto"/>
          <w:szCs w:val="21"/>
          <w:highlight w:val="none"/>
          <w:lang w:eastAsia="zh-CN"/>
        </w:rPr>
        <w:t>）</w:t>
      </w:r>
    </w:p>
    <w:p w14:paraId="1AD775F0">
      <w:pPr>
        <w:adjustRightInd w:val="0"/>
        <w:snapToGrid w:val="0"/>
        <w:spacing w:line="360" w:lineRule="auto"/>
        <w:ind w:left="0" w:leftChars="0" w:firstLine="1058" w:firstLineChars="504"/>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2.采购</w:t>
      </w:r>
      <w:r>
        <w:rPr>
          <w:rFonts w:hint="eastAsia" w:ascii="宋体" w:hAnsi="宋体" w:eastAsia="宋体" w:cs="Times New Roman"/>
          <w:color w:val="auto"/>
          <w:szCs w:val="21"/>
          <w:highlight w:val="none"/>
          <w:lang w:eastAsia="zh-CN"/>
        </w:rPr>
        <w:t>清单</w:t>
      </w:r>
    </w:p>
    <w:p w14:paraId="7DBEC0CE">
      <w:pPr>
        <w:adjustRightInd w:val="0"/>
        <w:snapToGrid w:val="0"/>
        <w:spacing w:line="360" w:lineRule="auto"/>
        <w:ind w:left="0" w:leftChars="0" w:firstLine="1058" w:firstLineChars="504"/>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lang w:eastAsia="zh-CN"/>
        </w:rPr>
        <w:t>东莞市水务环境投资控股集团供水有限公司货物到货验收表</w:t>
      </w:r>
    </w:p>
    <w:p w14:paraId="1BD27BCF">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.中标通知书</w:t>
      </w:r>
    </w:p>
    <w:p w14:paraId="4730E9E0">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.廉洁协议书</w:t>
      </w:r>
    </w:p>
    <w:p w14:paraId="480D1F2B">
      <w:pPr>
        <w:adjustRightInd w:val="0"/>
        <w:snapToGrid w:val="0"/>
        <w:spacing w:line="360" w:lineRule="auto"/>
        <w:ind w:left="0" w:leftChars="0"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.履约担保</w:t>
      </w:r>
    </w:p>
    <w:p w14:paraId="35B239AC">
      <w:pPr>
        <w:adjustRightInd w:val="0"/>
        <w:snapToGrid w:val="0"/>
        <w:spacing w:line="360" w:lineRule="auto"/>
        <w:ind w:left="0" w:leftChars="0" w:firstLine="1058" w:firstLineChars="504"/>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7.供货保函（格式）</w:t>
      </w:r>
    </w:p>
    <w:p w14:paraId="2796AEAF">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70F1892B">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4F86DC33">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6745AF19">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63784171">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09818267">
      <w:pPr>
        <w:adjustRightInd w:val="0"/>
        <w:snapToGrid w:val="0"/>
        <w:spacing w:line="360" w:lineRule="auto"/>
        <w:ind w:firstLine="371" w:firstLineChars="177"/>
        <w:rPr>
          <w:rFonts w:hint="eastAsia" w:ascii="宋体" w:hAnsi="宋体" w:eastAsia="宋体" w:cs="Times New Roman"/>
          <w:b/>
          <w:color w:val="auto"/>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5D067470">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2D64DD13">
      <w:pPr>
        <w:adjustRightInd w:val="0"/>
        <w:snapToGrid w:val="0"/>
        <w:spacing w:line="360" w:lineRule="auto"/>
        <w:ind w:firstLine="373" w:firstLineChars="177"/>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甲方(买方)：</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 xml:space="preserve"> 乙方(卖方)：</w:t>
      </w:r>
    </w:p>
    <w:p w14:paraId="1984CC29">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                    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w:t>
      </w:r>
    </w:p>
    <w:p w14:paraId="5C252E9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                                  地址：</w:t>
      </w:r>
    </w:p>
    <w:p w14:paraId="7E2DBA28">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                                  电话：</w:t>
      </w:r>
    </w:p>
    <w:p w14:paraId="738B869A">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                                  传真：</w:t>
      </w:r>
    </w:p>
    <w:p w14:paraId="3A7955A5">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开户银行：</w:t>
      </w:r>
    </w:p>
    <w:p w14:paraId="3BC063B1">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银行账户：                              银行账户：</w:t>
      </w:r>
    </w:p>
    <w:p w14:paraId="56F692E4">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银行账号：                              银行账号：</w:t>
      </w:r>
    </w:p>
    <w:p w14:paraId="1F5E2C9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签约日期：     年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月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日</w:t>
      </w:r>
    </w:p>
    <w:p w14:paraId="1B9E40A6">
      <w:pPr>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合同签订地点：东莞市水务环境投资控股集团供水有限公司</w:t>
      </w:r>
    </w:p>
    <w:p w14:paraId="18A72446">
      <w:pPr>
        <w:pStyle w:val="37"/>
        <w:ind w:left="0" w:leftChars="0" w:firstLine="0" w:firstLineChars="0"/>
        <w:rPr>
          <w:rFonts w:hint="eastAsia" w:ascii="宋体" w:hAnsi="宋体" w:eastAsia="宋体" w:cs="宋体"/>
          <w:color w:val="auto"/>
          <w:sz w:val="21"/>
          <w:szCs w:val="21"/>
          <w:highlight w:val="none"/>
          <w:lang w:val="en-US" w:eastAsia="zh-CN"/>
        </w:rPr>
      </w:pPr>
    </w:p>
    <w:p w14:paraId="3772742E">
      <w:pPr>
        <w:rPr>
          <w:rFonts w:hint="eastAsia" w:ascii="宋体" w:hAnsi="宋体" w:eastAsia="宋体" w:cs="宋体"/>
          <w:color w:val="auto"/>
          <w:sz w:val="21"/>
          <w:szCs w:val="21"/>
          <w:highlight w:val="none"/>
          <w:lang w:val="en-US" w:eastAsia="zh-CN"/>
        </w:rPr>
      </w:pPr>
    </w:p>
    <w:p w14:paraId="0AB4E65C">
      <w:pPr>
        <w:widowControl/>
        <w:spacing w:after="0" w:line="24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355ED9CB">
      <w:pPr>
        <w:spacing w:line="360" w:lineRule="auto"/>
        <w:outlineLvl w:val="3"/>
        <w:rPr>
          <w:rFonts w:hint="eastAsia" w:ascii="宋体" w:hAnsi="宋体" w:eastAsia="宋体"/>
          <w:b/>
          <w:color w:val="auto"/>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采购</w:t>
      </w:r>
      <w:r>
        <w:rPr>
          <w:rFonts w:hint="eastAsia" w:ascii="宋体" w:hAnsi="宋体" w:eastAsia="宋体" w:cs="宋体"/>
          <w:b/>
          <w:color w:val="auto"/>
          <w:szCs w:val="21"/>
          <w:highlight w:val="none"/>
          <w:lang w:eastAsia="zh-CN"/>
        </w:rPr>
        <w:t>清单》</w:t>
      </w:r>
      <w:r>
        <w:rPr>
          <w:rFonts w:hint="eastAsia" w:ascii="宋体" w:hAnsi="宋体" w:eastAsia="宋体"/>
          <w:b/>
          <w:color w:val="auto"/>
          <w:highlight w:val="none"/>
        </w:rPr>
        <w:t>（模版）</w:t>
      </w:r>
    </w:p>
    <w:p w14:paraId="6F4EC499">
      <w:pPr>
        <w:spacing w:line="360" w:lineRule="auto"/>
        <w:outlineLvl w:val="3"/>
        <w:rPr>
          <w:rFonts w:hint="eastAsia" w:ascii="宋体" w:hAnsi="宋体" w:eastAsia="宋体" w:cs="宋体"/>
          <w:b/>
          <w:color w:val="auto"/>
          <w:szCs w:val="21"/>
          <w:highlight w:val="none"/>
          <w:lang w:eastAsia="zh-CN"/>
        </w:rPr>
      </w:pPr>
      <w:r>
        <w:rPr>
          <w:rFonts w:hint="eastAsia" w:ascii="宋体" w:hAnsi="宋体" w:eastAsia="宋体"/>
          <w:b/>
          <w:color w:val="auto"/>
          <w:highlight w:val="none"/>
        </w:rPr>
        <w:t>（注：该模版内容届时以合同签订为准）</w:t>
      </w:r>
    </w:p>
    <w:p w14:paraId="209D08C6">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eastAsia="zh-CN"/>
        </w:rPr>
        <w:t>清单</w:t>
      </w:r>
    </w:p>
    <w:tbl>
      <w:tblPr>
        <w:tblStyle w:val="39"/>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792"/>
        <w:gridCol w:w="958"/>
        <w:gridCol w:w="847"/>
        <w:gridCol w:w="888"/>
        <w:gridCol w:w="751"/>
        <w:gridCol w:w="1219"/>
        <w:gridCol w:w="1576"/>
        <w:gridCol w:w="1645"/>
      </w:tblGrid>
      <w:tr w14:paraId="1A44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F0AF2A1">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序号</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5BF3091">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货物名称</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332FC156">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品牌</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D8CC634">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产地</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762419DC">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lang w:eastAsia="zh-CN"/>
              </w:rPr>
            </w:pPr>
            <w:r>
              <w:rPr>
                <w:rFonts w:hint="eastAsia" w:ascii="宋体" w:hAnsi="宋体" w:eastAsia="宋体"/>
                <w:b/>
                <w:bCs/>
                <w:color w:val="auto"/>
                <w:highlight w:val="none"/>
              </w:rPr>
              <w:t>规格</w:t>
            </w:r>
            <w:r>
              <w:rPr>
                <w:rFonts w:hint="eastAsia" w:ascii="宋体" w:hAnsi="宋体" w:eastAsia="宋体"/>
                <w:b/>
                <w:bCs/>
                <w:color w:val="auto"/>
                <w:highlight w:val="none"/>
                <w:lang w:val="en-US" w:eastAsia="zh-CN"/>
              </w:rPr>
              <w:t>参数</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63D2FA85">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单位</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38C4DE2F">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暂定数量</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2EA863B">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生产厂家</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0A47666">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不含税预算综合单价（元）</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C01A7E9">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w:t>
            </w:r>
            <w:r>
              <w:rPr>
                <w:rFonts w:hint="eastAsia" w:ascii="宋体" w:hAnsi="宋体" w:eastAsia="宋体"/>
                <w:b/>
                <w:bCs/>
                <w:color w:val="auto"/>
                <w:highlight w:val="none"/>
                <w:lang w:val="en-US" w:eastAsia="zh-CN"/>
              </w:rPr>
              <w:t>中标</w:t>
            </w:r>
            <w:r>
              <w:rPr>
                <w:rFonts w:hint="eastAsia" w:ascii="宋体" w:hAnsi="宋体" w:eastAsia="宋体"/>
                <w:b/>
                <w:bCs/>
                <w:color w:val="auto"/>
                <w:highlight w:val="none"/>
              </w:rPr>
              <w:t>综合单价（元）</w:t>
            </w:r>
          </w:p>
        </w:tc>
      </w:tr>
      <w:tr w14:paraId="3DA3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033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1</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075B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1F02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6B639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F2F0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2A7F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39EB6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ABF65D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BC485D6">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05B20E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4835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030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2</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BA11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8FE1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0CF6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7555D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21DFF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172C1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793AE1E">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13AFE9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D17B65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4BA5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E75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3</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35C5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739F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7F0CD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61566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28EF6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2E629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1CB39B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70DF57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B97712E">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1E58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561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4</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C7CC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E610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76ABD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5FDF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6243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1E16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A59F371">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6E71DAF">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11A7FE3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7F97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364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5</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FEAC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290F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0BB1D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506E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A4B7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43CE1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114B85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84ED2F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7CA9A65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7CE2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130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20"/>
                <w:szCs w:val="20"/>
                <w:highlight w:val="none"/>
              </w:rPr>
              <w:t>...</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A149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82FB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17D24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7C94D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167B1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17667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93679A1">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F9D533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39A5668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435D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31F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1D0C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E212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2FA80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9081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67E39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03F4C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1B1AE0E">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B263AA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2DCDEA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bl>
    <w:p w14:paraId="420BDF76">
      <w:pPr>
        <w:rPr>
          <w:rFonts w:hint="eastAsia" w:ascii="宋体" w:hAnsi="宋体" w:eastAsia="宋体" w:cs="宋体"/>
          <w:b/>
          <w:bCs/>
          <w:color w:val="auto"/>
          <w:sz w:val="21"/>
          <w:szCs w:val="21"/>
          <w:highlight w:val="none"/>
          <w:lang w:val="en-US" w:eastAsia="zh-CN"/>
        </w:rPr>
      </w:pPr>
    </w:p>
    <w:p w14:paraId="6CED2192">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1FE1B155">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293C38AC">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6A77F55F">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15F074C7">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54F19238">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4D40E054">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3A85D664">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29E1C7F6">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16368061">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5598B60F">
      <w:pPr>
        <w:pStyle w:val="38"/>
        <w:rPr>
          <w:rFonts w:hint="eastAsia"/>
          <w:highlight w:val="none"/>
          <w:lang w:val="en-US" w:eastAsia="zh-CN"/>
        </w:rPr>
      </w:pPr>
    </w:p>
    <w:p w14:paraId="27B831D5">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p>
    <w:p w14:paraId="00521895">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bookmarkStart w:id="721" w:name="_Toc16583"/>
      <w:bookmarkStart w:id="722" w:name="_Toc4583"/>
      <w:bookmarkStart w:id="723" w:name="_Toc238"/>
      <w:bookmarkStart w:id="724" w:name="_Toc29106"/>
      <w:r>
        <w:rPr>
          <w:rFonts w:hint="eastAsia" w:ascii="宋体" w:hAnsi="宋体" w:eastAsia="宋体" w:cs="宋体"/>
          <w:b/>
          <w:bCs/>
          <w:color w:val="auto"/>
          <w:sz w:val="21"/>
          <w:szCs w:val="21"/>
          <w:highlight w:val="none"/>
          <w:lang w:val="en-US" w:eastAsia="zh-CN"/>
        </w:rPr>
        <w:t>附件3：东莞市水务环境投资控股集团供水有限公司货物到货验收表</w:t>
      </w:r>
      <w:bookmarkEnd w:id="721"/>
      <w:bookmarkEnd w:id="722"/>
      <w:bookmarkEnd w:id="723"/>
      <w:bookmarkEnd w:id="724"/>
    </w:p>
    <w:p w14:paraId="1F09F83A">
      <w:pPr>
        <w:widowControl w:val="0"/>
        <w:spacing w:after="0" w:line="600" w:lineRule="exact"/>
        <w:jc w:val="center"/>
        <w:rPr>
          <w:rFonts w:hint="default"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东莞市水务环境投资控股集团供水有限公司</w:t>
      </w:r>
    </w:p>
    <w:p w14:paraId="7F81A9CF">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74516E36">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eastAsia" w:ascii="Times New Roman" w:hAnsi="Times New Roman" w:eastAsia="仿宋_GB2312" w:cs="Times New Roman"/>
          <w:b w:val="0"/>
          <w:bCs/>
          <w:snapToGrid/>
          <w:color w:val="auto"/>
          <w:kern w:val="2"/>
          <w:sz w:val="22"/>
          <w:szCs w:val="22"/>
          <w:highlight w:val="none"/>
          <w:lang w:val="en-US" w:eastAsia="zh-CN"/>
        </w:rPr>
        <w:t xml:space="preserve">                                                                </w:t>
      </w: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9"/>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306"/>
        <w:gridCol w:w="3371"/>
        <w:gridCol w:w="206"/>
        <w:gridCol w:w="698"/>
        <w:gridCol w:w="1108"/>
        <w:gridCol w:w="3681"/>
      </w:tblGrid>
      <w:tr w14:paraId="79735070">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5DD79F05">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14:paraId="3D655C5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东莞市供水计量设施更新项目（2026-2027年计量仪表)</w:t>
            </w:r>
            <w:r>
              <w:rPr>
                <w:rFonts w:hint="default" w:ascii="Times New Roman" w:hAnsi="Times New Roman" w:eastAsia="仿宋_GB2312" w:cs="Times New Roman"/>
                <w:b w:val="0"/>
                <w:bCs/>
                <w:snapToGrid/>
                <w:color w:val="auto"/>
                <w:kern w:val="0"/>
                <w:sz w:val="22"/>
                <w:szCs w:val="22"/>
                <w:highlight w:val="none"/>
                <w:lang w:eastAsia="zh-CN"/>
              </w:rPr>
              <w:t>－</w:t>
            </w:r>
            <w:r>
              <w:rPr>
                <w:rFonts w:hint="eastAsia" w:ascii="Times New Roman" w:hAnsi="Times New Roman" w:eastAsia="仿宋_GB2312" w:cs="Times New Roman"/>
                <w:b w:val="0"/>
                <w:bCs/>
                <w:snapToGrid/>
                <w:color w:val="auto"/>
                <w:kern w:val="0"/>
                <w:sz w:val="22"/>
                <w:szCs w:val="22"/>
                <w:highlight w:val="none"/>
                <w:lang w:eastAsia="zh-CN"/>
              </w:rPr>
              <w:t>超声波</w:t>
            </w:r>
            <w:r>
              <w:rPr>
                <w:rFonts w:hint="default" w:ascii="Times New Roman" w:hAnsi="Times New Roman" w:eastAsia="仿宋_GB2312" w:cs="Times New Roman"/>
                <w:b w:val="0"/>
                <w:bCs/>
                <w:snapToGrid/>
                <w:color w:val="auto"/>
                <w:kern w:val="0"/>
                <w:sz w:val="22"/>
                <w:szCs w:val="22"/>
                <w:highlight w:val="none"/>
                <w:lang w:eastAsia="zh-CN"/>
              </w:rPr>
              <w:t>水表</w:t>
            </w:r>
          </w:p>
        </w:tc>
      </w:tr>
      <w:tr w14:paraId="5D733828">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5DDEEF4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3B63417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14537BCC">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0D46614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7F03A2F8">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039990B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025CB34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56F8BE4E">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1B75DEE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7F579CF">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14:paraId="52A6BEB4">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3AE9BCB5">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14:paraId="2BDD23E5">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4804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14:paraId="00A10A0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513B2613">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169E7C9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31" w:type="pct"/>
            <w:tcBorders>
              <w:top w:val="single" w:color="auto" w:sz="4" w:space="0"/>
              <w:left w:val="single" w:color="auto" w:sz="4" w:space="0"/>
              <w:right w:val="single" w:color="auto" w:sz="4" w:space="0"/>
            </w:tcBorders>
            <w:noWrap w:val="0"/>
            <w:vAlign w:val="center"/>
          </w:tcPr>
          <w:p w14:paraId="4AADB9D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14:paraId="5546D3B5">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4A17A3A">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7A43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5D49AD03">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D1DF4D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14:paraId="4C770E1F">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5DD4198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1C5C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1691617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3DCACA2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14:paraId="4BCFD23D">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BCA90B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1FCF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05D3CCE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33DF5D7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49E03C14">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BF51955">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46C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42FD572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35692AF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0594D502">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42BB69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645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4A10210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699E0E2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6" w:type="pct"/>
            <w:gridSpan w:val="4"/>
            <w:tcBorders>
              <w:top w:val="single" w:color="auto" w:sz="4" w:space="0"/>
              <w:left w:val="single" w:color="auto" w:sz="4" w:space="0"/>
              <w:right w:val="single" w:color="auto" w:sz="4" w:space="0"/>
            </w:tcBorders>
            <w:noWrap w:val="0"/>
            <w:vAlign w:val="center"/>
          </w:tcPr>
          <w:p w14:paraId="3F54B3D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7723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0AF79BF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76E83817">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6" w:type="pct"/>
            <w:gridSpan w:val="4"/>
            <w:tcBorders>
              <w:top w:val="single" w:color="auto" w:sz="4" w:space="0"/>
              <w:left w:val="single" w:color="auto" w:sz="4" w:space="0"/>
              <w:right w:val="single" w:color="auto" w:sz="4" w:space="0"/>
            </w:tcBorders>
            <w:noWrap w:val="0"/>
            <w:vAlign w:val="center"/>
          </w:tcPr>
          <w:p w14:paraId="55ABE1CB">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2D64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7A97703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1CBA3B8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6" w:type="pct"/>
            <w:gridSpan w:val="4"/>
            <w:tcBorders>
              <w:top w:val="single" w:color="auto" w:sz="4" w:space="0"/>
              <w:left w:val="single" w:color="auto" w:sz="4" w:space="0"/>
              <w:right w:val="single" w:color="auto" w:sz="4" w:space="0"/>
            </w:tcBorders>
            <w:noWrap w:val="0"/>
            <w:vAlign w:val="center"/>
          </w:tcPr>
          <w:p w14:paraId="03DF98B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6CB7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14:paraId="45DC9914">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14:paraId="2551BCE1">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62C5F1B1">
            <w:pPr>
              <w:pStyle w:val="18"/>
              <w:rPr>
                <w:rFonts w:hint="default"/>
                <w:color w:val="auto"/>
                <w:highlight w:val="none"/>
                <w:lang w:eastAsia="zh-CN"/>
              </w:rPr>
            </w:pPr>
          </w:p>
          <w:p w14:paraId="38B07B1E">
            <w:pPr>
              <w:rPr>
                <w:rFonts w:hint="default"/>
                <w:color w:val="auto"/>
                <w:highlight w:val="none"/>
                <w:lang w:eastAsia="zh-CN"/>
              </w:rPr>
            </w:pPr>
          </w:p>
        </w:tc>
      </w:tr>
      <w:tr w14:paraId="1741A9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6565AA53">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23FAD3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14:paraId="3C46401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14:paraId="6FF601C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4DFACE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11CD9F3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737D0B17">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549A2A46">
      <w:pPr>
        <w:rPr>
          <w:rFonts w:hint="eastAsia" w:ascii="宋体" w:hAnsi="宋体" w:eastAsia="宋体" w:cs="宋体"/>
          <w:color w:val="auto"/>
          <w:sz w:val="21"/>
          <w:szCs w:val="21"/>
          <w:highlight w:val="none"/>
          <w:lang w:val="en-US" w:eastAsia="zh-CN"/>
        </w:rPr>
      </w:pPr>
    </w:p>
    <w:p w14:paraId="71537BCD">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6D9D932B">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附件5：廉洁协议书</w:t>
      </w:r>
    </w:p>
    <w:p w14:paraId="19633FC7">
      <w:pPr>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sz w:val="28"/>
          <w:szCs w:val="28"/>
          <w:highlight w:val="none"/>
        </w:rPr>
        <w:t>廉洁协议书</w:t>
      </w:r>
    </w:p>
    <w:p w14:paraId="5060D564">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val="en-US" w:eastAsia="zh-CN"/>
        </w:rPr>
        <w:t>东莞市供水计量设施更新项目（2026-2027年计量仪表）</w:t>
      </w:r>
      <w:r>
        <w:rPr>
          <w:rFonts w:hint="eastAsia" w:ascii="宋体" w:hAnsi="宋体" w:eastAsia="宋体" w:cs="宋体"/>
          <w:color w:val="auto"/>
          <w:kern w:val="0"/>
          <w:sz w:val="21"/>
          <w:szCs w:val="21"/>
          <w:highlight w:val="none"/>
        </w:rPr>
        <w:t>－超声波水表（</w:t>
      </w:r>
      <w:r>
        <w:rPr>
          <w:rFonts w:hint="eastAsia" w:ascii="宋体" w:hAnsi="宋体" w:eastAsia="宋体" w:cs="宋体"/>
          <w:color w:val="auto"/>
          <w:kern w:val="0"/>
          <w:sz w:val="21"/>
          <w:szCs w:val="21"/>
          <w:highlight w:val="none"/>
          <w:lang w:eastAsia="zh-CN"/>
        </w:rPr>
        <w:t>招 标 编 号：YFGL-202601011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w:t>
      </w:r>
    </w:p>
    <w:p w14:paraId="77AD25F9">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甲方（业主单位）：</w:t>
      </w:r>
      <w:r>
        <w:rPr>
          <w:rFonts w:hint="eastAsia" w:ascii="宋体" w:hAnsi="宋体" w:eastAsia="宋体" w:cs="宋体"/>
          <w:color w:val="auto"/>
          <w:kern w:val="0"/>
          <w:sz w:val="21"/>
          <w:szCs w:val="21"/>
          <w:highlight w:val="none"/>
          <w:lang w:val="en-US" w:eastAsia="zh-CN"/>
        </w:rPr>
        <w:t>东莞市水务环境投资控股集团供水有限公司</w:t>
      </w:r>
      <w:r>
        <w:rPr>
          <w:rFonts w:hint="eastAsia" w:ascii="宋体" w:hAnsi="宋体" w:eastAsia="宋体" w:cs="宋体"/>
          <w:color w:val="auto"/>
          <w:kern w:val="0"/>
          <w:sz w:val="21"/>
          <w:szCs w:val="21"/>
          <w:highlight w:val="none"/>
        </w:rPr>
        <w:t xml:space="preserve"> </w:t>
      </w:r>
    </w:p>
    <w:p w14:paraId="099510E0">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681C5BE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5309D8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2A38F65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04FFDF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0F3AE00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C7EBA7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3BC8FFC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6FB4DBE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1943D04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49AD278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3FCEA0C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53E9061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05C3921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77CB7C5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7711EB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797189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57A52E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3FD905B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5EB9215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16A6E72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03414E2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25D1363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7BFA8DF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65D0911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23CF70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53890C9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03D3821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2E80754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119E469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5901582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举报信访受理</w:t>
      </w:r>
    </w:p>
    <w:p w14:paraId="72CD1C8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 w:val="21"/>
          <w:szCs w:val="21"/>
          <w:highlight w:val="none"/>
          <w:lang w:val="en-US" w:eastAsia="zh-CN"/>
        </w:rPr>
        <w:t>东莞市水务环境投资控股集团有限公司</w:t>
      </w:r>
      <w:r>
        <w:rPr>
          <w:rFonts w:hint="eastAsia" w:ascii="宋体" w:hAnsi="宋体" w:eastAsia="宋体" w:cs="宋体"/>
          <w:color w:val="auto"/>
          <w:kern w:val="0"/>
          <w:sz w:val="21"/>
          <w:szCs w:val="21"/>
          <w:highlight w:val="none"/>
        </w:rPr>
        <w:t>纪检监察部。</w:t>
      </w:r>
    </w:p>
    <w:p w14:paraId="558FFB3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0D9FA5F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jcs</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14:paraId="1C31D26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(四)信访地址: 广东省东莞市东城街道育华路 1 号 </w:t>
      </w:r>
    </w:p>
    <w:p w14:paraId="54F455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w:t>
      </w:r>
      <w:r>
        <w:rPr>
          <w:rFonts w:hint="eastAsia" w:ascii="宋体" w:hAnsi="宋体" w:eastAsia="宋体" w:cs="宋体"/>
          <w:color w:val="auto"/>
          <w:kern w:val="0"/>
          <w:sz w:val="21"/>
          <w:szCs w:val="21"/>
          <w:highlight w:val="none"/>
        </w:rPr>
        <w:t>其他</w:t>
      </w:r>
    </w:p>
    <w:p w14:paraId="21220A1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份，甲、乙双方上级主管部门各执</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u w:val="single"/>
          <w:lang w:val="en-US" w:eastAsia="zh-CN"/>
        </w:rPr>
        <w:t xml:space="preserve"> </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w:t>
      </w:r>
    </w:p>
    <w:p w14:paraId="37691C66">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08566D29">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636D818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乙方（盖章）： </w:t>
      </w:r>
    </w:p>
    <w:p w14:paraId="426AAE8E">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44FEC609">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法定代表（或负责）人：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p>
    <w:p w14:paraId="3E61021F">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7A7D5219">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甲方代表：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乙方代表：</w:t>
      </w:r>
    </w:p>
    <w:p w14:paraId="09C69A71">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2715FF3C">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年  月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  月  日</w:t>
      </w:r>
    </w:p>
    <w:p w14:paraId="52068405">
      <w:pPr>
        <w:spacing w:line="360" w:lineRule="auto"/>
        <w:rPr>
          <w:rFonts w:hint="eastAsia" w:ascii="宋体" w:hAnsi="宋体" w:eastAsia="宋体" w:cs="宋体"/>
          <w:color w:val="auto"/>
          <w:sz w:val="21"/>
          <w:szCs w:val="21"/>
          <w:highlight w:val="none"/>
        </w:rPr>
      </w:pPr>
    </w:p>
    <w:p w14:paraId="385D21EF">
      <w:pPr>
        <w:pageBreakBefore w:val="0"/>
        <w:spacing w:before="0" w:beforeLines="-2147483648" w:after="0" w:afterLines="-2147483648" w:line="240" w:lineRule="auto"/>
        <w:ind w:firstLine="0"/>
        <w:jc w:val="left"/>
        <w:outlineLvl w:val="9"/>
        <w:rPr>
          <w:rFonts w:hint="default"/>
          <w:lang w:val="zh-CN"/>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792383A7">
      <w:pPr>
        <w:pageBreakBefore/>
        <w:tabs>
          <w:tab w:val="left" w:pos="1080"/>
        </w:tabs>
        <w:autoSpaceDE w:val="0"/>
        <w:autoSpaceDN w:val="0"/>
        <w:adjustRightInd w:val="0"/>
        <w:spacing w:before="0" w:beforeLines="-2147483648" w:after="0" w:afterLines="-2147483648"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725" w:name="_Toc11181"/>
      <w:r>
        <w:rPr>
          <w:rFonts w:hint="eastAsia" w:ascii="宋体" w:hAnsi="宋体" w:eastAsia="宋体" w:cs="宋体"/>
          <w:b/>
          <w:bCs/>
          <w:color w:val="auto"/>
          <w:kern w:val="44"/>
          <w:sz w:val="32"/>
          <w:szCs w:val="32"/>
          <w:highlight w:val="none"/>
          <w:lang w:val="zh-CN"/>
        </w:rPr>
        <w:t>第五篇 相关保函格式</w:t>
      </w:r>
      <w:bookmarkEnd w:id="725"/>
    </w:p>
    <w:p w14:paraId="1AC8444C">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bookmarkStart w:id="726" w:name="_Toc10880"/>
      <w:bookmarkStart w:id="727" w:name="_Toc31386"/>
      <w:bookmarkStart w:id="728" w:name="_Toc3171"/>
      <w:bookmarkStart w:id="729" w:name="_Toc21659"/>
      <w:r>
        <w:rPr>
          <w:rFonts w:hint="eastAsia" w:ascii="宋体" w:hAnsi="宋体" w:eastAsia="宋体" w:cs="Times New Roman"/>
          <w:b/>
          <w:color w:val="auto"/>
          <w:kern w:val="0"/>
          <w:sz w:val="28"/>
          <w:szCs w:val="28"/>
          <w:highlight w:val="none"/>
          <w:lang w:val="en-US" w:eastAsia="zh-CN"/>
        </w:rPr>
        <w:t>一、不可撤销银行履约保函格式</w:t>
      </w:r>
      <w:bookmarkEnd w:id="726"/>
      <w:bookmarkEnd w:id="727"/>
      <w:bookmarkEnd w:id="728"/>
      <w:bookmarkEnd w:id="729"/>
    </w:p>
    <w:p w14:paraId="4AE9E81B">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7F86106D">
      <w:pPr>
        <w:widowControl/>
        <w:autoSpaceDE w:val="0"/>
        <w:autoSpaceDN w:val="0"/>
        <w:adjustRightInd w:val="0"/>
        <w:spacing w:line="360" w:lineRule="auto"/>
        <w:jc w:val="left"/>
        <w:rPr>
          <w:rFonts w:ascii="宋体" w:hAnsi="宋体" w:eastAsia="宋体" w:cs="宋体"/>
          <w:color w:val="auto"/>
          <w:kern w:val="0"/>
          <w:szCs w:val="21"/>
          <w:highlight w:val="none"/>
        </w:rPr>
      </w:pPr>
    </w:p>
    <w:p w14:paraId="7DBCF60D">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6BBE41C">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4CF3C4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东莞市供水计量设施更新项目（2026-2027年计量仪表）－超声波水表</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招 标 编 号：YFGL-202601011</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合同（招标文件）中规定的义务履行合同。</w:t>
      </w:r>
    </w:p>
    <w:p w14:paraId="1C3E318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AC30F6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373418D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982B58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20EA1A7">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19052528">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127960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EDBF0E4">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74E9277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09775FF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0F77B00">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4E50C9B">
      <w:pPr>
        <w:widowControl/>
        <w:autoSpaceDE w:val="0"/>
        <w:autoSpaceDN w:val="0"/>
        <w:adjustRightInd w:val="0"/>
        <w:spacing w:line="360" w:lineRule="auto"/>
        <w:jc w:val="left"/>
        <w:rPr>
          <w:rFonts w:ascii="宋体" w:hAnsi="宋体" w:eastAsia="宋体" w:cs="宋体"/>
          <w:color w:val="auto"/>
          <w:kern w:val="0"/>
          <w:szCs w:val="21"/>
          <w:highlight w:val="none"/>
        </w:rPr>
      </w:pPr>
    </w:p>
    <w:p w14:paraId="6579350A">
      <w:pPr>
        <w:widowControl/>
        <w:autoSpaceDE w:val="0"/>
        <w:autoSpaceDN w:val="0"/>
        <w:adjustRightInd w:val="0"/>
        <w:spacing w:line="360" w:lineRule="auto"/>
        <w:jc w:val="left"/>
        <w:rPr>
          <w:rFonts w:ascii="宋体" w:hAnsi="宋体" w:eastAsia="宋体" w:cs="宋体"/>
          <w:color w:val="auto"/>
          <w:kern w:val="0"/>
          <w:szCs w:val="21"/>
          <w:highlight w:val="none"/>
        </w:rPr>
      </w:pPr>
    </w:p>
    <w:p w14:paraId="1E53BE4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00D93CD6">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bookmarkStart w:id="730" w:name="_Toc24228"/>
      <w:bookmarkStart w:id="731" w:name="_Toc25219"/>
      <w:bookmarkStart w:id="732" w:name="_Toc16079"/>
      <w:bookmarkStart w:id="733" w:name="_Toc8611"/>
      <w:r>
        <w:rPr>
          <w:rFonts w:hint="eastAsia" w:ascii="宋体" w:hAnsi="宋体" w:eastAsia="宋体" w:cs="Times New Roman"/>
          <w:b/>
          <w:color w:val="auto"/>
          <w:kern w:val="0"/>
          <w:sz w:val="28"/>
          <w:szCs w:val="28"/>
          <w:highlight w:val="none"/>
          <w:lang w:val="en-US" w:eastAsia="zh-CN"/>
        </w:rPr>
        <w:t>二、履约保证保险凭证格式</w:t>
      </w:r>
      <w:bookmarkEnd w:id="730"/>
      <w:bookmarkEnd w:id="731"/>
      <w:bookmarkEnd w:id="732"/>
      <w:bookmarkEnd w:id="733"/>
    </w:p>
    <w:p w14:paraId="4DD41B87">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01894F01">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639F684B">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6FA2BD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298183BA">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39320876">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005FFA0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东莞市供水计量设施更新项目（2026-2027年计量仪表）－超声波水表</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eastAsia="zh-CN"/>
        </w:rPr>
        <w:t>招 标 编 号：YFGL-202601011</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19312CE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80E656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1F74E71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C079EB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东莞市供水计量设施更新项目（2026-2027年计量仪表）－超声波水表</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eastAsia="zh-CN"/>
        </w:rPr>
        <w:t>招 标 编 号：YFGL-202601011</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410D4F5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170749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E077E2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A3FFFC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04E9CED">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52C39A8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28C17A68">
      <w:pPr>
        <w:numPr>
          <w:ilvl w:val="0"/>
          <w:numId w:val="0"/>
        </w:numPr>
        <w:outlineLvl w:val="9"/>
        <w:rPr>
          <w:rFonts w:hint="default"/>
          <w:color w:val="auto"/>
          <w:highlight w:val="none"/>
          <w:lang w:val="en-US" w:eastAsia="zh-CN"/>
        </w:rPr>
      </w:pPr>
    </w:p>
    <w:p w14:paraId="747583C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709B71C0">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951959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972DD87">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33855E21">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948F70C">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bookmarkStart w:id="734" w:name="_Toc21527"/>
      <w:bookmarkStart w:id="735" w:name="_Toc21055"/>
      <w:bookmarkStart w:id="736" w:name="_Toc9769"/>
      <w:bookmarkStart w:id="737" w:name="_Toc10353"/>
      <w:r>
        <w:rPr>
          <w:rFonts w:hint="eastAsia" w:ascii="宋体" w:hAnsi="宋体" w:eastAsia="宋体" w:cs="Times New Roman"/>
          <w:b/>
          <w:color w:val="auto"/>
          <w:kern w:val="0"/>
          <w:sz w:val="28"/>
          <w:szCs w:val="28"/>
          <w:highlight w:val="none"/>
          <w:lang w:val="en-US" w:eastAsia="zh-CN"/>
        </w:rPr>
        <w:t>三、担保公司履约担保书格式</w:t>
      </w:r>
      <w:bookmarkEnd w:id="734"/>
      <w:bookmarkEnd w:id="735"/>
      <w:bookmarkEnd w:id="736"/>
      <w:bookmarkEnd w:id="737"/>
    </w:p>
    <w:p w14:paraId="1E0CFD07">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74CC7B7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98FD72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东莞市供水计量设施更新项目（2026-2027年计量仪表）－超声波水表</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eastAsia="zh-CN"/>
        </w:rPr>
        <w:t>招 标 编 号：YFGL-202601011</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1273B21">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C12843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23D8D9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F3A36E0">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01220355">
      <w:pPr>
        <w:autoSpaceDE w:val="0"/>
        <w:autoSpaceDN w:val="0"/>
        <w:adjustRightInd w:val="0"/>
        <w:spacing w:line="360" w:lineRule="auto"/>
        <w:jc w:val="left"/>
        <w:rPr>
          <w:rFonts w:hint="eastAsia" w:ascii="宋体" w:hAnsi="宋体" w:eastAsia="宋体" w:cs="Times New Roman"/>
          <w:color w:val="auto"/>
          <w:kern w:val="0"/>
          <w:szCs w:val="21"/>
          <w:highlight w:val="none"/>
        </w:rPr>
      </w:pPr>
    </w:p>
    <w:p w14:paraId="58ABCBB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469347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76888A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0CD2C5D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3B24574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8B6678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8E8EB60">
      <w:p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br w:type="page"/>
      </w:r>
    </w:p>
    <w:p w14:paraId="0072B0EA">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738" w:name="_Toc9921"/>
      <w:bookmarkStart w:id="739" w:name="_Toc21182"/>
      <w:bookmarkStart w:id="740" w:name="_Toc5839"/>
      <w:bookmarkStart w:id="741" w:name="_Toc15556"/>
      <w:r>
        <w:rPr>
          <w:rFonts w:hint="eastAsia" w:ascii="宋体" w:hAnsi="宋体" w:eastAsia="宋体" w:cs="Times New Roman"/>
          <w:b/>
          <w:color w:val="auto"/>
          <w:kern w:val="0"/>
          <w:sz w:val="28"/>
          <w:szCs w:val="28"/>
          <w:highlight w:val="none"/>
          <w:lang w:val="en-US" w:eastAsia="zh-CN"/>
        </w:rPr>
        <w:t>四</w:t>
      </w:r>
      <w:r>
        <w:rPr>
          <w:rFonts w:hint="eastAsia" w:ascii="宋体" w:hAnsi="宋体" w:eastAsia="宋体" w:cs="Times New Roman"/>
          <w:b/>
          <w:color w:val="auto"/>
          <w:kern w:val="0"/>
          <w:sz w:val="28"/>
          <w:szCs w:val="28"/>
          <w:highlight w:val="none"/>
        </w:rPr>
        <w:t>、</w:t>
      </w:r>
      <w:r>
        <w:rPr>
          <w:rFonts w:hint="eastAsia" w:ascii="宋体" w:hAnsi="宋体" w:eastAsia="宋体" w:cs="Times New Roman"/>
          <w:b/>
          <w:color w:val="auto"/>
          <w:kern w:val="0"/>
          <w:sz w:val="28"/>
          <w:szCs w:val="28"/>
          <w:highlight w:val="none"/>
          <w:lang w:val="en-US" w:eastAsia="zh-CN"/>
        </w:rPr>
        <w:t>供货保函</w:t>
      </w:r>
      <w:r>
        <w:rPr>
          <w:rFonts w:hint="eastAsia" w:ascii="宋体" w:hAnsi="宋体" w:eastAsia="宋体" w:cs="Times New Roman"/>
          <w:b/>
          <w:color w:val="auto"/>
          <w:kern w:val="0"/>
          <w:sz w:val="28"/>
          <w:szCs w:val="28"/>
          <w:highlight w:val="none"/>
        </w:rPr>
        <w:t>格式</w:t>
      </w:r>
      <w:bookmarkEnd w:id="738"/>
      <w:bookmarkEnd w:id="739"/>
      <w:bookmarkEnd w:id="740"/>
      <w:bookmarkEnd w:id="741"/>
    </w:p>
    <w:p w14:paraId="480A5B75">
      <w:pPr>
        <w:autoSpaceDE w:val="0"/>
        <w:autoSpaceDN w:val="0"/>
        <w:jc w:val="center"/>
        <w:rPr>
          <w:rFonts w:ascii="宋体" w:hAnsi="宋体" w:eastAsia="宋体"/>
          <w:b/>
          <w:color w:val="auto"/>
          <w:kern w:val="0"/>
          <w:sz w:val="30"/>
          <w:szCs w:val="30"/>
          <w:highlight w:val="none"/>
        </w:rPr>
      </w:pPr>
      <w:r>
        <w:rPr>
          <w:rFonts w:hint="eastAsia" w:ascii="宋体" w:hAnsi="宋体" w:eastAsia="宋体"/>
          <w:b/>
          <w:color w:val="auto"/>
          <w:kern w:val="0"/>
          <w:sz w:val="30"/>
          <w:szCs w:val="30"/>
          <w:highlight w:val="none"/>
          <w:lang w:val="en-US" w:eastAsia="zh-CN"/>
        </w:rPr>
        <w:t>供货</w:t>
      </w:r>
      <w:r>
        <w:rPr>
          <w:rFonts w:hint="eastAsia" w:ascii="宋体" w:hAnsi="宋体" w:eastAsia="宋体"/>
          <w:b/>
          <w:color w:val="auto"/>
          <w:kern w:val="0"/>
          <w:sz w:val="30"/>
          <w:szCs w:val="30"/>
          <w:highlight w:val="none"/>
        </w:rPr>
        <w:t>保函</w:t>
      </w:r>
    </w:p>
    <w:p w14:paraId="7F572905">
      <w:pPr>
        <w:widowControl/>
        <w:autoSpaceDE w:val="0"/>
        <w:autoSpaceDN w:val="0"/>
        <w:adjustRightInd w:val="0"/>
        <w:spacing w:line="360" w:lineRule="auto"/>
        <w:jc w:val="left"/>
        <w:rPr>
          <w:rFonts w:ascii="宋体" w:hAnsi="宋体" w:eastAsia="宋体" w:cs="宋体"/>
          <w:color w:val="auto"/>
          <w:kern w:val="0"/>
          <w:szCs w:val="21"/>
          <w:highlight w:val="none"/>
        </w:rPr>
      </w:pPr>
    </w:p>
    <w:p w14:paraId="268A1924">
      <w:pPr>
        <w:pStyle w:val="37"/>
        <w:ind w:firstLineChars="200"/>
        <w:rPr>
          <w:rFonts w:ascii="宋体" w:hAnsi="宋体" w:eastAsia="宋体"/>
          <w:color w:val="auto"/>
          <w:szCs w:val="21"/>
          <w:highlight w:val="none"/>
        </w:rPr>
      </w:pPr>
      <w:r>
        <w:rPr>
          <w:rFonts w:ascii="宋体" w:hAnsi="宋体" w:eastAsia="宋体"/>
          <w:color w:val="auto"/>
          <w:szCs w:val="21"/>
          <w:highlight w:val="none"/>
        </w:rPr>
        <w:t xml:space="preserve">银行编号：             </w:t>
      </w:r>
    </w:p>
    <w:p w14:paraId="69D95241">
      <w:pPr>
        <w:pStyle w:val="37"/>
        <w:ind w:firstLineChars="200"/>
        <w:rPr>
          <w:rFonts w:ascii="宋体" w:hAnsi="宋体" w:eastAsia="宋体"/>
          <w:color w:val="auto"/>
          <w:szCs w:val="21"/>
          <w:highlight w:val="none"/>
        </w:rPr>
      </w:pPr>
    </w:p>
    <w:p w14:paraId="0F49230D">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致：                                  （下称“受益人”）</w:t>
      </w:r>
    </w:p>
    <w:p w14:paraId="1F583CC1">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鉴于</w:t>
      </w:r>
      <w:r>
        <w:rPr>
          <w:rFonts w:ascii="宋体" w:hAnsi="宋体" w:eastAsia="宋体"/>
          <w:color w:val="auto"/>
          <w:szCs w:val="21"/>
          <w:highlight w:val="none"/>
          <w:u w:val="single"/>
        </w:rPr>
        <w:t xml:space="preserve"> （申请人全称）  </w:t>
      </w:r>
      <w:r>
        <w:rPr>
          <w:rFonts w:ascii="宋体" w:hAnsi="宋体" w:eastAsia="宋体"/>
          <w:color w:val="auto"/>
          <w:szCs w:val="21"/>
          <w:highlight w:val="none"/>
        </w:rPr>
        <w:t>（下称“申请人”）与</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（受益人全称）签订 </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hint="eastAsia" w:ascii="宋体" w:hAnsi="宋体" w:eastAsia="宋体"/>
          <w:color w:val="auto"/>
          <w:szCs w:val="21"/>
          <w:highlight w:val="none"/>
        </w:rPr>
        <w:t>东莞市供水计量设施更新项目（2026-2027年计量仪表）－超声波水表</w:t>
      </w:r>
      <w:r>
        <w:rPr>
          <w:rFonts w:ascii="宋体" w:hAnsi="宋体" w:eastAsia="宋体"/>
          <w:color w:val="auto"/>
          <w:szCs w:val="21"/>
          <w:highlight w:val="none"/>
        </w:rPr>
        <w:t>）采购合同</w:t>
      </w:r>
      <w:r>
        <w:rPr>
          <w:rFonts w:ascii="宋体" w:hAnsi="宋体" w:eastAsia="宋体"/>
          <w:color w:val="auto"/>
          <w:szCs w:val="21"/>
          <w:highlight w:val="none"/>
          <w:u w:val="single"/>
        </w:rPr>
        <w:t>(编号     ，   年    月   日签署)</w:t>
      </w:r>
      <w:r>
        <w:rPr>
          <w:rFonts w:ascii="宋体" w:hAnsi="宋体" w:eastAsia="宋体"/>
          <w:color w:val="auto"/>
          <w:szCs w:val="21"/>
          <w:highlight w:val="none"/>
        </w:rPr>
        <w:t>，并保证申请人有权获得按合同约定为保证项目按时完成的由受益人支付的</w:t>
      </w:r>
      <w:r>
        <w:rPr>
          <w:rFonts w:hint="eastAsia" w:ascii="宋体" w:hAnsi="宋体" w:eastAsia="宋体"/>
          <w:color w:val="auto"/>
          <w:szCs w:val="21"/>
          <w:highlight w:val="none"/>
          <w:lang w:val="en-US" w:eastAsia="zh-CN"/>
        </w:rPr>
        <w:t>订单货</w:t>
      </w:r>
      <w:r>
        <w:rPr>
          <w:rFonts w:ascii="宋体" w:hAnsi="宋体" w:eastAsia="宋体"/>
          <w:color w:val="auto"/>
          <w:szCs w:val="21"/>
          <w:highlight w:val="none"/>
        </w:rPr>
        <w:t>款；受益人在合同中要求申请人应通过经认可的银行提交合同指定的与</w:t>
      </w:r>
      <w:r>
        <w:rPr>
          <w:rFonts w:hint="eastAsia" w:ascii="宋体" w:hAnsi="宋体" w:eastAsia="宋体"/>
          <w:color w:val="auto"/>
          <w:szCs w:val="21"/>
          <w:highlight w:val="none"/>
        </w:rPr>
        <w:t>采购订单载明的货款总额100%等值</w:t>
      </w:r>
      <w:r>
        <w:rPr>
          <w:rFonts w:ascii="宋体" w:hAnsi="宋体" w:eastAsia="宋体"/>
          <w:color w:val="auto"/>
          <w:szCs w:val="21"/>
          <w:highlight w:val="none"/>
        </w:rPr>
        <w:t>的担保金额等事实，我行愿意为申请人出具保函，以担保金额人民币(大写)</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rPr>
        <w:t>)向申请人提供无条件、不可撤销的担保。</w:t>
      </w:r>
    </w:p>
    <w:p w14:paraId="617BC210">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如果申请人在履行合同过程中发生违约或违背合同约定时，我行保证在</w:t>
      </w:r>
      <w:r>
        <w:rPr>
          <w:rFonts w:hint="eastAsia" w:ascii="宋体" w:hAnsi="宋体" w:eastAsia="宋体"/>
          <w:color w:val="auto"/>
          <w:szCs w:val="21"/>
          <w:highlight w:val="none"/>
        </w:rPr>
        <w:t>受益人出具本保函原件且提出因</w:t>
      </w:r>
      <w:r>
        <w:rPr>
          <w:rFonts w:hint="eastAsia" w:ascii="宋体" w:hAnsi="宋体" w:eastAsia="宋体"/>
          <w:color w:val="auto"/>
          <w:szCs w:val="21"/>
          <w:highlight w:val="none"/>
          <w:lang w:val="en-US" w:eastAsia="zh-CN"/>
        </w:rPr>
        <w:t>申</w:t>
      </w:r>
      <w:r>
        <w:rPr>
          <w:rFonts w:hint="eastAsia" w:ascii="宋体" w:hAnsi="宋体" w:eastAsia="宋体"/>
          <w:color w:val="auto"/>
          <w:szCs w:val="21"/>
          <w:highlight w:val="none"/>
        </w:rPr>
        <w:t>请人没有履行上述合同规定，而要求我方承担保证责任后，在</w:t>
      </w:r>
      <w:r>
        <w:rPr>
          <w:rFonts w:ascii="宋体" w:hAnsi="宋体" w:eastAsia="宋体"/>
          <w:color w:val="auto"/>
          <w:szCs w:val="21"/>
          <w:highlight w:val="none"/>
        </w:rPr>
        <w:t xml:space="preserve">担保金额额度内偿还或偿清受益人因该项违约或违背所造成的经济损失（无论该事实是否成立），并在接到受益人要求的第 10 </w:t>
      </w:r>
      <w:r>
        <w:rPr>
          <w:rFonts w:hint="eastAsia" w:ascii="宋体" w:hAnsi="宋体" w:eastAsia="宋体"/>
          <w:color w:val="auto"/>
          <w:szCs w:val="21"/>
          <w:highlight w:val="none"/>
          <w:lang w:val="en-US" w:eastAsia="zh-CN"/>
        </w:rPr>
        <w:t>个自然日</w:t>
      </w:r>
      <w:r>
        <w:rPr>
          <w:rFonts w:ascii="宋体" w:hAnsi="宋体" w:eastAsia="宋体"/>
          <w:color w:val="auto"/>
          <w:szCs w:val="21"/>
          <w:highlight w:val="none"/>
        </w:rPr>
        <w:t>内予以支付。</w:t>
      </w:r>
    </w:p>
    <w:p w14:paraId="61BBD09B">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在向我行提出要求前，我行将不坚持要求受益人首先向申请人提出上述款项的索赔。</w:t>
      </w:r>
    </w:p>
    <w:p w14:paraId="0334F656">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我行承诺：无论是否经我行知晓或同意，我行的义务和责任不因受益人与申请人对合同条款所作的任何修改或补充而解除。</w:t>
      </w:r>
    </w:p>
    <w:p w14:paraId="40FF33CB">
      <w:pPr>
        <w:pStyle w:val="37"/>
        <w:spacing w:line="360" w:lineRule="auto"/>
        <w:ind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本保函</w:t>
      </w:r>
      <w:r>
        <w:rPr>
          <w:rFonts w:hint="eastAsia" w:ascii="宋体" w:hAnsi="宋体" w:eastAsia="宋体"/>
          <w:color w:val="auto"/>
          <w:szCs w:val="21"/>
          <w:highlight w:val="none"/>
          <w:lang w:val="en-US" w:eastAsia="zh-CN"/>
        </w:rPr>
        <w:t>在采购订单项下全部货物交付并经受益人验收合格后第</w:t>
      </w:r>
      <w:r>
        <w:rPr>
          <w:rFonts w:hint="eastAsia" w:ascii="宋体" w:hAnsi="宋体" w:eastAsia="宋体" w:cs="Times New Roman"/>
          <w:color w:val="auto"/>
          <w:szCs w:val="21"/>
          <w:highlight w:val="none"/>
          <w:lang w:val="en-US" w:eastAsia="zh-CN"/>
        </w:rPr>
        <w:t>28</w:t>
      </w:r>
      <w:r>
        <w:rPr>
          <w:rFonts w:hint="eastAsia" w:ascii="宋体" w:hAnsi="宋体" w:eastAsia="宋体" w:cs="Times New Roman"/>
          <w:color w:val="auto"/>
          <w:szCs w:val="21"/>
          <w:highlight w:val="none"/>
        </w:rPr>
        <w:t>个自然日</w:t>
      </w:r>
      <w:r>
        <w:rPr>
          <w:rFonts w:hint="eastAsia" w:ascii="宋体" w:hAnsi="宋体" w:eastAsia="宋体"/>
          <w:color w:val="auto"/>
          <w:szCs w:val="21"/>
          <w:highlight w:val="none"/>
          <w:lang w:val="en-US" w:eastAsia="zh-CN"/>
        </w:rPr>
        <w:t>起失效。</w:t>
      </w:r>
    </w:p>
    <w:p w14:paraId="41C7E42D">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（银行联系人：                   银行联系电话：             ）</w:t>
      </w:r>
    </w:p>
    <w:p w14:paraId="1D7AF67A">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法定代表人或其授权的代理人：       （签字或盖私章）      </w:t>
      </w:r>
    </w:p>
    <w:p w14:paraId="4D0F4195">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 xml:space="preserve">担保银行盖章：                          </w:t>
      </w:r>
    </w:p>
    <w:p w14:paraId="6475FB96">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     地址：                                  </w:t>
      </w:r>
    </w:p>
    <w:p w14:paraId="340A4A01">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日期：   年    月   日</w:t>
      </w:r>
    </w:p>
    <w:p w14:paraId="6FD21224">
      <w:pPr>
        <w:rPr>
          <w:color w:val="auto"/>
          <w:highlight w:val="none"/>
        </w:rPr>
      </w:pPr>
    </w:p>
    <w:bookmarkEnd w:id="558"/>
    <w:bookmarkEnd w:id="559"/>
    <w:bookmarkEnd w:id="560"/>
    <w:bookmarkEnd w:id="561"/>
    <w:bookmarkEnd w:id="562"/>
    <w:bookmarkEnd w:id="563"/>
    <w:bookmarkEnd w:id="564"/>
    <w:p w14:paraId="4D049092">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742" w:name="_Toc12794"/>
      <w:bookmarkStart w:id="743" w:name="_Toc21092"/>
      <w:bookmarkStart w:id="744" w:name="_Toc450662895"/>
      <w:bookmarkStart w:id="745" w:name="_Toc486167708"/>
      <w:bookmarkStart w:id="746" w:name="_Toc142508361"/>
      <w:bookmarkStart w:id="747" w:name="_Toc28255"/>
      <w:bookmarkStart w:id="748" w:name="_Toc15977"/>
      <w:bookmarkStart w:id="749" w:name="_Toc15604"/>
      <w:bookmarkStart w:id="750" w:name="_Toc6460"/>
      <w:bookmarkStart w:id="751" w:name="_Toc32761_WPSOffice_Level1"/>
      <w:bookmarkStart w:id="752" w:name="_Toc8165"/>
      <w:r>
        <w:rPr>
          <w:rFonts w:hint="eastAsia" w:ascii="宋体" w:hAnsi="宋体" w:eastAsia="宋体" w:cs="宋体"/>
          <w:b/>
          <w:bCs/>
          <w:color w:val="auto"/>
          <w:kern w:val="44"/>
          <w:sz w:val="32"/>
          <w:szCs w:val="32"/>
          <w:highlight w:val="none"/>
          <w:lang w:val="zh-CN"/>
        </w:rPr>
        <w:t>第六篇 投标文件格式</w:t>
      </w:r>
      <w:bookmarkEnd w:id="742"/>
      <w:bookmarkEnd w:id="743"/>
      <w:bookmarkEnd w:id="744"/>
      <w:bookmarkEnd w:id="745"/>
      <w:bookmarkEnd w:id="746"/>
      <w:bookmarkEnd w:id="747"/>
      <w:bookmarkEnd w:id="748"/>
      <w:bookmarkEnd w:id="749"/>
      <w:bookmarkEnd w:id="750"/>
      <w:bookmarkEnd w:id="751"/>
      <w:bookmarkEnd w:id="752"/>
    </w:p>
    <w:p w14:paraId="4393FD3E">
      <w:pPr>
        <w:pStyle w:val="20"/>
        <w:spacing w:line="360" w:lineRule="auto"/>
        <w:jc w:val="center"/>
        <w:rPr>
          <w:rFonts w:hint="eastAsia" w:ascii="宋体" w:hAnsi="宋体" w:eastAsia="宋体" w:cs="宋体"/>
          <w:b/>
          <w:color w:val="auto"/>
          <w:kern w:val="0"/>
          <w:sz w:val="32"/>
          <w:szCs w:val="32"/>
          <w:highlight w:val="none"/>
        </w:rPr>
      </w:pPr>
      <w:bookmarkStart w:id="753" w:name="_Toc102860411"/>
      <w:bookmarkStart w:id="754" w:name="_Toc486167709"/>
      <w:bookmarkStart w:id="755" w:name="_Toc21133_WPSOffice_Level2"/>
      <w:bookmarkStart w:id="756" w:name="_Toc104991868"/>
      <w:bookmarkStart w:id="757" w:name="_Toc140596921"/>
      <w:bookmarkStart w:id="758" w:name="_Toc142508362"/>
      <w:bookmarkStart w:id="759" w:name="_Toc102860067"/>
      <w:bookmarkStart w:id="760" w:name="_Toc1977721"/>
      <w:bookmarkStart w:id="761" w:name="_Toc533708121"/>
      <w:bookmarkStart w:id="762" w:name="_Toc94107202"/>
      <w:r>
        <w:rPr>
          <w:rFonts w:hint="eastAsia" w:ascii="宋体" w:hAnsi="宋体" w:eastAsia="宋体" w:cs="宋体"/>
          <w:b/>
          <w:color w:val="auto"/>
          <w:kern w:val="0"/>
          <w:sz w:val="32"/>
          <w:szCs w:val="32"/>
          <w:highlight w:val="none"/>
        </w:rPr>
        <w:br w:type="page"/>
      </w:r>
    </w:p>
    <w:p w14:paraId="5C071E73">
      <w:pPr>
        <w:pStyle w:val="20"/>
        <w:spacing w:line="360" w:lineRule="auto"/>
        <w:jc w:val="center"/>
        <w:rPr>
          <w:rFonts w:hint="eastAsia" w:ascii="宋体" w:hAnsi="宋体" w:eastAsia="宋体" w:cs="宋体"/>
          <w:b/>
          <w:color w:val="auto"/>
          <w:kern w:val="0"/>
          <w:sz w:val="32"/>
          <w:szCs w:val="32"/>
          <w:highlight w:val="none"/>
        </w:rPr>
      </w:pPr>
    </w:p>
    <w:p w14:paraId="0AAA96B7">
      <w:pPr>
        <w:pStyle w:val="20"/>
        <w:spacing w:line="360" w:lineRule="auto"/>
        <w:jc w:val="center"/>
        <w:rPr>
          <w:rFonts w:hint="eastAsia" w:ascii="宋体" w:hAnsi="宋体" w:eastAsia="宋体" w:cs="宋体"/>
          <w:b/>
          <w:color w:val="auto"/>
          <w:kern w:val="0"/>
          <w:sz w:val="32"/>
          <w:szCs w:val="32"/>
          <w:highlight w:val="none"/>
        </w:rPr>
      </w:pPr>
    </w:p>
    <w:p w14:paraId="5B3DCC89">
      <w:pPr>
        <w:pStyle w:val="20"/>
        <w:spacing w:line="360" w:lineRule="auto"/>
        <w:jc w:val="center"/>
        <w:rPr>
          <w:rFonts w:hint="eastAsia" w:ascii="宋体" w:hAnsi="宋体" w:eastAsia="宋体" w:cs="宋体"/>
          <w:b/>
          <w:color w:val="auto"/>
          <w:kern w:val="0"/>
          <w:sz w:val="32"/>
          <w:szCs w:val="32"/>
          <w:highlight w:val="none"/>
        </w:rPr>
      </w:pPr>
    </w:p>
    <w:p w14:paraId="4F1B3CAF">
      <w:pPr>
        <w:pStyle w:val="20"/>
        <w:spacing w:line="360" w:lineRule="auto"/>
        <w:jc w:val="center"/>
        <w:rPr>
          <w:rFonts w:hint="eastAsia" w:ascii="宋体" w:hAnsi="宋体" w:eastAsia="宋体" w:cs="宋体"/>
          <w:color w:val="auto"/>
          <w:sz w:val="84"/>
          <w:highlight w:val="none"/>
        </w:rPr>
      </w:pPr>
    </w:p>
    <w:p w14:paraId="0072E1F9">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7EEA7AE">
      <w:pPr>
        <w:pStyle w:val="20"/>
        <w:spacing w:line="360" w:lineRule="auto"/>
        <w:rPr>
          <w:rFonts w:hint="eastAsia" w:ascii="宋体" w:hAnsi="宋体" w:eastAsia="宋体" w:cs="宋体"/>
          <w:color w:val="auto"/>
          <w:highlight w:val="none"/>
        </w:rPr>
      </w:pPr>
    </w:p>
    <w:p w14:paraId="3C8DF0ED">
      <w:pPr>
        <w:pStyle w:val="20"/>
        <w:spacing w:line="360" w:lineRule="auto"/>
        <w:rPr>
          <w:rFonts w:hint="eastAsia" w:ascii="宋体" w:hAnsi="宋体" w:eastAsia="宋体" w:cs="宋体"/>
          <w:color w:val="auto"/>
          <w:highlight w:val="none"/>
        </w:rPr>
      </w:pPr>
    </w:p>
    <w:p w14:paraId="0CDBD2A5">
      <w:pPr>
        <w:pStyle w:val="20"/>
        <w:spacing w:line="360" w:lineRule="auto"/>
        <w:rPr>
          <w:rFonts w:hint="eastAsia" w:ascii="宋体" w:hAnsi="宋体" w:eastAsia="宋体" w:cs="宋体"/>
          <w:color w:val="auto"/>
          <w:highlight w:val="none"/>
        </w:rPr>
      </w:pPr>
    </w:p>
    <w:p w14:paraId="7F0ABDC2">
      <w:pPr>
        <w:pStyle w:val="20"/>
        <w:spacing w:line="360" w:lineRule="auto"/>
        <w:rPr>
          <w:rFonts w:hint="eastAsia" w:ascii="宋体" w:hAnsi="宋体" w:eastAsia="宋体" w:cs="宋体"/>
          <w:color w:val="auto"/>
          <w:highlight w:val="none"/>
        </w:rPr>
      </w:pPr>
    </w:p>
    <w:p w14:paraId="3DDE6B81">
      <w:pPr>
        <w:pStyle w:val="20"/>
        <w:spacing w:line="360" w:lineRule="auto"/>
        <w:rPr>
          <w:rFonts w:hint="eastAsia" w:ascii="宋体" w:hAnsi="宋体" w:eastAsia="宋体" w:cs="宋体"/>
          <w:color w:val="auto"/>
          <w:highlight w:val="none"/>
        </w:rPr>
      </w:pPr>
    </w:p>
    <w:p w14:paraId="5BEA170E">
      <w:pPr>
        <w:pStyle w:val="20"/>
        <w:spacing w:line="360" w:lineRule="auto"/>
        <w:rPr>
          <w:rFonts w:hint="eastAsia" w:ascii="宋体" w:hAnsi="宋体" w:eastAsia="宋体" w:cs="宋体"/>
          <w:color w:val="auto"/>
          <w:highlight w:val="none"/>
        </w:rPr>
      </w:pPr>
    </w:p>
    <w:p w14:paraId="7C78D351">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招 标 编 号：YFGL-202601011</w:t>
      </w:r>
    </w:p>
    <w:p w14:paraId="28D85F9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78E5FE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C11FF8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99CF449">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97A0651">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DE4E5E9">
      <w:pPr>
        <w:pStyle w:val="20"/>
        <w:spacing w:line="360" w:lineRule="auto"/>
        <w:rPr>
          <w:rFonts w:hint="eastAsia" w:ascii="宋体" w:hAnsi="宋体" w:eastAsia="宋体" w:cs="宋体"/>
          <w:color w:val="auto"/>
          <w:highlight w:val="none"/>
        </w:rPr>
      </w:pPr>
    </w:p>
    <w:p w14:paraId="710D1A86">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419A93">
      <w:pPr>
        <w:pStyle w:val="20"/>
        <w:spacing w:line="360" w:lineRule="auto"/>
        <w:rPr>
          <w:rFonts w:hint="eastAsia" w:ascii="宋体" w:hAnsi="宋体" w:eastAsia="宋体" w:cs="宋体"/>
          <w:color w:val="auto"/>
          <w:highlight w:val="none"/>
        </w:rPr>
      </w:pPr>
    </w:p>
    <w:p w14:paraId="053801F2">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7953C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406748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1EA6DD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D933EC9">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39C9F11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F4CB4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8E3B8F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49C7297">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0E31CD6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733C8C6">
            <w:pPr>
              <w:adjustRightInd w:val="0"/>
              <w:snapToGrid w:val="0"/>
              <w:spacing w:line="360" w:lineRule="auto"/>
              <w:rPr>
                <w:rFonts w:hint="eastAsia" w:ascii="宋体" w:hAnsi="宋体" w:eastAsia="宋体" w:cs="宋体"/>
                <w:bCs/>
                <w:color w:val="auto"/>
                <w:szCs w:val="21"/>
                <w:highlight w:val="none"/>
              </w:rPr>
            </w:pPr>
          </w:p>
        </w:tc>
      </w:tr>
      <w:tr w14:paraId="73BB8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7C20E08">
            <w:pPr>
              <w:rPr>
                <w:rFonts w:hint="eastAsia" w:ascii="宋体" w:hAnsi="宋体" w:eastAsia="宋体" w:cs="宋体"/>
                <w:bCs/>
                <w:color w:val="auto"/>
                <w:szCs w:val="21"/>
                <w:highlight w:val="none"/>
              </w:rPr>
            </w:pPr>
          </w:p>
        </w:tc>
        <w:tc>
          <w:tcPr>
            <w:tcW w:w="1337" w:type="pct"/>
            <w:vAlign w:val="center"/>
          </w:tcPr>
          <w:p w14:paraId="5AE7977F">
            <w:pPr>
              <w:rPr>
                <w:rFonts w:hint="eastAsia" w:ascii="宋体" w:hAnsi="宋体" w:eastAsia="宋体" w:cs="宋体"/>
                <w:bCs/>
                <w:color w:val="auto"/>
                <w:szCs w:val="21"/>
                <w:highlight w:val="none"/>
              </w:rPr>
            </w:pPr>
          </w:p>
        </w:tc>
        <w:tc>
          <w:tcPr>
            <w:tcW w:w="861" w:type="pct"/>
            <w:vAlign w:val="center"/>
          </w:tcPr>
          <w:p w14:paraId="3833F6D3">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35E11C2">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9F15A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A2157B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C237E58">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156ADB6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0BAE241">
            <w:pPr>
              <w:spacing w:line="360" w:lineRule="auto"/>
              <w:ind w:firstLine="8" w:firstLineChars="4"/>
              <w:rPr>
                <w:rFonts w:hint="eastAsia" w:ascii="宋体" w:hAnsi="宋体" w:eastAsia="宋体" w:cs="宋体"/>
                <w:bCs/>
                <w:color w:val="auto"/>
                <w:szCs w:val="21"/>
                <w:highlight w:val="none"/>
              </w:rPr>
            </w:pPr>
          </w:p>
        </w:tc>
      </w:tr>
      <w:tr w14:paraId="1A19A6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90A10C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EB2D6A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F47545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C113212">
            <w:pPr>
              <w:adjustRightInd w:val="0"/>
              <w:snapToGrid w:val="0"/>
              <w:spacing w:line="360" w:lineRule="auto"/>
              <w:rPr>
                <w:rFonts w:hint="eastAsia" w:ascii="宋体" w:hAnsi="宋体" w:eastAsia="宋体" w:cs="宋体"/>
                <w:bCs/>
                <w:color w:val="auto"/>
                <w:szCs w:val="21"/>
                <w:highlight w:val="none"/>
              </w:rPr>
            </w:pPr>
          </w:p>
        </w:tc>
      </w:tr>
      <w:tr w14:paraId="497395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C1E78C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55844F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7225657">
            <w:pPr>
              <w:spacing w:line="360" w:lineRule="auto"/>
              <w:jc w:val="center"/>
              <w:rPr>
                <w:rFonts w:hint="eastAsia" w:ascii="宋体" w:hAnsi="宋体" w:eastAsia="宋体" w:cs="宋体"/>
                <w:bCs/>
                <w:color w:val="auto"/>
                <w:szCs w:val="21"/>
                <w:highlight w:val="none"/>
              </w:rPr>
            </w:pPr>
          </w:p>
        </w:tc>
      </w:tr>
    </w:tbl>
    <w:p w14:paraId="50E40D4B">
      <w:pPr>
        <w:pStyle w:val="20"/>
        <w:spacing w:line="360" w:lineRule="auto"/>
        <w:rPr>
          <w:rFonts w:hint="eastAsia" w:ascii="宋体" w:hAnsi="宋体" w:eastAsia="宋体" w:cs="宋体"/>
          <w:color w:val="auto"/>
          <w:highlight w:val="none"/>
        </w:rPr>
      </w:pPr>
    </w:p>
    <w:p w14:paraId="0EDDAD54">
      <w:pPr>
        <w:pStyle w:val="20"/>
        <w:spacing w:line="360" w:lineRule="auto"/>
        <w:rPr>
          <w:rFonts w:hint="eastAsia" w:ascii="宋体" w:hAnsi="宋体" w:eastAsia="宋体" w:cs="宋体"/>
          <w:color w:val="auto"/>
          <w:highlight w:val="none"/>
        </w:rPr>
      </w:pPr>
    </w:p>
    <w:p w14:paraId="5D18EC61">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AFF61A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63" w:name="_Toc18706"/>
      <w:bookmarkStart w:id="764" w:name="_Toc5157"/>
      <w:bookmarkStart w:id="765" w:name="_Toc22445"/>
      <w:bookmarkStart w:id="766" w:name="_Toc16056"/>
      <w:bookmarkStart w:id="767" w:name="_Toc30371"/>
      <w:bookmarkStart w:id="768" w:name="_Toc16032"/>
      <w:bookmarkStart w:id="769" w:name="_Toc13331"/>
      <w:r>
        <w:rPr>
          <w:rFonts w:hint="eastAsia" w:ascii="宋体" w:hAnsi="宋体" w:eastAsia="宋体" w:cs="宋体"/>
          <w:b/>
          <w:color w:val="auto"/>
          <w:kern w:val="0"/>
          <w:sz w:val="32"/>
          <w:szCs w:val="32"/>
          <w:highlight w:val="none"/>
        </w:rPr>
        <w:t>一、投标函格式</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61CB95EF">
      <w:pPr>
        <w:autoSpaceDE w:val="0"/>
        <w:autoSpaceDN w:val="0"/>
        <w:adjustRightInd w:val="0"/>
        <w:spacing w:line="360" w:lineRule="auto"/>
        <w:jc w:val="center"/>
        <w:rPr>
          <w:rFonts w:ascii="宋体" w:hAnsi="宋体" w:eastAsia="宋体" w:cs="宋体"/>
          <w:b/>
          <w:bCs/>
          <w:color w:val="auto"/>
          <w:sz w:val="30"/>
          <w:szCs w:val="30"/>
          <w:highlight w:val="none"/>
        </w:rPr>
      </w:pPr>
      <w:bookmarkStart w:id="770" w:name="_Toc16695_WPSOffice_Level3"/>
      <w:r>
        <w:rPr>
          <w:rFonts w:hint="eastAsia" w:ascii="宋体" w:hAnsi="宋体" w:eastAsia="宋体" w:cs="宋体"/>
          <w:b/>
          <w:bCs/>
          <w:color w:val="auto"/>
          <w:sz w:val="30"/>
          <w:szCs w:val="30"/>
          <w:highlight w:val="none"/>
          <w:lang w:val="zh-CN"/>
        </w:rPr>
        <w:t>投 标 函</w:t>
      </w:r>
      <w:bookmarkEnd w:id="770"/>
    </w:p>
    <w:p w14:paraId="674CB7D0">
      <w:pPr>
        <w:autoSpaceDE w:val="0"/>
        <w:autoSpaceDN w:val="0"/>
        <w:adjustRightInd w:val="0"/>
        <w:spacing w:line="360" w:lineRule="auto"/>
        <w:rPr>
          <w:rFonts w:ascii="宋体" w:hAnsi="宋体" w:eastAsia="宋体" w:cs="宋体"/>
          <w:color w:val="auto"/>
          <w:szCs w:val="21"/>
          <w:highlight w:val="none"/>
          <w:lang w:val="zh-CN"/>
        </w:rPr>
      </w:pPr>
    </w:p>
    <w:p w14:paraId="78355BC2">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szCs w:val="21"/>
          <w:highlight w:val="none"/>
          <w:lang w:val="zh-CN" w:eastAsia="zh-CN"/>
        </w:rPr>
        <w:t>东莞市水务环境投资控股集团供水有限公司</w:t>
      </w:r>
    </w:p>
    <w:p w14:paraId="49E86E07">
      <w:pPr>
        <w:autoSpaceDE w:val="0"/>
        <w:autoSpaceDN w:val="0"/>
        <w:adjustRightInd w:val="0"/>
        <w:spacing w:line="360" w:lineRule="auto"/>
        <w:rPr>
          <w:rFonts w:ascii="宋体" w:hAnsi="宋体" w:eastAsia="宋体" w:cs="宋体"/>
          <w:color w:val="auto"/>
          <w:szCs w:val="21"/>
          <w:highlight w:val="none"/>
        </w:rPr>
      </w:pPr>
    </w:p>
    <w:p w14:paraId="2B44B353">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东莞市供水计量设施更新项目（2026-2027年计量仪表）－超声波水表</w:t>
      </w:r>
      <w:r>
        <w:rPr>
          <w:rFonts w:hint="eastAsia" w:ascii="宋体" w:hAnsi="宋体" w:eastAsia="宋体" w:cs="宋体"/>
          <w:color w:val="auto"/>
          <w:szCs w:val="21"/>
          <w:highlight w:val="none"/>
          <w:lang w:val="zh-CN"/>
        </w:rPr>
        <w:t>(招 标 编 号：YFGL-202601011)的投标邀请，我方（投标人名称）作为投标人正式授权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6E2D46E7">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zh-CN"/>
        </w:rPr>
        <w:t>内容，并已单独密封封装：</w:t>
      </w:r>
    </w:p>
    <w:p w14:paraId="3D1C3D9D">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6EF80E7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B31EBB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2D0399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606DB25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678622E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766F09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21A8EC0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szCs w:val="21"/>
          <w:highlight w:val="none"/>
          <w:lang w:val="zh-CN"/>
        </w:rPr>
        <w:t>数据或信息；</w:t>
      </w:r>
    </w:p>
    <w:p w14:paraId="373E122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4B970E6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AB571A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443FA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1176B1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3827C7F">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41CBBBA">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2195A46">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9652B4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627392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D2254C7">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83BB747">
      <w:pPr>
        <w:autoSpaceDE w:val="0"/>
        <w:autoSpaceDN w:val="0"/>
        <w:adjustRightInd w:val="0"/>
        <w:spacing w:line="360" w:lineRule="auto"/>
        <w:rPr>
          <w:rFonts w:hint="eastAsia" w:ascii="宋体" w:hAnsi="宋体" w:eastAsia="宋体" w:cs="宋体"/>
          <w:color w:val="auto"/>
          <w:szCs w:val="21"/>
          <w:highlight w:val="none"/>
          <w:lang w:val="zh-CN"/>
        </w:rPr>
      </w:pPr>
    </w:p>
    <w:p w14:paraId="755985D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34ADA5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DF23AB1">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5E3E2C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771" w:name="_Toc27510"/>
      <w:bookmarkStart w:id="772" w:name="_Toc8696"/>
      <w:bookmarkStart w:id="773" w:name="_Toc11904"/>
      <w:bookmarkStart w:id="774" w:name="_Toc104991869"/>
      <w:bookmarkStart w:id="775" w:name="_Toc21602"/>
      <w:bookmarkStart w:id="776" w:name="_Toc26795"/>
      <w:bookmarkStart w:id="777" w:name="_Toc142508363"/>
      <w:bookmarkStart w:id="778" w:name="_Toc102860412"/>
      <w:bookmarkStart w:id="779" w:name="_Toc28613_WPSOffice_Level2"/>
      <w:bookmarkStart w:id="780" w:name="_Toc140596922"/>
      <w:bookmarkStart w:id="781" w:name="_Toc486167710"/>
      <w:bookmarkStart w:id="782" w:name="_Toc94107203"/>
      <w:bookmarkStart w:id="783" w:name="_Toc533708122"/>
      <w:bookmarkStart w:id="784" w:name="_Toc102860068"/>
      <w:bookmarkStart w:id="785" w:name="_Toc26113"/>
      <w:bookmarkStart w:id="786" w:name="_Toc1977722"/>
      <w:bookmarkStart w:id="787" w:name="_Toc18129"/>
      <w:r>
        <w:rPr>
          <w:rFonts w:hint="eastAsia" w:ascii="宋体" w:hAnsi="宋体" w:eastAsia="宋体" w:cs="宋体"/>
          <w:b/>
          <w:color w:val="auto"/>
          <w:kern w:val="0"/>
          <w:sz w:val="32"/>
          <w:szCs w:val="32"/>
          <w:highlight w:val="none"/>
        </w:rPr>
        <w:t>二、投标承诺书格式</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4A65A702">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68568574">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A5A6B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东莞市供水计量设施更新项目（2026-2027年计量仪表）－超声波水表</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招 标 编 号：YFGL-202601011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01968D4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款约定按时提供原件核查的，因此导致我方无法参与东莞市水务环境投资控股集团有限公司相关招标采购活动的，由我方自行承担全部后果。</w:t>
      </w:r>
    </w:p>
    <w:p w14:paraId="73B164E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BD97B97">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CB1817B">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1E1BF06">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4EE9C840">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7240304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D5F1EDD">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61E45916">
      <w:pPr>
        <w:autoSpaceDE w:val="0"/>
        <w:autoSpaceDN w:val="0"/>
        <w:adjustRightInd w:val="0"/>
        <w:spacing w:line="360" w:lineRule="auto"/>
        <w:jc w:val="left"/>
        <w:rPr>
          <w:rFonts w:ascii="宋体" w:hAnsi="宋体" w:eastAsia="宋体" w:cs="宋体"/>
          <w:color w:val="auto"/>
          <w:kern w:val="0"/>
          <w:sz w:val="24"/>
          <w:szCs w:val="24"/>
          <w:highlight w:val="none"/>
        </w:rPr>
      </w:pPr>
    </w:p>
    <w:p w14:paraId="41C17FC3">
      <w:pPr>
        <w:autoSpaceDE w:val="0"/>
        <w:autoSpaceDN w:val="0"/>
        <w:adjustRightInd w:val="0"/>
        <w:spacing w:line="360" w:lineRule="auto"/>
        <w:jc w:val="left"/>
        <w:rPr>
          <w:rFonts w:ascii="宋体" w:hAnsi="宋体" w:eastAsia="宋体" w:cs="宋体"/>
          <w:color w:val="auto"/>
          <w:kern w:val="0"/>
          <w:sz w:val="24"/>
          <w:szCs w:val="24"/>
          <w:highlight w:val="none"/>
        </w:rPr>
      </w:pPr>
      <w:bookmarkStart w:id="788" w:name="_Toc326768876"/>
      <w:bookmarkStart w:id="789" w:name="_Toc316896755"/>
      <w:bookmarkStart w:id="790" w:name="_Toc311032584"/>
    </w:p>
    <w:p w14:paraId="571046F1">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791" w:name="_Toc140596923"/>
      <w:bookmarkStart w:id="792" w:name="_Toc16135"/>
      <w:bookmarkStart w:id="793" w:name="_Toc31531"/>
      <w:bookmarkStart w:id="794" w:name="_Toc102860069"/>
      <w:bookmarkStart w:id="795" w:name="_Toc102860413"/>
      <w:bookmarkStart w:id="796" w:name="_Toc12590"/>
      <w:bookmarkStart w:id="797" w:name="_Toc82182546"/>
      <w:bookmarkStart w:id="798" w:name="_Toc3797"/>
      <w:bookmarkStart w:id="799" w:name="_Toc18152"/>
      <w:bookmarkStart w:id="800" w:name="_Toc94107204"/>
      <w:bookmarkStart w:id="801" w:name="_Toc86764083"/>
      <w:bookmarkStart w:id="802" w:name="_Toc142508364"/>
      <w:bookmarkStart w:id="803" w:name="_Toc104991870"/>
      <w:bookmarkStart w:id="804" w:name="_Toc9778"/>
      <w:bookmarkStart w:id="805" w:name="_Toc1646"/>
      <w:bookmarkStart w:id="806" w:name="_Toc533708123"/>
      <w:bookmarkStart w:id="807" w:name="_Toc486167711"/>
      <w:bookmarkStart w:id="808" w:name="_Toc1977723"/>
      <w:bookmarkStart w:id="809" w:name="_Toc7024_WPSOffice_Level2"/>
      <w:r>
        <w:rPr>
          <w:rFonts w:hint="eastAsia" w:ascii="宋体" w:hAnsi="宋体" w:eastAsia="宋体" w:cs="宋体"/>
          <w:b/>
          <w:color w:val="auto"/>
          <w:kern w:val="44"/>
          <w:sz w:val="32"/>
          <w:szCs w:val="32"/>
          <w:highlight w:val="none"/>
        </w:rPr>
        <w:t>三、供货及/或提供服务过程承诺函格式</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2B398D74">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C152BC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val="zh-CN" w:eastAsia="zh-CN"/>
        </w:rPr>
        <w:t>东莞市水务环境投资控股集团供水有限公司</w:t>
      </w:r>
      <w:r>
        <w:rPr>
          <w:rFonts w:hint="eastAsia" w:ascii="宋体" w:hAnsi="宋体" w:eastAsia="宋体" w:cs="宋体"/>
          <w:color w:val="auto"/>
          <w:kern w:val="0"/>
          <w:szCs w:val="21"/>
          <w:highlight w:val="none"/>
        </w:rPr>
        <w:t>：</w:t>
      </w:r>
    </w:p>
    <w:p w14:paraId="2C85637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东莞市供水计量设施更新项目（2026-2027年计量仪表）</w:t>
      </w:r>
      <w:r>
        <w:rPr>
          <w:rFonts w:hint="eastAsia" w:ascii="宋体" w:hAnsi="宋体" w:eastAsia="宋体" w:cs="Times New Roman"/>
          <w:color w:val="auto"/>
          <w:kern w:val="0"/>
          <w:szCs w:val="21"/>
          <w:highlight w:val="none"/>
          <w:lang w:eastAsia="zh-CN"/>
        </w:rPr>
        <w:t>－超声波水表</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 标 编 号：YFGL-202601011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7D01C47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0F460CF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8558C1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7819D4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6B1292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工作场所活动，我方作业人员擅自到作业区域以外的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14:paraId="301B3E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9EFEF8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3462C9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5C3DF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7CF485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E68AEE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799A5EE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F5AEB5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812248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火源的间距必须达到10M及以上。</w:t>
      </w:r>
    </w:p>
    <w:p w14:paraId="243066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4DE9B4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78B1FE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08B8C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262FC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B32886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73254E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7038CC2">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1BCF56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4BD13C9">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F7346E2">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B697D3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810" w:name="_Toc142508365"/>
      <w:bookmarkStart w:id="811" w:name="_Toc94107205"/>
      <w:bookmarkStart w:id="812" w:name="_Toc86764084"/>
      <w:bookmarkStart w:id="813" w:name="_Toc104991871"/>
      <w:bookmarkStart w:id="814" w:name="_Toc102860414"/>
      <w:bookmarkStart w:id="815" w:name="_Toc140596924"/>
      <w:bookmarkStart w:id="816" w:name="_Toc82182547"/>
      <w:bookmarkStart w:id="817" w:name="_Toc102860070"/>
      <w:bookmarkStart w:id="818" w:name="_Toc6287"/>
      <w:bookmarkStart w:id="819" w:name="_Toc3970"/>
      <w:bookmarkStart w:id="820" w:name="_Toc3963"/>
      <w:bookmarkStart w:id="821" w:name="_Toc12740"/>
      <w:bookmarkStart w:id="822" w:name="_Toc3993"/>
      <w:bookmarkStart w:id="823" w:name="_Toc2428"/>
      <w:bookmarkStart w:id="824" w:name="_Toc16704"/>
      <w:r>
        <w:rPr>
          <w:rFonts w:hint="eastAsia" w:ascii="宋体" w:hAnsi="宋体" w:eastAsia="宋体" w:cs="宋体"/>
          <w:b/>
          <w:color w:val="auto"/>
          <w:kern w:val="44"/>
          <w:sz w:val="32"/>
          <w:szCs w:val="32"/>
          <w:highlight w:val="none"/>
        </w:rPr>
        <w:t>四</w:t>
      </w:r>
      <w:bookmarkEnd w:id="810"/>
      <w:bookmarkEnd w:id="811"/>
      <w:bookmarkEnd w:id="812"/>
      <w:bookmarkEnd w:id="813"/>
      <w:bookmarkEnd w:id="814"/>
      <w:bookmarkEnd w:id="815"/>
      <w:bookmarkEnd w:id="816"/>
      <w:bookmarkEnd w:id="817"/>
      <w:bookmarkStart w:id="825" w:name="_Toc102860071"/>
      <w:bookmarkStart w:id="826" w:name="_Toc102860415"/>
      <w:bookmarkStart w:id="827" w:name="_Toc104991872"/>
      <w:bookmarkStart w:id="828" w:name="_Toc142508366"/>
      <w:bookmarkStart w:id="829" w:name="_Toc94107206"/>
      <w:bookmarkStart w:id="830" w:name="_Toc140596925"/>
      <w:r>
        <w:rPr>
          <w:rFonts w:hint="eastAsia" w:ascii="宋体" w:hAnsi="宋体" w:eastAsia="宋体" w:cs="宋体"/>
          <w:b/>
          <w:color w:val="auto"/>
          <w:kern w:val="0"/>
          <w:sz w:val="32"/>
          <w:szCs w:val="32"/>
          <w:highlight w:val="none"/>
        </w:rPr>
        <w:t>、投标报价表格式</w:t>
      </w:r>
      <w:bookmarkEnd w:id="806"/>
      <w:bookmarkEnd w:id="807"/>
      <w:bookmarkEnd w:id="808"/>
      <w:bookmarkEnd w:id="809"/>
      <w:bookmarkEnd w:id="818"/>
      <w:bookmarkEnd w:id="819"/>
      <w:bookmarkEnd w:id="820"/>
      <w:bookmarkEnd w:id="821"/>
      <w:bookmarkEnd w:id="822"/>
      <w:bookmarkEnd w:id="823"/>
      <w:bookmarkEnd w:id="824"/>
      <w:bookmarkEnd w:id="825"/>
      <w:bookmarkEnd w:id="826"/>
      <w:bookmarkEnd w:id="827"/>
      <w:bookmarkEnd w:id="828"/>
      <w:bookmarkEnd w:id="829"/>
      <w:bookmarkEnd w:id="830"/>
    </w:p>
    <w:p w14:paraId="27151697">
      <w:pPr>
        <w:spacing w:line="360" w:lineRule="auto"/>
        <w:jc w:val="both"/>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4.1 投标报价表</w:t>
      </w:r>
    </w:p>
    <w:p w14:paraId="3134CA8C">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19C77095">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东莞市供水计量设施更新项目（2026-2027年计量仪表）－超声波水表</w:t>
      </w:r>
    </w:p>
    <w:p w14:paraId="5874B41F">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lang w:eastAsia="zh-CN"/>
        </w:rPr>
        <w:t>招 标 编 号：YFGL-202601011</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909"/>
        <w:gridCol w:w="3094"/>
        <w:gridCol w:w="1332"/>
      </w:tblGrid>
      <w:tr w14:paraId="32E6D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125A7EC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366" w:type="pct"/>
            <w:tcBorders>
              <w:top w:val="single" w:color="auto" w:sz="4" w:space="0"/>
              <w:left w:val="single" w:color="auto" w:sz="4" w:space="0"/>
              <w:bottom w:val="single" w:color="auto" w:sz="4" w:space="0"/>
              <w:right w:val="single" w:color="auto" w:sz="4" w:space="0"/>
            </w:tcBorders>
            <w:vAlign w:val="center"/>
          </w:tcPr>
          <w:p w14:paraId="22F96B80">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491" w:type="pct"/>
            <w:tcBorders>
              <w:top w:val="single" w:color="auto" w:sz="4" w:space="0"/>
              <w:left w:val="single" w:color="auto" w:sz="4" w:space="0"/>
              <w:bottom w:val="single" w:color="auto" w:sz="4" w:space="0"/>
              <w:right w:val="single" w:color="auto" w:sz="4" w:space="0"/>
            </w:tcBorders>
            <w:vAlign w:val="center"/>
          </w:tcPr>
          <w:p w14:paraId="294791C7">
            <w:pPr>
              <w:autoSpaceDE w:val="0"/>
              <w:autoSpaceDN w:val="0"/>
              <w:spacing w:line="360" w:lineRule="auto"/>
              <w:jc w:val="center"/>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5D513964">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4155D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7166487B">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366" w:type="pct"/>
            <w:tcBorders>
              <w:top w:val="single" w:color="auto" w:sz="4" w:space="0"/>
              <w:left w:val="single" w:color="auto" w:sz="4" w:space="0"/>
              <w:right w:val="single" w:color="auto" w:sz="4" w:space="0"/>
            </w:tcBorders>
            <w:vAlign w:val="center"/>
          </w:tcPr>
          <w:p w14:paraId="76596E82">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eastAsia="zh-CN"/>
              </w:rPr>
              <w:t>东莞市供水计量设施更新项目（2026-2027年计量仪表）</w:t>
            </w:r>
            <w:r>
              <w:rPr>
                <w:rFonts w:hint="eastAsia" w:ascii="宋体" w:hAnsi="宋体" w:eastAsia="宋体" w:cs="Times New Roman"/>
                <w:color w:val="auto"/>
                <w:szCs w:val="21"/>
                <w:highlight w:val="none"/>
                <w:lang w:val="zh-CN"/>
              </w:rPr>
              <w:t>－超声波水表</w:t>
            </w:r>
          </w:p>
        </w:tc>
        <w:tc>
          <w:tcPr>
            <w:tcW w:w="1491" w:type="pct"/>
            <w:tcBorders>
              <w:top w:val="single" w:color="auto" w:sz="4" w:space="0"/>
              <w:left w:val="single" w:color="auto" w:sz="4" w:space="0"/>
              <w:right w:val="single" w:color="auto" w:sz="4" w:space="0"/>
            </w:tcBorders>
            <w:vAlign w:val="center"/>
          </w:tcPr>
          <w:p w14:paraId="3AE75A1C">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0FC458C9">
            <w:pPr>
              <w:pStyle w:val="15"/>
              <w:snapToGrid/>
              <w:spacing w:before="0"/>
              <w:jc w:val="center"/>
              <w:rPr>
                <w:rFonts w:hint="eastAsia" w:eastAsia="宋体"/>
                <w:color w:val="auto"/>
                <w:highlight w:val="none"/>
                <w:lang w:val="en-US" w:eastAsia="zh-CN"/>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642" w:type="pct"/>
            <w:tcBorders>
              <w:top w:val="single" w:color="auto" w:sz="4" w:space="0"/>
              <w:left w:val="single" w:color="auto" w:sz="4" w:space="0"/>
              <w:right w:val="single" w:color="auto" w:sz="4" w:space="0"/>
            </w:tcBorders>
            <w:vAlign w:val="center"/>
          </w:tcPr>
          <w:p w14:paraId="1C900643">
            <w:pPr>
              <w:tabs>
                <w:tab w:val="left" w:pos="8610"/>
              </w:tabs>
              <w:spacing w:line="360" w:lineRule="auto"/>
              <w:jc w:val="center"/>
              <w:rPr>
                <w:rFonts w:ascii="宋体" w:hAnsi="宋体" w:eastAsia="宋体" w:cs="Times New Roman"/>
                <w:color w:val="auto"/>
                <w:kern w:val="0"/>
                <w:szCs w:val="21"/>
                <w:highlight w:val="none"/>
              </w:rPr>
            </w:pPr>
          </w:p>
        </w:tc>
      </w:tr>
    </w:tbl>
    <w:p w14:paraId="1FF99839">
      <w:pPr>
        <w:rPr>
          <w:rFonts w:ascii="宋体" w:hAnsi="宋体" w:eastAsia="宋体" w:cs="宋体"/>
          <w:color w:val="auto"/>
          <w:kern w:val="0"/>
          <w:sz w:val="20"/>
          <w:szCs w:val="21"/>
          <w:highlight w:val="none"/>
        </w:rPr>
      </w:pPr>
    </w:p>
    <w:p w14:paraId="298B69AC">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707CB35">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（1）本项目的投标报价采用统一折扣系数报价，合同履约过程中，采购清单中</w:t>
      </w:r>
      <w:r>
        <w:rPr>
          <w:rFonts w:hint="eastAsia" w:ascii="宋体" w:hAnsi="宋体" w:eastAsia="宋体" w:cs="宋体"/>
          <w:b/>
          <w:color w:val="auto"/>
          <w:sz w:val="21"/>
          <w:szCs w:val="21"/>
          <w:highlight w:val="none"/>
          <w:lang w:val="en-US" w:eastAsia="zh-CN"/>
        </w:rPr>
        <w:t>超声波水表</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6986C9A9">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p>
    <w:p w14:paraId="40EDC735">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7F75B9D7">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p>
    <w:p w14:paraId="337A2AFE">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787FEF7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0F2FF9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7586AAE">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B83EFEF">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p>
    <w:p w14:paraId="070B1E5B">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831" w:name="_Toc18552"/>
      <w:bookmarkStart w:id="832" w:name="_Toc16555"/>
      <w:bookmarkStart w:id="833" w:name="_Toc102860418"/>
      <w:bookmarkStart w:id="834" w:name="_Toc94107209"/>
      <w:bookmarkStart w:id="835" w:name="_Toc1977725"/>
      <w:bookmarkStart w:id="836" w:name="_Toc13829"/>
      <w:bookmarkStart w:id="837" w:name="_Toc19153"/>
      <w:bookmarkStart w:id="838" w:name="_Toc24015"/>
      <w:bookmarkStart w:id="839" w:name="_Toc142508369"/>
      <w:bookmarkStart w:id="840" w:name="_Toc17628"/>
      <w:bookmarkStart w:id="841" w:name="_Toc104991875"/>
      <w:bookmarkStart w:id="842" w:name="_Toc18828"/>
      <w:bookmarkStart w:id="843" w:name="_Toc102860074"/>
      <w:bookmarkStart w:id="844" w:name="_Toc140596928"/>
      <w:bookmarkStart w:id="845" w:name="_Toc486167712"/>
      <w:bookmarkStart w:id="846" w:name="_Toc20759_WPSOffice_Level2"/>
      <w:bookmarkStart w:id="847"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48D9954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48" w:name="_Toc140596929"/>
      <w:bookmarkStart w:id="849" w:name="_Toc142508370"/>
      <w:bookmarkStart w:id="850" w:name="_Toc28382"/>
      <w:bookmarkStart w:id="851" w:name="_Toc102860419"/>
      <w:bookmarkStart w:id="852" w:name="_Toc21681"/>
      <w:bookmarkStart w:id="853" w:name="_Toc102860075"/>
      <w:bookmarkStart w:id="854" w:name="_Toc10171"/>
      <w:bookmarkStart w:id="855" w:name="_Toc31420"/>
      <w:bookmarkStart w:id="856" w:name="_Toc24742"/>
      <w:bookmarkStart w:id="857" w:name="_Toc104991876"/>
      <w:bookmarkStart w:id="858" w:name="_Toc94107210"/>
      <w:bookmarkStart w:id="859" w:name="_Toc10197"/>
      <w:bookmarkStart w:id="860" w:name="_Toc13036"/>
      <w:bookmarkStart w:id="86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848"/>
      <w:bookmarkEnd w:id="849"/>
      <w:bookmarkEnd w:id="850"/>
      <w:bookmarkEnd w:id="851"/>
      <w:bookmarkEnd w:id="852"/>
      <w:bookmarkEnd w:id="853"/>
      <w:bookmarkEnd w:id="854"/>
      <w:bookmarkEnd w:id="855"/>
      <w:bookmarkEnd w:id="856"/>
      <w:bookmarkEnd w:id="857"/>
      <w:bookmarkEnd w:id="858"/>
      <w:bookmarkEnd w:id="859"/>
      <w:bookmarkEnd w:id="860"/>
    </w:p>
    <w:p w14:paraId="581F9A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388F68">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77E8130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62" w:name="_Toc102860076"/>
      <w:bookmarkStart w:id="863" w:name="_Toc18999"/>
      <w:bookmarkStart w:id="864" w:name="_Toc104991877"/>
      <w:bookmarkStart w:id="865" w:name="_Toc27634"/>
      <w:bookmarkStart w:id="866" w:name="_Toc14827"/>
      <w:bookmarkStart w:id="867" w:name="_Toc31075"/>
      <w:bookmarkStart w:id="868" w:name="_Toc26345"/>
      <w:bookmarkStart w:id="869" w:name="_Toc142508371"/>
      <w:bookmarkStart w:id="870" w:name="_Toc102860420"/>
      <w:bookmarkStart w:id="871" w:name="_Toc9489"/>
      <w:bookmarkStart w:id="872" w:name="_Toc140596930"/>
      <w:bookmarkStart w:id="873" w:name="_Toc26822"/>
      <w:bookmarkStart w:id="874" w:name="_Toc9410721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62"/>
      <w:bookmarkEnd w:id="863"/>
      <w:bookmarkEnd w:id="864"/>
      <w:bookmarkEnd w:id="865"/>
      <w:bookmarkEnd w:id="866"/>
      <w:bookmarkEnd w:id="867"/>
      <w:bookmarkEnd w:id="868"/>
      <w:bookmarkEnd w:id="869"/>
      <w:bookmarkEnd w:id="870"/>
      <w:bookmarkEnd w:id="871"/>
      <w:bookmarkEnd w:id="872"/>
      <w:bookmarkEnd w:id="873"/>
      <w:bookmarkEnd w:id="874"/>
    </w:p>
    <w:p w14:paraId="306DB885">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875" w:name="_Toc6493"/>
      <w:bookmarkStart w:id="876" w:name="_Toc1402"/>
      <w:bookmarkStart w:id="877" w:name="_Toc644"/>
      <w:bookmarkStart w:id="878" w:name="_Toc102860077"/>
      <w:bookmarkStart w:id="879" w:name="_Toc94107212"/>
      <w:bookmarkStart w:id="880" w:name="_Toc14004"/>
      <w:bookmarkStart w:id="881" w:name="_Toc102860421"/>
      <w:bookmarkStart w:id="882" w:name="_Toc21657"/>
      <w:bookmarkStart w:id="883" w:name="_Toc2492"/>
      <w:bookmarkStart w:id="884" w:name="_Toc140596931"/>
      <w:bookmarkStart w:id="885" w:name="_Toc142508372"/>
      <w:bookmarkStart w:id="886" w:name="_Toc104991878"/>
      <w:bookmarkStart w:id="887" w:name="_Toc1850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875"/>
      <w:bookmarkEnd w:id="876"/>
      <w:bookmarkEnd w:id="877"/>
      <w:bookmarkEnd w:id="878"/>
      <w:bookmarkEnd w:id="879"/>
      <w:bookmarkEnd w:id="880"/>
      <w:bookmarkEnd w:id="881"/>
      <w:bookmarkEnd w:id="882"/>
      <w:bookmarkEnd w:id="883"/>
      <w:bookmarkEnd w:id="884"/>
      <w:bookmarkEnd w:id="885"/>
      <w:bookmarkEnd w:id="886"/>
      <w:bookmarkEnd w:id="887"/>
    </w:p>
    <w:p w14:paraId="091E9C7B">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845"/>
      <w:bookmarkEnd w:id="846"/>
      <w:bookmarkEnd w:id="847"/>
      <w:bookmarkEnd w:id="861"/>
    </w:p>
    <w:p w14:paraId="6AB838C3">
      <w:pPr>
        <w:spacing w:before="120" w:after="120" w:line="360" w:lineRule="auto"/>
        <w:ind w:firstLine="608" w:firstLineChars="202"/>
        <w:jc w:val="center"/>
        <w:rPr>
          <w:rFonts w:ascii="宋体" w:hAnsi="宋体" w:eastAsia="宋体" w:cs="宋体"/>
          <w:b/>
          <w:color w:val="auto"/>
          <w:sz w:val="30"/>
          <w:szCs w:val="30"/>
          <w:highlight w:val="none"/>
        </w:rPr>
      </w:pPr>
    </w:p>
    <w:p w14:paraId="16DACD2C">
      <w:pPr>
        <w:spacing w:before="120" w:after="120" w:line="360" w:lineRule="auto"/>
        <w:ind w:firstLine="608" w:firstLineChars="202"/>
        <w:jc w:val="center"/>
        <w:rPr>
          <w:rFonts w:ascii="宋体" w:hAnsi="宋体" w:eastAsia="宋体" w:cs="宋体"/>
          <w:b/>
          <w:bCs/>
          <w:color w:val="auto"/>
          <w:sz w:val="30"/>
          <w:szCs w:val="30"/>
          <w:highlight w:val="none"/>
        </w:rPr>
      </w:pPr>
      <w:bookmarkStart w:id="888" w:name="_Toc11033_WPSOffice_Level3"/>
      <w:r>
        <w:rPr>
          <w:rFonts w:hint="eastAsia" w:ascii="宋体" w:hAnsi="宋体" w:eastAsia="宋体" w:cs="宋体"/>
          <w:b/>
          <w:color w:val="auto"/>
          <w:sz w:val="30"/>
          <w:szCs w:val="30"/>
          <w:highlight w:val="none"/>
        </w:rPr>
        <w:t>法定代</w:t>
      </w:r>
      <w:bookmarkStart w:id="889" w:name="_Toc45995270"/>
      <w:bookmarkStart w:id="890" w:name="_Toc36971359"/>
      <w:r>
        <w:rPr>
          <w:rFonts w:hint="eastAsia" w:ascii="宋体" w:hAnsi="宋体" w:eastAsia="宋体" w:cs="宋体"/>
          <w:b/>
          <w:color w:val="auto"/>
          <w:sz w:val="30"/>
          <w:szCs w:val="30"/>
          <w:highlight w:val="none"/>
        </w:rPr>
        <w:t>表人身份证明书</w:t>
      </w:r>
      <w:bookmarkEnd w:id="888"/>
    </w:p>
    <w:bookmarkEnd w:id="889"/>
    <w:bookmarkEnd w:id="890"/>
    <w:p w14:paraId="66FD4EF8">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302172E">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5EBF9D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2A78D6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B37705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F98DC8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350784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1407A1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CD37DA6">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6F2ECC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11681F"/>
                          <w:p w14:paraId="2B9AE85E"/>
                          <w:p w14:paraId="73387268"/>
                          <w:p w14:paraId="1F3A32F5"/>
                          <w:p w14:paraId="2CF7565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C11681F"/>
                    <w:p w14:paraId="2B9AE85E"/>
                    <w:p w14:paraId="73387268"/>
                    <w:p w14:paraId="1F3A32F5"/>
                    <w:p w14:paraId="2CF7565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B407EC2"/>
                          <w:p w14:paraId="5C6CE579"/>
                          <w:p w14:paraId="0CA30D49"/>
                          <w:p w14:paraId="09E4A24B"/>
                          <w:p w14:paraId="27E81685">
                            <w:pPr>
                              <w:jc w:val="center"/>
                              <w:rPr>
                                <w:szCs w:val="21"/>
                              </w:rPr>
                            </w:pPr>
                            <w:r>
                              <w:rPr>
                                <w:rFonts w:hint="eastAsia"/>
                                <w:szCs w:val="21"/>
                              </w:rPr>
                              <w:t>法定代表人身份证反面</w:t>
                            </w:r>
                          </w:p>
                          <w:p w14:paraId="678789E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B407EC2"/>
                    <w:p w14:paraId="5C6CE579"/>
                    <w:p w14:paraId="0CA30D49"/>
                    <w:p w14:paraId="09E4A24B"/>
                    <w:p w14:paraId="27E81685">
                      <w:pPr>
                        <w:jc w:val="center"/>
                        <w:rPr>
                          <w:szCs w:val="21"/>
                        </w:rPr>
                      </w:pPr>
                      <w:r>
                        <w:rPr>
                          <w:rFonts w:hint="eastAsia"/>
                          <w:szCs w:val="21"/>
                        </w:rPr>
                        <w:t>法定代表人身份证反面</w:t>
                      </w:r>
                    </w:p>
                    <w:p w14:paraId="678789EF">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4E3645C"/>
                          <w:p w14:paraId="694C5D55"/>
                          <w:p w14:paraId="01EE8EA8"/>
                          <w:p w14:paraId="699EB7F1"/>
                          <w:p w14:paraId="1EDEDD1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4E3645C"/>
                    <w:p w14:paraId="694C5D55"/>
                    <w:p w14:paraId="01EE8EA8"/>
                    <w:p w14:paraId="699EB7F1"/>
                    <w:p w14:paraId="1EDEDD14">
                      <w:pPr>
                        <w:jc w:val="center"/>
                      </w:pPr>
                      <w:r>
                        <w:rPr>
                          <w:rFonts w:hint="eastAsia"/>
                        </w:rPr>
                        <w:t>身份证正面</w:t>
                      </w:r>
                    </w:p>
                  </w:txbxContent>
                </v:textbox>
              </v:shape>
            </w:pict>
          </mc:Fallback>
        </mc:AlternateContent>
      </w:r>
    </w:p>
    <w:p w14:paraId="095FB928">
      <w:pPr>
        <w:autoSpaceDE w:val="0"/>
        <w:autoSpaceDN w:val="0"/>
        <w:adjustRightInd w:val="0"/>
        <w:jc w:val="left"/>
        <w:rPr>
          <w:rFonts w:ascii="宋体" w:hAnsi="宋体" w:eastAsia="宋体" w:cs="宋体"/>
          <w:color w:val="auto"/>
          <w:kern w:val="0"/>
          <w:sz w:val="24"/>
          <w:szCs w:val="24"/>
          <w:highlight w:val="none"/>
        </w:rPr>
      </w:pPr>
    </w:p>
    <w:p w14:paraId="2B55B421">
      <w:pPr>
        <w:autoSpaceDE w:val="0"/>
        <w:autoSpaceDN w:val="0"/>
        <w:adjustRightInd w:val="0"/>
        <w:jc w:val="left"/>
        <w:rPr>
          <w:rFonts w:ascii="宋体" w:hAnsi="宋体" w:eastAsia="宋体" w:cs="宋体"/>
          <w:color w:val="auto"/>
          <w:kern w:val="0"/>
          <w:sz w:val="24"/>
          <w:szCs w:val="24"/>
          <w:highlight w:val="none"/>
        </w:rPr>
      </w:pPr>
    </w:p>
    <w:p w14:paraId="717A5910">
      <w:pPr>
        <w:autoSpaceDE w:val="0"/>
        <w:autoSpaceDN w:val="0"/>
        <w:adjustRightInd w:val="0"/>
        <w:jc w:val="left"/>
        <w:rPr>
          <w:rFonts w:ascii="宋体" w:hAnsi="宋体" w:eastAsia="宋体" w:cs="宋体"/>
          <w:color w:val="auto"/>
          <w:kern w:val="0"/>
          <w:sz w:val="24"/>
          <w:szCs w:val="24"/>
          <w:highlight w:val="none"/>
        </w:rPr>
      </w:pPr>
    </w:p>
    <w:p w14:paraId="5E86AAFB">
      <w:pPr>
        <w:autoSpaceDE w:val="0"/>
        <w:autoSpaceDN w:val="0"/>
        <w:adjustRightInd w:val="0"/>
        <w:jc w:val="left"/>
        <w:rPr>
          <w:rFonts w:ascii="宋体" w:hAnsi="宋体" w:eastAsia="宋体" w:cs="宋体"/>
          <w:color w:val="auto"/>
          <w:kern w:val="0"/>
          <w:sz w:val="24"/>
          <w:szCs w:val="24"/>
          <w:highlight w:val="none"/>
        </w:rPr>
      </w:pPr>
    </w:p>
    <w:p w14:paraId="3DCE5B6B">
      <w:pPr>
        <w:autoSpaceDE w:val="0"/>
        <w:autoSpaceDN w:val="0"/>
        <w:adjustRightInd w:val="0"/>
        <w:jc w:val="left"/>
        <w:rPr>
          <w:rFonts w:ascii="宋体" w:hAnsi="宋体" w:eastAsia="宋体" w:cs="宋体"/>
          <w:color w:val="auto"/>
          <w:kern w:val="0"/>
          <w:sz w:val="24"/>
          <w:szCs w:val="24"/>
          <w:highlight w:val="none"/>
        </w:rPr>
      </w:pPr>
    </w:p>
    <w:p w14:paraId="556E122C">
      <w:pPr>
        <w:autoSpaceDE w:val="0"/>
        <w:autoSpaceDN w:val="0"/>
        <w:adjustRightInd w:val="0"/>
        <w:jc w:val="left"/>
        <w:rPr>
          <w:rFonts w:ascii="宋体" w:hAnsi="宋体" w:eastAsia="宋体" w:cs="宋体"/>
          <w:color w:val="auto"/>
          <w:kern w:val="0"/>
          <w:sz w:val="24"/>
          <w:szCs w:val="24"/>
          <w:highlight w:val="none"/>
        </w:rPr>
      </w:pPr>
    </w:p>
    <w:p w14:paraId="5448E992">
      <w:pPr>
        <w:autoSpaceDE w:val="0"/>
        <w:autoSpaceDN w:val="0"/>
        <w:adjustRightInd w:val="0"/>
        <w:jc w:val="left"/>
        <w:rPr>
          <w:rFonts w:ascii="宋体" w:hAnsi="宋体" w:eastAsia="宋体" w:cs="宋体"/>
          <w:color w:val="auto"/>
          <w:kern w:val="0"/>
          <w:sz w:val="24"/>
          <w:szCs w:val="24"/>
          <w:highlight w:val="none"/>
        </w:rPr>
      </w:pPr>
    </w:p>
    <w:p w14:paraId="3EC17A4F">
      <w:pPr>
        <w:autoSpaceDE w:val="0"/>
        <w:autoSpaceDN w:val="0"/>
        <w:adjustRightInd w:val="0"/>
        <w:jc w:val="left"/>
        <w:rPr>
          <w:rFonts w:ascii="宋体" w:hAnsi="宋体" w:eastAsia="宋体" w:cs="宋体"/>
          <w:color w:val="auto"/>
          <w:kern w:val="0"/>
          <w:sz w:val="24"/>
          <w:szCs w:val="24"/>
          <w:highlight w:val="none"/>
        </w:rPr>
      </w:pPr>
    </w:p>
    <w:p w14:paraId="61245F27">
      <w:pPr>
        <w:autoSpaceDE w:val="0"/>
        <w:autoSpaceDN w:val="0"/>
        <w:adjustRightInd w:val="0"/>
        <w:jc w:val="left"/>
        <w:rPr>
          <w:rFonts w:ascii="宋体" w:hAnsi="宋体" w:eastAsia="宋体" w:cs="宋体"/>
          <w:color w:val="auto"/>
          <w:kern w:val="0"/>
          <w:sz w:val="24"/>
          <w:szCs w:val="24"/>
          <w:highlight w:val="none"/>
        </w:rPr>
      </w:pPr>
    </w:p>
    <w:p w14:paraId="114A8FFC">
      <w:pPr>
        <w:autoSpaceDE w:val="0"/>
        <w:autoSpaceDN w:val="0"/>
        <w:adjustRightInd w:val="0"/>
        <w:jc w:val="left"/>
        <w:rPr>
          <w:rFonts w:ascii="宋体" w:hAnsi="宋体" w:eastAsia="宋体" w:cs="宋体"/>
          <w:b/>
          <w:color w:val="auto"/>
          <w:kern w:val="0"/>
          <w:szCs w:val="21"/>
          <w:highlight w:val="none"/>
        </w:rPr>
      </w:pPr>
    </w:p>
    <w:p w14:paraId="02142D5D">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4ADD6B8">
      <w:pPr>
        <w:autoSpaceDE w:val="0"/>
        <w:autoSpaceDN w:val="0"/>
        <w:adjustRightInd w:val="0"/>
        <w:jc w:val="left"/>
        <w:rPr>
          <w:rFonts w:ascii="宋体" w:hAnsi="宋体" w:eastAsia="宋体" w:cs="宋体"/>
          <w:color w:val="auto"/>
          <w:kern w:val="0"/>
          <w:szCs w:val="21"/>
          <w:highlight w:val="none"/>
        </w:rPr>
      </w:pPr>
    </w:p>
    <w:p w14:paraId="0DC255E6">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788"/>
      <w:bookmarkEnd w:id="789"/>
      <w:bookmarkEnd w:id="790"/>
      <w:bookmarkStart w:id="891" w:name="_Toc486167713"/>
      <w:bookmarkStart w:id="892" w:name="_Toc1977727"/>
      <w:bookmarkStart w:id="893" w:name="_Toc6240_WPSOffice_Level2"/>
      <w:bookmarkStart w:id="894" w:name="_Toc533708125"/>
      <w:r>
        <w:rPr>
          <w:rFonts w:hint="eastAsia" w:ascii="宋体" w:hAnsi="宋体" w:eastAsia="宋体" w:cs="宋体"/>
          <w:b/>
          <w:color w:val="auto"/>
          <w:szCs w:val="24"/>
          <w:highlight w:val="none"/>
        </w:rPr>
        <w:t>（2）法定代表人授权书格式</w:t>
      </w:r>
      <w:bookmarkEnd w:id="891"/>
      <w:bookmarkEnd w:id="892"/>
      <w:bookmarkEnd w:id="893"/>
      <w:bookmarkEnd w:id="894"/>
    </w:p>
    <w:p w14:paraId="152577E7">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4E96B245">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95" w:name="_Toc29146_WPSOffice_Level3"/>
      <w:r>
        <w:rPr>
          <w:rFonts w:hint="eastAsia" w:ascii="宋体" w:hAnsi="宋体" w:eastAsia="宋体" w:cs="宋体"/>
          <w:b/>
          <w:bCs/>
          <w:color w:val="auto"/>
          <w:sz w:val="30"/>
          <w:szCs w:val="30"/>
          <w:highlight w:val="none"/>
          <w:lang w:val="zh-CN"/>
        </w:rPr>
        <w:t>法定代表人授权书</w:t>
      </w:r>
      <w:bookmarkEnd w:id="895"/>
    </w:p>
    <w:p w14:paraId="5AC9D116">
      <w:pPr>
        <w:autoSpaceDE w:val="0"/>
        <w:autoSpaceDN w:val="0"/>
        <w:adjustRightInd w:val="0"/>
        <w:spacing w:line="360" w:lineRule="auto"/>
        <w:jc w:val="center"/>
        <w:rPr>
          <w:rFonts w:ascii="宋体" w:hAnsi="宋体" w:eastAsia="宋体" w:cs="宋体"/>
          <w:color w:val="auto"/>
          <w:szCs w:val="28"/>
          <w:highlight w:val="none"/>
          <w:lang w:val="zh-CN"/>
        </w:rPr>
      </w:pPr>
    </w:p>
    <w:p w14:paraId="308DC89B">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2A767CC8">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lang w:eastAsia="zh-CN"/>
        </w:rPr>
        <w:t>东莞市供水计量设施更新项目（2026-2027年计量仪表）</w:t>
      </w:r>
      <w:r>
        <w:rPr>
          <w:rFonts w:hint="eastAsia" w:ascii="宋体" w:hAnsi="宋体" w:eastAsia="宋体" w:cs="宋体"/>
          <w:color w:val="auto"/>
          <w:szCs w:val="21"/>
          <w:highlight w:val="none"/>
          <w:u w:val="single"/>
          <w:lang w:eastAsia="zh-CN"/>
        </w:rPr>
        <w:t>－超声波水表</w:t>
      </w:r>
      <w:r>
        <w:rPr>
          <w:rFonts w:hint="eastAsia" w:ascii="宋体" w:hAnsi="宋体" w:eastAsia="宋体" w:cs="宋体"/>
          <w:color w:val="auto"/>
          <w:szCs w:val="21"/>
          <w:highlight w:val="none"/>
          <w:lang w:val="zh-CN"/>
        </w:rPr>
        <w:t>（招 标 编 号：YFGL-202601011）的投标文件，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61223F5">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E71A478">
      <w:pPr>
        <w:spacing w:before="120" w:after="120" w:line="360" w:lineRule="auto"/>
        <w:ind w:left="348" w:leftChars="136" w:hanging="62"/>
        <w:rPr>
          <w:rFonts w:ascii="宋体" w:hAnsi="宋体" w:eastAsia="宋体" w:cs="宋体"/>
          <w:color w:val="auto"/>
          <w:szCs w:val="24"/>
          <w:highlight w:val="none"/>
        </w:rPr>
      </w:pPr>
    </w:p>
    <w:p w14:paraId="5C47D13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C341B4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C27F79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2D0ADB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A3BCEB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8AAC95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60C82F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15F2534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747153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D7105F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A164CAE"/>
                          <w:p w14:paraId="736F7C6D"/>
                          <w:p w14:paraId="6D610CAC"/>
                          <w:p w14:paraId="4016C0C4"/>
                          <w:p w14:paraId="3FAD65B0">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A164CAE"/>
                    <w:p w14:paraId="736F7C6D"/>
                    <w:p w14:paraId="6D610CAC"/>
                    <w:p w14:paraId="4016C0C4"/>
                    <w:p w14:paraId="3FAD65B0">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3B3819B"/>
                          <w:p w14:paraId="70579437"/>
                          <w:p w14:paraId="663C0320"/>
                          <w:p w14:paraId="655ED55C"/>
                          <w:p w14:paraId="05A22F73">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3B3819B"/>
                    <w:p w14:paraId="70579437"/>
                    <w:p w14:paraId="663C0320"/>
                    <w:p w14:paraId="655ED55C"/>
                    <w:p w14:paraId="05A22F73">
                      <w:pPr>
                        <w:jc w:val="center"/>
                        <w:rPr>
                          <w:rFonts w:hAnsi="宋体"/>
                        </w:rPr>
                      </w:pPr>
                      <w:r>
                        <w:rPr>
                          <w:rFonts w:hint="eastAsia" w:hAnsi="宋体"/>
                        </w:rPr>
                        <w:t>法定代表人身份证正面</w:t>
                      </w:r>
                    </w:p>
                  </w:txbxContent>
                </v:textbox>
              </v:shape>
            </w:pict>
          </mc:Fallback>
        </mc:AlternateContent>
      </w:r>
    </w:p>
    <w:p w14:paraId="4C17520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DAF595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18FFB6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E8069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FCA3A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E9933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5284A6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8145C1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FDDBD8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26DB187"/>
                          <w:p w14:paraId="1FC5F266">
                            <w:pPr>
                              <w:jc w:val="center"/>
                              <w:rPr>
                                <w:rFonts w:hAnsi="宋体"/>
                                <w:color w:val="FF0000"/>
                              </w:rPr>
                            </w:pPr>
                          </w:p>
                          <w:p w14:paraId="256DDD2B">
                            <w:pPr>
                              <w:jc w:val="center"/>
                              <w:rPr>
                                <w:rFonts w:hAnsi="宋体"/>
                                <w:color w:val="FF0000"/>
                              </w:rPr>
                            </w:pPr>
                          </w:p>
                          <w:p w14:paraId="51D79151">
                            <w:pPr>
                              <w:jc w:val="center"/>
                              <w:rPr>
                                <w:rFonts w:hAnsi="宋体"/>
                                <w:color w:val="FF0000"/>
                              </w:rPr>
                            </w:pPr>
                          </w:p>
                          <w:p w14:paraId="631BF02C">
                            <w:pPr>
                              <w:jc w:val="center"/>
                            </w:pPr>
                            <w:r>
                              <w:rPr>
                                <w:rFonts w:hint="eastAsia" w:hAnsi="宋体"/>
                              </w:rPr>
                              <w:t>被授权人身份证反面</w:t>
                            </w:r>
                          </w:p>
                          <w:p w14:paraId="386FF0BA"/>
                          <w:p w14:paraId="654505A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26DB187"/>
                    <w:p w14:paraId="1FC5F266">
                      <w:pPr>
                        <w:jc w:val="center"/>
                        <w:rPr>
                          <w:rFonts w:hAnsi="宋体"/>
                          <w:color w:val="FF0000"/>
                        </w:rPr>
                      </w:pPr>
                    </w:p>
                    <w:p w14:paraId="256DDD2B">
                      <w:pPr>
                        <w:jc w:val="center"/>
                        <w:rPr>
                          <w:rFonts w:hAnsi="宋体"/>
                          <w:color w:val="FF0000"/>
                        </w:rPr>
                      </w:pPr>
                    </w:p>
                    <w:p w14:paraId="51D79151">
                      <w:pPr>
                        <w:jc w:val="center"/>
                        <w:rPr>
                          <w:rFonts w:hAnsi="宋体"/>
                          <w:color w:val="FF0000"/>
                        </w:rPr>
                      </w:pPr>
                    </w:p>
                    <w:p w14:paraId="631BF02C">
                      <w:pPr>
                        <w:jc w:val="center"/>
                      </w:pPr>
                      <w:r>
                        <w:rPr>
                          <w:rFonts w:hint="eastAsia" w:hAnsi="宋体"/>
                        </w:rPr>
                        <w:t>被授权人身份证反面</w:t>
                      </w:r>
                    </w:p>
                    <w:p w14:paraId="386FF0BA"/>
                    <w:p w14:paraId="654505A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4107A00"/>
                          <w:p w14:paraId="44C697F7">
                            <w:pPr>
                              <w:jc w:val="center"/>
                              <w:rPr>
                                <w:rFonts w:hAnsi="宋体"/>
                                <w:color w:val="FF0000"/>
                              </w:rPr>
                            </w:pPr>
                          </w:p>
                          <w:p w14:paraId="07D8C932">
                            <w:pPr>
                              <w:jc w:val="center"/>
                              <w:rPr>
                                <w:rFonts w:hAnsi="宋体"/>
                                <w:color w:val="FF0000"/>
                              </w:rPr>
                            </w:pPr>
                          </w:p>
                          <w:p w14:paraId="5B8476B9">
                            <w:pPr>
                              <w:jc w:val="center"/>
                              <w:rPr>
                                <w:rFonts w:hAnsi="宋体"/>
                                <w:color w:val="FF0000"/>
                              </w:rPr>
                            </w:pPr>
                          </w:p>
                          <w:p w14:paraId="717777C5">
                            <w:pPr>
                              <w:jc w:val="center"/>
                            </w:pPr>
                            <w:r>
                              <w:rPr>
                                <w:rFonts w:hint="eastAsia" w:hAnsi="宋体"/>
                              </w:rPr>
                              <w:t>被授权人身份证正面</w:t>
                            </w:r>
                          </w:p>
                          <w:p w14:paraId="7C140BF4"/>
                          <w:p w14:paraId="4FD2065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4107A00"/>
                    <w:p w14:paraId="44C697F7">
                      <w:pPr>
                        <w:jc w:val="center"/>
                        <w:rPr>
                          <w:rFonts w:hAnsi="宋体"/>
                          <w:color w:val="FF0000"/>
                        </w:rPr>
                      </w:pPr>
                    </w:p>
                    <w:p w14:paraId="07D8C932">
                      <w:pPr>
                        <w:jc w:val="center"/>
                        <w:rPr>
                          <w:rFonts w:hAnsi="宋体"/>
                          <w:color w:val="FF0000"/>
                        </w:rPr>
                      </w:pPr>
                    </w:p>
                    <w:p w14:paraId="5B8476B9">
                      <w:pPr>
                        <w:jc w:val="center"/>
                        <w:rPr>
                          <w:rFonts w:hAnsi="宋体"/>
                          <w:color w:val="FF0000"/>
                        </w:rPr>
                      </w:pPr>
                    </w:p>
                    <w:p w14:paraId="717777C5">
                      <w:pPr>
                        <w:jc w:val="center"/>
                      </w:pPr>
                      <w:r>
                        <w:rPr>
                          <w:rFonts w:hint="eastAsia" w:hAnsi="宋体"/>
                        </w:rPr>
                        <w:t>被授权人身份证正面</w:t>
                      </w:r>
                    </w:p>
                    <w:p w14:paraId="7C140BF4"/>
                    <w:p w14:paraId="4FD2065F"/>
                  </w:txbxContent>
                </v:textbox>
              </v:shape>
            </w:pict>
          </mc:Fallback>
        </mc:AlternateContent>
      </w:r>
    </w:p>
    <w:p w14:paraId="54952D7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BEF9D8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0F0BC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745D3E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2061E0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E9F9C6">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lang w:eastAsia="zh-CN"/>
        </w:rPr>
        <w:sectPr>
          <w:footerReference r:id="rId8" w:type="first"/>
          <w:footerReference r:id="rId7"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r>
        <w:rPr>
          <w:rFonts w:hint="eastAsia" w:ascii="宋体" w:hAnsi="宋体" w:eastAsia="宋体" w:cs="宋体"/>
          <w:b/>
          <w:color w:val="auto"/>
          <w:szCs w:val="24"/>
          <w:highlight w:val="none"/>
          <w:lang w:eastAsia="zh-CN"/>
        </w:rPr>
        <w:t>。</w:t>
      </w:r>
    </w:p>
    <w:p w14:paraId="63BB4CF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96" w:name="_Toc619"/>
      <w:bookmarkStart w:id="897" w:name="_Toc9814"/>
      <w:bookmarkStart w:id="898" w:name="_Toc9708"/>
      <w:bookmarkStart w:id="899" w:name="_Toc3912"/>
      <w:bookmarkStart w:id="900" w:name="_Toc3542"/>
      <w:bookmarkStart w:id="901" w:name="_Toc20328"/>
      <w:bookmarkStart w:id="902" w:name="_Toc31100"/>
      <w:bookmarkStart w:id="903" w:name="_Toc8338"/>
      <w:bookmarkStart w:id="904" w:name="_Toc30070"/>
      <w:bookmarkStart w:id="905" w:name="_Toc104991880"/>
      <w:bookmarkStart w:id="906" w:name="_Toc140596933"/>
      <w:bookmarkStart w:id="907" w:name="_Toc94107214"/>
      <w:bookmarkStart w:id="908" w:name="_Toc1977730"/>
      <w:bookmarkStart w:id="909" w:name="_Toc142508373"/>
      <w:r>
        <w:rPr>
          <w:rFonts w:hint="eastAsia" w:ascii="宋体" w:hAnsi="宋体" w:eastAsia="宋体" w:cs="宋体"/>
          <w:b/>
          <w:color w:val="auto"/>
          <w:kern w:val="0"/>
          <w:sz w:val="30"/>
          <w:szCs w:val="30"/>
          <w:highlight w:val="none"/>
          <w:lang w:val="en-US" w:eastAsia="zh-CN"/>
        </w:rPr>
        <w:t xml:space="preserve">5.4 </w:t>
      </w:r>
      <w:bookmarkEnd w:id="896"/>
      <w:bookmarkEnd w:id="897"/>
      <w:r>
        <w:rPr>
          <w:rFonts w:hint="eastAsia" w:ascii="宋体" w:hAnsi="宋体" w:eastAsia="宋体" w:cs="宋体"/>
          <w:b/>
          <w:color w:val="auto"/>
          <w:kern w:val="0"/>
          <w:sz w:val="30"/>
          <w:szCs w:val="30"/>
          <w:highlight w:val="none"/>
          <w:lang w:val="en-US" w:eastAsia="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当前述制造商资格声明和制造商独家授权书是由境外品牌境外生产的所投超声波水表制造商通过境内的办事机构出具时，同时还须提供证明该机构作为境外品牌境外生产的所投超声波水表制造商在境内的办事机构的证明文件复印件[该证明文件可为显示其作为境外所投超声波水表制造商分公司的营业执照、或反映其作为境外所投超声波水表制造商子公司的章程（或出资证明、或反映出资人为境外所投超声波水表制造商的营业执照）或境外所投所投超声波水表制造商的书面证明或官网显示其关系的打印件]）</w:t>
      </w:r>
      <w:bookmarkEnd w:id="898"/>
      <w:bookmarkEnd w:id="899"/>
      <w:bookmarkEnd w:id="900"/>
      <w:bookmarkEnd w:id="901"/>
    </w:p>
    <w:p w14:paraId="6C2F34A3">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185EE079">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4D7524C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457C9063">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15026378">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7625EEA3">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361C4BF0">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490666F4">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0B1F22B1">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4EA80E6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5A2B111B">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7590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EF4AF2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5B163D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670A646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6C11B1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78406D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CE3A6C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77F8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D1F5B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45F7DE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448799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5CBC69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A33753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546983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DCE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DBF7CE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7994B7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E83D19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3A797D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B85AA8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20F1761">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10E92CA9">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1195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496C3D1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AA68F1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AD589B0">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50FE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14A3C1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2F6925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ABA7D94">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748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866053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B2AD7A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4B61134">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25DA396D">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674A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227731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1F372878">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717C82B6">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540C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2BB66E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18395EF6">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219B63A6">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30C6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E05FFE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AD72BAC">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F4C1F7C">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5A96308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4E83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1338D5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CA0AB8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34FFEF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3BD225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C1E342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4D87DD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B30BA6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ED63F2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F9F76A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0E36362">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6715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CA8375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7C591A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E2B6D5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29C017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442F44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6B1D98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E67D85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57077E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E96B91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EA4C6E4">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547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0B9F38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F0C8BF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D61C63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5DB937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DE8796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6E9869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01794F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B7E4D6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EE270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2E311B6">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533EA99">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6B1A516A">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526B6E25">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270F2486">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1F2F172B">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3EBEE565">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21F4796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8452351">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ACAC36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5BF3E38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957B2B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2C7DF1E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4D628BC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1F5A6105">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3E99B548">
      <w:pPr>
        <w:autoSpaceDE/>
        <w:autoSpaceDN/>
        <w:adjustRightInd/>
        <w:spacing w:line="240" w:lineRule="auto"/>
        <w:jc w:val="left"/>
        <w:rPr>
          <w:rFonts w:hint="eastAsia" w:ascii="宋体" w:hAnsi="宋体" w:eastAsia="宋体" w:cs="宋体"/>
          <w:b/>
          <w:bCs/>
          <w:color w:val="auto"/>
          <w:sz w:val="30"/>
          <w:szCs w:val="30"/>
          <w:highlight w:val="none"/>
          <w:lang w:val="zh-CN" w:bidi="ar"/>
        </w:rPr>
      </w:pPr>
      <w:r>
        <w:rPr>
          <w:rFonts w:hint="eastAsia" w:ascii="宋体" w:hAnsi="宋体" w:eastAsia="宋体" w:cs="宋体"/>
          <w:b/>
          <w:bCs/>
          <w:color w:val="auto"/>
          <w:sz w:val="30"/>
          <w:szCs w:val="30"/>
          <w:highlight w:val="none"/>
          <w:lang w:val="zh-CN" w:bidi="ar"/>
        </w:rPr>
        <w:br w:type="page"/>
      </w:r>
    </w:p>
    <w:p w14:paraId="186585F5">
      <w:pPr>
        <w:autoSpaceDE w:val="0"/>
        <w:autoSpaceDN w:val="0"/>
        <w:adjustRightInd w:val="0"/>
        <w:spacing w:line="360" w:lineRule="auto"/>
        <w:jc w:val="center"/>
        <w:rPr>
          <w:rFonts w:hint="eastAsia"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val="zh-CN" w:bidi="ar"/>
        </w:rPr>
        <w:t>（2）</w:t>
      </w:r>
      <w:r>
        <w:rPr>
          <w:rFonts w:hint="eastAsia" w:ascii="宋体" w:hAnsi="宋体" w:eastAsia="宋体" w:cs="宋体"/>
          <w:b/>
          <w:bCs/>
          <w:color w:val="auto"/>
          <w:sz w:val="30"/>
          <w:szCs w:val="30"/>
          <w:highlight w:val="none"/>
          <w:lang w:bidi="ar"/>
        </w:rPr>
        <w:t>制造商资格声明</w:t>
      </w:r>
    </w:p>
    <w:p w14:paraId="2EF5AFA7">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val="en-US" w:eastAsia="zh-CN"/>
        </w:rPr>
        <w:t>所投</w:t>
      </w:r>
      <w:r>
        <w:rPr>
          <w:rFonts w:hint="eastAsia" w:ascii="宋体" w:hAnsi="宋体" w:eastAsia="宋体" w:cs="宋体"/>
          <w:b/>
          <w:color w:val="auto"/>
          <w:sz w:val="21"/>
          <w:szCs w:val="21"/>
          <w:highlight w:val="none"/>
          <w:u w:val="single"/>
        </w:rPr>
        <w:t>超声波水表的生产制造商通过境内的办事机构</w:t>
      </w:r>
      <w:r>
        <w:rPr>
          <w:rFonts w:hint="eastAsia" w:ascii="宋体" w:hAnsi="宋体" w:eastAsia="宋体" w:cs="宋体"/>
          <w:b/>
          <w:color w:val="auto"/>
          <w:kern w:val="2"/>
          <w:sz w:val="21"/>
          <w:szCs w:val="21"/>
          <w:highlight w:val="none"/>
          <w:u w:val="single"/>
        </w:rPr>
        <w:t>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6749474D">
      <w:pPr>
        <w:numPr>
          <w:ilvl w:val="0"/>
          <w:numId w:val="2"/>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5471DB5C">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5C5628B7">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BCAD505">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5C4C8146">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1E7AAEBE">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6884AD02">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制造商代表姓名、联系电话和地址：</w:t>
      </w:r>
    </w:p>
    <w:p w14:paraId="4C83194E">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5E257319">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648B8143">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F5B61B9">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D147014">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5209CFAF">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2C168BB1">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境内办事机构代表姓名、联系电话和地址：</w:t>
      </w:r>
    </w:p>
    <w:p w14:paraId="07A8E100">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00C02352">
      <w:pPr>
        <w:numPr>
          <w:ilvl w:val="0"/>
          <w:numId w:val="2"/>
        </w:numPr>
        <w:tabs>
          <w:tab w:val="left" w:pos="426"/>
          <w:tab w:val="left" w:pos="2700"/>
        </w:tabs>
        <w:autoSpaceDE/>
        <w:autoSpaceDN/>
        <w:snapToGrid w:val="0"/>
        <w:spacing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 产品制造商制造投标货物的主要设备、设施及有关情况：</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06078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4A14D25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02DF13A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5FC691C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45EB9C5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79D9435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47CB7E5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785B0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012B11A6">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5F4FDA8A">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0DE37162">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72130B98">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10BDC988">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757DED60">
            <w:pPr>
              <w:snapToGrid w:val="0"/>
              <w:spacing w:line="360" w:lineRule="auto"/>
              <w:jc w:val="center"/>
              <w:rPr>
                <w:rFonts w:hint="eastAsia" w:ascii="宋体" w:hAnsi="宋体" w:eastAsia="宋体" w:cs="宋体"/>
                <w:color w:val="auto"/>
                <w:sz w:val="21"/>
                <w:szCs w:val="21"/>
                <w:highlight w:val="none"/>
              </w:rPr>
            </w:pPr>
          </w:p>
        </w:tc>
      </w:tr>
      <w:tr w14:paraId="6F1C1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43C23A4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01" w:type="dxa"/>
            <w:noWrap w:val="0"/>
            <w:vAlign w:val="center"/>
          </w:tcPr>
          <w:p w14:paraId="25040998">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1369750A">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0EFBB6DB">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2F834B62">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1A228934">
            <w:pPr>
              <w:snapToGrid w:val="0"/>
              <w:spacing w:line="360" w:lineRule="auto"/>
              <w:jc w:val="center"/>
              <w:rPr>
                <w:rFonts w:hint="eastAsia" w:ascii="宋体" w:hAnsi="宋体" w:eastAsia="宋体" w:cs="宋体"/>
                <w:color w:val="auto"/>
                <w:sz w:val="21"/>
                <w:szCs w:val="21"/>
                <w:highlight w:val="none"/>
              </w:rPr>
            </w:pPr>
          </w:p>
        </w:tc>
      </w:tr>
    </w:tbl>
    <w:p w14:paraId="4C2B27E5">
      <w:pPr>
        <w:spacing w:line="360" w:lineRule="auto"/>
        <w:ind w:right="-26"/>
        <w:rPr>
          <w:rFonts w:hint="eastAsia" w:ascii="宋体" w:hAnsi="宋体" w:eastAsia="宋体" w:cs="宋体"/>
          <w:b/>
          <w:bCs/>
          <w:color w:val="auto"/>
          <w:kern w:val="2"/>
          <w:sz w:val="21"/>
          <w:szCs w:val="21"/>
          <w:highlight w:val="none"/>
        </w:rPr>
      </w:pPr>
    </w:p>
    <w:p w14:paraId="4A00C2DA">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1D84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053361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495B6F9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5D1012F7">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4F3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4CE77F54">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7C03E8C0">
            <w:pPr>
              <w:spacing w:line="360" w:lineRule="auto"/>
              <w:rPr>
                <w:rFonts w:hint="eastAsia" w:ascii="宋体" w:hAnsi="宋体" w:eastAsia="宋体" w:cs="宋体"/>
                <w:color w:val="auto"/>
                <w:sz w:val="21"/>
                <w:szCs w:val="21"/>
                <w:highlight w:val="none"/>
              </w:rPr>
            </w:pPr>
          </w:p>
        </w:tc>
        <w:tc>
          <w:tcPr>
            <w:tcW w:w="3100" w:type="dxa"/>
            <w:noWrap w:val="0"/>
            <w:vAlign w:val="center"/>
          </w:tcPr>
          <w:p w14:paraId="0940F15F">
            <w:pPr>
              <w:spacing w:line="360" w:lineRule="auto"/>
              <w:jc w:val="center"/>
              <w:rPr>
                <w:rFonts w:hint="eastAsia" w:ascii="宋体" w:hAnsi="宋体" w:eastAsia="宋体" w:cs="宋体"/>
                <w:color w:val="auto"/>
                <w:sz w:val="21"/>
                <w:szCs w:val="21"/>
                <w:highlight w:val="none"/>
              </w:rPr>
            </w:pPr>
          </w:p>
        </w:tc>
      </w:tr>
      <w:tr w14:paraId="3748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3DF7BFD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1DB70053">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496419E9">
            <w:pPr>
              <w:spacing w:line="360" w:lineRule="auto"/>
              <w:jc w:val="center"/>
              <w:rPr>
                <w:rFonts w:hint="eastAsia" w:ascii="宋体" w:hAnsi="宋体" w:eastAsia="宋体" w:cs="宋体"/>
                <w:color w:val="auto"/>
                <w:sz w:val="21"/>
                <w:szCs w:val="21"/>
                <w:highlight w:val="none"/>
              </w:rPr>
            </w:pPr>
          </w:p>
        </w:tc>
      </w:tr>
    </w:tbl>
    <w:p w14:paraId="4989F63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3630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5FA3B9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05BCF934">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43DD3CBC">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7109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0F7BB6CF">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773BBAB7">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485FB70A">
            <w:pPr>
              <w:snapToGrid w:val="0"/>
              <w:spacing w:line="360" w:lineRule="auto"/>
              <w:ind w:left="342"/>
              <w:jc w:val="center"/>
              <w:rPr>
                <w:rFonts w:hint="eastAsia" w:ascii="宋体" w:hAnsi="宋体" w:eastAsia="宋体" w:cs="宋体"/>
                <w:snapToGrid w:val="0"/>
                <w:color w:val="auto"/>
                <w:sz w:val="21"/>
                <w:szCs w:val="21"/>
                <w:highlight w:val="none"/>
              </w:rPr>
            </w:pPr>
          </w:p>
        </w:tc>
      </w:tr>
      <w:tr w14:paraId="3CC7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53C82871">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204616AE">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4162438D">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2D1D301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425D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C2789A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10F2771E">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79F4484D">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6FFD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90E2087">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75EF95BE">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0602B7EC">
            <w:pPr>
              <w:snapToGrid w:val="0"/>
              <w:spacing w:line="360" w:lineRule="auto"/>
              <w:ind w:left="357"/>
              <w:jc w:val="center"/>
              <w:rPr>
                <w:rFonts w:hint="eastAsia" w:ascii="宋体" w:hAnsi="宋体" w:eastAsia="宋体" w:cs="宋体"/>
                <w:snapToGrid w:val="0"/>
                <w:color w:val="auto"/>
                <w:sz w:val="21"/>
                <w:szCs w:val="21"/>
                <w:highlight w:val="none"/>
              </w:rPr>
            </w:pPr>
          </w:p>
        </w:tc>
      </w:tr>
      <w:tr w14:paraId="1A3D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FA0102B">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2A9C7C1">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1B2676EC">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0BED471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7707C00B">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7354D9D8">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269C7F14">
      <w:pPr>
        <w:autoSpaceDE/>
        <w:autoSpaceDN/>
        <w:adjustRightInd/>
        <w:spacing w:line="360" w:lineRule="auto"/>
        <w:jc w:val="both"/>
        <w:rPr>
          <w:rFonts w:hint="eastAsia" w:ascii="宋体" w:hAnsi="宋体" w:eastAsia="宋体" w:cs="宋体"/>
          <w:color w:val="auto"/>
          <w:kern w:val="2"/>
          <w:sz w:val="21"/>
          <w:szCs w:val="21"/>
          <w:highlight w:val="none"/>
        </w:rPr>
      </w:pPr>
    </w:p>
    <w:p w14:paraId="14BC61C4">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21B16D5">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1D073217">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07AAA79F">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42F95442">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759F7ABE">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C3F8024">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58914C6B">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670907BB">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09F1CA86">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6C91192E">
      <w:pPr>
        <w:autoSpaceDE/>
        <w:autoSpaceDN/>
        <w:adjustRightInd/>
        <w:spacing w:line="360" w:lineRule="auto"/>
        <w:rPr>
          <w:rFonts w:hint="eastAsia" w:ascii="宋体" w:hAnsi="宋体" w:eastAsia="宋体" w:cs="宋体"/>
          <w:b/>
          <w:color w:val="auto"/>
          <w:kern w:val="2"/>
          <w:sz w:val="21"/>
          <w:szCs w:val="21"/>
          <w:highlight w:val="none"/>
        </w:rPr>
      </w:pPr>
    </w:p>
    <w:p w14:paraId="37C08E9B">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1"/>
          <w:highlight w:val="none"/>
        </w:rPr>
        <w:t xml:space="preserve"> </w:t>
      </w:r>
      <w:r>
        <w:rPr>
          <w:rFonts w:hint="eastAsia" w:ascii="宋体" w:hAnsi="宋体" w:eastAsia="宋体" w:cs="宋体"/>
          <w:b/>
          <w:color w:val="auto"/>
          <w:kern w:val="2"/>
          <w:sz w:val="21"/>
          <w:szCs w:val="21"/>
          <w:highlight w:val="none"/>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7F19EDD6">
      <w:pPr>
        <w:autoSpaceDE w:val="0"/>
        <w:autoSpaceDN w:val="0"/>
        <w:adjustRightInd w:val="0"/>
        <w:spacing w:line="360" w:lineRule="auto"/>
        <w:jc w:val="center"/>
        <w:rPr>
          <w:rFonts w:ascii="Times New Roman" w:hAnsi="宋体" w:eastAsia="宋体" w:cs="Times New Roman"/>
          <w:b/>
          <w:bCs/>
          <w:color w:val="auto"/>
          <w:sz w:val="30"/>
          <w:szCs w:val="30"/>
          <w:highlight w:val="none"/>
          <w:lang w:bidi="ar"/>
        </w:rPr>
      </w:pPr>
      <w:r>
        <w:rPr>
          <w:rFonts w:ascii="Times New Roman" w:hAnsi="宋体" w:eastAsia="宋体" w:cs="Times New Roman"/>
          <w:b/>
          <w:bCs/>
          <w:color w:val="auto"/>
          <w:sz w:val="30"/>
          <w:szCs w:val="30"/>
          <w:highlight w:val="none"/>
          <w:lang w:bidi="ar"/>
        </w:rPr>
        <w:br w:type="page"/>
      </w:r>
    </w:p>
    <w:p w14:paraId="39E9217D">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w:t>
      </w:r>
      <w:r>
        <w:rPr>
          <w:rFonts w:hint="eastAsia" w:ascii="Times New Roman" w:hAnsi="Times New Roman" w:eastAsia="宋体" w:cs="Times New Roman"/>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）制造商售后服务承诺函及独家授权书</w:t>
      </w:r>
    </w:p>
    <w:p w14:paraId="79C5FE10">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4A9D8021">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1BD3A573">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val="zh-CN" w:bidi="ar"/>
        </w:rPr>
        <w:t>东莞市水务环境投资控股集团供水有限公司</w:t>
      </w:r>
    </w:p>
    <w:p w14:paraId="5A6E901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bCs/>
          <w:color w:val="auto"/>
          <w:kern w:val="0"/>
          <w:szCs w:val="21"/>
          <w:highlight w:val="none"/>
          <w:u w:val="single"/>
          <w:lang w:eastAsia="zh-CN" w:bidi="ar"/>
        </w:rPr>
        <w:t>东莞市供水计量设施更新项目（2026-2027年计量仪表）</w:t>
      </w:r>
      <w:r>
        <w:rPr>
          <w:rFonts w:hint="eastAsia" w:ascii="宋体" w:hAnsi="宋体" w:eastAsia="宋体" w:cs="Times New Roman"/>
          <w:b/>
          <w:bCs/>
          <w:color w:val="auto"/>
          <w:kern w:val="0"/>
          <w:szCs w:val="21"/>
          <w:highlight w:val="none"/>
          <w:u w:val="single"/>
          <w:lang w:eastAsia="zh-CN"/>
        </w:rPr>
        <w:t>－超声波水表</w:t>
      </w:r>
      <w:r>
        <w:rPr>
          <w:rFonts w:hint="eastAsia" w:ascii="宋体" w:hAnsi="宋体" w:eastAsia="宋体" w:cs="宋体"/>
          <w:b/>
          <w:color w:val="auto"/>
          <w:kern w:val="0"/>
          <w:szCs w:val="21"/>
          <w:highlight w:val="none"/>
          <w:u w:val="single"/>
          <w:lang w:bidi="ar"/>
        </w:rPr>
        <w:t>（</w:t>
      </w:r>
      <w:r>
        <w:rPr>
          <w:rFonts w:hint="eastAsia" w:ascii="宋体" w:hAnsi="宋体" w:eastAsia="宋体" w:cs="宋体"/>
          <w:b/>
          <w:color w:val="auto"/>
          <w:kern w:val="0"/>
          <w:szCs w:val="21"/>
          <w:highlight w:val="none"/>
          <w:u w:val="single"/>
          <w:lang w:eastAsia="zh-CN" w:bidi="ar"/>
        </w:rPr>
        <w:t>招 标 编 号：YFGL-202601011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21BCD0A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F1D0AB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内提供免费的质保期保修服务，质保期按每批次货物送达贵方指定地点交货验收合格</w:t>
      </w:r>
      <w:r>
        <w:rPr>
          <w:rFonts w:hint="eastAsia" w:ascii="宋体" w:hAnsi="宋体" w:eastAsia="宋体" w:cs="宋体"/>
          <w:color w:val="auto"/>
          <w:kern w:val="0"/>
          <w:szCs w:val="21"/>
          <w:highlight w:val="none"/>
          <w:lang w:val="en-US" w:eastAsia="zh-CN" w:bidi="ar"/>
        </w:rPr>
        <w:t>之日起</w:t>
      </w:r>
      <w:r>
        <w:rPr>
          <w:rFonts w:hint="eastAsia" w:ascii="宋体" w:hAnsi="宋体" w:eastAsia="宋体" w:cs="宋体"/>
          <w:color w:val="auto"/>
          <w:kern w:val="0"/>
          <w:szCs w:val="21"/>
          <w:highlight w:val="none"/>
          <w:lang w:bidi="ar"/>
        </w:rPr>
        <w:t>算。</w:t>
      </w:r>
    </w:p>
    <w:p w14:paraId="20449342">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1F50D41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1DC8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FFC4AD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63E4541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00911C02">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79B56334">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D0A3B5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42CBBF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4543449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7DC1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D80E94A">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B0C8BBB">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2598BD4">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F6760A7">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43D228A">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3B22119">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7C57907">
            <w:pPr>
              <w:autoSpaceDE w:val="0"/>
              <w:adjustRightInd w:val="0"/>
              <w:spacing w:line="360" w:lineRule="auto"/>
              <w:jc w:val="left"/>
              <w:rPr>
                <w:rFonts w:ascii="宋体" w:hAnsi="宋体" w:eastAsia="宋体" w:cs="宋体"/>
                <w:color w:val="auto"/>
                <w:szCs w:val="21"/>
                <w:highlight w:val="none"/>
              </w:rPr>
            </w:pPr>
          </w:p>
        </w:tc>
      </w:tr>
      <w:tr w14:paraId="4FE0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C4FB4B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D0CF6B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1173F16">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F6616AD">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C41837D">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70DC4CE">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3E4EFA0">
            <w:pPr>
              <w:autoSpaceDE w:val="0"/>
              <w:adjustRightInd w:val="0"/>
              <w:spacing w:line="360" w:lineRule="auto"/>
              <w:jc w:val="left"/>
              <w:rPr>
                <w:rFonts w:ascii="宋体" w:hAnsi="宋体" w:eastAsia="宋体" w:cs="宋体"/>
                <w:color w:val="auto"/>
                <w:szCs w:val="21"/>
                <w:highlight w:val="none"/>
              </w:rPr>
            </w:pPr>
          </w:p>
        </w:tc>
      </w:tr>
      <w:tr w14:paraId="25AD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B3E15CA">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50F0ED18">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C5F0F64">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53B0F3C">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951BCFA">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BC6685C">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1D8C684">
            <w:pPr>
              <w:autoSpaceDE w:val="0"/>
              <w:adjustRightInd w:val="0"/>
              <w:spacing w:line="360" w:lineRule="auto"/>
              <w:jc w:val="left"/>
              <w:rPr>
                <w:rFonts w:ascii="宋体" w:hAnsi="宋体" w:eastAsia="宋体" w:cs="宋体"/>
                <w:color w:val="auto"/>
                <w:szCs w:val="21"/>
                <w:highlight w:val="none"/>
              </w:rPr>
            </w:pPr>
          </w:p>
        </w:tc>
      </w:tr>
    </w:tbl>
    <w:p w14:paraId="568896A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4D98991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4FFC45D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7B1BC8FA">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7F3D2B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15CFD3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213345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2ACB2E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1E3B239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0C7CF9B">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239342A1">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5CD49C6B">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4C4E037D">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4B1F258C">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val="zh-CN" w:bidi="ar"/>
        </w:rPr>
        <w:t>东莞市水务环境投资控股集团供水有限公司</w:t>
      </w:r>
    </w:p>
    <w:p w14:paraId="0C80C13E">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eastAsia="zh-CN" w:bidi="ar"/>
        </w:rPr>
        <w:t>东莞市供水计量设施更新项目（2026-2027年计量仪表）</w:t>
      </w:r>
      <w:r>
        <w:rPr>
          <w:rFonts w:hint="eastAsia" w:ascii="宋体" w:hAnsi="宋体" w:eastAsia="宋体" w:cs="Times New Roman"/>
          <w:color w:val="auto"/>
          <w:kern w:val="0"/>
          <w:szCs w:val="21"/>
          <w:highlight w:val="none"/>
          <w:u w:val="single"/>
          <w:lang w:eastAsia="zh-CN"/>
        </w:rPr>
        <w:t>－超声波水表</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u w:val="single"/>
          <w:lang w:eastAsia="zh-CN" w:bidi="ar"/>
        </w:rPr>
        <w:t>招 标 编 号：YFGL-202601011</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371432C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bCs/>
          <w:color w:val="auto"/>
          <w:kern w:val="0"/>
          <w:szCs w:val="21"/>
          <w:highlight w:val="none"/>
          <w:u w:val="single"/>
          <w:lang w:eastAsia="zh-CN" w:bidi="ar"/>
        </w:rPr>
        <w:t>东莞市供水计量设施更新项目（2026-2027年计量仪表）－超声波水表</w:t>
      </w:r>
      <w:r>
        <w:rPr>
          <w:rFonts w:hint="eastAsia" w:ascii="宋体" w:hAnsi="宋体" w:eastAsia="宋体" w:cs="宋体"/>
          <w:b/>
          <w:bCs/>
          <w:color w:val="auto"/>
          <w:kern w:val="0"/>
          <w:szCs w:val="21"/>
          <w:highlight w:val="none"/>
          <w:u w:val="single"/>
          <w:lang w:bidi="ar"/>
        </w:rPr>
        <w:t>（</w:t>
      </w:r>
      <w:r>
        <w:rPr>
          <w:rFonts w:hint="eastAsia" w:ascii="宋体" w:hAnsi="宋体" w:eastAsia="宋体" w:cs="宋体"/>
          <w:b/>
          <w:bCs/>
          <w:color w:val="auto"/>
          <w:kern w:val="0"/>
          <w:szCs w:val="21"/>
          <w:highlight w:val="none"/>
          <w:u w:val="single"/>
          <w:lang w:eastAsia="zh-CN" w:bidi="ar"/>
        </w:rPr>
        <w:t>招 标 编 号：YFGL-202601011</w:t>
      </w:r>
      <w:r>
        <w:rPr>
          <w:rFonts w:hint="eastAsia" w:ascii="宋体" w:hAnsi="宋体" w:eastAsia="宋体" w:cs="宋体"/>
          <w:b/>
          <w:bCs/>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61F6632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2027BD8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按每批次货物送达贵方指定地点交货验收合格</w:t>
      </w:r>
      <w:r>
        <w:rPr>
          <w:rFonts w:hint="eastAsia" w:ascii="宋体" w:hAnsi="宋体" w:eastAsia="宋体" w:cs="宋体"/>
          <w:color w:val="auto"/>
          <w:kern w:val="0"/>
          <w:szCs w:val="21"/>
          <w:highlight w:val="none"/>
          <w:lang w:val="en-US" w:eastAsia="zh-CN" w:bidi="ar"/>
        </w:rPr>
        <w:t>之日起</w:t>
      </w:r>
      <w:r>
        <w:rPr>
          <w:rFonts w:hint="eastAsia" w:ascii="宋体" w:hAnsi="宋体" w:eastAsia="宋体" w:cs="宋体"/>
          <w:color w:val="auto"/>
          <w:kern w:val="0"/>
          <w:szCs w:val="21"/>
          <w:highlight w:val="none"/>
          <w:lang w:bidi="ar"/>
        </w:rPr>
        <w:t>算。</w:t>
      </w:r>
    </w:p>
    <w:p w14:paraId="13B8112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0E9D985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2F25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6C20452">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0E8A311">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7F1E385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B91804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68CF5C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184C9F8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36A72A9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4E7F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CC3E302">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E01562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D0AAAA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10D46F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452B17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0DD565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BE9B6C6">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4009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052E481">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17137F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F55656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934958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417D53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961480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10F8029">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0AC3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F098BD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1F0E6CB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E2FDBA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1802D3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FC7F7E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092031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6CEA945">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35DD2AA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38F5FE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048E582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0A8C4D4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3E73C91D">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2702709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654503F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112585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09321C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2BF765F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3537C7E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59031AB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3E72738">
      <w:pPr>
        <w:snapToGrid w:val="0"/>
        <w:spacing w:before="120" w:beforeLines="50" w:after="120" w:afterLines="50"/>
        <w:ind w:firstLine="0" w:firstLineChars="0"/>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 xml:space="preserve"> 备注：投标文件正本内必须提供原件。</w:t>
      </w:r>
    </w:p>
    <w:p w14:paraId="680D1C4B">
      <w:pPr>
        <w:rPr>
          <w:rFonts w:hint="eastAsia"/>
          <w:color w:val="auto"/>
          <w:highlight w:val="none"/>
          <w:lang w:val="en-US" w:eastAsia="zh-CN"/>
        </w:rPr>
      </w:pPr>
    </w:p>
    <w:p w14:paraId="6C3D9120">
      <w:pPr>
        <w:pStyle w:val="4"/>
        <w:pageBreakBefore/>
        <w:spacing w:line="360" w:lineRule="auto"/>
        <w:rPr>
          <w:rFonts w:hint="eastAsia" w:hAnsi="宋体" w:eastAsia="宋体"/>
          <w:b/>
          <w:color w:val="auto"/>
          <w:sz w:val="30"/>
          <w:szCs w:val="30"/>
          <w:highlight w:val="none"/>
          <w:lang w:val="zh-CN" w:eastAsia="zh-CN"/>
        </w:rPr>
      </w:pPr>
      <w:bookmarkStart w:id="910" w:name="_Toc21895"/>
      <w:bookmarkStart w:id="911" w:name="_Toc27008"/>
      <w:bookmarkStart w:id="912" w:name="_Toc23581"/>
      <w:bookmarkStart w:id="913" w:name="_Toc24741"/>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902"/>
      <w:bookmarkEnd w:id="903"/>
      <w:bookmarkEnd w:id="904"/>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2023</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hAnsi="宋体"/>
          <w:b/>
          <w:bCs/>
          <w:color w:val="auto"/>
          <w:sz w:val="32"/>
          <w:szCs w:val="32"/>
          <w:highlight w:val="none"/>
          <w:lang w:val="en-US" w:eastAsia="zh-CN"/>
        </w:rPr>
        <w:t>超声波</w:t>
      </w:r>
      <w:r>
        <w:rPr>
          <w:rFonts w:hint="eastAsia" w:ascii="宋体" w:hAnsi="宋体" w:eastAsia="宋体"/>
          <w:b/>
          <w:bCs/>
          <w:color w:val="auto"/>
          <w:sz w:val="32"/>
          <w:szCs w:val="32"/>
          <w:highlight w:val="none"/>
        </w:rPr>
        <w:t>水表在国内的销售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2023</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r>
        <w:rPr>
          <w:rFonts w:hint="eastAsia" w:hAnsi="宋体"/>
          <w:b/>
          <w:bCs/>
          <w:color w:val="auto"/>
          <w:sz w:val="32"/>
          <w:szCs w:val="32"/>
          <w:highlight w:val="none"/>
          <w:lang w:eastAsia="zh-CN"/>
        </w:rPr>
        <w:t>）】</w:t>
      </w:r>
      <w:bookmarkEnd w:id="910"/>
      <w:bookmarkEnd w:id="911"/>
      <w:bookmarkEnd w:id="912"/>
      <w:bookmarkEnd w:id="913"/>
    </w:p>
    <w:p w14:paraId="18F48FC5">
      <w:pPr>
        <w:spacing w:line="360" w:lineRule="auto"/>
        <w:rPr>
          <w:rFonts w:hAnsi="宋体"/>
          <w:color w:val="auto"/>
          <w:szCs w:val="21"/>
          <w:highlight w:val="none"/>
          <w:lang w:val="zh-CN"/>
        </w:rPr>
      </w:pPr>
    </w:p>
    <w:tbl>
      <w:tblPr>
        <w:tblStyle w:val="39"/>
        <w:tblW w:w="483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56"/>
        <w:gridCol w:w="1903"/>
        <w:gridCol w:w="1256"/>
        <w:gridCol w:w="1499"/>
        <w:gridCol w:w="1386"/>
        <w:gridCol w:w="1544"/>
        <w:gridCol w:w="735"/>
      </w:tblGrid>
      <w:tr w14:paraId="11F14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365" w:type="pct"/>
            <w:tcBorders>
              <w:top w:val="single" w:color="auto" w:sz="4" w:space="0"/>
              <w:left w:val="single" w:color="auto" w:sz="4" w:space="0"/>
              <w:bottom w:val="single" w:color="auto" w:sz="4" w:space="0"/>
              <w:right w:val="single" w:color="auto" w:sz="4" w:space="0"/>
            </w:tcBorders>
            <w:vAlign w:val="center"/>
          </w:tcPr>
          <w:p w14:paraId="36B7FDC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059" w:type="pct"/>
            <w:tcBorders>
              <w:top w:val="single" w:color="auto" w:sz="4" w:space="0"/>
              <w:left w:val="single" w:color="auto" w:sz="4" w:space="0"/>
              <w:bottom w:val="single" w:color="auto" w:sz="4" w:space="0"/>
              <w:right w:val="single" w:color="auto" w:sz="4" w:space="0"/>
            </w:tcBorders>
            <w:vAlign w:val="center"/>
          </w:tcPr>
          <w:p w14:paraId="11EEC6BE">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项目名称</w:t>
            </w:r>
          </w:p>
        </w:tc>
        <w:tc>
          <w:tcPr>
            <w:tcW w:w="699" w:type="pct"/>
            <w:tcBorders>
              <w:top w:val="single" w:color="auto" w:sz="4" w:space="0"/>
              <w:left w:val="single" w:color="auto" w:sz="4" w:space="0"/>
              <w:bottom w:val="single" w:color="auto" w:sz="4" w:space="0"/>
              <w:right w:val="single" w:color="auto" w:sz="4" w:space="0"/>
            </w:tcBorders>
            <w:vAlign w:val="center"/>
          </w:tcPr>
          <w:p w14:paraId="0C9B69FC">
            <w:pPr>
              <w:keepNext w:val="0"/>
              <w:keepLines w:val="0"/>
              <w:suppressLineNumbers w:val="0"/>
              <w:spacing w:before="0" w:beforeAutospacing="0" w:after="0" w:afterAutospacing="0"/>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合同标的货物名称</w:t>
            </w:r>
          </w:p>
        </w:tc>
        <w:tc>
          <w:tcPr>
            <w:tcW w:w="834" w:type="pct"/>
            <w:tcBorders>
              <w:top w:val="single" w:color="auto" w:sz="4" w:space="0"/>
              <w:left w:val="single" w:color="auto" w:sz="4" w:space="0"/>
              <w:bottom w:val="single" w:color="auto" w:sz="4" w:space="0"/>
              <w:right w:val="single" w:color="auto" w:sz="4" w:space="0"/>
            </w:tcBorders>
            <w:vAlign w:val="center"/>
          </w:tcPr>
          <w:p w14:paraId="6B269CC2">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合同标的货物品牌</w:t>
            </w:r>
          </w:p>
        </w:tc>
        <w:tc>
          <w:tcPr>
            <w:tcW w:w="771" w:type="pct"/>
            <w:tcBorders>
              <w:top w:val="single" w:color="auto" w:sz="4" w:space="0"/>
              <w:left w:val="single" w:color="auto" w:sz="4" w:space="0"/>
              <w:bottom w:val="single" w:color="auto" w:sz="4" w:space="0"/>
              <w:right w:val="single" w:color="auto" w:sz="4" w:space="0"/>
            </w:tcBorders>
            <w:vAlign w:val="center"/>
          </w:tcPr>
          <w:p w14:paraId="54BE9011">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日期</w:t>
            </w:r>
          </w:p>
        </w:tc>
        <w:tc>
          <w:tcPr>
            <w:tcW w:w="859" w:type="pct"/>
            <w:tcBorders>
              <w:top w:val="single" w:color="auto" w:sz="4" w:space="0"/>
              <w:left w:val="single" w:color="auto" w:sz="4" w:space="0"/>
              <w:bottom w:val="single" w:color="auto" w:sz="4" w:space="0"/>
              <w:right w:val="single" w:color="auto" w:sz="4" w:space="0"/>
            </w:tcBorders>
            <w:vAlign w:val="center"/>
          </w:tcPr>
          <w:p w14:paraId="1030BF1C">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rPr>
              <w:t>合同购</w:t>
            </w:r>
            <w:r>
              <w:rPr>
                <w:rFonts w:hint="eastAsia" w:ascii="宋体" w:hAnsi="宋体" w:eastAsia="宋体" w:cs="宋体"/>
                <w:color w:val="auto"/>
                <w:szCs w:val="21"/>
                <w:highlight w:val="none"/>
              </w:rPr>
              <w:t>买方联系人及电话</w:t>
            </w:r>
          </w:p>
        </w:tc>
        <w:tc>
          <w:tcPr>
            <w:tcW w:w="409" w:type="pct"/>
            <w:tcBorders>
              <w:top w:val="single" w:color="auto" w:sz="4" w:space="0"/>
              <w:left w:val="single" w:color="auto" w:sz="4" w:space="0"/>
              <w:bottom w:val="single" w:color="auto" w:sz="4" w:space="0"/>
              <w:right w:val="single" w:color="auto" w:sz="4" w:space="0"/>
            </w:tcBorders>
            <w:vAlign w:val="center"/>
          </w:tcPr>
          <w:p w14:paraId="08F86538">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备注</w:t>
            </w:r>
          </w:p>
        </w:tc>
      </w:tr>
      <w:tr w14:paraId="31A18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365" w:type="pct"/>
            <w:tcBorders>
              <w:top w:val="single" w:color="auto" w:sz="4" w:space="0"/>
              <w:left w:val="single" w:color="auto" w:sz="4" w:space="0"/>
              <w:bottom w:val="single" w:color="auto" w:sz="4" w:space="0"/>
              <w:right w:val="single" w:color="auto" w:sz="4" w:space="0"/>
            </w:tcBorders>
            <w:vAlign w:val="center"/>
          </w:tcPr>
          <w:p w14:paraId="6A1AF07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059" w:type="pct"/>
            <w:tcBorders>
              <w:top w:val="single" w:color="auto" w:sz="4" w:space="0"/>
              <w:left w:val="single" w:color="auto" w:sz="4" w:space="0"/>
              <w:bottom w:val="single" w:color="auto" w:sz="4" w:space="0"/>
              <w:right w:val="single" w:color="auto" w:sz="4" w:space="0"/>
            </w:tcBorders>
            <w:vAlign w:val="center"/>
          </w:tcPr>
          <w:p w14:paraId="2285C11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4A14F26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4" w:type="pct"/>
            <w:tcBorders>
              <w:top w:val="single" w:color="auto" w:sz="4" w:space="0"/>
              <w:left w:val="single" w:color="auto" w:sz="4" w:space="0"/>
              <w:bottom w:val="single" w:color="auto" w:sz="4" w:space="0"/>
              <w:right w:val="single" w:color="auto" w:sz="4" w:space="0"/>
            </w:tcBorders>
            <w:vAlign w:val="center"/>
          </w:tcPr>
          <w:p w14:paraId="21E7EC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1" w:type="pct"/>
            <w:tcBorders>
              <w:top w:val="single" w:color="auto" w:sz="4" w:space="0"/>
              <w:left w:val="single" w:color="auto" w:sz="4" w:space="0"/>
              <w:bottom w:val="single" w:color="auto" w:sz="4" w:space="0"/>
              <w:right w:val="single" w:color="auto" w:sz="4" w:space="0"/>
            </w:tcBorders>
            <w:vAlign w:val="center"/>
          </w:tcPr>
          <w:p w14:paraId="46EB21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5EB91D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32356BA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E8CA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365" w:type="pct"/>
            <w:tcBorders>
              <w:top w:val="single" w:color="auto" w:sz="4" w:space="0"/>
              <w:left w:val="single" w:color="auto" w:sz="4" w:space="0"/>
              <w:bottom w:val="single" w:color="auto" w:sz="4" w:space="0"/>
              <w:right w:val="single" w:color="auto" w:sz="4" w:space="0"/>
            </w:tcBorders>
            <w:vAlign w:val="center"/>
          </w:tcPr>
          <w:p w14:paraId="133963A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059" w:type="pct"/>
            <w:tcBorders>
              <w:top w:val="single" w:color="auto" w:sz="4" w:space="0"/>
              <w:left w:val="single" w:color="auto" w:sz="4" w:space="0"/>
              <w:bottom w:val="single" w:color="auto" w:sz="4" w:space="0"/>
              <w:right w:val="single" w:color="auto" w:sz="4" w:space="0"/>
            </w:tcBorders>
            <w:vAlign w:val="center"/>
          </w:tcPr>
          <w:p w14:paraId="14DC72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63E775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4" w:type="pct"/>
            <w:tcBorders>
              <w:top w:val="single" w:color="auto" w:sz="4" w:space="0"/>
              <w:left w:val="single" w:color="auto" w:sz="4" w:space="0"/>
              <w:bottom w:val="single" w:color="auto" w:sz="4" w:space="0"/>
              <w:right w:val="single" w:color="auto" w:sz="4" w:space="0"/>
            </w:tcBorders>
            <w:vAlign w:val="center"/>
          </w:tcPr>
          <w:p w14:paraId="16F6DBF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1" w:type="pct"/>
            <w:tcBorders>
              <w:top w:val="single" w:color="auto" w:sz="4" w:space="0"/>
              <w:left w:val="single" w:color="auto" w:sz="4" w:space="0"/>
              <w:bottom w:val="single" w:color="auto" w:sz="4" w:space="0"/>
              <w:right w:val="single" w:color="auto" w:sz="4" w:space="0"/>
            </w:tcBorders>
            <w:vAlign w:val="center"/>
          </w:tcPr>
          <w:p w14:paraId="28F0E3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541F1D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87717F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26F9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65" w:type="pct"/>
            <w:tcBorders>
              <w:top w:val="single" w:color="auto" w:sz="4" w:space="0"/>
              <w:left w:val="single" w:color="auto" w:sz="4" w:space="0"/>
              <w:bottom w:val="single" w:color="auto" w:sz="4" w:space="0"/>
              <w:right w:val="single" w:color="auto" w:sz="4" w:space="0"/>
            </w:tcBorders>
            <w:vAlign w:val="center"/>
          </w:tcPr>
          <w:p w14:paraId="160C373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059" w:type="pct"/>
            <w:tcBorders>
              <w:top w:val="single" w:color="auto" w:sz="4" w:space="0"/>
              <w:left w:val="single" w:color="auto" w:sz="4" w:space="0"/>
              <w:bottom w:val="single" w:color="auto" w:sz="4" w:space="0"/>
              <w:right w:val="single" w:color="auto" w:sz="4" w:space="0"/>
            </w:tcBorders>
            <w:vAlign w:val="center"/>
          </w:tcPr>
          <w:p w14:paraId="447FFB8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332B70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4" w:type="pct"/>
            <w:tcBorders>
              <w:top w:val="single" w:color="auto" w:sz="4" w:space="0"/>
              <w:left w:val="single" w:color="auto" w:sz="4" w:space="0"/>
              <w:bottom w:val="single" w:color="auto" w:sz="4" w:space="0"/>
              <w:right w:val="single" w:color="auto" w:sz="4" w:space="0"/>
            </w:tcBorders>
            <w:vAlign w:val="center"/>
          </w:tcPr>
          <w:p w14:paraId="73FFBEE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1" w:type="pct"/>
            <w:tcBorders>
              <w:top w:val="single" w:color="auto" w:sz="4" w:space="0"/>
              <w:left w:val="single" w:color="auto" w:sz="4" w:space="0"/>
              <w:bottom w:val="single" w:color="auto" w:sz="4" w:space="0"/>
              <w:right w:val="single" w:color="auto" w:sz="4" w:space="0"/>
            </w:tcBorders>
            <w:vAlign w:val="center"/>
          </w:tcPr>
          <w:p w14:paraId="24B4237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152B292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3C7CD4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8A8F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365" w:type="pct"/>
            <w:tcBorders>
              <w:top w:val="single" w:color="auto" w:sz="4" w:space="0"/>
              <w:left w:val="single" w:color="auto" w:sz="4" w:space="0"/>
              <w:bottom w:val="single" w:color="auto" w:sz="4" w:space="0"/>
              <w:right w:val="single" w:color="auto" w:sz="4" w:space="0"/>
            </w:tcBorders>
            <w:vAlign w:val="center"/>
          </w:tcPr>
          <w:p w14:paraId="453BC608">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059" w:type="pct"/>
            <w:tcBorders>
              <w:top w:val="single" w:color="auto" w:sz="4" w:space="0"/>
              <w:left w:val="single" w:color="auto" w:sz="4" w:space="0"/>
              <w:bottom w:val="single" w:color="auto" w:sz="4" w:space="0"/>
              <w:right w:val="single" w:color="auto" w:sz="4" w:space="0"/>
            </w:tcBorders>
            <w:vAlign w:val="center"/>
          </w:tcPr>
          <w:p w14:paraId="3C57A5B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9" w:type="pct"/>
            <w:tcBorders>
              <w:top w:val="single" w:color="auto" w:sz="4" w:space="0"/>
              <w:left w:val="single" w:color="auto" w:sz="4" w:space="0"/>
              <w:bottom w:val="single" w:color="auto" w:sz="4" w:space="0"/>
              <w:right w:val="single" w:color="auto" w:sz="4" w:space="0"/>
            </w:tcBorders>
            <w:vAlign w:val="center"/>
          </w:tcPr>
          <w:p w14:paraId="635BFA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4" w:type="pct"/>
            <w:tcBorders>
              <w:top w:val="single" w:color="auto" w:sz="4" w:space="0"/>
              <w:left w:val="single" w:color="auto" w:sz="4" w:space="0"/>
              <w:bottom w:val="single" w:color="auto" w:sz="4" w:space="0"/>
              <w:right w:val="single" w:color="auto" w:sz="4" w:space="0"/>
            </w:tcBorders>
            <w:vAlign w:val="center"/>
          </w:tcPr>
          <w:p w14:paraId="2FDCBB2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1" w:type="pct"/>
            <w:tcBorders>
              <w:top w:val="single" w:color="auto" w:sz="4" w:space="0"/>
              <w:left w:val="single" w:color="auto" w:sz="4" w:space="0"/>
              <w:bottom w:val="single" w:color="auto" w:sz="4" w:space="0"/>
              <w:right w:val="single" w:color="auto" w:sz="4" w:space="0"/>
            </w:tcBorders>
            <w:vAlign w:val="center"/>
          </w:tcPr>
          <w:p w14:paraId="311D036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0A6D88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57D13CB">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56CAAD40">
      <w:pPr>
        <w:spacing w:line="360" w:lineRule="auto"/>
        <w:ind w:left="424" w:hanging="424" w:hangingChars="201"/>
        <w:rPr>
          <w:rFonts w:hint="eastAsia" w:ascii="宋体" w:hAnsi="宋体" w:eastAsia="宋体" w:cs="宋体"/>
          <w:b/>
          <w:color w:val="auto"/>
          <w:szCs w:val="21"/>
          <w:highlight w:val="none"/>
          <w:lang w:val="zh-CN"/>
        </w:rPr>
      </w:pPr>
    </w:p>
    <w:p w14:paraId="210CD5B7">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2405855">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4879C857">
      <w:pPr>
        <w:spacing w:line="360" w:lineRule="auto"/>
        <w:ind w:left="-2"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（2）业绩须同时提供①</w:t>
      </w:r>
      <w:r>
        <w:rPr>
          <w:rFonts w:hint="eastAsia" w:ascii="宋体" w:hAnsi="宋体" w:eastAsia="宋体" w:cs="宋体"/>
          <w:color w:val="auto"/>
          <w:szCs w:val="21"/>
          <w:highlight w:val="none"/>
          <w:lang w:val="en-US" w:eastAsia="zh-CN"/>
        </w:rPr>
        <w:t>超声波</w:t>
      </w:r>
      <w:r>
        <w:rPr>
          <w:rFonts w:hint="eastAsia" w:ascii="宋体" w:hAnsi="宋体" w:eastAsia="宋体" w:cs="宋体"/>
          <w:color w:val="auto"/>
          <w:szCs w:val="21"/>
          <w:highlight w:val="none"/>
          <w:lang w:val="zh-CN"/>
        </w:rPr>
        <w:t>水表</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lang w:val="zh-CN"/>
        </w:rPr>
        <w:t>销售合同复印件（合同卖方为投标人），②已供货产品任意一张发票复印件（发票开具日期须在本项目招标公告发布之日前）；</w:t>
      </w:r>
    </w:p>
    <w:p w14:paraId="796ECDB7">
      <w:pPr>
        <w:tabs>
          <w:tab w:val="left" w:pos="567"/>
        </w:tabs>
        <w:autoSpaceDE w:val="0"/>
        <w:autoSpaceDN w:val="0"/>
        <w:adjustRightInd w:val="0"/>
        <w:spacing w:line="360" w:lineRule="auto"/>
        <w:jc w:val="left"/>
        <w:outlineLvl w:val="9"/>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）若合同无法反映评审条件（合同签订日期为202</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年1月1日或以后，合同标的必须包含</w:t>
      </w:r>
      <w:r>
        <w:rPr>
          <w:rFonts w:hint="eastAsia" w:ascii="宋体" w:hAnsi="宋体" w:eastAsia="宋体" w:cs="宋体"/>
          <w:color w:val="auto"/>
          <w:szCs w:val="21"/>
          <w:highlight w:val="none"/>
          <w:lang w:val="en-US" w:eastAsia="zh-CN"/>
        </w:rPr>
        <w:t>超声波</w:t>
      </w:r>
      <w:r>
        <w:rPr>
          <w:rFonts w:hint="eastAsia" w:ascii="宋体" w:hAnsi="宋体" w:eastAsia="宋体" w:cs="宋体"/>
          <w:b w:val="0"/>
          <w:bCs/>
          <w:color w:val="auto"/>
          <w:szCs w:val="21"/>
          <w:highlight w:val="none"/>
          <w:lang w:val="zh-CN"/>
        </w:rPr>
        <w:t>水表）的，还需提供产品购买方出具的书面补充说明文件复印件作为辅助证明（需显示购买方公章）；</w:t>
      </w:r>
    </w:p>
    <w:p w14:paraId="4B9B4E93">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16B20F9">
      <w:pPr>
        <w:rPr>
          <w:rFonts w:ascii="宋体" w:hAnsi="宋体" w:eastAsia="宋体" w:cs="宋体"/>
          <w:b/>
          <w:color w:val="auto"/>
          <w:kern w:val="0"/>
          <w:sz w:val="30"/>
          <w:szCs w:val="30"/>
          <w:highlight w:val="none"/>
        </w:rPr>
      </w:pPr>
    </w:p>
    <w:p w14:paraId="794C8437">
      <w:pPr>
        <w:rPr>
          <w:rFonts w:hint="eastAsia" w:ascii="宋体" w:hAnsi="宋体" w:eastAsia="宋体" w:cs="宋体"/>
          <w:b/>
          <w:color w:val="auto"/>
          <w:kern w:val="0"/>
          <w:sz w:val="30"/>
          <w:szCs w:val="30"/>
          <w:highlight w:val="none"/>
          <w:lang w:val="en-US" w:eastAsia="zh-CN"/>
        </w:rPr>
      </w:pPr>
      <w:r>
        <w:rPr>
          <w:rFonts w:ascii="宋体" w:hAnsi="宋体" w:eastAsia="宋体" w:cs="宋体"/>
          <w:b/>
          <w:color w:val="auto"/>
          <w:kern w:val="0"/>
          <w:sz w:val="30"/>
          <w:szCs w:val="30"/>
          <w:highlight w:val="none"/>
        </w:rPr>
        <w:br w:type="page"/>
      </w:r>
      <w:bookmarkStart w:id="914" w:name="_Toc31879"/>
      <w:bookmarkStart w:id="915" w:name="_Toc73"/>
      <w:bookmarkStart w:id="916" w:name="_Toc8979"/>
    </w:p>
    <w:p w14:paraId="3E5A779B">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917" w:name="_Toc26668"/>
      <w:bookmarkStart w:id="918" w:name="_Toc16743"/>
      <w:bookmarkStart w:id="919" w:name="_Toc11265"/>
      <w:bookmarkStart w:id="920" w:name="_Toc8145"/>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905"/>
      <w:bookmarkEnd w:id="906"/>
      <w:bookmarkEnd w:id="907"/>
      <w:bookmarkEnd w:id="908"/>
      <w:bookmarkEnd w:id="909"/>
      <w:bookmarkEnd w:id="914"/>
      <w:bookmarkEnd w:id="915"/>
      <w:bookmarkEnd w:id="916"/>
      <w:bookmarkEnd w:id="917"/>
      <w:bookmarkEnd w:id="918"/>
      <w:bookmarkEnd w:id="919"/>
      <w:bookmarkEnd w:id="920"/>
    </w:p>
    <w:p w14:paraId="40E91350">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03C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A81691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97C913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B286CF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B7873E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125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95F62E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4E2A4F2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C81CA1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12B0A2E">
            <w:pPr>
              <w:autoSpaceDE w:val="0"/>
              <w:autoSpaceDN w:val="0"/>
              <w:adjustRightInd w:val="0"/>
              <w:spacing w:line="360" w:lineRule="auto"/>
              <w:jc w:val="center"/>
              <w:rPr>
                <w:rFonts w:ascii="宋体" w:hAnsi="宋体" w:eastAsia="宋体" w:cs="宋体"/>
                <w:color w:val="auto"/>
                <w:kern w:val="0"/>
                <w:szCs w:val="21"/>
                <w:highlight w:val="none"/>
              </w:rPr>
            </w:pPr>
          </w:p>
        </w:tc>
      </w:tr>
      <w:tr w14:paraId="5F39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6E9B8E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44289B7">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45135D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1E87605">
            <w:pPr>
              <w:autoSpaceDE w:val="0"/>
              <w:autoSpaceDN w:val="0"/>
              <w:adjustRightInd w:val="0"/>
              <w:spacing w:line="360" w:lineRule="auto"/>
              <w:jc w:val="center"/>
              <w:rPr>
                <w:rFonts w:ascii="宋体" w:hAnsi="宋体" w:eastAsia="宋体" w:cs="宋体"/>
                <w:color w:val="auto"/>
                <w:kern w:val="0"/>
                <w:szCs w:val="21"/>
                <w:highlight w:val="none"/>
              </w:rPr>
            </w:pPr>
          </w:p>
        </w:tc>
      </w:tr>
      <w:tr w14:paraId="6354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184AA1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53D2CAA">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322A93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40F2046">
            <w:pPr>
              <w:autoSpaceDE w:val="0"/>
              <w:autoSpaceDN w:val="0"/>
              <w:adjustRightInd w:val="0"/>
              <w:spacing w:line="360" w:lineRule="auto"/>
              <w:jc w:val="center"/>
              <w:rPr>
                <w:rFonts w:ascii="宋体" w:hAnsi="宋体" w:eastAsia="宋体" w:cs="宋体"/>
                <w:color w:val="auto"/>
                <w:kern w:val="0"/>
                <w:szCs w:val="21"/>
                <w:highlight w:val="none"/>
              </w:rPr>
            </w:pPr>
          </w:p>
        </w:tc>
      </w:tr>
    </w:tbl>
    <w:p w14:paraId="0D42D131">
      <w:pPr>
        <w:autoSpaceDE w:val="0"/>
        <w:autoSpaceDN w:val="0"/>
        <w:adjustRightInd w:val="0"/>
        <w:spacing w:line="360" w:lineRule="auto"/>
        <w:jc w:val="left"/>
        <w:rPr>
          <w:rFonts w:ascii="宋体" w:hAnsi="宋体" w:eastAsia="宋体" w:cs="宋体"/>
          <w:color w:val="auto"/>
          <w:kern w:val="0"/>
          <w:szCs w:val="21"/>
          <w:highlight w:val="none"/>
        </w:rPr>
      </w:pPr>
    </w:p>
    <w:p w14:paraId="5ADB280C">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12F1BD4D">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739A0069">
      <w:pPr>
        <w:autoSpaceDE w:val="0"/>
        <w:autoSpaceDN w:val="0"/>
        <w:adjustRightInd w:val="0"/>
        <w:spacing w:line="360" w:lineRule="auto"/>
        <w:jc w:val="center"/>
        <w:rPr>
          <w:rFonts w:ascii="宋体" w:hAnsi="宋体" w:eastAsia="宋体" w:cs="宋体"/>
          <w:color w:val="auto"/>
          <w:kern w:val="0"/>
          <w:sz w:val="24"/>
          <w:szCs w:val="24"/>
          <w:highlight w:val="none"/>
        </w:rPr>
      </w:pPr>
    </w:p>
    <w:p w14:paraId="58329076">
      <w:pPr>
        <w:spacing w:line="360" w:lineRule="auto"/>
        <w:ind w:firstLine="494" w:firstLineChars="206"/>
        <w:rPr>
          <w:rFonts w:ascii="宋体" w:hAnsi="宋体" w:eastAsia="宋体" w:cs="宋体"/>
          <w:color w:val="auto"/>
          <w:kern w:val="0"/>
          <w:sz w:val="24"/>
          <w:szCs w:val="24"/>
          <w:highlight w:val="none"/>
        </w:rPr>
      </w:pPr>
    </w:p>
    <w:p w14:paraId="4E98B2D5">
      <w:pPr>
        <w:spacing w:line="360" w:lineRule="auto"/>
        <w:ind w:firstLine="494" w:firstLineChars="206"/>
        <w:rPr>
          <w:rFonts w:ascii="宋体" w:hAnsi="宋体" w:eastAsia="宋体" w:cs="宋体"/>
          <w:color w:val="auto"/>
          <w:kern w:val="0"/>
          <w:sz w:val="24"/>
          <w:szCs w:val="24"/>
          <w:highlight w:val="none"/>
        </w:rPr>
      </w:pPr>
    </w:p>
    <w:p w14:paraId="318AD860">
      <w:pPr>
        <w:spacing w:line="360" w:lineRule="auto"/>
        <w:ind w:firstLine="494" w:firstLineChars="206"/>
        <w:rPr>
          <w:rFonts w:ascii="宋体" w:hAnsi="宋体" w:eastAsia="宋体" w:cs="宋体"/>
          <w:color w:val="auto"/>
          <w:kern w:val="0"/>
          <w:sz w:val="24"/>
          <w:szCs w:val="24"/>
          <w:highlight w:val="none"/>
        </w:rPr>
      </w:pPr>
    </w:p>
    <w:p w14:paraId="4327210E">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AAB10AB">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6D40399">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921" w:name="_Toc2031_WPSOffice_Level2"/>
      <w:bookmarkStart w:id="922" w:name="_Toc486167714"/>
      <w:bookmarkStart w:id="923" w:name="_Toc102860423"/>
      <w:bookmarkStart w:id="924" w:name="_Toc102860079"/>
      <w:bookmarkStart w:id="925" w:name="_Toc533708126"/>
      <w:bookmarkStart w:id="926" w:name="_Toc13237"/>
      <w:bookmarkStart w:id="927" w:name="_Toc1977731"/>
      <w:bookmarkStart w:id="928" w:name="_Toc142508374"/>
      <w:bookmarkStart w:id="929" w:name="_Toc104991881"/>
      <w:bookmarkStart w:id="930" w:name="_Toc140596934"/>
      <w:bookmarkStart w:id="931" w:name="_Toc94107215"/>
    </w:p>
    <w:p w14:paraId="53BF65C6">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932" w:name="_Toc520"/>
      <w:bookmarkStart w:id="933" w:name="_Toc11148"/>
      <w:bookmarkStart w:id="934" w:name="_Toc16342"/>
      <w:bookmarkStart w:id="935" w:name="_Toc14837"/>
      <w:bookmarkStart w:id="936" w:name="_Toc29774"/>
      <w:bookmarkStart w:id="937" w:name="_Toc2146"/>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77E37940">
      <w:pPr>
        <w:autoSpaceDE w:val="0"/>
        <w:autoSpaceDN w:val="0"/>
        <w:adjustRightInd w:val="0"/>
        <w:spacing w:line="360" w:lineRule="auto"/>
        <w:jc w:val="center"/>
        <w:rPr>
          <w:rFonts w:ascii="宋体" w:hAnsi="宋体" w:eastAsia="宋体" w:cs="宋体"/>
          <w:b/>
          <w:bCs/>
          <w:color w:val="auto"/>
          <w:sz w:val="30"/>
          <w:szCs w:val="30"/>
          <w:highlight w:val="none"/>
        </w:rPr>
      </w:pPr>
      <w:bookmarkStart w:id="938" w:name="_Toc2773_WPSOffice_Level3"/>
      <w:r>
        <w:rPr>
          <w:rFonts w:hint="eastAsia" w:ascii="宋体" w:hAnsi="宋体" w:eastAsia="宋体" w:cs="宋体"/>
          <w:b/>
          <w:bCs/>
          <w:color w:val="auto"/>
          <w:sz w:val="30"/>
          <w:szCs w:val="30"/>
          <w:highlight w:val="none"/>
          <w:lang w:val="zh-CN"/>
        </w:rPr>
        <w:t>投标人基本情况一览表</w:t>
      </w:r>
      <w:bookmarkEnd w:id="938"/>
    </w:p>
    <w:p w14:paraId="6658E1A5">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1C03C1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2E77529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08D4E91">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E0166F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4220926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E9EAAB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F26ECF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2D1A35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E63F2F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5E6AB1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787B81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6BD687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1203EE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653500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3FB5DF6">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304400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D4DC94E">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E9FB03D">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8502AE1">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53C4E4F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4DBF631">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4EAD7FE">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4BE7515">
      <w:pPr>
        <w:autoSpaceDE w:val="0"/>
        <w:autoSpaceDN w:val="0"/>
        <w:adjustRightInd w:val="0"/>
        <w:spacing w:line="360" w:lineRule="auto"/>
        <w:ind w:firstLine="420" w:firstLineChars="200"/>
        <w:rPr>
          <w:rFonts w:ascii="宋体" w:hAnsi="宋体" w:eastAsia="宋体" w:cs="宋体"/>
          <w:color w:val="auto"/>
          <w:szCs w:val="24"/>
          <w:highlight w:val="none"/>
        </w:rPr>
      </w:pPr>
    </w:p>
    <w:p w14:paraId="67CF98DF">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5A4FCB8">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46476F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939" w:name="_Toc104991882"/>
      <w:bookmarkStart w:id="940" w:name="_Toc22561"/>
      <w:bookmarkStart w:id="941" w:name="_Toc3711"/>
      <w:bookmarkStart w:id="942" w:name="_Toc102860424"/>
      <w:bookmarkStart w:id="943" w:name="_Toc20486"/>
      <w:bookmarkStart w:id="944" w:name="_Toc140596935"/>
      <w:bookmarkStart w:id="945" w:name="_Toc21058"/>
      <w:bookmarkStart w:id="946" w:name="_Toc17308"/>
      <w:bookmarkStart w:id="947" w:name="_Toc94107216"/>
      <w:bookmarkStart w:id="948" w:name="_Toc32119"/>
      <w:bookmarkStart w:id="949" w:name="_Toc4495"/>
      <w:bookmarkStart w:id="950" w:name="_Toc142508375"/>
      <w:bookmarkStart w:id="951" w:name="_Toc102860080"/>
      <w:bookmarkStart w:id="952" w:name="_Toc1977733"/>
      <w:bookmarkStart w:id="953" w:name="_Toc9051_WPSOffice_Level2"/>
      <w:bookmarkStart w:id="954" w:name="_Toc533708128"/>
      <w:bookmarkStart w:id="955"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939"/>
      <w:bookmarkEnd w:id="940"/>
      <w:bookmarkEnd w:id="941"/>
      <w:bookmarkEnd w:id="942"/>
      <w:bookmarkEnd w:id="943"/>
      <w:bookmarkEnd w:id="944"/>
      <w:bookmarkEnd w:id="945"/>
      <w:bookmarkEnd w:id="946"/>
      <w:bookmarkEnd w:id="947"/>
      <w:bookmarkEnd w:id="948"/>
      <w:bookmarkEnd w:id="949"/>
      <w:bookmarkEnd w:id="950"/>
      <w:bookmarkEnd w:id="951"/>
    </w:p>
    <w:p w14:paraId="71CBBF92">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B92B264">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A146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A4C14A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FAA25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147FAB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C23A08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59397B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556C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72E11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8A33BEF">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687C6D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3E8DEA7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45AEB84">
            <w:pPr>
              <w:autoSpaceDE w:val="0"/>
              <w:autoSpaceDN w:val="0"/>
              <w:adjustRightInd w:val="0"/>
              <w:spacing w:line="360" w:lineRule="auto"/>
              <w:jc w:val="center"/>
              <w:rPr>
                <w:rFonts w:ascii="宋体" w:hAnsi="宋体" w:eastAsia="宋体" w:cs="宋体"/>
                <w:color w:val="auto"/>
                <w:kern w:val="0"/>
                <w:szCs w:val="21"/>
                <w:highlight w:val="none"/>
              </w:rPr>
            </w:pPr>
          </w:p>
        </w:tc>
      </w:tr>
      <w:tr w14:paraId="6E583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588CA3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019897E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2890AD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DCDF11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A563786">
            <w:pPr>
              <w:autoSpaceDE w:val="0"/>
              <w:autoSpaceDN w:val="0"/>
              <w:adjustRightInd w:val="0"/>
              <w:spacing w:line="360" w:lineRule="auto"/>
              <w:jc w:val="center"/>
              <w:rPr>
                <w:rFonts w:ascii="宋体" w:hAnsi="宋体" w:eastAsia="宋体" w:cs="宋体"/>
                <w:color w:val="auto"/>
                <w:kern w:val="0"/>
                <w:szCs w:val="21"/>
                <w:highlight w:val="none"/>
              </w:rPr>
            </w:pPr>
          </w:p>
        </w:tc>
      </w:tr>
      <w:tr w14:paraId="3B96F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AFC4A9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10C8D88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AA07D0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1CD35C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AE6D5E2">
            <w:pPr>
              <w:autoSpaceDE w:val="0"/>
              <w:autoSpaceDN w:val="0"/>
              <w:adjustRightInd w:val="0"/>
              <w:spacing w:line="360" w:lineRule="auto"/>
              <w:jc w:val="center"/>
              <w:rPr>
                <w:rFonts w:ascii="宋体" w:hAnsi="宋体" w:eastAsia="宋体" w:cs="宋体"/>
                <w:color w:val="auto"/>
                <w:kern w:val="0"/>
                <w:szCs w:val="21"/>
                <w:highlight w:val="none"/>
              </w:rPr>
            </w:pPr>
          </w:p>
        </w:tc>
      </w:tr>
      <w:tr w14:paraId="4AC70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DAEDDF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FDBE9B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72099F0">
            <w:pPr>
              <w:autoSpaceDE w:val="0"/>
              <w:autoSpaceDN w:val="0"/>
              <w:adjustRightInd w:val="0"/>
              <w:spacing w:line="360" w:lineRule="auto"/>
              <w:jc w:val="center"/>
              <w:rPr>
                <w:rFonts w:ascii="宋体" w:hAnsi="宋体" w:eastAsia="宋体" w:cs="宋体"/>
                <w:color w:val="auto"/>
                <w:kern w:val="0"/>
                <w:szCs w:val="21"/>
                <w:highlight w:val="none"/>
              </w:rPr>
            </w:pPr>
          </w:p>
        </w:tc>
      </w:tr>
    </w:tbl>
    <w:p w14:paraId="337799D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26BB36C">
      <w:pPr>
        <w:pStyle w:val="37"/>
        <w:ind w:left="0" w:leftChars="0" w:firstLine="0" w:firstLineChars="0"/>
        <w:rPr>
          <w:color w:val="auto"/>
          <w:highlight w:val="none"/>
        </w:rPr>
      </w:pPr>
    </w:p>
    <w:p w14:paraId="55A78ED7">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88E7A1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728F551">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6FE8CEF">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952"/>
    <w:bookmarkEnd w:id="953"/>
    <w:bookmarkEnd w:id="954"/>
    <w:bookmarkEnd w:id="955"/>
    <w:p w14:paraId="2EBD78AE">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956" w:name="_Toc104991883"/>
      <w:bookmarkStart w:id="957" w:name="_Toc24011"/>
      <w:bookmarkStart w:id="958" w:name="_Toc3734"/>
      <w:bookmarkStart w:id="959" w:name="_Toc486167716"/>
      <w:bookmarkStart w:id="960" w:name="_Toc102860425"/>
      <w:bookmarkStart w:id="961" w:name="_Toc739_WPSOffice_Level2"/>
      <w:bookmarkStart w:id="962" w:name="_Toc102860081"/>
      <w:bookmarkStart w:id="963" w:name="_Toc4831"/>
      <w:bookmarkStart w:id="964" w:name="_Toc1977736"/>
      <w:bookmarkStart w:id="965" w:name="_Toc533708130"/>
      <w:bookmarkStart w:id="966" w:name="_Toc94107217"/>
      <w:bookmarkStart w:id="967" w:name="_Toc20034"/>
      <w:bookmarkStart w:id="968" w:name="_Toc15551"/>
      <w:bookmarkStart w:id="969" w:name="_Toc142508376"/>
      <w:bookmarkStart w:id="970" w:name="_Toc140596936"/>
      <w:bookmarkStart w:id="971" w:name="_Toc15778"/>
      <w:bookmarkStart w:id="972" w:name="_Toc3120"/>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48BF88C0">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973" w:name="_Toc26412_WPSOffice_Level3"/>
      <w:r>
        <w:rPr>
          <w:rFonts w:hint="eastAsia" w:ascii="宋体" w:hAnsi="宋体" w:eastAsia="宋体" w:cs="宋体"/>
          <w:b/>
          <w:bCs/>
          <w:color w:val="auto"/>
          <w:kern w:val="0"/>
          <w:sz w:val="28"/>
          <w:szCs w:val="30"/>
          <w:highlight w:val="none"/>
          <w:lang w:val="zh-CN" w:eastAsia="zh-CN"/>
        </w:rPr>
        <w:t>东莞市供水计量设施更新项目（2026-2027年计量仪表）</w:t>
      </w:r>
      <w:r>
        <w:rPr>
          <w:rFonts w:hint="eastAsia" w:ascii="宋体" w:hAnsi="宋体" w:eastAsia="宋体" w:cs="宋体"/>
          <w:b/>
          <w:bCs/>
          <w:color w:val="auto"/>
          <w:kern w:val="0"/>
          <w:sz w:val="28"/>
          <w:szCs w:val="30"/>
          <w:highlight w:val="none"/>
          <w:lang w:val="zh-CN"/>
        </w:rPr>
        <w:t>－超声波水表</w:t>
      </w:r>
    </w:p>
    <w:p w14:paraId="07314355">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973"/>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6D2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5E8449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F9662F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01B5B5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984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9890E2A">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00DFA4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99BC0D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C17536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134F60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1927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26D77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C707A1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2363C5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合同项目</w:t>
            </w:r>
          </w:p>
        </w:tc>
        <w:tc>
          <w:tcPr>
            <w:tcW w:w="1346" w:type="dxa"/>
            <w:vAlign w:val="center"/>
          </w:tcPr>
          <w:p w14:paraId="0D4B71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BAE00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3FB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3654215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33B1D6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770A2ED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合同价</w:t>
            </w:r>
          </w:p>
        </w:tc>
        <w:tc>
          <w:tcPr>
            <w:tcW w:w="1346" w:type="dxa"/>
            <w:vAlign w:val="center"/>
          </w:tcPr>
          <w:p w14:paraId="66044A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E43603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BCC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16D54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54FE96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16DD52E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合同组成</w:t>
            </w:r>
          </w:p>
        </w:tc>
        <w:tc>
          <w:tcPr>
            <w:tcW w:w="1346" w:type="dxa"/>
            <w:vAlign w:val="center"/>
          </w:tcPr>
          <w:p w14:paraId="72BAA86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F30C9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3CC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BE1A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E55F6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3CF055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包装、运输与装卸</w:t>
            </w:r>
          </w:p>
        </w:tc>
        <w:tc>
          <w:tcPr>
            <w:tcW w:w="1346" w:type="dxa"/>
            <w:vAlign w:val="center"/>
          </w:tcPr>
          <w:p w14:paraId="2DAE98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5A234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9A4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A842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BF5DF5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1C6E58C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保险</w:t>
            </w:r>
          </w:p>
        </w:tc>
        <w:tc>
          <w:tcPr>
            <w:tcW w:w="1346" w:type="dxa"/>
            <w:vAlign w:val="center"/>
          </w:tcPr>
          <w:p w14:paraId="700A48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6CF40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296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3920F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588E9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shd w:val="clear" w:color="auto" w:fill="auto"/>
            <w:vAlign w:val="center"/>
          </w:tcPr>
          <w:p w14:paraId="003A6CF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供货约定</w:t>
            </w:r>
          </w:p>
        </w:tc>
        <w:tc>
          <w:tcPr>
            <w:tcW w:w="1346" w:type="dxa"/>
            <w:vAlign w:val="center"/>
          </w:tcPr>
          <w:p w14:paraId="5E7A34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01DB1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812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2CE2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FE739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shd w:val="clear" w:color="auto" w:fill="auto"/>
            <w:vAlign w:val="center"/>
          </w:tcPr>
          <w:p w14:paraId="0F4C3C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到货验收</w:t>
            </w:r>
          </w:p>
        </w:tc>
        <w:tc>
          <w:tcPr>
            <w:tcW w:w="1346" w:type="dxa"/>
            <w:vAlign w:val="center"/>
          </w:tcPr>
          <w:p w14:paraId="0C1C45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E2DE1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0A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E78C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35E15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shd w:val="clear" w:color="auto" w:fill="auto"/>
            <w:vAlign w:val="center"/>
          </w:tcPr>
          <w:p w14:paraId="1BA4FF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货款支付</w:t>
            </w:r>
          </w:p>
        </w:tc>
        <w:tc>
          <w:tcPr>
            <w:tcW w:w="1346" w:type="dxa"/>
            <w:vAlign w:val="center"/>
          </w:tcPr>
          <w:p w14:paraId="25B11A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CAA964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B55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D69D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530F95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shd w:val="clear" w:color="auto" w:fill="auto"/>
            <w:vAlign w:val="center"/>
          </w:tcPr>
          <w:p w14:paraId="04E841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技术服务和培训</w:t>
            </w:r>
          </w:p>
        </w:tc>
        <w:tc>
          <w:tcPr>
            <w:tcW w:w="1346" w:type="dxa"/>
            <w:vAlign w:val="center"/>
          </w:tcPr>
          <w:p w14:paraId="68D751C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5A43D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488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0D0B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64B23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shd w:val="clear" w:color="auto" w:fill="auto"/>
            <w:vAlign w:val="center"/>
          </w:tcPr>
          <w:p w14:paraId="716780E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履约担保</w:t>
            </w:r>
          </w:p>
        </w:tc>
        <w:tc>
          <w:tcPr>
            <w:tcW w:w="1346" w:type="dxa"/>
            <w:vAlign w:val="center"/>
          </w:tcPr>
          <w:p w14:paraId="225917D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011072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F84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E964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71314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shd w:val="clear" w:color="auto" w:fill="auto"/>
            <w:vAlign w:val="center"/>
          </w:tcPr>
          <w:p w14:paraId="72E05A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供货担保</w:t>
            </w:r>
          </w:p>
        </w:tc>
        <w:tc>
          <w:tcPr>
            <w:tcW w:w="1346" w:type="dxa"/>
            <w:vAlign w:val="center"/>
          </w:tcPr>
          <w:p w14:paraId="641748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EF88F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170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283C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71948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shd w:val="clear" w:color="auto" w:fill="auto"/>
            <w:vAlign w:val="center"/>
          </w:tcPr>
          <w:p w14:paraId="0FC917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权利保证</w:t>
            </w:r>
          </w:p>
        </w:tc>
        <w:tc>
          <w:tcPr>
            <w:tcW w:w="1346" w:type="dxa"/>
            <w:vAlign w:val="center"/>
          </w:tcPr>
          <w:p w14:paraId="03FA28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1F2F2C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65A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485F4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03AA4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shd w:val="clear" w:color="auto" w:fill="auto"/>
            <w:vAlign w:val="center"/>
          </w:tcPr>
          <w:p w14:paraId="38D8AB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质量保证与质量争议处理</w:t>
            </w:r>
          </w:p>
        </w:tc>
        <w:tc>
          <w:tcPr>
            <w:tcW w:w="1346" w:type="dxa"/>
            <w:vAlign w:val="center"/>
          </w:tcPr>
          <w:p w14:paraId="3CEDB6B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B0029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4C9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E9D823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14</w:t>
            </w:r>
          </w:p>
        </w:tc>
        <w:tc>
          <w:tcPr>
            <w:tcW w:w="1425" w:type="dxa"/>
            <w:vAlign w:val="center"/>
          </w:tcPr>
          <w:p w14:paraId="344DF1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十四</w:t>
            </w:r>
            <w:r>
              <w:rPr>
                <w:rFonts w:hint="eastAsia" w:ascii="宋体" w:hAnsi="宋体" w:eastAsia="宋体" w:cs="宋体"/>
                <w:color w:val="auto"/>
                <w:kern w:val="0"/>
                <w:szCs w:val="21"/>
                <w:highlight w:val="none"/>
              </w:rPr>
              <w:t>条</w:t>
            </w:r>
          </w:p>
        </w:tc>
        <w:tc>
          <w:tcPr>
            <w:tcW w:w="3055" w:type="dxa"/>
            <w:shd w:val="clear" w:color="auto" w:fill="auto"/>
            <w:vAlign w:val="center"/>
          </w:tcPr>
          <w:p w14:paraId="3C422B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违约责任</w:t>
            </w:r>
          </w:p>
        </w:tc>
        <w:tc>
          <w:tcPr>
            <w:tcW w:w="1346" w:type="dxa"/>
            <w:vAlign w:val="center"/>
          </w:tcPr>
          <w:p w14:paraId="6480F1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615FB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966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0FBEE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14:paraId="2DE58A6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十五</w:t>
            </w:r>
            <w:r>
              <w:rPr>
                <w:rFonts w:hint="eastAsia" w:ascii="宋体" w:hAnsi="宋体" w:eastAsia="宋体" w:cs="宋体"/>
                <w:color w:val="auto"/>
                <w:kern w:val="0"/>
                <w:szCs w:val="21"/>
                <w:highlight w:val="none"/>
              </w:rPr>
              <w:t>条</w:t>
            </w:r>
          </w:p>
        </w:tc>
        <w:tc>
          <w:tcPr>
            <w:tcW w:w="3055" w:type="dxa"/>
            <w:shd w:val="clear" w:color="auto" w:fill="auto"/>
            <w:vAlign w:val="center"/>
          </w:tcPr>
          <w:p w14:paraId="074A3C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不可抗力</w:t>
            </w:r>
          </w:p>
        </w:tc>
        <w:tc>
          <w:tcPr>
            <w:tcW w:w="1346" w:type="dxa"/>
            <w:vAlign w:val="center"/>
          </w:tcPr>
          <w:p w14:paraId="682C11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D45F0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110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793C5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16</w:t>
            </w:r>
          </w:p>
        </w:tc>
        <w:tc>
          <w:tcPr>
            <w:tcW w:w="1425" w:type="dxa"/>
            <w:vAlign w:val="center"/>
          </w:tcPr>
          <w:p w14:paraId="388D85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十六</w:t>
            </w:r>
            <w:r>
              <w:rPr>
                <w:rFonts w:hint="eastAsia" w:ascii="宋体" w:hAnsi="宋体" w:eastAsia="宋体" w:cs="宋体"/>
                <w:color w:val="auto"/>
                <w:kern w:val="0"/>
                <w:szCs w:val="21"/>
                <w:highlight w:val="none"/>
              </w:rPr>
              <w:t>条</w:t>
            </w:r>
          </w:p>
        </w:tc>
        <w:tc>
          <w:tcPr>
            <w:tcW w:w="3055" w:type="dxa"/>
            <w:shd w:val="clear" w:color="auto" w:fill="auto"/>
            <w:vAlign w:val="center"/>
          </w:tcPr>
          <w:p w14:paraId="4C9CD6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争议解决</w:t>
            </w:r>
          </w:p>
        </w:tc>
        <w:tc>
          <w:tcPr>
            <w:tcW w:w="1346" w:type="dxa"/>
            <w:vAlign w:val="center"/>
          </w:tcPr>
          <w:p w14:paraId="3D42E5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C6B0D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114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8B80A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14:paraId="04BFE6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十七</w:t>
            </w:r>
            <w:r>
              <w:rPr>
                <w:rFonts w:hint="eastAsia" w:ascii="宋体" w:hAnsi="宋体" w:eastAsia="宋体" w:cs="宋体"/>
                <w:color w:val="auto"/>
                <w:kern w:val="0"/>
                <w:szCs w:val="21"/>
                <w:highlight w:val="none"/>
              </w:rPr>
              <w:t>条</w:t>
            </w:r>
          </w:p>
        </w:tc>
        <w:tc>
          <w:tcPr>
            <w:tcW w:w="3055" w:type="dxa"/>
            <w:shd w:val="clear" w:color="auto" w:fill="auto"/>
            <w:vAlign w:val="center"/>
          </w:tcPr>
          <w:p w14:paraId="7D1E65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其他</w:t>
            </w:r>
          </w:p>
        </w:tc>
        <w:tc>
          <w:tcPr>
            <w:tcW w:w="1346" w:type="dxa"/>
            <w:vAlign w:val="center"/>
          </w:tcPr>
          <w:p w14:paraId="408296F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D24C3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C5F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39C05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73DB178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附件2</w:t>
            </w:r>
          </w:p>
        </w:tc>
        <w:tc>
          <w:tcPr>
            <w:tcW w:w="3055" w:type="dxa"/>
            <w:shd w:val="clear" w:color="auto" w:fill="auto"/>
            <w:vAlign w:val="center"/>
          </w:tcPr>
          <w:p w14:paraId="3DD32DF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清单》（模版）</w:t>
            </w:r>
          </w:p>
        </w:tc>
        <w:tc>
          <w:tcPr>
            <w:tcW w:w="1346" w:type="dxa"/>
            <w:vAlign w:val="center"/>
          </w:tcPr>
          <w:p w14:paraId="1F93CD8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D4EC89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F16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04216118">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19</w:t>
            </w:r>
          </w:p>
        </w:tc>
        <w:tc>
          <w:tcPr>
            <w:tcW w:w="1425" w:type="dxa"/>
            <w:vAlign w:val="center"/>
          </w:tcPr>
          <w:p w14:paraId="20EC29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附件3</w:t>
            </w:r>
          </w:p>
        </w:tc>
        <w:tc>
          <w:tcPr>
            <w:tcW w:w="3055" w:type="dxa"/>
            <w:shd w:val="clear" w:color="auto" w:fill="auto"/>
            <w:vAlign w:val="center"/>
          </w:tcPr>
          <w:p w14:paraId="69488A4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东莞市水务环境投资控股集团供水有限公司货物到货验收表</w:t>
            </w:r>
          </w:p>
        </w:tc>
        <w:tc>
          <w:tcPr>
            <w:tcW w:w="1346" w:type="dxa"/>
            <w:vAlign w:val="center"/>
          </w:tcPr>
          <w:p w14:paraId="787859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BD69E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EF0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C1B9E11">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20</w:t>
            </w:r>
          </w:p>
        </w:tc>
        <w:tc>
          <w:tcPr>
            <w:tcW w:w="1425" w:type="dxa"/>
            <w:vAlign w:val="center"/>
          </w:tcPr>
          <w:p w14:paraId="2208DE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14:paraId="423815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廉洁协议书</w:t>
            </w:r>
          </w:p>
        </w:tc>
        <w:tc>
          <w:tcPr>
            <w:tcW w:w="1346" w:type="dxa"/>
            <w:vAlign w:val="center"/>
          </w:tcPr>
          <w:p w14:paraId="5928DC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9E8D2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5DB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3EF4955D">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21</w:t>
            </w:r>
          </w:p>
        </w:tc>
        <w:tc>
          <w:tcPr>
            <w:tcW w:w="1425" w:type="dxa"/>
            <w:vAlign w:val="center"/>
          </w:tcPr>
          <w:p w14:paraId="626BC0B9">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一</w:t>
            </w:r>
          </w:p>
        </w:tc>
        <w:tc>
          <w:tcPr>
            <w:tcW w:w="3055" w:type="dxa"/>
            <w:vAlign w:val="center"/>
          </w:tcPr>
          <w:p w14:paraId="434AD7B5">
            <w:pPr>
              <w:snapToGrid w:val="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不可撤销银行履约保函</w:t>
            </w:r>
          </w:p>
        </w:tc>
        <w:tc>
          <w:tcPr>
            <w:tcW w:w="1346" w:type="dxa"/>
            <w:vAlign w:val="center"/>
          </w:tcPr>
          <w:p w14:paraId="090132E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0FACF9A">
            <w:pPr>
              <w:snapToGrid w:val="0"/>
              <w:jc w:val="center"/>
              <w:rPr>
                <w:rFonts w:ascii="宋体" w:hAnsi="宋体" w:eastAsia="宋体" w:cs="宋体"/>
                <w:color w:val="auto"/>
                <w:kern w:val="0"/>
                <w:szCs w:val="21"/>
                <w:highlight w:val="none"/>
              </w:rPr>
            </w:pPr>
          </w:p>
        </w:tc>
      </w:tr>
      <w:tr w14:paraId="3238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8ABF283">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22</w:t>
            </w:r>
          </w:p>
        </w:tc>
        <w:tc>
          <w:tcPr>
            <w:tcW w:w="1425" w:type="dxa"/>
            <w:vAlign w:val="center"/>
          </w:tcPr>
          <w:p w14:paraId="780D78DB">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二</w:t>
            </w:r>
          </w:p>
        </w:tc>
        <w:tc>
          <w:tcPr>
            <w:tcW w:w="3055" w:type="dxa"/>
            <w:vAlign w:val="center"/>
          </w:tcPr>
          <w:p w14:paraId="3F043B01">
            <w:pPr>
              <w:snapToGrid w:val="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履约保证保险凭证</w:t>
            </w:r>
          </w:p>
        </w:tc>
        <w:tc>
          <w:tcPr>
            <w:tcW w:w="1346" w:type="dxa"/>
            <w:vAlign w:val="center"/>
          </w:tcPr>
          <w:p w14:paraId="36CF36B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E65EA0D">
            <w:pPr>
              <w:snapToGrid w:val="0"/>
              <w:jc w:val="center"/>
              <w:rPr>
                <w:rFonts w:ascii="宋体" w:hAnsi="宋体" w:eastAsia="宋体" w:cs="宋体"/>
                <w:color w:val="auto"/>
                <w:kern w:val="0"/>
                <w:szCs w:val="21"/>
                <w:highlight w:val="none"/>
              </w:rPr>
            </w:pPr>
          </w:p>
        </w:tc>
      </w:tr>
      <w:tr w14:paraId="62BC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0FDBDE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23</w:t>
            </w:r>
          </w:p>
        </w:tc>
        <w:tc>
          <w:tcPr>
            <w:tcW w:w="1425" w:type="dxa"/>
            <w:vAlign w:val="center"/>
          </w:tcPr>
          <w:p w14:paraId="5722324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27F08925">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担保公司履约担保书</w:t>
            </w:r>
          </w:p>
        </w:tc>
        <w:tc>
          <w:tcPr>
            <w:tcW w:w="1346" w:type="dxa"/>
            <w:vAlign w:val="center"/>
          </w:tcPr>
          <w:p w14:paraId="3C23AA3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4DD22F6">
            <w:pPr>
              <w:autoSpaceDE w:val="0"/>
              <w:autoSpaceDN w:val="0"/>
              <w:adjustRightInd w:val="0"/>
              <w:spacing w:line="400" w:lineRule="exact"/>
              <w:jc w:val="center"/>
              <w:rPr>
                <w:rFonts w:ascii="宋体" w:hAnsi="宋体" w:eastAsia="宋体" w:cs="宋体"/>
                <w:color w:val="auto"/>
                <w:kern w:val="0"/>
                <w:szCs w:val="21"/>
                <w:highlight w:val="none"/>
              </w:rPr>
            </w:pPr>
          </w:p>
        </w:tc>
      </w:tr>
      <w:tr w14:paraId="7CE1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FA97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1BDC89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3D0B42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lang w:val="en-US" w:eastAsia="zh-CN"/>
              </w:rPr>
              <w:t>供货保函</w:t>
            </w:r>
          </w:p>
        </w:tc>
        <w:tc>
          <w:tcPr>
            <w:tcW w:w="1346" w:type="dxa"/>
            <w:vAlign w:val="center"/>
          </w:tcPr>
          <w:p w14:paraId="04A88D2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A2B7B65">
            <w:pPr>
              <w:autoSpaceDE w:val="0"/>
              <w:autoSpaceDN w:val="0"/>
              <w:adjustRightInd w:val="0"/>
              <w:spacing w:line="400" w:lineRule="exact"/>
              <w:jc w:val="center"/>
              <w:rPr>
                <w:rFonts w:ascii="宋体" w:hAnsi="宋体" w:eastAsia="宋体" w:cs="宋体"/>
                <w:color w:val="auto"/>
                <w:kern w:val="0"/>
                <w:szCs w:val="21"/>
                <w:highlight w:val="none"/>
              </w:rPr>
            </w:pPr>
          </w:p>
        </w:tc>
      </w:tr>
    </w:tbl>
    <w:p w14:paraId="306295F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66C9BBC">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AAACD7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838D09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33571E0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111C2C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1130D1A4">
      <w:pPr>
        <w:spacing w:line="360" w:lineRule="auto"/>
        <w:ind w:left="357" w:leftChars="-100" w:hanging="567" w:hangingChars="270"/>
        <w:rPr>
          <w:rFonts w:ascii="宋体" w:hAnsi="宋体" w:eastAsia="宋体" w:cs="宋体"/>
          <w:color w:val="auto"/>
          <w:szCs w:val="21"/>
          <w:highlight w:val="none"/>
        </w:rPr>
      </w:pPr>
    </w:p>
    <w:p w14:paraId="6C66C5AB">
      <w:pPr>
        <w:spacing w:line="360" w:lineRule="auto"/>
        <w:ind w:left="357" w:leftChars="-100" w:hanging="567" w:hangingChars="270"/>
        <w:rPr>
          <w:rFonts w:ascii="宋体" w:hAnsi="宋体" w:eastAsia="宋体" w:cs="宋体"/>
          <w:color w:val="auto"/>
          <w:szCs w:val="21"/>
          <w:highlight w:val="none"/>
        </w:rPr>
      </w:pPr>
    </w:p>
    <w:p w14:paraId="5753057B">
      <w:pPr>
        <w:spacing w:line="360" w:lineRule="auto"/>
        <w:ind w:left="357" w:leftChars="-100" w:hanging="567" w:hangingChars="270"/>
        <w:rPr>
          <w:rFonts w:ascii="宋体" w:hAnsi="宋体" w:eastAsia="宋体" w:cs="宋体"/>
          <w:color w:val="auto"/>
          <w:szCs w:val="21"/>
          <w:highlight w:val="none"/>
        </w:rPr>
      </w:pPr>
    </w:p>
    <w:p w14:paraId="4064D790">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3F40AE2">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4BEB3C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974" w:name="_Toc94107218"/>
      <w:bookmarkStart w:id="975" w:name="_Toc142508377"/>
      <w:bookmarkStart w:id="976" w:name="_Toc102860426"/>
      <w:bookmarkStart w:id="977" w:name="_Toc13348"/>
      <w:bookmarkStart w:id="978" w:name="_Toc102860082"/>
      <w:bookmarkStart w:id="979" w:name="_Toc140596937"/>
      <w:bookmarkStart w:id="980" w:name="_Toc32577"/>
      <w:bookmarkStart w:id="981" w:name="_Toc104991884"/>
      <w:bookmarkStart w:id="982" w:name="_Toc30690"/>
      <w:bookmarkStart w:id="983" w:name="_Toc20540"/>
      <w:bookmarkStart w:id="984" w:name="_Toc4165"/>
      <w:bookmarkStart w:id="985" w:name="_Toc23122"/>
      <w:bookmarkStart w:id="986" w:name="_Toc2075"/>
      <w:bookmarkStart w:id="987" w:name="_Toc486167717"/>
      <w:bookmarkStart w:id="988"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974"/>
      <w:bookmarkEnd w:id="975"/>
      <w:bookmarkEnd w:id="976"/>
      <w:bookmarkEnd w:id="977"/>
      <w:bookmarkEnd w:id="978"/>
      <w:bookmarkEnd w:id="979"/>
      <w:bookmarkEnd w:id="980"/>
      <w:bookmarkEnd w:id="981"/>
      <w:bookmarkEnd w:id="982"/>
      <w:bookmarkEnd w:id="983"/>
      <w:bookmarkEnd w:id="984"/>
      <w:bookmarkEnd w:id="985"/>
      <w:bookmarkEnd w:id="986"/>
    </w:p>
    <w:p w14:paraId="7E7D3501">
      <w:pPr>
        <w:autoSpaceDE w:val="0"/>
        <w:autoSpaceDN w:val="0"/>
        <w:adjustRightInd w:val="0"/>
        <w:spacing w:line="360" w:lineRule="auto"/>
        <w:ind w:left="0" w:leftChars="0" w:right="-145" w:rightChars="-69" w:firstLine="0" w:firstLineChars="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2023</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w:t>
      </w:r>
      <w:r>
        <w:rPr>
          <w:rFonts w:hint="eastAsia" w:ascii="宋体" w:hAnsi="宋体" w:eastAsia="宋体" w:cs="Times New Roman"/>
          <w:b/>
          <w:bCs/>
          <w:color w:val="auto"/>
          <w:sz w:val="30"/>
          <w:szCs w:val="30"/>
          <w:highlight w:val="none"/>
          <w:lang w:val="en-US" w:eastAsia="zh-CN"/>
        </w:rPr>
        <w:t>以来投标品牌超声波水表在国内的销售</w:t>
      </w:r>
      <w:r>
        <w:rPr>
          <w:rFonts w:hint="eastAsia" w:ascii="宋体" w:hAnsi="宋体" w:eastAsia="宋体" w:cs="Times New Roman"/>
          <w:b/>
          <w:bCs/>
          <w:color w:val="auto"/>
          <w:sz w:val="30"/>
          <w:szCs w:val="30"/>
          <w:highlight w:val="none"/>
          <w:lang w:val="zh-CN"/>
        </w:rPr>
        <w:t>业绩表</w:t>
      </w:r>
    </w:p>
    <w:p w14:paraId="67A7C2A4">
      <w:pPr>
        <w:autoSpaceDE w:val="0"/>
        <w:autoSpaceDN w:val="0"/>
        <w:adjustRightInd w:val="0"/>
        <w:spacing w:line="360" w:lineRule="auto"/>
        <w:ind w:right="-145" w:rightChars="-69" w:firstLine="0"/>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（签订合同的时间要求为2023年1月1日或以后）</w:t>
      </w:r>
    </w:p>
    <w:tbl>
      <w:tblPr>
        <w:tblStyle w:val="39"/>
        <w:tblW w:w="476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71"/>
        <w:gridCol w:w="1788"/>
        <w:gridCol w:w="1125"/>
        <w:gridCol w:w="1111"/>
        <w:gridCol w:w="1125"/>
        <w:gridCol w:w="1110"/>
        <w:gridCol w:w="1067"/>
        <w:gridCol w:w="708"/>
      </w:tblGrid>
      <w:tr w14:paraId="18F33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004BF00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92" w:type="pct"/>
            <w:tcBorders>
              <w:top w:val="single" w:color="auto" w:sz="4" w:space="0"/>
              <w:left w:val="single" w:color="auto" w:sz="4" w:space="0"/>
              <w:bottom w:val="single" w:color="auto" w:sz="4" w:space="0"/>
              <w:right w:val="single" w:color="auto" w:sz="4" w:space="0"/>
            </w:tcBorders>
            <w:vAlign w:val="center"/>
          </w:tcPr>
          <w:p w14:paraId="074C6AAF">
            <w:pPr>
              <w:jc w:val="center"/>
              <w:rPr>
                <w:rFonts w:ascii="宋体" w:hAnsi="宋体" w:eastAsia="宋体" w:cs="Times New Roman"/>
                <w:color w:val="auto"/>
                <w:kern w:val="0"/>
                <w:szCs w:val="21"/>
                <w:highlight w:val="none"/>
                <w:lang w:val="zh-CN"/>
              </w:rPr>
            </w:pPr>
            <w:r>
              <w:rPr>
                <w:rFonts w:hint="eastAsia" w:ascii="宋体" w:hAnsi="宋体" w:eastAsia="宋体" w:cs="宋体"/>
                <w:szCs w:val="21"/>
                <w:highlight w:val="none"/>
              </w:rPr>
              <w:t>项目名称</w:t>
            </w:r>
          </w:p>
        </w:tc>
        <w:tc>
          <w:tcPr>
            <w:tcW w:w="904" w:type="pct"/>
            <w:tcBorders>
              <w:top w:val="single" w:color="auto" w:sz="4" w:space="0"/>
              <w:left w:val="single" w:color="auto" w:sz="4" w:space="0"/>
              <w:bottom w:val="single" w:color="auto" w:sz="4" w:space="0"/>
              <w:right w:val="single" w:color="auto" w:sz="4" w:space="0"/>
            </w:tcBorders>
            <w:vAlign w:val="center"/>
          </w:tcPr>
          <w:p w14:paraId="03842F31">
            <w:pPr>
              <w:jc w:val="center"/>
              <w:rPr>
                <w:rFonts w:ascii="宋体" w:hAnsi="宋体" w:eastAsia="宋体" w:cs="Times New Roman"/>
                <w:color w:val="auto"/>
                <w:kern w:val="0"/>
                <w:szCs w:val="21"/>
                <w:highlight w:val="none"/>
              </w:rPr>
            </w:pPr>
            <w:r>
              <w:rPr>
                <w:rFonts w:hint="eastAsia" w:ascii="宋体" w:hAnsi="宋体" w:eastAsia="宋体" w:cs="宋体"/>
                <w:szCs w:val="21"/>
                <w:highlight w:val="none"/>
              </w:rPr>
              <w:t>合同金额（万元）</w:t>
            </w:r>
          </w:p>
        </w:tc>
        <w:tc>
          <w:tcPr>
            <w:tcW w:w="569" w:type="pct"/>
            <w:tcBorders>
              <w:top w:val="single" w:color="auto" w:sz="4" w:space="0"/>
              <w:left w:val="single" w:color="auto" w:sz="4" w:space="0"/>
              <w:bottom w:val="single" w:color="auto" w:sz="4" w:space="0"/>
              <w:right w:val="single" w:color="auto" w:sz="4" w:space="0"/>
            </w:tcBorders>
            <w:vAlign w:val="center"/>
          </w:tcPr>
          <w:p w14:paraId="3CB61B3C">
            <w:pPr>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合同标的货物名称</w:t>
            </w:r>
          </w:p>
        </w:tc>
        <w:tc>
          <w:tcPr>
            <w:tcW w:w="562" w:type="pct"/>
            <w:tcBorders>
              <w:top w:val="single" w:color="auto" w:sz="4" w:space="0"/>
              <w:left w:val="single" w:color="auto" w:sz="4" w:space="0"/>
              <w:bottom w:val="single" w:color="auto" w:sz="4" w:space="0"/>
              <w:right w:val="single" w:color="auto" w:sz="4" w:space="0"/>
            </w:tcBorders>
            <w:vAlign w:val="center"/>
          </w:tcPr>
          <w:p w14:paraId="3C433C4C">
            <w:pPr>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合同标的货物品牌</w:t>
            </w:r>
          </w:p>
        </w:tc>
        <w:tc>
          <w:tcPr>
            <w:tcW w:w="569" w:type="pct"/>
            <w:tcBorders>
              <w:top w:val="single" w:color="auto" w:sz="4" w:space="0"/>
              <w:left w:val="single" w:color="auto" w:sz="4" w:space="0"/>
              <w:bottom w:val="single" w:color="auto" w:sz="4" w:space="0"/>
              <w:right w:val="single" w:color="auto" w:sz="4" w:space="0"/>
            </w:tcBorders>
            <w:vAlign w:val="center"/>
          </w:tcPr>
          <w:p w14:paraId="10204C0A">
            <w:pPr>
              <w:jc w:val="center"/>
              <w:rPr>
                <w:rFonts w:ascii="宋体" w:hAnsi="宋体" w:eastAsia="宋体" w:cs="Times New Roman"/>
                <w:color w:val="auto"/>
                <w:kern w:val="0"/>
                <w:szCs w:val="21"/>
                <w:highlight w:val="none"/>
                <w:lang w:val="zh-CN"/>
              </w:rPr>
            </w:pPr>
            <w:r>
              <w:rPr>
                <w:rFonts w:hint="eastAsia" w:ascii="宋体" w:hAnsi="宋体" w:eastAsia="宋体" w:cs="宋体"/>
                <w:szCs w:val="21"/>
                <w:highlight w:val="none"/>
              </w:rPr>
              <w:t>合同期限</w:t>
            </w:r>
          </w:p>
        </w:tc>
        <w:tc>
          <w:tcPr>
            <w:tcW w:w="561" w:type="pct"/>
            <w:tcBorders>
              <w:top w:val="single" w:color="auto" w:sz="4" w:space="0"/>
              <w:left w:val="single" w:color="auto" w:sz="4" w:space="0"/>
              <w:bottom w:val="single" w:color="auto" w:sz="4" w:space="0"/>
              <w:right w:val="single" w:color="auto" w:sz="4" w:space="0"/>
            </w:tcBorders>
            <w:vAlign w:val="center"/>
          </w:tcPr>
          <w:p w14:paraId="7F66F7EC">
            <w:pPr>
              <w:jc w:val="center"/>
              <w:rPr>
                <w:rFonts w:ascii="宋体" w:hAnsi="宋体" w:eastAsia="宋体" w:cs="Times New Roman"/>
                <w:color w:val="auto"/>
                <w:kern w:val="0"/>
                <w:szCs w:val="21"/>
                <w:highlight w:val="none"/>
              </w:rPr>
            </w:pPr>
            <w:r>
              <w:rPr>
                <w:rFonts w:hint="eastAsia" w:ascii="宋体" w:hAnsi="宋体" w:eastAsia="宋体" w:cs="宋体"/>
                <w:szCs w:val="21"/>
                <w:highlight w:val="none"/>
              </w:rPr>
              <w:t>签约日期</w:t>
            </w:r>
          </w:p>
        </w:tc>
        <w:tc>
          <w:tcPr>
            <w:tcW w:w="539" w:type="pct"/>
            <w:tcBorders>
              <w:top w:val="single" w:color="auto" w:sz="4" w:space="0"/>
              <w:left w:val="single" w:color="auto" w:sz="4" w:space="0"/>
              <w:bottom w:val="single" w:color="auto" w:sz="4" w:space="0"/>
              <w:right w:val="single" w:color="auto" w:sz="4" w:space="0"/>
            </w:tcBorders>
            <w:vAlign w:val="center"/>
          </w:tcPr>
          <w:p w14:paraId="3A2908C0">
            <w:pPr>
              <w:jc w:val="center"/>
              <w:rPr>
                <w:rFonts w:ascii="宋体" w:hAnsi="宋体" w:eastAsia="宋体" w:cs="Times New Roman"/>
                <w:color w:val="auto"/>
                <w:kern w:val="0"/>
                <w:szCs w:val="21"/>
                <w:highlight w:val="none"/>
              </w:rPr>
            </w:pPr>
            <w:r>
              <w:rPr>
                <w:rFonts w:hint="eastAsia" w:ascii="宋体" w:hAnsi="宋体" w:eastAsia="宋体" w:cs="宋体"/>
                <w:szCs w:val="21"/>
                <w:highlight w:val="none"/>
              </w:rPr>
              <w:t>业主联系人及电话</w:t>
            </w:r>
          </w:p>
        </w:tc>
        <w:tc>
          <w:tcPr>
            <w:tcW w:w="358" w:type="pct"/>
            <w:tcBorders>
              <w:top w:val="single" w:color="auto" w:sz="4" w:space="0"/>
              <w:left w:val="single" w:color="auto" w:sz="4" w:space="0"/>
              <w:bottom w:val="single" w:color="auto" w:sz="4" w:space="0"/>
              <w:right w:val="single" w:color="auto" w:sz="4" w:space="0"/>
            </w:tcBorders>
            <w:vAlign w:val="center"/>
          </w:tcPr>
          <w:p w14:paraId="2DA940D5">
            <w:pPr>
              <w:jc w:val="center"/>
              <w:rPr>
                <w:rFonts w:ascii="宋体" w:hAnsi="宋体" w:eastAsia="宋体" w:cs="Times New Roman"/>
                <w:color w:val="auto"/>
                <w:kern w:val="0"/>
                <w:szCs w:val="21"/>
                <w:highlight w:val="none"/>
              </w:rPr>
            </w:pPr>
            <w:r>
              <w:rPr>
                <w:rFonts w:hint="eastAsia" w:ascii="宋体" w:hAnsi="宋体" w:eastAsia="宋体" w:cs="宋体"/>
                <w:szCs w:val="21"/>
                <w:highlight w:val="none"/>
              </w:rPr>
              <w:t>备注</w:t>
            </w:r>
          </w:p>
        </w:tc>
      </w:tr>
      <w:tr w14:paraId="58C3B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5677021B">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92" w:type="pct"/>
            <w:tcBorders>
              <w:top w:val="single" w:color="auto" w:sz="4" w:space="0"/>
              <w:left w:val="single" w:color="auto" w:sz="4" w:space="0"/>
              <w:bottom w:val="single" w:color="auto" w:sz="4" w:space="0"/>
              <w:right w:val="single" w:color="auto" w:sz="4" w:space="0"/>
            </w:tcBorders>
            <w:vAlign w:val="center"/>
          </w:tcPr>
          <w:p w14:paraId="415C661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04" w:type="pct"/>
            <w:tcBorders>
              <w:top w:val="single" w:color="auto" w:sz="4" w:space="0"/>
              <w:left w:val="single" w:color="auto" w:sz="4" w:space="0"/>
              <w:bottom w:val="single" w:color="auto" w:sz="4" w:space="0"/>
              <w:right w:val="single" w:color="auto" w:sz="4" w:space="0"/>
            </w:tcBorders>
            <w:vAlign w:val="center"/>
          </w:tcPr>
          <w:p w14:paraId="137A6B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tcPr>
          <w:p w14:paraId="6E892E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2" w:type="pct"/>
            <w:tcBorders>
              <w:top w:val="single" w:color="auto" w:sz="4" w:space="0"/>
              <w:left w:val="single" w:color="auto" w:sz="4" w:space="0"/>
              <w:bottom w:val="single" w:color="auto" w:sz="4" w:space="0"/>
              <w:right w:val="single" w:color="auto" w:sz="4" w:space="0"/>
            </w:tcBorders>
          </w:tcPr>
          <w:p w14:paraId="7006EC4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tcPr>
          <w:p w14:paraId="69FB4F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14:paraId="672B6C5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1C53323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8" w:type="pct"/>
            <w:tcBorders>
              <w:top w:val="single" w:color="auto" w:sz="4" w:space="0"/>
              <w:left w:val="single" w:color="auto" w:sz="4" w:space="0"/>
              <w:bottom w:val="single" w:color="auto" w:sz="4" w:space="0"/>
              <w:right w:val="single" w:color="auto" w:sz="4" w:space="0"/>
            </w:tcBorders>
            <w:vAlign w:val="center"/>
          </w:tcPr>
          <w:p w14:paraId="58B8B0A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AF46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C8D413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92" w:type="pct"/>
            <w:tcBorders>
              <w:top w:val="single" w:color="auto" w:sz="4" w:space="0"/>
              <w:left w:val="single" w:color="auto" w:sz="4" w:space="0"/>
              <w:bottom w:val="single" w:color="auto" w:sz="4" w:space="0"/>
              <w:right w:val="single" w:color="auto" w:sz="4" w:space="0"/>
            </w:tcBorders>
            <w:vAlign w:val="center"/>
          </w:tcPr>
          <w:p w14:paraId="1D7856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04" w:type="pct"/>
            <w:tcBorders>
              <w:top w:val="single" w:color="auto" w:sz="4" w:space="0"/>
              <w:left w:val="single" w:color="auto" w:sz="4" w:space="0"/>
              <w:bottom w:val="single" w:color="auto" w:sz="4" w:space="0"/>
              <w:right w:val="single" w:color="auto" w:sz="4" w:space="0"/>
            </w:tcBorders>
            <w:vAlign w:val="center"/>
          </w:tcPr>
          <w:p w14:paraId="5156808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tcPr>
          <w:p w14:paraId="0DB11B2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2" w:type="pct"/>
            <w:tcBorders>
              <w:top w:val="single" w:color="auto" w:sz="4" w:space="0"/>
              <w:left w:val="single" w:color="auto" w:sz="4" w:space="0"/>
              <w:bottom w:val="single" w:color="auto" w:sz="4" w:space="0"/>
              <w:right w:val="single" w:color="auto" w:sz="4" w:space="0"/>
            </w:tcBorders>
          </w:tcPr>
          <w:p w14:paraId="1929562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tcPr>
          <w:p w14:paraId="3247BA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14:paraId="6DBEE1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0FBE307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8" w:type="pct"/>
            <w:tcBorders>
              <w:top w:val="single" w:color="auto" w:sz="4" w:space="0"/>
              <w:left w:val="single" w:color="auto" w:sz="4" w:space="0"/>
              <w:bottom w:val="single" w:color="auto" w:sz="4" w:space="0"/>
              <w:right w:val="single" w:color="auto" w:sz="4" w:space="0"/>
            </w:tcBorders>
            <w:vAlign w:val="center"/>
          </w:tcPr>
          <w:p w14:paraId="46A6D828">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A3C0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0264BCE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92" w:type="pct"/>
            <w:tcBorders>
              <w:top w:val="single" w:color="auto" w:sz="4" w:space="0"/>
              <w:left w:val="single" w:color="auto" w:sz="4" w:space="0"/>
              <w:bottom w:val="single" w:color="auto" w:sz="4" w:space="0"/>
              <w:right w:val="single" w:color="auto" w:sz="4" w:space="0"/>
            </w:tcBorders>
            <w:vAlign w:val="center"/>
          </w:tcPr>
          <w:p w14:paraId="5F26AEB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04" w:type="pct"/>
            <w:tcBorders>
              <w:top w:val="single" w:color="auto" w:sz="4" w:space="0"/>
              <w:left w:val="single" w:color="auto" w:sz="4" w:space="0"/>
              <w:bottom w:val="single" w:color="auto" w:sz="4" w:space="0"/>
              <w:right w:val="single" w:color="auto" w:sz="4" w:space="0"/>
            </w:tcBorders>
            <w:vAlign w:val="center"/>
          </w:tcPr>
          <w:p w14:paraId="360E71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tcPr>
          <w:p w14:paraId="4890D6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2" w:type="pct"/>
            <w:tcBorders>
              <w:top w:val="single" w:color="auto" w:sz="4" w:space="0"/>
              <w:left w:val="single" w:color="auto" w:sz="4" w:space="0"/>
              <w:bottom w:val="single" w:color="auto" w:sz="4" w:space="0"/>
              <w:right w:val="single" w:color="auto" w:sz="4" w:space="0"/>
            </w:tcBorders>
          </w:tcPr>
          <w:p w14:paraId="640640E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tcPr>
          <w:p w14:paraId="033EE6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14:paraId="41CF56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0A2E93D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8" w:type="pct"/>
            <w:tcBorders>
              <w:top w:val="single" w:color="auto" w:sz="4" w:space="0"/>
              <w:left w:val="single" w:color="auto" w:sz="4" w:space="0"/>
              <w:bottom w:val="single" w:color="auto" w:sz="4" w:space="0"/>
              <w:right w:val="single" w:color="auto" w:sz="4" w:space="0"/>
            </w:tcBorders>
            <w:vAlign w:val="center"/>
          </w:tcPr>
          <w:p w14:paraId="25C9840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3C13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2D9B6143">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92" w:type="pct"/>
            <w:tcBorders>
              <w:top w:val="single" w:color="auto" w:sz="4" w:space="0"/>
              <w:left w:val="single" w:color="auto" w:sz="4" w:space="0"/>
              <w:bottom w:val="single" w:color="auto" w:sz="4" w:space="0"/>
              <w:right w:val="single" w:color="auto" w:sz="4" w:space="0"/>
            </w:tcBorders>
            <w:vAlign w:val="center"/>
          </w:tcPr>
          <w:p w14:paraId="238E45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04" w:type="pct"/>
            <w:tcBorders>
              <w:top w:val="single" w:color="auto" w:sz="4" w:space="0"/>
              <w:left w:val="single" w:color="auto" w:sz="4" w:space="0"/>
              <w:bottom w:val="single" w:color="auto" w:sz="4" w:space="0"/>
              <w:right w:val="single" w:color="auto" w:sz="4" w:space="0"/>
            </w:tcBorders>
            <w:vAlign w:val="center"/>
          </w:tcPr>
          <w:p w14:paraId="6C486C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tcPr>
          <w:p w14:paraId="6DB2C86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2" w:type="pct"/>
            <w:tcBorders>
              <w:top w:val="single" w:color="auto" w:sz="4" w:space="0"/>
              <w:left w:val="single" w:color="auto" w:sz="4" w:space="0"/>
              <w:bottom w:val="single" w:color="auto" w:sz="4" w:space="0"/>
              <w:right w:val="single" w:color="auto" w:sz="4" w:space="0"/>
            </w:tcBorders>
          </w:tcPr>
          <w:p w14:paraId="2EE235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tcPr>
          <w:p w14:paraId="04232F3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14:paraId="7045074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2FCF3E3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8" w:type="pct"/>
            <w:tcBorders>
              <w:top w:val="single" w:color="auto" w:sz="4" w:space="0"/>
              <w:left w:val="single" w:color="auto" w:sz="4" w:space="0"/>
              <w:bottom w:val="single" w:color="auto" w:sz="4" w:space="0"/>
              <w:right w:val="single" w:color="auto" w:sz="4" w:space="0"/>
            </w:tcBorders>
            <w:vAlign w:val="center"/>
          </w:tcPr>
          <w:p w14:paraId="57F644CB">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204358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170475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3339E6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4"/>
          <w:highlight w:val="none"/>
          <w:lang w:val="zh-CN"/>
        </w:rPr>
        <w:t>作为投标人评分要求的业绩放置在此处，业绩按单项合同金额从高到低的方式排列；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eastAsia="zh-CN"/>
        </w:rPr>
        <w:t>；</w:t>
      </w:r>
    </w:p>
    <w:p w14:paraId="2BF358F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w:t>
      </w:r>
      <w:r>
        <w:rPr>
          <w:rFonts w:hint="eastAsia" w:ascii="宋体" w:hAnsi="宋体" w:eastAsia="宋体" w:cs="Times New Roman"/>
          <w:color w:val="auto"/>
          <w:szCs w:val="24"/>
          <w:highlight w:val="none"/>
          <w:lang w:val="en-US" w:eastAsia="zh-CN"/>
        </w:rPr>
        <w:t>①</w:t>
      </w:r>
      <w:r>
        <w:rPr>
          <w:rFonts w:hint="eastAsia" w:ascii="宋体" w:hAnsi="宋体" w:eastAsia="宋体" w:cs="Times New Roman"/>
          <w:color w:val="auto"/>
          <w:szCs w:val="24"/>
          <w:highlight w:val="none"/>
          <w:lang w:val="zh-CN"/>
        </w:rPr>
        <w:t>投标品牌超声波水表</w:t>
      </w:r>
      <w:r>
        <w:rPr>
          <w:rFonts w:hint="eastAsia" w:ascii="宋体" w:hAnsi="宋体" w:eastAsia="宋体" w:cs="Times New Roman"/>
          <w:color w:val="auto"/>
          <w:szCs w:val="24"/>
          <w:highlight w:val="none"/>
          <w:lang w:val="en-US" w:eastAsia="zh-CN"/>
        </w:rPr>
        <w:t>有效</w:t>
      </w:r>
      <w:r>
        <w:rPr>
          <w:rFonts w:hint="eastAsia" w:ascii="宋体" w:hAnsi="宋体" w:eastAsia="宋体" w:cs="Times New Roman"/>
          <w:color w:val="auto"/>
          <w:szCs w:val="24"/>
          <w:highlight w:val="none"/>
          <w:lang w:val="zh-CN"/>
        </w:rPr>
        <w:t>销售合同复印件（合同卖方可为投标品牌超声波水表的制造商，也可为投标品牌超声波水表的代理商/经销商），</w:t>
      </w:r>
      <w:r>
        <w:rPr>
          <w:rFonts w:hint="eastAsia" w:ascii="宋体" w:hAnsi="宋体" w:eastAsia="宋体" w:cs="Times New Roman"/>
          <w:color w:val="auto"/>
          <w:szCs w:val="24"/>
          <w:highlight w:val="none"/>
          <w:lang w:val="en-US" w:eastAsia="zh-CN"/>
        </w:rPr>
        <w:t>②</w:t>
      </w:r>
      <w:r>
        <w:rPr>
          <w:rFonts w:hint="eastAsia" w:ascii="宋体" w:hAnsi="宋体" w:eastAsia="宋体" w:cs="Times New Roman"/>
          <w:color w:val="auto"/>
          <w:szCs w:val="24"/>
          <w:highlight w:val="none"/>
          <w:lang w:val="zh-CN"/>
        </w:rPr>
        <w:t>已供货产品任意一张发票复印件（发票开具日期须在本项目招标公告发布之日前），否则不得分；</w:t>
      </w:r>
    </w:p>
    <w:p w14:paraId="1522BEA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）若合同无法反映评分条件（合同签订日期为202</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年1月1日或以后，合同标的必须包含投标品牌超声波水表、合同金额）的，还需提供产品购买方出具的书面补充说明文件复印件作为辅助证明（需显示购买方公章），否则不得分；</w:t>
      </w:r>
    </w:p>
    <w:p w14:paraId="5020CDEC">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）若业绩为框架式协议或资格入围无明确金额的合同，必须同时提供合同期限内已供货发票金额统计表和发票复印件。</w:t>
      </w:r>
    </w:p>
    <w:p w14:paraId="16F68345">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2F4F7093">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p>
    <w:p w14:paraId="464A240E">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2E509201">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6583491D">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6C6ACB44">
      <w:pPr>
        <w:pageBreakBefore/>
        <w:widowControl/>
        <w:spacing w:line="360" w:lineRule="auto"/>
        <w:jc w:val="left"/>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3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14:paraId="379C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7B53E87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00FFD20B">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5089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5D45D04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62F6BB4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551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1AD0F61E">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192DAD68">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377C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6EE23A5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14:paraId="2E3C32EC">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14:paraId="03018CDE">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tcBorders>
              <w:top w:val="single" w:color="auto" w:sz="4" w:space="0"/>
              <w:left w:val="single" w:color="auto" w:sz="4" w:space="0"/>
              <w:bottom w:val="single" w:color="auto" w:sz="4" w:space="0"/>
              <w:right w:val="single" w:color="auto" w:sz="4" w:space="0"/>
            </w:tcBorders>
            <w:vAlign w:val="center"/>
          </w:tcPr>
          <w:p w14:paraId="46EEE62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14:paraId="26ABE7B1">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14:paraId="0514826E">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972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0C58ABF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14:paraId="4FB7874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528B492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EB9C837">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EE5855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029CA71E">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067E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0EA46D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14:paraId="1B47FF1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779B5F8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277344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6B12967">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7C975F8">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74B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2EAD441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14:paraId="4885631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4AE5305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20CCBF7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729E58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69C2FC60">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81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862D78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14:paraId="30C2400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6EB80BB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35FC87E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43ED2A1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1E0FDD4">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E4D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65F32CBB">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vAlign w:val="center"/>
          </w:tcPr>
          <w:p w14:paraId="7A82A09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65DD464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D3ADE4F">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2AC9A6F7">
            <w:pPr>
              <w:pStyle w:val="20"/>
              <w:snapToGrid w:val="0"/>
              <w:spacing w:line="360" w:lineRule="auto"/>
              <w:ind w:left="0" w:leftChars="0"/>
              <w:jc w:val="center"/>
              <w:rPr>
                <w:rFonts w:hint="eastAsia" w:ascii="宋体" w:hAnsi="宋体" w:eastAsia="宋体" w:cs="宋体"/>
                <w:color w:val="auto"/>
                <w:sz w:val="21"/>
                <w:szCs w:val="21"/>
                <w:highlight w:val="none"/>
              </w:rPr>
            </w:pPr>
          </w:p>
        </w:tc>
      </w:tr>
    </w:tbl>
    <w:p w14:paraId="6B7CF88F">
      <w:pPr>
        <w:snapToGrid w:val="0"/>
        <w:spacing w:line="360" w:lineRule="auto"/>
        <w:ind w:left="491" w:leftChars="-57" w:hanging="611" w:hangingChars="291"/>
        <w:rPr>
          <w:rFonts w:hint="eastAsia" w:ascii="宋体" w:hAnsi="宋体" w:eastAsia="宋体" w:cs="宋体"/>
          <w:color w:val="auto"/>
          <w:sz w:val="21"/>
          <w:szCs w:val="21"/>
          <w:highlight w:val="none"/>
        </w:rPr>
      </w:pPr>
    </w:p>
    <w:p w14:paraId="09629A18">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2ED79C4">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（1）投标人提供框架式协议或资格入围无明确金额的合同时，须同时提供本统计表及供货发票复印件，本统计表及供货发票复印件应后附于合同复印件；</w:t>
      </w:r>
    </w:p>
    <w:p w14:paraId="6FEFCBC7">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（2）发票抬头应为合同买方，收款人应为投标人，且发票名目、所属时期应与合同约定内容一致，否则不计分。</w:t>
      </w:r>
    </w:p>
    <w:p w14:paraId="46990349">
      <w:pPr>
        <w:autoSpaceDE/>
        <w:autoSpaceDN/>
        <w:adjustRightInd/>
        <w:snapToGrid w:val="0"/>
        <w:spacing w:line="360" w:lineRule="auto"/>
        <w:ind w:left="548" w:leftChars="59"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rPr>
        <w:t>（3）发票合计金额视为投标人所提供该项供货业绩的供货金额，并按此金额进行评审。</w:t>
      </w:r>
    </w:p>
    <w:p w14:paraId="4E0226C8">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987"/>
    <w:bookmarkEnd w:id="988"/>
    <w:p w14:paraId="7DF6FBE1">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989" w:name="_Toc18175_WPSOffice_Level2"/>
      <w:bookmarkStart w:id="990" w:name="_Toc102860427"/>
      <w:bookmarkStart w:id="991" w:name="_Toc486167719"/>
      <w:bookmarkStart w:id="992" w:name="_Toc9649"/>
      <w:bookmarkStart w:id="993" w:name="_Toc104991885"/>
      <w:bookmarkStart w:id="994" w:name="_Toc11745"/>
      <w:bookmarkStart w:id="995" w:name="_Toc533708132"/>
      <w:bookmarkStart w:id="996" w:name="_Toc32669"/>
      <w:bookmarkStart w:id="997" w:name="_Toc13822"/>
      <w:bookmarkStart w:id="998" w:name="_Toc6504"/>
      <w:bookmarkStart w:id="999" w:name="_Toc142508378"/>
      <w:bookmarkStart w:id="1000" w:name="_Toc1977737"/>
      <w:bookmarkStart w:id="1001" w:name="_Toc94107220"/>
      <w:bookmarkStart w:id="1002" w:name="_Toc30269"/>
      <w:bookmarkStart w:id="1003" w:name="_Toc140596938"/>
      <w:bookmarkStart w:id="1004" w:name="_Toc3545"/>
      <w:bookmarkStart w:id="1005" w:name="_Toc102860083"/>
      <w:r>
        <w:rPr>
          <w:rFonts w:hint="eastAsia" w:ascii="宋体" w:hAnsi="宋体" w:eastAsia="宋体" w:cs="宋体"/>
          <w:b/>
          <w:bCs/>
          <w:color w:val="auto"/>
          <w:kern w:val="0"/>
          <w:sz w:val="32"/>
          <w:szCs w:val="32"/>
          <w:highlight w:val="none"/>
          <w:lang w:val="zh-CN"/>
        </w:rPr>
        <w:t>十、投标保证金汇入情况说明</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72C42667">
      <w:pPr>
        <w:autoSpaceDE w:val="0"/>
        <w:autoSpaceDN w:val="0"/>
        <w:adjustRightInd w:val="0"/>
        <w:spacing w:line="360" w:lineRule="auto"/>
        <w:jc w:val="left"/>
        <w:rPr>
          <w:rFonts w:ascii="宋体" w:hAnsi="宋体" w:eastAsia="宋体" w:cs="宋体"/>
          <w:color w:val="auto"/>
          <w:szCs w:val="24"/>
          <w:highlight w:val="none"/>
        </w:rPr>
      </w:pPr>
    </w:p>
    <w:p w14:paraId="306B8D19">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1006" w:name="_Toc31832_WPSOffice_Level3"/>
      <w:r>
        <w:rPr>
          <w:rFonts w:hint="eastAsia" w:ascii="宋体" w:hAnsi="宋体" w:eastAsia="宋体" w:cs="宋体"/>
          <w:b/>
          <w:bCs/>
          <w:color w:val="auto"/>
          <w:kern w:val="0"/>
          <w:sz w:val="24"/>
          <w:szCs w:val="24"/>
          <w:highlight w:val="none"/>
        </w:rPr>
        <w:t>投标保证金汇入情况说明</w:t>
      </w:r>
      <w:bookmarkEnd w:id="1006"/>
    </w:p>
    <w:p w14:paraId="6F2B64B5">
      <w:pPr>
        <w:autoSpaceDE w:val="0"/>
        <w:autoSpaceDN w:val="0"/>
        <w:adjustRightInd w:val="0"/>
        <w:spacing w:line="360" w:lineRule="auto"/>
        <w:jc w:val="center"/>
        <w:rPr>
          <w:rFonts w:ascii="宋体" w:hAnsi="宋体" w:eastAsia="宋体" w:cs="宋体"/>
          <w:b/>
          <w:bCs/>
          <w:color w:val="auto"/>
          <w:kern w:val="0"/>
          <w:szCs w:val="24"/>
          <w:highlight w:val="none"/>
        </w:rPr>
      </w:pPr>
    </w:p>
    <w:p w14:paraId="5900CDD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东莞市水务环境投资控股集团供水有限公司</w:t>
      </w:r>
      <w:r>
        <w:rPr>
          <w:rFonts w:hint="eastAsia" w:ascii="宋体" w:hAnsi="宋体" w:eastAsia="宋体" w:cs="宋体"/>
          <w:color w:val="auto"/>
          <w:szCs w:val="21"/>
          <w:highlight w:val="none"/>
        </w:rPr>
        <w:t>：</w:t>
      </w:r>
    </w:p>
    <w:p w14:paraId="4BE86F4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东莞市供水计量设施更新项目（2026-2027年计量仪表）－超声波水表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招 标 编 号：YFGL-202601011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27FFAE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7B79DE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CEDA01B">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40BA57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AC15AB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4044B19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A97746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CBAD0C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CBDEAE7">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4352023">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A1E963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29A81F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C7D135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55FB8F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C637BF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8282AE7">
      <w:pPr>
        <w:spacing w:line="360" w:lineRule="auto"/>
        <w:ind w:left="340" w:leftChars="162" w:firstLine="425"/>
        <w:rPr>
          <w:rFonts w:ascii="宋体" w:hAnsi="宋体" w:eastAsia="宋体" w:cs="宋体"/>
          <w:b/>
          <w:bCs/>
          <w:color w:val="auto"/>
          <w:szCs w:val="21"/>
          <w:highlight w:val="none"/>
        </w:rPr>
      </w:pPr>
      <w:bookmarkStart w:id="1007" w:name="_Toc26208_WPSOffice_Level3"/>
      <w:r>
        <w:rPr>
          <w:rFonts w:hint="eastAsia" w:ascii="宋体" w:hAnsi="宋体" w:eastAsia="宋体" w:cs="宋体"/>
          <w:b/>
          <w:bCs/>
          <w:color w:val="auto"/>
          <w:szCs w:val="21"/>
          <w:highlight w:val="none"/>
        </w:rPr>
        <w:t>附：1、我方投标保证金汇款凭证（复印件）</w:t>
      </w:r>
      <w:bookmarkEnd w:id="1007"/>
    </w:p>
    <w:p w14:paraId="7E488589">
      <w:pPr>
        <w:spacing w:line="360" w:lineRule="auto"/>
        <w:ind w:left="340" w:leftChars="162" w:firstLine="839" w:firstLineChars="398"/>
        <w:rPr>
          <w:rFonts w:ascii="宋体" w:hAnsi="宋体" w:eastAsia="宋体" w:cs="宋体"/>
          <w:b/>
          <w:bCs/>
          <w:color w:val="auto"/>
          <w:szCs w:val="21"/>
          <w:highlight w:val="none"/>
        </w:rPr>
      </w:pPr>
      <w:bookmarkStart w:id="1008" w:name="_Toc12992_WPSOffice_Level3"/>
      <w:r>
        <w:rPr>
          <w:rFonts w:hint="eastAsia" w:ascii="宋体" w:hAnsi="宋体" w:eastAsia="宋体" w:cs="宋体"/>
          <w:b/>
          <w:bCs/>
          <w:color w:val="auto"/>
          <w:szCs w:val="21"/>
          <w:highlight w:val="none"/>
        </w:rPr>
        <w:t>2、我方基本账户开户许可证（复印件）</w:t>
      </w:r>
      <w:bookmarkEnd w:id="1008"/>
    </w:p>
    <w:p w14:paraId="5C5A1B14">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6A89192">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B5DEDC0">
      <w:pPr>
        <w:spacing w:line="360" w:lineRule="auto"/>
        <w:ind w:firstLine="424" w:firstLineChars="202"/>
        <w:rPr>
          <w:rFonts w:ascii="宋体" w:hAnsi="宋体" w:eastAsia="宋体" w:cs="宋体"/>
          <w:color w:val="auto"/>
          <w:szCs w:val="24"/>
          <w:highlight w:val="none"/>
        </w:rPr>
      </w:pPr>
      <w:bookmarkStart w:id="1009" w:name="_Toc486167721"/>
    </w:p>
    <w:p w14:paraId="6FD72DF4">
      <w:pPr>
        <w:spacing w:line="360" w:lineRule="auto"/>
        <w:ind w:firstLine="424" w:firstLineChars="202"/>
        <w:rPr>
          <w:rFonts w:ascii="宋体" w:hAnsi="宋体" w:eastAsia="宋体" w:cs="宋体"/>
          <w:color w:val="auto"/>
          <w:szCs w:val="24"/>
          <w:highlight w:val="none"/>
        </w:rPr>
      </w:pPr>
      <w:bookmarkStart w:id="1010" w:name="_Toc533708134"/>
    </w:p>
    <w:p w14:paraId="4823D28E">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6DD2C40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1011" w:name="_Toc16292"/>
      <w:bookmarkStart w:id="1012" w:name="_Toc1977738"/>
      <w:bookmarkStart w:id="1013" w:name="_Toc104991886"/>
      <w:bookmarkStart w:id="1014" w:name="_Toc102860084"/>
      <w:bookmarkStart w:id="1015" w:name="_Toc18032"/>
      <w:bookmarkStart w:id="1016" w:name="_Toc102860428"/>
      <w:bookmarkStart w:id="1017" w:name="_Toc24135"/>
      <w:bookmarkStart w:id="1018" w:name="_Toc94107221"/>
      <w:bookmarkStart w:id="1019" w:name="_Toc140596939"/>
      <w:bookmarkStart w:id="1020"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、中标服务费承诺书</w:t>
      </w:r>
    </w:p>
    <w:p w14:paraId="4021E8E2">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574F5276">
      <w:pPr>
        <w:spacing w:line="360" w:lineRule="auto"/>
        <w:jc w:val="both"/>
        <w:outlineLvl w:val="9"/>
        <w:rPr>
          <w:rFonts w:hint="eastAsia" w:ascii="宋体" w:hAnsi="宋体" w:eastAsia="宋体" w:cs="宋体"/>
          <w:b/>
          <w:bCs/>
          <w:color w:val="auto"/>
          <w:kern w:val="2"/>
          <w:highlight w:val="none"/>
          <w:lang w:val="zh-CN"/>
        </w:rPr>
      </w:pPr>
    </w:p>
    <w:p w14:paraId="67BBBA22">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w:t>
      </w:r>
      <w:r>
        <w:rPr>
          <w:rFonts w:hint="eastAsia" w:ascii="宋体" w:hAnsi="宋体" w:eastAsia="宋体" w:cs="宋体"/>
          <w:b/>
          <w:bCs/>
          <w:color w:val="auto"/>
          <w:kern w:val="2"/>
          <w:sz w:val="21"/>
          <w:szCs w:val="21"/>
          <w:highlight w:val="none"/>
          <w:lang w:val="zh-CN" w:eastAsia="zh-CN"/>
        </w:rPr>
        <w:t>广东一方项目管理有限公司</w:t>
      </w:r>
    </w:p>
    <w:p w14:paraId="4F420FFC">
      <w:pPr>
        <w:spacing w:line="360" w:lineRule="auto"/>
        <w:ind w:right="893"/>
        <w:jc w:val="both"/>
        <w:outlineLvl w:val="9"/>
        <w:rPr>
          <w:rFonts w:hint="eastAsia" w:ascii="宋体" w:hAnsi="宋体" w:eastAsia="宋体" w:cs="宋体"/>
          <w:color w:val="auto"/>
          <w:kern w:val="2"/>
          <w:sz w:val="21"/>
          <w:szCs w:val="21"/>
          <w:highlight w:val="none"/>
          <w:lang w:val="zh-CN"/>
        </w:rPr>
      </w:pPr>
    </w:p>
    <w:p w14:paraId="074273E4">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w:t>
      </w:r>
      <w:r>
        <w:rPr>
          <w:rFonts w:hint="eastAsia" w:ascii="宋体" w:hAnsi="宋体" w:eastAsia="宋体" w:cs="宋体"/>
          <w:color w:val="auto"/>
          <w:kern w:val="2"/>
          <w:sz w:val="21"/>
          <w:highlight w:val="none"/>
          <w:lang w:val="zh-CN" w:eastAsia="zh-CN"/>
        </w:rPr>
        <w:t>东莞市供水计量设施更新项目（2026-2027年计量仪表）－超声波水表</w:t>
      </w:r>
      <w:r>
        <w:rPr>
          <w:rFonts w:hint="eastAsia" w:ascii="宋体" w:hAnsi="宋体" w:eastAsia="宋体" w:cs="宋体"/>
          <w:color w:val="auto"/>
          <w:kern w:val="2"/>
          <w:sz w:val="21"/>
          <w:szCs w:val="21"/>
          <w:highlight w:val="none"/>
          <w:lang w:val="zh-CN"/>
        </w:rPr>
        <w:t>（招 标 编 号：YFGL-202601011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w:t>
      </w:r>
      <w:r>
        <w:rPr>
          <w:rFonts w:hint="eastAsia" w:ascii="宋体" w:hAnsi="宋体" w:eastAsia="宋体" w:cs="宋体"/>
          <w:color w:val="auto"/>
          <w:kern w:val="2"/>
          <w:sz w:val="21"/>
          <w:szCs w:val="21"/>
          <w:highlight w:val="none"/>
          <w:lang w:val="zh-CN" w:eastAsia="zh-CN"/>
        </w:rPr>
        <w:t>广东一方项目管理有限公司</w:t>
      </w:r>
      <w:r>
        <w:rPr>
          <w:rFonts w:hint="eastAsia" w:ascii="宋体" w:hAnsi="宋体" w:eastAsia="宋体" w:cs="宋体"/>
          <w:color w:val="auto"/>
          <w:kern w:val="2"/>
          <w:sz w:val="21"/>
          <w:szCs w:val="21"/>
          <w:highlight w:val="none"/>
          <w:lang w:val="zh-CN"/>
        </w:rPr>
        <w:t>）指定的银行账号，一次性交纳中标服务费</w:t>
      </w:r>
      <w:r>
        <w:rPr>
          <w:rFonts w:hint="eastAsia" w:ascii="宋体" w:hAnsi="宋体" w:eastAsia="宋体" w:cs="宋体"/>
          <w:color w:val="auto"/>
          <w:kern w:val="2"/>
          <w:sz w:val="21"/>
          <w:highlight w:val="none"/>
          <w:lang w:val="zh-CN"/>
        </w:rPr>
        <w:t>。</w:t>
      </w:r>
    </w:p>
    <w:p w14:paraId="04C98294">
      <w:pPr>
        <w:spacing w:line="360" w:lineRule="auto"/>
        <w:ind w:right="893"/>
        <w:jc w:val="both"/>
        <w:outlineLvl w:val="9"/>
        <w:rPr>
          <w:rFonts w:hint="eastAsia" w:ascii="宋体" w:hAnsi="宋体" w:eastAsia="宋体" w:cs="宋体"/>
          <w:color w:val="auto"/>
          <w:kern w:val="2"/>
          <w:sz w:val="21"/>
          <w:szCs w:val="21"/>
          <w:highlight w:val="none"/>
          <w:lang w:val="zh-CN"/>
        </w:rPr>
      </w:pPr>
    </w:p>
    <w:p w14:paraId="2AF2E5B7">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762C7C54">
      <w:pPr>
        <w:spacing w:line="360" w:lineRule="auto"/>
        <w:ind w:right="893"/>
        <w:jc w:val="both"/>
        <w:outlineLvl w:val="9"/>
        <w:rPr>
          <w:rFonts w:hint="eastAsia" w:ascii="宋体" w:hAnsi="宋体" w:eastAsia="宋体" w:cs="宋体"/>
          <w:color w:val="auto"/>
          <w:kern w:val="2"/>
          <w:sz w:val="21"/>
          <w:highlight w:val="none"/>
          <w:lang w:val="zh-CN"/>
        </w:rPr>
      </w:pPr>
    </w:p>
    <w:p w14:paraId="0B164DE6">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390C27D4">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0D2B137F">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41071DA5">
      <w:pPr>
        <w:spacing w:line="360" w:lineRule="auto"/>
        <w:ind w:right="893"/>
        <w:jc w:val="both"/>
        <w:outlineLvl w:val="9"/>
        <w:rPr>
          <w:rFonts w:hint="eastAsia" w:ascii="宋体" w:hAnsi="宋体" w:eastAsia="宋体" w:cs="宋体"/>
          <w:color w:val="auto"/>
          <w:kern w:val="2"/>
          <w:sz w:val="21"/>
          <w:highlight w:val="none"/>
          <w:lang w:val="zh-CN"/>
        </w:rPr>
      </w:pPr>
    </w:p>
    <w:p w14:paraId="398C496C">
      <w:pPr>
        <w:spacing w:line="360" w:lineRule="auto"/>
        <w:ind w:firstLine="5040" w:firstLineChars="2400"/>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4F8F02C7">
      <w:pPr>
        <w:spacing w:line="360" w:lineRule="auto"/>
        <w:ind w:firstLine="5040" w:firstLineChars="2400"/>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1DF4E5D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7916514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7D8470A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36C8B22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762542F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3B322B6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1183536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741C0B1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1D35801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0E667C3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2F7AE05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bookmarkStart w:id="1021" w:name="_Toc22164"/>
      <w:bookmarkStart w:id="1022" w:name="_Toc18558"/>
      <w:bookmarkStart w:id="1023" w:name="_Toc1221"/>
      <w:bookmarkStart w:id="1024" w:name="_Toc27228"/>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w:t>
      </w:r>
      <w:r>
        <w:rPr>
          <w:rFonts w:hint="eastAsia" w:ascii="宋体" w:hAnsi="宋体" w:eastAsia="宋体" w:cs="宋体"/>
          <w:b/>
          <w:bCs/>
          <w:color w:val="auto"/>
          <w:kern w:val="0"/>
          <w:sz w:val="32"/>
          <w:szCs w:val="32"/>
          <w:highlight w:val="none"/>
          <w:lang w:val="en-US" w:eastAsia="zh-CN"/>
        </w:rPr>
        <w:t>做</w:t>
      </w:r>
      <w:r>
        <w:rPr>
          <w:rFonts w:hint="eastAsia" w:ascii="宋体" w:hAnsi="宋体" w:eastAsia="宋体" w:cs="宋体"/>
          <w:b/>
          <w:bCs/>
          <w:color w:val="auto"/>
          <w:kern w:val="0"/>
          <w:sz w:val="32"/>
          <w:szCs w:val="32"/>
          <w:highlight w:val="none"/>
          <w:lang w:val="zh-CN"/>
        </w:rPr>
        <w:t>强制要求）</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0A10EAC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1025" w:name="_Toc94107222"/>
      <w:bookmarkStart w:id="1026" w:name="_Toc142508380"/>
      <w:bookmarkStart w:id="1027" w:name="_Toc14341"/>
      <w:bookmarkStart w:id="1028" w:name="_Toc1977739"/>
      <w:bookmarkStart w:id="1029" w:name="_Toc104991887"/>
      <w:bookmarkStart w:id="1030" w:name="_Toc9447"/>
      <w:bookmarkStart w:id="1031" w:name="_Toc13713"/>
      <w:bookmarkStart w:id="1032" w:name="_Toc15051"/>
      <w:bookmarkStart w:id="1033" w:name="_Toc140596940"/>
      <w:bookmarkStart w:id="1034" w:name="_Toc8382"/>
      <w:bookmarkStart w:id="1035" w:name="_Toc102860085"/>
      <w:bookmarkStart w:id="1036" w:name="_Toc15653"/>
      <w:bookmarkStart w:id="1037" w:name="_Toc9847"/>
      <w:bookmarkStart w:id="1038" w:name="_Toc102860429"/>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1010"/>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7E141E8B">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BD2C9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111AC97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1）关于“★</w:t>
      </w:r>
      <w:r>
        <w:rPr>
          <w:rFonts w:hint="eastAsia" w:ascii="宋体" w:hAnsi="宋体" w:eastAsia="宋体" w:cs="宋体"/>
          <w:color w:val="auto"/>
          <w:sz w:val="21"/>
          <w:szCs w:val="21"/>
          <w:highlight w:val="none"/>
          <w:lang w:val="en-US" w:eastAsia="zh-CN"/>
        </w:rPr>
        <w:t>2.2.17</w:t>
      </w:r>
      <w:r>
        <w:rPr>
          <w:rFonts w:hint="eastAsia" w:ascii="宋体" w:hAnsi="宋体" w:eastAsia="宋体" w:cs="宋体"/>
          <w:color w:val="auto"/>
          <w:kern w:val="0"/>
          <w:szCs w:val="21"/>
          <w:highlight w:val="none"/>
          <w:lang w:val="en-US" w:eastAsia="zh-CN"/>
        </w:rPr>
        <w:t>”条款的承诺函（投标人自行编写）；</w:t>
      </w:r>
    </w:p>
    <w:p w14:paraId="52CC8609">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2）关于“★2.3.7”条款的产品说明书和承诺函（投标人自行编写）；</w:t>
      </w:r>
    </w:p>
    <w:p w14:paraId="23BC3CCB">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3）关于“★2.3.10”条款的承诺函（投标人自行编写）；</w:t>
      </w:r>
    </w:p>
    <w:p w14:paraId="61629614">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12327BBA">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”条款的证明材料（投标人提供相关水表用户使用情况及证明材料）；</w:t>
      </w:r>
    </w:p>
    <w:p w14:paraId="3745D2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宋体"/>
          <w:color w:val="auto"/>
          <w:kern w:val="0"/>
          <w:szCs w:val="21"/>
          <w:highlight w:val="none"/>
          <w:lang w:val="en-US" w:eastAsia="zh-CN"/>
        </w:rPr>
        <w:t>（货物明细中包含的货物名称、品牌、产地、规格、型号、数量的内容）</w:t>
      </w:r>
      <w:r>
        <w:rPr>
          <w:rFonts w:hint="eastAsia" w:ascii="宋体" w:hAnsi="宋体" w:eastAsia="宋体" w:cs="宋体"/>
          <w:color w:val="auto"/>
          <w:kern w:val="0"/>
          <w:szCs w:val="21"/>
          <w:highlight w:val="none"/>
        </w:rPr>
        <w:t>；</w:t>
      </w:r>
    </w:p>
    <w:p w14:paraId="152F0B3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（3）研发能力及产品先进性</w:t>
      </w:r>
      <w:r>
        <w:rPr>
          <w:rFonts w:hint="eastAsia" w:ascii="宋体" w:hAnsi="宋体" w:eastAsia="宋体" w:cs="宋体"/>
          <w:color w:val="auto"/>
          <w:kern w:val="0"/>
          <w:szCs w:val="21"/>
          <w:highlight w:val="none"/>
          <w:lang w:val="en-US" w:eastAsia="zh-CN"/>
        </w:rPr>
        <w:t>的证明材料</w:t>
      </w:r>
      <w:r>
        <w:rPr>
          <w:rFonts w:hint="eastAsia" w:ascii="宋体" w:hAnsi="宋体" w:eastAsia="宋体" w:cs="宋体"/>
          <w:color w:val="auto"/>
          <w:kern w:val="0"/>
          <w:szCs w:val="21"/>
          <w:highlight w:val="none"/>
        </w:rPr>
        <w:t>；</w:t>
      </w:r>
    </w:p>
    <w:p w14:paraId="347269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（4）投标产品的设计及性能</w:t>
      </w:r>
      <w:r>
        <w:rPr>
          <w:rFonts w:hint="eastAsia" w:ascii="宋体" w:hAnsi="宋体" w:eastAsia="宋体" w:cs="宋体"/>
          <w:color w:val="auto"/>
          <w:kern w:val="0"/>
          <w:szCs w:val="21"/>
          <w:highlight w:val="none"/>
          <w:lang w:val="en-US" w:eastAsia="zh-CN"/>
        </w:rPr>
        <w:t>的证明材料</w:t>
      </w:r>
      <w:r>
        <w:rPr>
          <w:rFonts w:hint="eastAsia" w:ascii="宋体" w:hAnsi="宋体" w:eastAsia="宋体" w:cs="宋体"/>
          <w:color w:val="auto"/>
          <w:kern w:val="0"/>
          <w:szCs w:val="21"/>
          <w:highlight w:val="none"/>
        </w:rPr>
        <w:t>；</w:t>
      </w:r>
    </w:p>
    <w:p w14:paraId="7735C9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（5）生产制造能力</w:t>
      </w:r>
      <w:r>
        <w:rPr>
          <w:rFonts w:hint="eastAsia" w:ascii="宋体" w:hAnsi="宋体" w:eastAsia="宋体" w:cs="宋体"/>
          <w:color w:val="auto"/>
          <w:kern w:val="0"/>
          <w:szCs w:val="21"/>
          <w:highlight w:val="none"/>
          <w:lang w:val="en-US" w:eastAsia="zh-CN"/>
        </w:rPr>
        <w:t>的证明材料</w:t>
      </w:r>
      <w:r>
        <w:rPr>
          <w:rFonts w:hint="eastAsia" w:ascii="宋体" w:hAnsi="宋体" w:eastAsia="宋体" w:cs="宋体"/>
          <w:color w:val="auto"/>
          <w:kern w:val="0"/>
          <w:szCs w:val="21"/>
          <w:highlight w:val="none"/>
        </w:rPr>
        <w:t>；</w:t>
      </w:r>
    </w:p>
    <w:p w14:paraId="394D95C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）售后服务方案；</w:t>
      </w:r>
    </w:p>
    <w:p w14:paraId="1847D32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售后服务</w:t>
      </w:r>
      <w:r>
        <w:rPr>
          <w:rFonts w:hint="eastAsia" w:ascii="宋体" w:hAnsi="宋体" w:eastAsia="宋体" w:cs="宋体"/>
          <w:color w:val="auto"/>
          <w:kern w:val="0"/>
          <w:szCs w:val="21"/>
          <w:highlight w:val="none"/>
        </w:rPr>
        <w:t>响应时间承诺</w:t>
      </w:r>
      <w:r>
        <w:rPr>
          <w:rFonts w:hint="eastAsia" w:ascii="宋体" w:hAnsi="宋体" w:eastAsia="宋体" w:cs="宋体"/>
          <w:color w:val="auto"/>
          <w:kern w:val="0"/>
          <w:szCs w:val="21"/>
          <w:highlight w:val="none"/>
          <w:lang w:eastAsia="zh-CN"/>
        </w:rPr>
        <w:t>；</w:t>
      </w:r>
    </w:p>
    <w:p w14:paraId="20B63D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45C8196B">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49269F19">
      <w:pPr>
        <w:pStyle w:val="20"/>
        <w:spacing w:line="360" w:lineRule="auto"/>
        <w:jc w:val="center"/>
        <w:rPr>
          <w:rFonts w:hint="eastAsia" w:ascii="宋体" w:hAnsi="宋体" w:eastAsia="宋体" w:cs="宋体"/>
          <w:color w:val="auto"/>
          <w:sz w:val="84"/>
          <w:highlight w:val="none"/>
        </w:rPr>
      </w:pPr>
    </w:p>
    <w:p w14:paraId="4FC221BE">
      <w:pPr>
        <w:pStyle w:val="20"/>
        <w:spacing w:line="360" w:lineRule="auto"/>
        <w:jc w:val="center"/>
        <w:rPr>
          <w:rFonts w:hint="eastAsia" w:ascii="宋体" w:hAnsi="宋体" w:eastAsia="宋体" w:cs="宋体"/>
          <w:color w:val="auto"/>
          <w:sz w:val="84"/>
          <w:highlight w:val="none"/>
        </w:rPr>
      </w:pPr>
    </w:p>
    <w:p w14:paraId="6D5188FE">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FECACA4">
      <w:pPr>
        <w:pStyle w:val="20"/>
        <w:spacing w:line="360" w:lineRule="auto"/>
        <w:rPr>
          <w:rFonts w:hint="eastAsia" w:ascii="宋体" w:hAnsi="宋体" w:eastAsia="宋体" w:cs="宋体"/>
          <w:color w:val="auto"/>
          <w:highlight w:val="none"/>
        </w:rPr>
      </w:pPr>
    </w:p>
    <w:p w14:paraId="04A02E16">
      <w:pPr>
        <w:pStyle w:val="20"/>
        <w:spacing w:line="360" w:lineRule="auto"/>
        <w:rPr>
          <w:rFonts w:hint="eastAsia" w:ascii="宋体" w:hAnsi="宋体" w:eastAsia="宋体" w:cs="宋体"/>
          <w:color w:val="auto"/>
          <w:highlight w:val="none"/>
        </w:rPr>
      </w:pPr>
    </w:p>
    <w:p w14:paraId="118AF949">
      <w:pPr>
        <w:pStyle w:val="20"/>
        <w:spacing w:line="360" w:lineRule="auto"/>
        <w:rPr>
          <w:rFonts w:hint="eastAsia" w:ascii="宋体" w:hAnsi="宋体" w:eastAsia="宋体" w:cs="宋体"/>
          <w:color w:val="auto"/>
          <w:highlight w:val="none"/>
        </w:rPr>
      </w:pPr>
    </w:p>
    <w:p w14:paraId="2D70E211">
      <w:pPr>
        <w:pStyle w:val="20"/>
        <w:spacing w:line="360" w:lineRule="auto"/>
        <w:rPr>
          <w:rFonts w:hint="eastAsia" w:ascii="宋体" w:hAnsi="宋体" w:eastAsia="宋体" w:cs="宋体"/>
          <w:color w:val="auto"/>
          <w:highlight w:val="none"/>
        </w:rPr>
      </w:pPr>
    </w:p>
    <w:p w14:paraId="2EFDCE5E">
      <w:pPr>
        <w:pStyle w:val="20"/>
        <w:spacing w:line="360" w:lineRule="auto"/>
        <w:rPr>
          <w:rFonts w:hint="eastAsia" w:ascii="宋体" w:hAnsi="宋体" w:eastAsia="宋体" w:cs="宋体"/>
          <w:color w:val="auto"/>
          <w:highlight w:val="none"/>
        </w:rPr>
      </w:pPr>
    </w:p>
    <w:p w14:paraId="4E6CA845">
      <w:pPr>
        <w:pStyle w:val="20"/>
        <w:spacing w:line="360" w:lineRule="auto"/>
        <w:rPr>
          <w:rFonts w:hint="eastAsia" w:ascii="宋体" w:hAnsi="宋体" w:eastAsia="宋体" w:cs="宋体"/>
          <w:color w:val="auto"/>
          <w:highlight w:val="none"/>
        </w:rPr>
      </w:pPr>
    </w:p>
    <w:p w14:paraId="2FB92B1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招 标 编 号：YFGL-202601011</w:t>
      </w:r>
    </w:p>
    <w:p w14:paraId="04D4B6B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A42807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625B6F93">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F6C25F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F1201B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E99F2A">
      <w:pPr>
        <w:pStyle w:val="20"/>
        <w:spacing w:line="360" w:lineRule="auto"/>
        <w:rPr>
          <w:rFonts w:hint="eastAsia" w:ascii="宋体" w:hAnsi="宋体" w:eastAsia="宋体" w:cs="宋体"/>
          <w:color w:val="auto"/>
          <w:highlight w:val="none"/>
        </w:rPr>
      </w:pPr>
    </w:p>
    <w:p w14:paraId="687B86F6">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3FF67D">
      <w:pPr>
        <w:pStyle w:val="20"/>
        <w:spacing w:line="360" w:lineRule="auto"/>
        <w:rPr>
          <w:rFonts w:hint="eastAsia" w:ascii="宋体" w:hAnsi="宋体" w:eastAsia="宋体" w:cs="宋体"/>
          <w:color w:val="auto"/>
          <w:highlight w:val="none"/>
        </w:rPr>
      </w:pPr>
    </w:p>
    <w:p w14:paraId="6AD7535D">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DEA9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4DA207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A9C2F2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723A0E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2A83C8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9F71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02712B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08F8E93">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379D346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D2F2351">
            <w:pPr>
              <w:adjustRightInd w:val="0"/>
              <w:snapToGrid w:val="0"/>
              <w:spacing w:line="360" w:lineRule="auto"/>
              <w:rPr>
                <w:rFonts w:hint="eastAsia" w:ascii="宋体" w:hAnsi="宋体" w:eastAsia="宋体" w:cs="宋体"/>
                <w:bCs/>
                <w:color w:val="auto"/>
                <w:szCs w:val="21"/>
                <w:highlight w:val="none"/>
              </w:rPr>
            </w:pPr>
          </w:p>
        </w:tc>
      </w:tr>
      <w:tr w14:paraId="53BC4C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38036A8">
            <w:pPr>
              <w:rPr>
                <w:rFonts w:hint="eastAsia" w:ascii="宋体" w:hAnsi="宋体" w:eastAsia="宋体" w:cs="宋体"/>
                <w:bCs/>
                <w:color w:val="auto"/>
                <w:szCs w:val="21"/>
                <w:highlight w:val="none"/>
              </w:rPr>
            </w:pPr>
          </w:p>
        </w:tc>
        <w:tc>
          <w:tcPr>
            <w:tcW w:w="1337" w:type="pct"/>
            <w:vAlign w:val="center"/>
          </w:tcPr>
          <w:p w14:paraId="4CFE219E">
            <w:pPr>
              <w:rPr>
                <w:rFonts w:hint="eastAsia" w:ascii="宋体" w:hAnsi="宋体" w:eastAsia="宋体" w:cs="宋体"/>
                <w:bCs/>
                <w:color w:val="auto"/>
                <w:szCs w:val="21"/>
                <w:highlight w:val="none"/>
              </w:rPr>
            </w:pPr>
          </w:p>
        </w:tc>
        <w:tc>
          <w:tcPr>
            <w:tcW w:w="861" w:type="pct"/>
            <w:vAlign w:val="center"/>
          </w:tcPr>
          <w:p w14:paraId="00D8F79A">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3D53D06">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6514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CC0C93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E1E0808">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4F0EAC8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37921FB">
            <w:pPr>
              <w:spacing w:line="360" w:lineRule="auto"/>
              <w:ind w:firstLine="8" w:firstLineChars="4"/>
              <w:rPr>
                <w:rFonts w:hint="eastAsia" w:ascii="宋体" w:hAnsi="宋体" w:eastAsia="宋体" w:cs="宋体"/>
                <w:bCs/>
                <w:color w:val="auto"/>
                <w:szCs w:val="21"/>
                <w:highlight w:val="none"/>
              </w:rPr>
            </w:pPr>
          </w:p>
        </w:tc>
      </w:tr>
      <w:tr w14:paraId="59992C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561C21F">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3E1C07C">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E4E20C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4B88EE0">
            <w:pPr>
              <w:adjustRightInd w:val="0"/>
              <w:snapToGrid w:val="0"/>
              <w:spacing w:line="360" w:lineRule="auto"/>
              <w:rPr>
                <w:rFonts w:hint="eastAsia" w:ascii="宋体" w:hAnsi="宋体" w:eastAsia="宋体" w:cs="宋体"/>
                <w:bCs/>
                <w:color w:val="auto"/>
                <w:szCs w:val="21"/>
                <w:highlight w:val="none"/>
              </w:rPr>
            </w:pPr>
          </w:p>
        </w:tc>
      </w:tr>
      <w:tr w14:paraId="2CC0C9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FC1D6D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CE2C37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8BE6BD0">
            <w:pPr>
              <w:spacing w:line="360" w:lineRule="auto"/>
              <w:jc w:val="center"/>
              <w:rPr>
                <w:rFonts w:hint="eastAsia" w:ascii="宋体" w:hAnsi="宋体" w:eastAsia="宋体" w:cs="宋体"/>
                <w:bCs/>
                <w:color w:val="auto"/>
                <w:szCs w:val="21"/>
                <w:highlight w:val="none"/>
              </w:rPr>
            </w:pPr>
          </w:p>
        </w:tc>
      </w:tr>
    </w:tbl>
    <w:p w14:paraId="3FA3471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1009"/>
      <w:bookmarkStart w:id="1039" w:name="_Toc1558"/>
      <w:bookmarkStart w:id="1040" w:name="_Toc102860430"/>
      <w:bookmarkStart w:id="1041" w:name="_Toc20630"/>
      <w:bookmarkStart w:id="1042" w:name="_Toc26248"/>
      <w:bookmarkStart w:id="1043" w:name="_Toc142508381"/>
      <w:bookmarkStart w:id="1044" w:name="_Toc140596941"/>
      <w:bookmarkStart w:id="1045" w:name="_Toc104991888"/>
      <w:bookmarkStart w:id="1046" w:name="_Toc533708135"/>
      <w:bookmarkStart w:id="1047" w:name="_Toc94107223"/>
      <w:bookmarkStart w:id="1048" w:name="_Toc1977740"/>
      <w:bookmarkStart w:id="1049" w:name="_Toc12047"/>
      <w:bookmarkStart w:id="1050" w:name="_Toc102860086"/>
      <w:bookmarkStart w:id="1051" w:name="_Toc2316"/>
      <w:bookmarkStart w:id="1052" w:name="_Toc21163"/>
      <w:bookmarkStart w:id="1053" w:name="_Toc3188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2B9B7397">
      <w:pPr>
        <w:spacing w:before="120" w:after="120" w:line="360" w:lineRule="auto"/>
        <w:jc w:val="center"/>
        <w:rPr>
          <w:rFonts w:ascii="宋体" w:hAnsi="宋体" w:eastAsia="宋体" w:cs="Times New Roman"/>
          <w:color w:val="auto"/>
          <w:kern w:val="0"/>
          <w:szCs w:val="21"/>
          <w:highlight w:val="none"/>
        </w:rPr>
      </w:pPr>
      <w:bookmarkStart w:id="1054" w:name="_Toc17449_WPSOffice_Level3"/>
      <w:r>
        <w:rPr>
          <w:rFonts w:hint="eastAsia" w:ascii="宋体" w:hAnsi="宋体" w:eastAsia="宋体" w:cs="宋体"/>
          <w:b/>
          <w:color w:val="auto"/>
          <w:kern w:val="0"/>
          <w:sz w:val="30"/>
          <w:szCs w:val="30"/>
          <w:highlight w:val="none"/>
          <w:lang w:val="zh-CN"/>
        </w:rPr>
        <w:t>用户需求偏离表</w:t>
      </w:r>
      <w:bookmarkEnd w:id="1054"/>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831"/>
        <w:gridCol w:w="677"/>
        <w:gridCol w:w="6102"/>
        <w:gridCol w:w="721"/>
        <w:gridCol w:w="1049"/>
        <w:gridCol w:w="631"/>
      </w:tblGrid>
      <w:tr w14:paraId="707F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 w:type="pct"/>
            <w:vMerge w:val="restart"/>
            <w:vAlign w:val="center"/>
          </w:tcPr>
          <w:p w14:paraId="53C4083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669" w:type="pct"/>
            <w:gridSpan w:val="3"/>
            <w:vAlign w:val="center"/>
          </w:tcPr>
          <w:p w14:paraId="0FA9897D">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7" w:type="pct"/>
            <w:gridSpan w:val="3"/>
            <w:vAlign w:val="center"/>
          </w:tcPr>
          <w:p w14:paraId="16C5949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6E8A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 w:type="pct"/>
            <w:vMerge w:val="continue"/>
            <w:vAlign w:val="center"/>
          </w:tcPr>
          <w:p w14:paraId="4F4D5971">
            <w:pPr>
              <w:keepNext/>
              <w:keepLines/>
              <w:spacing w:line="400" w:lineRule="exact"/>
              <w:jc w:val="center"/>
              <w:outlineLvl w:val="0"/>
              <w:rPr>
                <w:rFonts w:ascii="宋体" w:hAnsi="宋体" w:eastAsia="宋体" w:cs="宋体"/>
                <w:color w:val="auto"/>
                <w:kern w:val="0"/>
                <w:sz w:val="18"/>
                <w:szCs w:val="18"/>
                <w:highlight w:val="none"/>
              </w:rPr>
            </w:pPr>
          </w:p>
        </w:tc>
        <w:tc>
          <w:tcPr>
            <w:tcW w:w="400" w:type="pct"/>
            <w:vAlign w:val="center"/>
          </w:tcPr>
          <w:p w14:paraId="44A0BDD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268" w:type="pct"/>
            <w:gridSpan w:val="2"/>
            <w:vAlign w:val="center"/>
          </w:tcPr>
          <w:p w14:paraId="267292F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7" w:type="pct"/>
            <w:vAlign w:val="center"/>
          </w:tcPr>
          <w:p w14:paraId="70B030D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505" w:type="pct"/>
            <w:vAlign w:val="center"/>
          </w:tcPr>
          <w:p w14:paraId="6B13525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04" w:type="pct"/>
            <w:vAlign w:val="center"/>
          </w:tcPr>
          <w:p w14:paraId="48E595C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814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18307A44">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400" w:type="pct"/>
            <w:vAlign w:val="center"/>
          </w:tcPr>
          <w:p w14:paraId="6CE9B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一</w:t>
            </w:r>
          </w:p>
        </w:tc>
        <w:tc>
          <w:tcPr>
            <w:tcW w:w="3268" w:type="pct"/>
            <w:gridSpan w:val="2"/>
            <w:vAlign w:val="center"/>
          </w:tcPr>
          <w:p w14:paraId="66F4C60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outlineLvl w:val="2"/>
              <w:rPr>
                <w:rFonts w:hint="eastAsia" w:ascii="宋体" w:hAnsi="宋体" w:eastAsia="宋体" w:cs="宋体"/>
                <w:b w:val="0"/>
                <w:bCs w:val="0"/>
                <w:color w:val="auto"/>
                <w:kern w:val="2"/>
                <w:sz w:val="21"/>
                <w:szCs w:val="21"/>
                <w:highlight w:val="none"/>
                <w:lang w:val="en-US" w:eastAsia="zh-CN"/>
              </w:rPr>
            </w:pPr>
            <w:bookmarkStart w:id="1055" w:name="_Toc8229"/>
            <w:bookmarkStart w:id="1056" w:name="_Toc21414"/>
            <w:bookmarkStart w:id="1057" w:name="_Toc16384"/>
            <w:bookmarkStart w:id="1058" w:name="_Toc21829"/>
            <w:r>
              <w:rPr>
                <w:rFonts w:hint="eastAsia" w:ascii="宋体" w:hAnsi="宋体" w:eastAsia="宋体" w:cs="宋体"/>
                <w:b w:val="0"/>
                <w:bCs w:val="0"/>
                <w:color w:val="auto"/>
                <w:kern w:val="2"/>
                <w:sz w:val="21"/>
                <w:szCs w:val="21"/>
                <w:highlight w:val="none"/>
                <w:lang w:val="zh-CN"/>
              </w:rPr>
              <w:t>总体要求</w:t>
            </w:r>
            <w:bookmarkEnd w:id="1055"/>
            <w:bookmarkEnd w:id="1056"/>
            <w:bookmarkEnd w:id="1057"/>
            <w:bookmarkEnd w:id="1058"/>
          </w:p>
        </w:tc>
        <w:tc>
          <w:tcPr>
            <w:tcW w:w="347" w:type="pct"/>
            <w:vAlign w:val="center"/>
          </w:tcPr>
          <w:p w14:paraId="220D5D9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21D1B5B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679199D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D87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798531C8">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400" w:type="pct"/>
            <w:vAlign w:val="center"/>
          </w:tcPr>
          <w:p w14:paraId="25E2877E">
            <w:pPr>
              <w:pageBreakBefore w:val="0"/>
              <w:widowControl w:val="0"/>
              <w:kinsoku/>
              <w:wordWrap/>
              <w:overflowPunct/>
              <w:topLinePunct w:val="0"/>
              <w:bidi w:val="0"/>
              <w:snapToGrid/>
              <w:spacing w:line="240" w:lineRule="auto"/>
              <w:jc w:val="center"/>
              <w:textAlignment w:val="auto"/>
              <w:rPr>
                <w:rFonts w:hint="default" w:ascii="宋体" w:hAnsi="宋体" w:eastAsia="宋体" w:cstheme="minorBidi"/>
                <w:b w:val="0"/>
                <w:bCs/>
                <w:color w:val="auto"/>
                <w:kern w:val="2"/>
                <w:sz w:val="18"/>
                <w:szCs w:val="18"/>
                <w:highlight w:val="none"/>
                <w:lang w:val="en-US" w:eastAsia="zh-CN" w:bidi="ar-SA"/>
              </w:rPr>
            </w:pPr>
            <w:r>
              <w:rPr>
                <w:rFonts w:hint="eastAsia" w:ascii="宋体" w:hAnsi="宋体" w:eastAsia="宋体"/>
                <w:b w:val="0"/>
                <w:bCs/>
                <w:color w:val="auto"/>
                <w:sz w:val="18"/>
                <w:szCs w:val="18"/>
                <w:highlight w:val="none"/>
                <w:lang w:val="en-US" w:eastAsia="zh-CN"/>
              </w:rPr>
              <w:t>二</w:t>
            </w:r>
          </w:p>
        </w:tc>
        <w:tc>
          <w:tcPr>
            <w:tcW w:w="3268" w:type="pct"/>
            <w:gridSpan w:val="2"/>
            <w:vAlign w:val="center"/>
          </w:tcPr>
          <w:p w14:paraId="1087630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outlineLvl w:val="2"/>
              <w:rPr>
                <w:rFonts w:ascii="宋体" w:hAnsi="宋体" w:eastAsia="宋体"/>
                <w:b w:val="0"/>
                <w:bCs w:val="0"/>
                <w:color w:val="auto"/>
                <w:sz w:val="18"/>
                <w:szCs w:val="18"/>
                <w:highlight w:val="none"/>
              </w:rPr>
            </w:pPr>
            <w:bookmarkStart w:id="1059" w:name="_Toc2686"/>
            <w:bookmarkStart w:id="1060" w:name="_Toc30112"/>
            <w:bookmarkStart w:id="1061" w:name="_Toc12205"/>
            <w:bookmarkStart w:id="1062" w:name="_Toc7359"/>
            <w:r>
              <w:rPr>
                <w:rFonts w:hint="eastAsia" w:ascii="宋体" w:hAnsi="宋体" w:eastAsia="宋体" w:cs="宋体"/>
                <w:b w:val="0"/>
                <w:bCs w:val="0"/>
                <w:color w:val="auto"/>
                <w:kern w:val="2"/>
                <w:sz w:val="21"/>
                <w:szCs w:val="21"/>
                <w:highlight w:val="none"/>
                <w:lang w:val="zh-CN"/>
              </w:rPr>
              <w:t>水表技术要求</w:t>
            </w:r>
            <w:bookmarkEnd w:id="1059"/>
            <w:bookmarkEnd w:id="1060"/>
            <w:bookmarkEnd w:id="1061"/>
            <w:bookmarkEnd w:id="1062"/>
          </w:p>
        </w:tc>
        <w:tc>
          <w:tcPr>
            <w:tcW w:w="347" w:type="pct"/>
            <w:vAlign w:val="center"/>
          </w:tcPr>
          <w:p w14:paraId="4E8638B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7E1C685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7BFCF73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43E3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30C1F73B">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w:t>
            </w:r>
          </w:p>
        </w:tc>
        <w:tc>
          <w:tcPr>
            <w:tcW w:w="400" w:type="pct"/>
            <w:vAlign w:val="center"/>
          </w:tcPr>
          <w:p w14:paraId="4884FB96">
            <w:pPr>
              <w:pageBreakBefore w:val="0"/>
              <w:widowControl w:val="0"/>
              <w:kinsoku/>
              <w:wordWrap/>
              <w:overflowPunct/>
              <w:topLinePunct w:val="0"/>
              <w:bidi w:val="0"/>
              <w:snapToGrid/>
              <w:spacing w:line="240" w:lineRule="auto"/>
              <w:jc w:val="center"/>
              <w:textAlignment w:val="auto"/>
              <w:rPr>
                <w:rFonts w:hint="default" w:ascii="宋体" w:hAnsi="宋体" w:eastAsia="宋体" w:cstheme="minorBidi"/>
                <w:b w:val="0"/>
                <w:bCs/>
                <w:color w:val="auto"/>
                <w:kern w:val="2"/>
                <w:sz w:val="18"/>
                <w:szCs w:val="18"/>
                <w:highlight w:val="none"/>
                <w:lang w:val="en-US" w:eastAsia="zh-CN" w:bidi="ar-SA"/>
              </w:rPr>
            </w:pPr>
            <w:r>
              <w:rPr>
                <w:rFonts w:hint="eastAsia" w:ascii="宋体" w:hAnsi="宋体" w:eastAsia="宋体"/>
                <w:b w:val="0"/>
                <w:bCs/>
                <w:color w:val="auto"/>
                <w:sz w:val="18"/>
                <w:szCs w:val="18"/>
                <w:highlight w:val="none"/>
                <w:lang w:val="en-US" w:eastAsia="zh-CN"/>
              </w:rPr>
              <w:t>三</w:t>
            </w:r>
          </w:p>
        </w:tc>
        <w:tc>
          <w:tcPr>
            <w:tcW w:w="3268" w:type="pct"/>
            <w:gridSpan w:val="2"/>
            <w:vAlign w:val="center"/>
          </w:tcPr>
          <w:p w14:paraId="6BCA7029">
            <w:pPr>
              <w:keepNext w:val="0"/>
              <w:keepLines w:val="0"/>
              <w:pageBreakBefore w:val="0"/>
              <w:kinsoku/>
              <w:wordWrap/>
              <w:overflowPunct/>
              <w:topLinePunct w:val="0"/>
              <w:bidi w:val="0"/>
              <w:adjustRightInd w:val="0"/>
              <w:snapToGrid w:val="0"/>
              <w:spacing w:beforeAutospacing="0" w:line="360" w:lineRule="auto"/>
              <w:ind w:right="0"/>
              <w:jc w:val="left"/>
              <w:textAlignment w:val="auto"/>
              <w:rPr>
                <w:rFonts w:ascii="宋体" w:hAnsi="宋体" w:eastAsia="宋体"/>
                <w:b w:val="0"/>
                <w:bCs w:val="0"/>
                <w:color w:val="auto"/>
                <w:sz w:val="18"/>
                <w:szCs w:val="18"/>
                <w:highlight w:val="none"/>
              </w:rPr>
            </w:pPr>
            <w:r>
              <w:rPr>
                <w:rFonts w:hint="eastAsia" w:ascii="宋体" w:hAnsi="宋体" w:eastAsia="宋体" w:cs="宋体"/>
                <w:b w:val="0"/>
                <w:bCs w:val="0"/>
                <w:color w:val="auto"/>
                <w:kern w:val="2"/>
                <w:sz w:val="21"/>
                <w:szCs w:val="21"/>
                <w:highlight w:val="none"/>
                <w:lang w:val="zh-CN"/>
              </w:rPr>
              <w:t>物联网终端传输规约要求</w:t>
            </w:r>
          </w:p>
        </w:tc>
        <w:tc>
          <w:tcPr>
            <w:tcW w:w="347" w:type="pct"/>
            <w:vAlign w:val="center"/>
          </w:tcPr>
          <w:p w14:paraId="56E9C00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2142782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26F606C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426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01A029C9">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w:t>
            </w:r>
          </w:p>
        </w:tc>
        <w:tc>
          <w:tcPr>
            <w:tcW w:w="400" w:type="pct"/>
            <w:vAlign w:val="center"/>
          </w:tcPr>
          <w:p w14:paraId="75000E70">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四</w:t>
            </w:r>
          </w:p>
        </w:tc>
        <w:tc>
          <w:tcPr>
            <w:tcW w:w="3268" w:type="pct"/>
            <w:gridSpan w:val="2"/>
            <w:vAlign w:val="center"/>
          </w:tcPr>
          <w:p w14:paraId="6508B6B9">
            <w:pPr>
              <w:keepNext w:val="0"/>
              <w:keepLines w:val="0"/>
              <w:pageBreakBefore w:val="0"/>
              <w:kinsoku/>
              <w:wordWrap/>
              <w:overflowPunct/>
              <w:topLinePunct w:val="0"/>
              <w:bidi w:val="0"/>
              <w:adjustRightInd w:val="0"/>
              <w:snapToGrid w:val="0"/>
              <w:spacing w:beforeAutospacing="0" w:line="360" w:lineRule="auto"/>
              <w:ind w:right="0"/>
              <w:jc w:val="left"/>
              <w:textAlignment w:val="auto"/>
              <w:rPr>
                <w:rFonts w:hint="default"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售后服务及质保期</w:t>
            </w:r>
          </w:p>
        </w:tc>
        <w:tc>
          <w:tcPr>
            <w:tcW w:w="347" w:type="pct"/>
            <w:vAlign w:val="center"/>
          </w:tcPr>
          <w:p w14:paraId="2E47D94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526FF6A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470B43B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0E0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2A7A2805">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w:t>
            </w:r>
          </w:p>
        </w:tc>
        <w:tc>
          <w:tcPr>
            <w:tcW w:w="400" w:type="pct"/>
            <w:vAlign w:val="center"/>
          </w:tcPr>
          <w:p w14:paraId="5112FD08">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五</w:t>
            </w:r>
          </w:p>
        </w:tc>
        <w:tc>
          <w:tcPr>
            <w:tcW w:w="3268" w:type="pct"/>
            <w:gridSpan w:val="2"/>
            <w:vAlign w:val="center"/>
          </w:tcPr>
          <w:p w14:paraId="3CC8E7EA">
            <w:pPr>
              <w:pStyle w:val="37"/>
              <w:keepNext w:val="0"/>
              <w:keepLines w:val="0"/>
              <w:pageBreakBefore w:val="0"/>
              <w:kinsoku/>
              <w:wordWrap/>
              <w:topLinePunct w:val="0"/>
              <w:bidi w:val="0"/>
              <w:adjustRightInd w:val="0"/>
              <w:snapToGrid w:val="0"/>
              <w:spacing w:beforeAutospacing="0" w:after="0" w:line="360" w:lineRule="auto"/>
              <w:ind w:left="0" w:leftChars="0" w:right="0" w:firstLine="0" w:firstLineChars="0"/>
              <w:jc w:val="left"/>
              <w:rPr>
                <w:rFonts w:hint="eastAsia"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货款结算方式</w:t>
            </w:r>
          </w:p>
        </w:tc>
        <w:tc>
          <w:tcPr>
            <w:tcW w:w="347" w:type="pct"/>
            <w:vAlign w:val="center"/>
          </w:tcPr>
          <w:p w14:paraId="63DA19B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19A27BE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6FE2DBC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626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21311826">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w:t>
            </w:r>
          </w:p>
        </w:tc>
        <w:tc>
          <w:tcPr>
            <w:tcW w:w="400" w:type="pct"/>
            <w:vAlign w:val="center"/>
          </w:tcPr>
          <w:p w14:paraId="4C27AA1E">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六</w:t>
            </w:r>
          </w:p>
        </w:tc>
        <w:tc>
          <w:tcPr>
            <w:tcW w:w="3268" w:type="pct"/>
            <w:gridSpan w:val="2"/>
            <w:vAlign w:val="center"/>
          </w:tcPr>
          <w:p w14:paraId="44D8315F">
            <w:pPr>
              <w:jc w:val="left"/>
              <w:rPr>
                <w:rFonts w:hint="eastAsia"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货款支付方式</w:t>
            </w:r>
          </w:p>
        </w:tc>
        <w:tc>
          <w:tcPr>
            <w:tcW w:w="347" w:type="pct"/>
            <w:vAlign w:val="center"/>
          </w:tcPr>
          <w:p w14:paraId="65A48E3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7777E9A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6D5B753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6BC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534971CB">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7</w:t>
            </w:r>
          </w:p>
        </w:tc>
        <w:tc>
          <w:tcPr>
            <w:tcW w:w="400" w:type="pct"/>
            <w:vAlign w:val="center"/>
          </w:tcPr>
          <w:p w14:paraId="2A0D142D">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七</w:t>
            </w:r>
          </w:p>
        </w:tc>
        <w:tc>
          <w:tcPr>
            <w:tcW w:w="3268" w:type="pct"/>
            <w:gridSpan w:val="2"/>
            <w:vAlign w:val="center"/>
          </w:tcPr>
          <w:p w14:paraId="00AB1B49">
            <w:pPr>
              <w:pageBreakBefore w:val="0"/>
              <w:widowControl w:val="0"/>
              <w:kinsoku/>
              <w:wordWrap/>
              <w:overflowPunct/>
              <w:topLinePunct w:val="0"/>
              <w:bidi w:val="0"/>
              <w:snapToGrid/>
              <w:spacing w:line="240" w:lineRule="auto"/>
              <w:jc w:val="left"/>
              <w:textAlignment w:val="auto"/>
              <w:rPr>
                <w:rFonts w:hint="eastAsia"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预算表</w:t>
            </w:r>
          </w:p>
        </w:tc>
        <w:tc>
          <w:tcPr>
            <w:tcW w:w="347" w:type="pct"/>
            <w:vAlign w:val="center"/>
          </w:tcPr>
          <w:p w14:paraId="4056390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7CF22A9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4C461E4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C06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2" w:type="pct"/>
            <w:gridSpan w:val="4"/>
            <w:vAlign w:val="center"/>
          </w:tcPr>
          <w:p w14:paraId="19ABA8CD">
            <w:pPr>
              <w:keepNext/>
              <w:keepLines/>
              <w:pageBreakBefore w:val="0"/>
              <w:widowControl w:val="0"/>
              <w:kinsoku/>
              <w:wordWrap/>
              <w:overflowPunct/>
              <w:topLinePunct w:val="0"/>
              <w:bidi w:val="0"/>
              <w:snapToGrid/>
              <w:spacing w:line="240" w:lineRule="auto"/>
              <w:jc w:val="both"/>
              <w:textAlignment w:val="auto"/>
              <w:outlineLvl w:val="2"/>
              <w:rPr>
                <w:rFonts w:ascii="宋体" w:hAnsi="宋体" w:eastAsia="宋体" w:cs="宋体"/>
                <w:b w:val="0"/>
                <w:bCs/>
                <w:color w:val="auto"/>
                <w:kern w:val="0"/>
                <w:sz w:val="18"/>
                <w:szCs w:val="18"/>
                <w:highlight w:val="none"/>
              </w:rPr>
            </w:pPr>
            <w:bookmarkStart w:id="1063" w:name="_Toc8874"/>
            <w:bookmarkStart w:id="1064" w:name="_Toc2929"/>
            <w:bookmarkStart w:id="1065" w:name="_Toc32074"/>
            <w:bookmarkStart w:id="1066" w:name="_Toc26842"/>
            <w:r>
              <w:rPr>
                <w:rFonts w:hint="eastAsia" w:ascii="宋体" w:hAnsi="宋体" w:eastAsia="宋体" w:cs="宋体"/>
                <w:color w:val="auto"/>
                <w:sz w:val="21"/>
                <w:szCs w:val="21"/>
                <w:highlight w:val="none"/>
              </w:rPr>
              <w:t>用户需求书★技术参数条款汇总</w:t>
            </w:r>
            <w:bookmarkEnd w:id="1063"/>
            <w:bookmarkEnd w:id="1064"/>
            <w:bookmarkEnd w:id="1065"/>
            <w:bookmarkEnd w:id="1066"/>
          </w:p>
        </w:tc>
        <w:tc>
          <w:tcPr>
            <w:tcW w:w="1157" w:type="pct"/>
            <w:gridSpan w:val="3"/>
            <w:vAlign w:val="center"/>
          </w:tcPr>
          <w:p w14:paraId="3891EA1E">
            <w:pPr>
              <w:keepNext/>
              <w:keepLines/>
              <w:pageBreakBefore w:val="0"/>
              <w:widowControl w:val="0"/>
              <w:kinsoku/>
              <w:wordWrap/>
              <w:overflowPunct/>
              <w:topLinePunct w:val="0"/>
              <w:bidi w:val="0"/>
              <w:snapToGrid/>
              <w:spacing w:line="240" w:lineRule="auto"/>
              <w:jc w:val="both"/>
              <w:textAlignment w:val="auto"/>
              <w:outlineLvl w:val="2"/>
              <w:rPr>
                <w:rFonts w:hint="eastAsia" w:ascii="宋体" w:hAnsi="宋体" w:eastAsia="宋体" w:cs="宋体"/>
                <w:color w:val="auto"/>
                <w:sz w:val="21"/>
                <w:szCs w:val="21"/>
                <w:highlight w:val="none"/>
              </w:rPr>
            </w:pPr>
          </w:p>
        </w:tc>
      </w:tr>
      <w:tr w14:paraId="0B24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532F712A">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00" w:type="pct"/>
            <w:vAlign w:val="center"/>
          </w:tcPr>
          <w:p w14:paraId="21CF0817">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Merge w:val="restart"/>
            <w:vAlign w:val="center"/>
          </w:tcPr>
          <w:p w14:paraId="5DE33E98">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宋体"/>
                <w:color w:val="auto"/>
                <w:sz w:val="21"/>
                <w:szCs w:val="21"/>
                <w:highlight w:val="none"/>
              </w:rPr>
              <w:t>水表技术要求</w:t>
            </w:r>
          </w:p>
        </w:tc>
        <w:tc>
          <w:tcPr>
            <w:tcW w:w="2942" w:type="pct"/>
            <w:vAlign w:val="center"/>
          </w:tcPr>
          <w:p w14:paraId="57AC8546">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防护等级：IP68。</w:t>
            </w:r>
          </w:p>
        </w:tc>
        <w:tc>
          <w:tcPr>
            <w:tcW w:w="347" w:type="pct"/>
            <w:vAlign w:val="center"/>
          </w:tcPr>
          <w:p w14:paraId="130EFB5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16B7EFD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73AD550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804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66ED5A48">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00" w:type="pct"/>
            <w:vAlign w:val="center"/>
          </w:tcPr>
          <w:p w14:paraId="1917C9F0">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Merge w:val="continue"/>
            <w:vAlign w:val="center"/>
          </w:tcPr>
          <w:p w14:paraId="1180B2AA">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42" w:type="pct"/>
            <w:vAlign w:val="center"/>
          </w:tcPr>
          <w:p w14:paraId="7F39103C">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水表准确度等级：2级。</w:t>
            </w:r>
          </w:p>
        </w:tc>
        <w:tc>
          <w:tcPr>
            <w:tcW w:w="347" w:type="pct"/>
            <w:vAlign w:val="center"/>
          </w:tcPr>
          <w:p w14:paraId="32B4E4D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20B91A5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7D947B1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E6A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173" w:type="pct"/>
            <w:vAlign w:val="center"/>
          </w:tcPr>
          <w:p w14:paraId="35C5B6F3">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00" w:type="pct"/>
            <w:vAlign w:val="center"/>
          </w:tcPr>
          <w:p w14:paraId="229E90C3">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Merge w:val="continue"/>
            <w:vAlign w:val="center"/>
          </w:tcPr>
          <w:p w14:paraId="506B7D7B">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42" w:type="pct"/>
            <w:vAlign w:val="center"/>
          </w:tcPr>
          <w:p w14:paraId="4B341125">
            <w:pPr>
              <w:pStyle w:val="210"/>
              <w:keepNext w:val="0"/>
              <w:keepLines w:val="0"/>
              <w:pageBreakBefore w:val="0"/>
              <w:kinsoku/>
              <w:wordWrap/>
              <w:topLinePunct w:val="0"/>
              <w:bidi w:val="0"/>
              <w:adjustRightInd w:val="0"/>
              <w:snapToGrid w:val="0"/>
              <w:spacing w:beforeAutospacing="0" w:line="360" w:lineRule="auto"/>
              <w:ind w:left="0" w:leftChars="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流量参数要求</w:t>
            </w:r>
          </w:p>
          <w:tbl>
            <w:tblPr>
              <w:tblStyle w:val="39"/>
              <w:tblW w:w="5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96"/>
              <w:gridCol w:w="1168"/>
              <w:gridCol w:w="1197"/>
              <w:gridCol w:w="1294"/>
            </w:tblGrid>
            <w:tr w14:paraId="3C50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14:paraId="349A909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类型</w:t>
                  </w:r>
                </w:p>
              </w:tc>
              <w:tc>
                <w:tcPr>
                  <w:tcW w:w="1096" w:type="dxa"/>
                  <w:noWrap/>
                  <w:vAlign w:val="center"/>
                </w:tcPr>
                <w:p w14:paraId="54AE367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公称口径</w:t>
                  </w:r>
                </w:p>
                <w:p w14:paraId="6CF38A8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DN(mm)</w:t>
                  </w:r>
                </w:p>
              </w:tc>
              <w:tc>
                <w:tcPr>
                  <w:tcW w:w="1168" w:type="dxa"/>
                  <w:noWrap/>
                  <w:vAlign w:val="center"/>
                </w:tcPr>
                <w:p w14:paraId="6EA3F44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w:t>
                  </w:r>
                </w:p>
                <w:p w14:paraId="3506788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Q3（m³/h）</w:t>
                  </w:r>
                </w:p>
              </w:tc>
              <w:tc>
                <w:tcPr>
                  <w:tcW w:w="1197" w:type="dxa"/>
                  <w:noWrap/>
                  <w:vAlign w:val="center"/>
                </w:tcPr>
                <w:p w14:paraId="6158D7D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常用流量/最小流量</w:t>
                  </w:r>
                </w:p>
                <w:p w14:paraId="7905754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Q3/Q1</w:t>
                  </w:r>
                </w:p>
              </w:tc>
              <w:tc>
                <w:tcPr>
                  <w:tcW w:w="1294" w:type="dxa"/>
                  <w:noWrap/>
                  <w:vAlign w:val="center"/>
                </w:tcPr>
                <w:p w14:paraId="28670F0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分界流量/最小流量Q2/Q1</w:t>
                  </w:r>
                </w:p>
              </w:tc>
            </w:tr>
            <w:tr w14:paraId="7216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70D3696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超声波水表（缩径）</w:t>
                  </w:r>
                </w:p>
              </w:tc>
              <w:tc>
                <w:tcPr>
                  <w:tcW w:w="1096" w:type="dxa"/>
                  <w:noWrap w:val="0"/>
                  <w:vAlign w:val="center"/>
                </w:tcPr>
                <w:p w14:paraId="66285AB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1168" w:type="dxa"/>
                  <w:noWrap w:val="0"/>
                  <w:vAlign w:val="center"/>
                </w:tcPr>
                <w:p w14:paraId="0E48D43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1197" w:type="dxa"/>
                  <w:noWrap w:val="0"/>
                  <w:vAlign w:val="center"/>
                </w:tcPr>
                <w:p w14:paraId="778D41B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294" w:type="dxa"/>
                  <w:noWrap w:val="0"/>
                  <w:vAlign w:val="center"/>
                </w:tcPr>
                <w:p w14:paraId="01FC1EE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6C30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59328C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6" w:type="dxa"/>
                  <w:noWrap w:val="0"/>
                  <w:vAlign w:val="center"/>
                </w:tcPr>
                <w:p w14:paraId="3DBC91B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1168" w:type="dxa"/>
                  <w:noWrap w:val="0"/>
                  <w:vAlign w:val="center"/>
                </w:tcPr>
                <w:p w14:paraId="29A13A7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1197" w:type="dxa"/>
                  <w:noWrap w:val="0"/>
                  <w:vAlign w:val="center"/>
                </w:tcPr>
                <w:p w14:paraId="76B3CD4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294" w:type="dxa"/>
                  <w:noWrap w:val="0"/>
                  <w:vAlign w:val="center"/>
                </w:tcPr>
                <w:p w14:paraId="47FAECD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6A72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3B0A69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6" w:type="dxa"/>
                  <w:noWrap w:val="0"/>
                  <w:vAlign w:val="center"/>
                </w:tcPr>
                <w:p w14:paraId="192B2FC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1168" w:type="dxa"/>
                  <w:noWrap w:val="0"/>
                  <w:vAlign w:val="center"/>
                </w:tcPr>
                <w:p w14:paraId="25A443B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197" w:type="dxa"/>
                  <w:noWrap w:val="0"/>
                  <w:vAlign w:val="center"/>
                </w:tcPr>
                <w:p w14:paraId="6A8FDC3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294" w:type="dxa"/>
                  <w:noWrap w:val="0"/>
                  <w:vAlign w:val="center"/>
                </w:tcPr>
                <w:p w14:paraId="0A0467D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3876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2C2590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6" w:type="dxa"/>
                  <w:noWrap w:val="0"/>
                  <w:vAlign w:val="center"/>
                </w:tcPr>
                <w:p w14:paraId="2959245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1168" w:type="dxa"/>
                  <w:noWrap w:val="0"/>
                  <w:vAlign w:val="center"/>
                </w:tcPr>
                <w:p w14:paraId="77D634A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197" w:type="dxa"/>
                  <w:noWrap w:val="0"/>
                  <w:vAlign w:val="center"/>
                </w:tcPr>
                <w:p w14:paraId="7EDA42A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294" w:type="dxa"/>
                  <w:noWrap w:val="0"/>
                  <w:vAlign w:val="center"/>
                </w:tcPr>
                <w:p w14:paraId="0797B9E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1F13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4E6AEC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6" w:type="dxa"/>
                  <w:noWrap w:val="0"/>
                  <w:vAlign w:val="center"/>
                </w:tcPr>
                <w:p w14:paraId="783899C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1168" w:type="dxa"/>
                  <w:noWrap w:val="0"/>
                  <w:vAlign w:val="center"/>
                </w:tcPr>
                <w:p w14:paraId="793215F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1197" w:type="dxa"/>
                  <w:noWrap w:val="0"/>
                  <w:vAlign w:val="center"/>
                </w:tcPr>
                <w:p w14:paraId="1864A73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1294" w:type="dxa"/>
                  <w:noWrap w:val="0"/>
                  <w:vAlign w:val="center"/>
                </w:tcPr>
                <w:p w14:paraId="48F7D08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2ADD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2346940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超声波水表（通径）</w:t>
                  </w:r>
                </w:p>
              </w:tc>
              <w:tc>
                <w:tcPr>
                  <w:tcW w:w="1096" w:type="dxa"/>
                  <w:noWrap w:val="0"/>
                  <w:vAlign w:val="center"/>
                </w:tcPr>
                <w:p w14:paraId="630136D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DN80</w:t>
                  </w:r>
                </w:p>
              </w:tc>
              <w:tc>
                <w:tcPr>
                  <w:tcW w:w="1168" w:type="dxa"/>
                  <w:noWrap w:val="0"/>
                  <w:vAlign w:val="center"/>
                </w:tcPr>
                <w:p w14:paraId="1547637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1197" w:type="dxa"/>
                  <w:noWrap w:val="0"/>
                  <w:vAlign w:val="center"/>
                </w:tcPr>
                <w:p w14:paraId="102BD83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294" w:type="dxa"/>
                  <w:noWrap w:val="0"/>
                  <w:vAlign w:val="center"/>
                </w:tcPr>
                <w:p w14:paraId="48E21E3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3A2F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B23D59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6" w:type="dxa"/>
                  <w:noWrap w:val="0"/>
                  <w:vAlign w:val="center"/>
                </w:tcPr>
                <w:p w14:paraId="1C2B5AD9">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DN100</w:t>
                  </w:r>
                </w:p>
              </w:tc>
              <w:tc>
                <w:tcPr>
                  <w:tcW w:w="1168" w:type="dxa"/>
                  <w:noWrap w:val="0"/>
                  <w:vAlign w:val="center"/>
                </w:tcPr>
                <w:p w14:paraId="1D076D2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1197" w:type="dxa"/>
                  <w:noWrap w:val="0"/>
                  <w:vAlign w:val="center"/>
                </w:tcPr>
                <w:p w14:paraId="46D1DB6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294" w:type="dxa"/>
                  <w:noWrap w:val="0"/>
                  <w:vAlign w:val="center"/>
                </w:tcPr>
                <w:p w14:paraId="5CC5508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386B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8DA14D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6" w:type="dxa"/>
                  <w:noWrap w:val="0"/>
                  <w:vAlign w:val="center"/>
                </w:tcPr>
                <w:p w14:paraId="39BFB1B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DN150</w:t>
                  </w:r>
                </w:p>
              </w:tc>
              <w:tc>
                <w:tcPr>
                  <w:tcW w:w="1168" w:type="dxa"/>
                  <w:noWrap w:val="0"/>
                  <w:vAlign w:val="center"/>
                </w:tcPr>
                <w:p w14:paraId="7352926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197" w:type="dxa"/>
                  <w:noWrap w:val="0"/>
                  <w:vAlign w:val="center"/>
                </w:tcPr>
                <w:p w14:paraId="2ECA360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294" w:type="dxa"/>
                  <w:noWrap w:val="0"/>
                  <w:vAlign w:val="center"/>
                </w:tcPr>
                <w:p w14:paraId="7CFF972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40AD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C55560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6" w:type="dxa"/>
                  <w:noWrap w:val="0"/>
                  <w:vAlign w:val="center"/>
                </w:tcPr>
                <w:p w14:paraId="5478E9D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1168" w:type="dxa"/>
                  <w:noWrap w:val="0"/>
                  <w:vAlign w:val="center"/>
                </w:tcPr>
                <w:p w14:paraId="28B8C6B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630</w:t>
                  </w:r>
                </w:p>
              </w:tc>
              <w:tc>
                <w:tcPr>
                  <w:tcW w:w="1197" w:type="dxa"/>
                  <w:noWrap w:val="0"/>
                  <w:vAlign w:val="center"/>
                </w:tcPr>
                <w:p w14:paraId="31E620C8">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294" w:type="dxa"/>
                  <w:noWrap w:val="0"/>
                  <w:vAlign w:val="center"/>
                </w:tcPr>
                <w:p w14:paraId="321C626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566B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FD97B3B">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6" w:type="dxa"/>
                  <w:noWrap w:val="0"/>
                  <w:vAlign w:val="center"/>
                </w:tcPr>
                <w:p w14:paraId="7F3CA0D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1168" w:type="dxa"/>
                  <w:noWrap w:val="0"/>
                  <w:vAlign w:val="center"/>
                </w:tcPr>
                <w:p w14:paraId="7D32B8F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1197" w:type="dxa"/>
                  <w:noWrap w:val="0"/>
                  <w:vAlign w:val="center"/>
                </w:tcPr>
                <w:p w14:paraId="1BE4834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294" w:type="dxa"/>
                  <w:noWrap w:val="0"/>
                  <w:vAlign w:val="center"/>
                </w:tcPr>
                <w:p w14:paraId="2187384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r w14:paraId="7D0E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339E7E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6" w:type="dxa"/>
                  <w:noWrap w:val="0"/>
                  <w:vAlign w:val="center"/>
                </w:tcPr>
                <w:p w14:paraId="7CFC82E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1168" w:type="dxa"/>
                  <w:noWrap w:val="0"/>
                  <w:vAlign w:val="center"/>
                </w:tcPr>
                <w:p w14:paraId="7C0FAFDF">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1600</w:t>
                  </w:r>
                </w:p>
              </w:tc>
              <w:tc>
                <w:tcPr>
                  <w:tcW w:w="1197" w:type="dxa"/>
                  <w:noWrap w:val="0"/>
                  <w:vAlign w:val="center"/>
                </w:tcPr>
                <w:p w14:paraId="1A39EB3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294" w:type="dxa"/>
                  <w:noWrap w:val="0"/>
                  <w:vAlign w:val="center"/>
                </w:tcPr>
                <w:p w14:paraId="07981C1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r>
          </w:tbl>
          <w:p w14:paraId="112117CC">
            <w:pPr>
              <w:keepNext w:val="0"/>
              <w:keepLines w:val="0"/>
              <w:pageBreakBefore w:val="0"/>
              <w:kinsoku/>
              <w:wordWrap/>
              <w:overflowPunct/>
              <w:topLinePunct w:val="0"/>
              <w:bidi w:val="0"/>
              <w:adjustRightInd w:val="0"/>
              <w:snapToGrid w:val="0"/>
              <w:spacing w:before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p>
        </w:tc>
        <w:tc>
          <w:tcPr>
            <w:tcW w:w="347" w:type="pct"/>
            <w:vAlign w:val="center"/>
          </w:tcPr>
          <w:p w14:paraId="26E7F5D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5F2AE96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28B1747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FB2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5F02CE72">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00" w:type="pct"/>
            <w:vAlign w:val="center"/>
          </w:tcPr>
          <w:p w14:paraId="20A6D154">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Merge w:val="continue"/>
            <w:vAlign w:val="center"/>
          </w:tcPr>
          <w:p w14:paraId="1393672F">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42" w:type="pct"/>
            <w:vAlign w:val="center"/>
          </w:tcPr>
          <w:p w14:paraId="3F6965EF">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★2.2.6 水表应印有“东莞水务环境集团供水公司L0G0+客服热线96968”字样（具体样式中标后由招标人提供），其中印刷费计入投标报价。</w:t>
            </w:r>
          </w:p>
          <w:p w14:paraId="2086B55F">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水表外壳、指示装置或铭牌、不可分离的表盖上，应集中或分散标明计量参数、流向箭头、公称口径、制造年月和编号等信息。</w:t>
            </w:r>
          </w:p>
        </w:tc>
        <w:tc>
          <w:tcPr>
            <w:tcW w:w="347" w:type="pct"/>
            <w:vAlign w:val="center"/>
          </w:tcPr>
          <w:p w14:paraId="6515B00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1D35B53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23BD887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8CD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3708CB69">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00" w:type="pct"/>
            <w:vAlign w:val="center"/>
          </w:tcPr>
          <w:p w14:paraId="3EF94F62">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Merge w:val="continue"/>
            <w:vAlign w:val="center"/>
          </w:tcPr>
          <w:p w14:paraId="176AE3BB">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42" w:type="pct"/>
            <w:vAlign w:val="center"/>
          </w:tcPr>
          <w:p w14:paraId="0137075D">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★2.2.17 首次检定或校准：投标人在交货的同时，需提交货物出厂合格证明和东莞地区法定计量检定机构出具的水表检定合格证书或校准证书，并对所提交证书的真实性及准确性承担责任</w:t>
            </w:r>
            <w:r>
              <w:rPr>
                <w:rFonts w:hint="eastAsia" w:ascii="宋体" w:hAnsi="宋体" w:eastAsia="宋体" w:cs="宋体"/>
                <w:b/>
                <w:bCs/>
                <w:color w:val="auto"/>
                <w:sz w:val="21"/>
                <w:szCs w:val="21"/>
                <w:highlight w:val="none"/>
                <w:lang w:val="en-US" w:eastAsia="zh-CN"/>
              </w:rPr>
              <w:t>（投标阶段需就上述事项提供相关承诺文件）</w:t>
            </w:r>
            <w:r>
              <w:rPr>
                <w:rFonts w:hint="eastAsia" w:ascii="宋体" w:hAnsi="宋体" w:eastAsia="宋体" w:cs="宋体"/>
                <w:color w:val="auto"/>
                <w:sz w:val="21"/>
                <w:szCs w:val="21"/>
                <w:highlight w:val="none"/>
                <w:lang w:val="en-US" w:eastAsia="zh-CN"/>
              </w:rPr>
              <w:t>。</w:t>
            </w:r>
          </w:p>
        </w:tc>
        <w:tc>
          <w:tcPr>
            <w:tcW w:w="347" w:type="pct"/>
            <w:vAlign w:val="center"/>
          </w:tcPr>
          <w:p w14:paraId="62E46E4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101E7C7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1FBA35A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10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5884BD8B">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00" w:type="pct"/>
            <w:vAlign w:val="center"/>
          </w:tcPr>
          <w:p w14:paraId="5EC1BA38">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Merge w:val="continue"/>
            <w:vAlign w:val="center"/>
          </w:tcPr>
          <w:p w14:paraId="54F67D4E">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42" w:type="pct"/>
            <w:vAlign w:val="center"/>
          </w:tcPr>
          <w:p w14:paraId="4BC01BBF">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★2.3.7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sz w:val="21"/>
                <w:szCs w:val="21"/>
                <w:highlight w:val="none"/>
                <w:lang w:val="en-US" w:eastAsia="zh-CN"/>
              </w:rPr>
              <w:t>（需提供产品说明书和相关承诺文件）</w:t>
            </w:r>
            <w:r>
              <w:rPr>
                <w:rFonts w:hint="eastAsia" w:ascii="宋体" w:hAnsi="宋体" w:eastAsia="宋体" w:cs="宋体"/>
                <w:color w:val="auto"/>
                <w:sz w:val="21"/>
                <w:szCs w:val="21"/>
                <w:highlight w:val="none"/>
                <w:lang w:val="en-US" w:eastAsia="zh-CN"/>
              </w:rPr>
              <w:t>。</w:t>
            </w:r>
          </w:p>
        </w:tc>
        <w:tc>
          <w:tcPr>
            <w:tcW w:w="347" w:type="pct"/>
            <w:vAlign w:val="center"/>
          </w:tcPr>
          <w:p w14:paraId="0AC42B6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5FEAC32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10B7227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B74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5DA3283B">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00" w:type="pct"/>
            <w:vAlign w:val="center"/>
          </w:tcPr>
          <w:p w14:paraId="74C70D12">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Merge w:val="continue"/>
            <w:vAlign w:val="center"/>
          </w:tcPr>
          <w:p w14:paraId="0E3CD745">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42" w:type="pct"/>
            <w:vAlign w:val="center"/>
          </w:tcPr>
          <w:p w14:paraId="03EB0AB5">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★2.3.10 远传模块的通讯协议需符合招标人物联网终端传输规约的有关要求</w:t>
            </w:r>
            <w:r>
              <w:rPr>
                <w:rFonts w:hint="eastAsia" w:ascii="宋体" w:hAnsi="宋体" w:eastAsia="宋体" w:cs="宋体"/>
                <w:b/>
                <w:bCs/>
                <w:color w:val="auto"/>
                <w:sz w:val="21"/>
                <w:szCs w:val="21"/>
                <w:highlight w:val="none"/>
              </w:rPr>
              <w:t>（需提供相关承诺文件）</w:t>
            </w:r>
            <w:r>
              <w:rPr>
                <w:rFonts w:hint="eastAsia" w:ascii="宋体" w:hAnsi="宋体" w:eastAsia="宋体" w:cs="宋体"/>
                <w:b w:val="0"/>
                <w:bCs w:val="0"/>
                <w:color w:val="auto"/>
                <w:sz w:val="21"/>
                <w:szCs w:val="21"/>
                <w:highlight w:val="none"/>
              </w:rPr>
              <w:t>。</w:t>
            </w:r>
          </w:p>
        </w:tc>
        <w:tc>
          <w:tcPr>
            <w:tcW w:w="347" w:type="pct"/>
            <w:vAlign w:val="center"/>
          </w:tcPr>
          <w:p w14:paraId="66B4A10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1F15A10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58B80DA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648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717FD3E6">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00" w:type="pct"/>
            <w:vAlign w:val="center"/>
          </w:tcPr>
          <w:p w14:paraId="32589580">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Merge w:val="continue"/>
            <w:vAlign w:val="center"/>
          </w:tcPr>
          <w:p w14:paraId="0751C95B">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42" w:type="pct"/>
            <w:vAlign w:val="center"/>
          </w:tcPr>
          <w:p w14:paraId="0A9C929C">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★2.3.11 平台对接：所有数据按招标人要求无缝融合到招标人智能水表管理系统，中标人需无偿配合远传水表的接入工作</w:t>
            </w:r>
            <w:r>
              <w:rPr>
                <w:rFonts w:hint="eastAsia" w:ascii="宋体" w:hAnsi="宋体" w:eastAsia="宋体" w:cs="宋体"/>
                <w:b/>
                <w:bCs/>
                <w:color w:val="auto"/>
                <w:sz w:val="21"/>
                <w:szCs w:val="21"/>
                <w:highlight w:val="none"/>
                <w:lang w:val="en-US" w:eastAsia="zh-CN"/>
              </w:rPr>
              <w:t>（需提供可无缝接入中标人所指定的系统管理平台的承诺函）</w:t>
            </w:r>
            <w:r>
              <w:rPr>
                <w:rFonts w:hint="eastAsia" w:ascii="宋体" w:hAnsi="宋体" w:eastAsia="宋体" w:cs="宋体"/>
                <w:color w:val="auto"/>
                <w:sz w:val="21"/>
                <w:szCs w:val="21"/>
                <w:highlight w:val="none"/>
                <w:lang w:val="en-US" w:eastAsia="zh-CN"/>
              </w:rPr>
              <w:t>。</w:t>
            </w:r>
          </w:p>
        </w:tc>
        <w:tc>
          <w:tcPr>
            <w:tcW w:w="347" w:type="pct"/>
            <w:vAlign w:val="center"/>
          </w:tcPr>
          <w:p w14:paraId="4033F92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741993F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6B82F42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CFE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vAlign w:val="center"/>
          </w:tcPr>
          <w:p w14:paraId="674B6380">
            <w:pPr>
              <w:keepNext/>
              <w:keepLines/>
              <w:pageBreakBefore w:val="0"/>
              <w:widowControl w:val="0"/>
              <w:kinsoku/>
              <w:wordWrap/>
              <w:overflowPunct/>
              <w:topLinePunct w:val="0"/>
              <w:bidi w:val="0"/>
              <w:snapToGrid/>
              <w:spacing w:line="240" w:lineRule="auto"/>
              <w:jc w:val="both"/>
              <w:textAlignment w:val="auto"/>
              <w:outlineLvl w:val="2"/>
              <w:rPr>
                <w:rFonts w:ascii="宋体" w:hAnsi="宋体" w:eastAsia="宋体" w:cs="宋体"/>
                <w:b w:val="0"/>
                <w:bCs/>
                <w:color w:val="auto"/>
                <w:kern w:val="0"/>
                <w:sz w:val="18"/>
                <w:szCs w:val="18"/>
                <w:highlight w:val="none"/>
              </w:rPr>
            </w:pPr>
            <w:bookmarkStart w:id="1067" w:name="_Toc2097"/>
            <w:bookmarkStart w:id="1068" w:name="_Toc21319"/>
            <w:bookmarkStart w:id="1069" w:name="_Toc20699"/>
            <w:bookmarkStart w:id="1070" w:name="_Toc28523"/>
            <w:r>
              <w:rPr>
                <w:rFonts w:hint="eastAsia" w:ascii="宋体" w:hAnsi="宋体" w:eastAsia="宋体" w:cs="宋体"/>
                <w:color w:val="auto"/>
                <w:sz w:val="21"/>
                <w:szCs w:val="21"/>
                <w:highlight w:val="none"/>
              </w:rPr>
              <w:t>用户需求书</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技术参数条款汇总</w:t>
            </w:r>
            <w:bookmarkEnd w:id="1067"/>
            <w:bookmarkEnd w:id="1068"/>
            <w:bookmarkEnd w:id="1069"/>
            <w:bookmarkEnd w:id="1070"/>
          </w:p>
        </w:tc>
      </w:tr>
      <w:tr w14:paraId="3551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18D04B14">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00" w:type="pct"/>
            <w:vAlign w:val="center"/>
          </w:tcPr>
          <w:p w14:paraId="4C0D8DA8">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Align w:val="center"/>
          </w:tcPr>
          <w:p w14:paraId="15256558">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宋体"/>
                <w:color w:val="auto"/>
                <w:sz w:val="21"/>
                <w:szCs w:val="21"/>
                <w:highlight w:val="none"/>
              </w:rPr>
              <w:t>水表技术要求</w:t>
            </w:r>
          </w:p>
        </w:tc>
        <w:tc>
          <w:tcPr>
            <w:tcW w:w="2942" w:type="pct"/>
            <w:vAlign w:val="center"/>
          </w:tcPr>
          <w:p w14:paraId="5FE00B23">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电磁环境等级：</w:t>
            </w:r>
            <w:r>
              <w:rPr>
                <w:rFonts w:hint="eastAsia" w:ascii="宋体" w:hAnsi="宋体" w:eastAsia="宋体" w:cs="宋体"/>
                <w:color w:val="auto"/>
                <w:kern w:val="0"/>
                <w:sz w:val="21"/>
                <w:szCs w:val="21"/>
                <w:highlight w:val="none"/>
                <w:lang w:val="en-US" w:eastAsia="zh-CN"/>
              </w:rPr>
              <w:t>E2级</w:t>
            </w:r>
            <w:r>
              <w:rPr>
                <w:rFonts w:hint="eastAsia" w:ascii="宋体" w:hAnsi="宋体" w:eastAsia="宋体" w:cs="宋体"/>
                <w:color w:val="auto"/>
                <w:kern w:val="0"/>
                <w:sz w:val="21"/>
                <w:szCs w:val="21"/>
                <w:highlight w:val="none"/>
              </w:rPr>
              <w:t>。</w:t>
            </w:r>
          </w:p>
        </w:tc>
        <w:tc>
          <w:tcPr>
            <w:tcW w:w="347" w:type="pct"/>
            <w:vAlign w:val="center"/>
          </w:tcPr>
          <w:p w14:paraId="292AB1E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60ACD22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0BE56C7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91F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319813A7">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00" w:type="pct"/>
            <w:vAlign w:val="center"/>
          </w:tcPr>
          <w:p w14:paraId="062647E3">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Align w:val="center"/>
          </w:tcPr>
          <w:p w14:paraId="7393C712">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42" w:type="pct"/>
            <w:vAlign w:val="center"/>
          </w:tcPr>
          <w:p w14:paraId="61FE83EF">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r>
              <w:rPr>
                <w:rFonts w:hint="eastAsia" w:ascii="宋体" w:hAnsi="宋体" w:eastAsia="宋体" w:cs="宋体"/>
                <w:color w:val="auto"/>
                <w:kern w:val="0"/>
                <w:sz w:val="21"/>
                <w:szCs w:val="21"/>
                <w:highlight w:val="none"/>
              </w:rPr>
              <w:t>。</w:t>
            </w:r>
          </w:p>
        </w:tc>
        <w:tc>
          <w:tcPr>
            <w:tcW w:w="347" w:type="pct"/>
            <w:vAlign w:val="center"/>
          </w:tcPr>
          <w:p w14:paraId="465AFA6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2179020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34A98F4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4F74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 w:type="pct"/>
            <w:vAlign w:val="center"/>
          </w:tcPr>
          <w:p w14:paraId="4906A66B">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00" w:type="pct"/>
            <w:vAlign w:val="center"/>
          </w:tcPr>
          <w:p w14:paraId="760C8ED8">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26" w:type="pct"/>
            <w:vAlign w:val="center"/>
          </w:tcPr>
          <w:p w14:paraId="2B4945B3">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2942" w:type="pct"/>
            <w:vAlign w:val="center"/>
          </w:tcPr>
          <w:p w14:paraId="4EC6BC4C">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日</w:t>
            </w:r>
            <w:r>
              <w:rPr>
                <w:rFonts w:hint="eastAsia" w:ascii="宋体" w:hAnsi="宋体" w:eastAsia="宋体" w:cs="宋体"/>
                <w:color w:val="auto"/>
                <w:kern w:val="0"/>
                <w:sz w:val="21"/>
                <w:szCs w:val="21"/>
                <w:highlight w:val="none"/>
              </w:rPr>
              <w:t>数据传输成功率≥99% ，抄读准确率≥99%</w:t>
            </w:r>
            <w:r>
              <w:rPr>
                <w:rFonts w:hint="eastAsia" w:ascii="宋体" w:hAnsi="宋体" w:eastAsia="宋体" w:cs="宋体"/>
                <w:b/>
                <w:bCs/>
                <w:color w:val="auto"/>
                <w:kern w:val="0"/>
                <w:sz w:val="21"/>
                <w:szCs w:val="21"/>
                <w:highlight w:val="none"/>
              </w:rPr>
              <w:t>（投标人提供相关水表用户使用情况及证明材料）</w:t>
            </w:r>
            <w:r>
              <w:rPr>
                <w:rFonts w:hint="eastAsia" w:ascii="宋体" w:hAnsi="宋体" w:eastAsia="宋体" w:cs="宋体"/>
                <w:color w:val="auto"/>
                <w:kern w:val="0"/>
                <w:sz w:val="21"/>
                <w:szCs w:val="21"/>
                <w:highlight w:val="none"/>
              </w:rPr>
              <w:t>。</w:t>
            </w:r>
          </w:p>
        </w:tc>
        <w:tc>
          <w:tcPr>
            <w:tcW w:w="347" w:type="pct"/>
            <w:vAlign w:val="center"/>
          </w:tcPr>
          <w:p w14:paraId="152A666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505" w:type="pct"/>
            <w:vAlign w:val="center"/>
          </w:tcPr>
          <w:p w14:paraId="0F059C1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04" w:type="pct"/>
            <w:vAlign w:val="center"/>
          </w:tcPr>
          <w:p w14:paraId="4B06890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5A6D19CA">
      <w:pPr>
        <w:spacing w:line="360" w:lineRule="auto"/>
        <w:rPr>
          <w:rFonts w:ascii="宋体" w:hAnsi="宋体" w:eastAsia="宋体" w:cs="宋体"/>
          <w:color w:val="auto"/>
          <w:szCs w:val="21"/>
          <w:highlight w:val="none"/>
        </w:rPr>
      </w:pPr>
    </w:p>
    <w:p w14:paraId="0B81C9E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BF114BB">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或“</w:t>
      </w:r>
      <w:r>
        <w:rPr>
          <w:rFonts w:hint="eastAsia" w:ascii="宋体" w:hAnsi="宋体" w:eastAsia="宋体" w:cs="宋体"/>
          <w:color w:val="auto"/>
          <w:kern w:val="0"/>
          <w:sz w:val="21"/>
          <w:szCs w:val="21"/>
          <w:highlight w:val="none"/>
        </w:rPr>
        <w:t>▲</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条款须逐条逐项、如实地填写“偏离情况”，未填写“★”条款</w:t>
      </w:r>
      <w:r>
        <w:rPr>
          <w:rFonts w:hint="eastAsia" w:ascii="宋体" w:hAnsi="宋体" w:eastAsia="宋体" w:cs="宋体"/>
          <w:b/>
          <w:color w:val="auto"/>
          <w:szCs w:val="21"/>
          <w:highlight w:val="none"/>
          <w:u w:val="single"/>
          <w:lang w:val="en-US" w:eastAsia="zh-CN"/>
        </w:rPr>
        <w:t>及“</w:t>
      </w:r>
      <w:r>
        <w:rPr>
          <w:rFonts w:hint="eastAsia" w:ascii="宋体" w:hAnsi="宋体" w:eastAsia="宋体" w:cs="宋体"/>
          <w:color w:val="auto"/>
          <w:kern w:val="0"/>
          <w:sz w:val="21"/>
          <w:szCs w:val="21"/>
          <w:highlight w:val="none"/>
        </w:rPr>
        <w:t>▲</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条款以外的条款的，视为完全满足招标文件要求。</w:t>
      </w:r>
    </w:p>
    <w:p w14:paraId="245E1E6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1A3763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A0A56D6">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7DE87818">
      <w:pPr>
        <w:spacing w:line="360" w:lineRule="auto"/>
        <w:ind w:left="645" w:leftChars="0" w:hanging="645" w:hangingChars="306"/>
        <w:rPr>
          <w:rFonts w:hint="eastAsia"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w:t>
      </w:r>
      <w:r>
        <w:rPr>
          <w:rFonts w:hint="eastAsia" w:ascii="宋体" w:hAnsi="宋体" w:eastAsia="宋体" w:cs="Times New Roman"/>
          <w:b/>
          <w:color w:val="auto"/>
          <w:kern w:val="0"/>
          <w:szCs w:val="21"/>
          <w:highlight w:val="none"/>
          <w:u w:val="single"/>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39B6495B">
      <w:pPr>
        <w:spacing w:line="360" w:lineRule="auto"/>
        <w:ind w:left="689" w:leftChars="18" w:hanging="651" w:hangingChars="270"/>
        <w:rPr>
          <w:rFonts w:ascii="宋体" w:hAnsi="宋体" w:eastAsia="宋体" w:cs="Times New Roman"/>
          <w:b/>
          <w:color w:val="auto"/>
          <w:kern w:val="0"/>
          <w:sz w:val="24"/>
          <w:szCs w:val="21"/>
          <w:highlight w:val="none"/>
          <w:u w:val="single"/>
          <w:lang w:val="zh-CN"/>
        </w:rPr>
      </w:pPr>
    </w:p>
    <w:p w14:paraId="03829895">
      <w:pPr>
        <w:spacing w:line="360" w:lineRule="auto"/>
        <w:rPr>
          <w:rFonts w:ascii="宋体" w:hAnsi="宋体" w:eastAsia="宋体" w:cs="宋体"/>
          <w:color w:val="auto"/>
          <w:szCs w:val="21"/>
          <w:highlight w:val="none"/>
        </w:rPr>
      </w:pPr>
    </w:p>
    <w:p w14:paraId="4C44902B">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692571B3">
      <w:pPr>
        <w:autoSpaceDE w:val="0"/>
        <w:autoSpaceDN w:val="0"/>
        <w:adjustRightInd w:val="0"/>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bookmarkStart w:id="1071" w:name="_Toc28623"/>
      <w:bookmarkStart w:id="1072" w:name="_Toc102860087"/>
      <w:bookmarkStart w:id="1073" w:name="_Toc20665"/>
      <w:bookmarkStart w:id="1074" w:name="_Toc142508382"/>
      <w:bookmarkStart w:id="1075" w:name="_Toc140596942"/>
      <w:bookmarkStart w:id="1076" w:name="_Toc102860431"/>
      <w:bookmarkStart w:id="1077" w:name="_Toc94107224"/>
      <w:bookmarkStart w:id="1078" w:name="_Toc104991889"/>
    </w:p>
    <w:bookmarkEnd w:id="1071"/>
    <w:bookmarkEnd w:id="1072"/>
    <w:bookmarkEnd w:id="1073"/>
    <w:bookmarkEnd w:id="1074"/>
    <w:bookmarkEnd w:id="1075"/>
    <w:bookmarkEnd w:id="1076"/>
    <w:bookmarkEnd w:id="1077"/>
    <w:bookmarkEnd w:id="1078"/>
    <w:p w14:paraId="660E2AF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eastAsia="zh-CN"/>
        </w:rPr>
      </w:pPr>
      <w:bookmarkStart w:id="1079" w:name="_Toc9570"/>
      <w:bookmarkStart w:id="1080" w:name="_Toc15482"/>
      <w:bookmarkStart w:id="1081" w:name="_Toc3292"/>
      <w:bookmarkStart w:id="1082" w:name="_Toc15284"/>
      <w:bookmarkStart w:id="1083" w:name="_Toc6926"/>
      <w:bookmarkStart w:id="1084" w:name="_Toc102860094"/>
      <w:bookmarkStart w:id="1085" w:name="_Toc104991896"/>
      <w:bookmarkStart w:id="1086" w:name="_Toc140596949"/>
      <w:bookmarkStart w:id="1087" w:name="_Toc102860438"/>
      <w:bookmarkStart w:id="1088" w:name="_Toc142508389"/>
      <w:bookmarkStart w:id="1089" w:name="_Toc533708139"/>
      <w:r>
        <w:rPr>
          <w:rFonts w:hint="eastAsia" w:ascii="宋体" w:hAnsi="宋体" w:eastAsia="宋体" w:cs="宋体"/>
          <w:b/>
          <w:bCs/>
          <w:color w:val="auto"/>
          <w:sz w:val="30"/>
          <w:szCs w:val="30"/>
          <w:highlight w:val="none"/>
          <w:lang w:val="en-US" w:eastAsia="zh-CN"/>
        </w:rPr>
        <w:t>13.1.1</w:t>
      </w:r>
      <w:r>
        <w:rPr>
          <w:rFonts w:hint="eastAsia" w:ascii="宋体" w:hAnsi="宋体" w:eastAsia="宋体" w:cs="宋体"/>
          <w:b/>
          <w:bCs/>
          <w:color w:val="auto"/>
          <w:sz w:val="30"/>
          <w:szCs w:val="30"/>
          <w:highlight w:val="none"/>
        </w:rPr>
        <w:t xml:space="preserve"> 首次检定：首次检定或校准：投标人在交货的同时，需提交货物出厂合格证明和东莞地区法定计量检定机构出具的水表检定合格证书或校准证书，并对所提交证书的真实性及准确性承担责任（投标阶段需就上述事项提供相关承诺文件）</w:t>
      </w:r>
      <w:r>
        <w:rPr>
          <w:rFonts w:hint="eastAsia" w:ascii="宋体" w:hAnsi="宋体" w:eastAsia="宋体" w:cs="宋体"/>
          <w:b/>
          <w:bCs/>
          <w:color w:val="auto"/>
          <w:sz w:val="30"/>
          <w:szCs w:val="30"/>
          <w:highlight w:val="none"/>
          <w:lang w:eastAsia="zh-CN"/>
        </w:rPr>
        <w:t>。</w:t>
      </w:r>
      <w:bookmarkEnd w:id="1079"/>
      <w:bookmarkEnd w:id="1080"/>
      <w:bookmarkEnd w:id="1081"/>
      <w:bookmarkEnd w:id="1082"/>
    </w:p>
    <w:p w14:paraId="50E5D8CD">
      <w:pPr>
        <w:rPr>
          <w:rFonts w:hint="eastAsia"/>
          <w:color w:val="auto"/>
          <w:highlight w:val="none"/>
          <w:lang w:val="en-US" w:eastAsia="zh-CN"/>
        </w:rPr>
      </w:pPr>
    </w:p>
    <w:p w14:paraId="789F576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63B137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bookmarkStart w:id="1090" w:name="_Toc11656"/>
      <w:bookmarkStart w:id="1091" w:name="_Toc18456"/>
      <w:bookmarkStart w:id="1092" w:name="_Toc18093"/>
      <w:bookmarkStart w:id="1093" w:name="_Toc3985"/>
      <w:r>
        <w:rPr>
          <w:rFonts w:hint="eastAsia" w:ascii="宋体" w:hAnsi="宋体" w:eastAsia="宋体" w:cs="宋体"/>
          <w:b/>
          <w:bCs/>
          <w:color w:val="auto"/>
          <w:sz w:val="30"/>
          <w:szCs w:val="30"/>
          <w:highlight w:val="none"/>
          <w:lang w:val="en-US" w:eastAsia="zh-CN"/>
        </w:rPr>
        <w:t>13.1.2 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bookmarkEnd w:id="1090"/>
      <w:bookmarkEnd w:id="1091"/>
      <w:bookmarkEnd w:id="1092"/>
      <w:bookmarkEnd w:id="1093"/>
    </w:p>
    <w:p w14:paraId="5549FDA2">
      <w:pPr>
        <w:rPr>
          <w:rFonts w:hint="eastAsia"/>
          <w:color w:val="auto"/>
          <w:highlight w:val="none"/>
          <w:lang w:val="en-US" w:eastAsia="zh-CN"/>
        </w:rPr>
      </w:pPr>
      <w:r>
        <w:rPr>
          <w:rFonts w:hint="eastAsia"/>
          <w:color w:val="auto"/>
          <w:highlight w:val="none"/>
          <w:lang w:val="en-US" w:eastAsia="zh-CN"/>
        </w:rPr>
        <w:br w:type="page"/>
      </w:r>
    </w:p>
    <w:p w14:paraId="399C600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bookmarkStart w:id="1094" w:name="_Toc17851"/>
      <w:bookmarkStart w:id="1095" w:name="_Toc5163"/>
      <w:bookmarkStart w:id="1096" w:name="_Toc30890"/>
      <w:bookmarkStart w:id="1097" w:name="_Toc30077"/>
      <w:r>
        <w:rPr>
          <w:rFonts w:hint="eastAsia" w:ascii="宋体" w:hAnsi="宋体" w:eastAsia="宋体" w:cs="宋体"/>
          <w:b/>
          <w:bCs/>
          <w:color w:val="auto"/>
          <w:sz w:val="30"/>
          <w:szCs w:val="30"/>
          <w:highlight w:val="none"/>
          <w:lang w:val="en-US" w:eastAsia="zh-CN"/>
        </w:rPr>
        <w:t>13.1.3 远传模块的通讯协议需符合招标人物联网终端传输规约的有关要求（需提供相关承诺文件）。</w:t>
      </w:r>
      <w:bookmarkEnd w:id="1094"/>
      <w:bookmarkEnd w:id="1095"/>
      <w:bookmarkEnd w:id="1096"/>
      <w:bookmarkEnd w:id="1097"/>
    </w:p>
    <w:p w14:paraId="367C31AF">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6C7F1FA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bookmarkStart w:id="1098" w:name="_Toc17101"/>
      <w:bookmarkStart w:id="1099" w:name="_Toc16998"/>
      <w:bookmarkStart w:id="1100" w:name="_Toc2433"/>
      <w:bookmarkStart w:id="1101" w:name="_Toc18491"/>
      <w:r>
        <w:rPr>
          <w:rFonts w:hint="eastAsia" w:ascii="宋体" w:hAnsi="宋体" w:eastAsia="宋体" w:cs="宋体"/>
          <w:b/>
          <w:bCs/>
          <w:color w:val="auto"/>
          <w:sz w:val="30"/>
          <w:szCs w:val="30"/>
          <w:highlight w:val="none"/>
          <w:lang w:val="en-US" w:eastAsia="zh-CN"/>
        </w:rPr>
        <w:t>13.1.4 平台对接：所有数据按招标人要求无缝融合到招标人智能水表管理系统，中标人需无偿配合远传水表的接入工作（需提供可无缝接入中标人所指定的系统管理平台的承诺函）。</w:t>
      </w:r>
      <w:bookmarkEnd w:id="1098"/>
      <w:bookmarkEnd w:id="1099"/>
      <w:bookmarkEnd w:id="1100"/>
      <w:bookmarkEnd w:id="1101"/>
    </w:p>
    <w:p w14:paraId="5432DD7D">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54ADC56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宋体" w:hAnsi="宋体" w:eastAsia="宋体" w:cs="宋体"/>
          <w:b/>
          <w:bCs/>
          <w:color w:val="auto"/>
          <w:sz w:val="30"/>
          <w:szCs w:val="30"/>
          <w:highlight w:val="none"/>
          <w:lang w:val="en-US" w:eastAsia="zh-CN"/>
        </w:rPr>
      </w:pPr>
      <w:bookmarkStart w:id="1102" w:name="_Toc7941"/>
      <w:bookmarkStart w:id="1103" w:name="_Toc4507"/>
      <w:bookmarkStart w:id="1104" w:name="_Toc4616"/>
      <w:bookmarkStart w:id="1105" w:name="_Toc28242"/>
      <w:r>
        <w:rPr>
          <w:rFonts w:hint="eastAsia" w:ascii="宋体" w:hAnsi="宋体" w:eastAsia="宋体" w:cs="宋体"/>
          <w:b/>
          <w:bCs/>
          <w:color w:val="auto"/>
          <w:kern w:val="2"/>
          <w:sz w:val="30"/>
          <w:szCs w:val="30"/>
          <w:highlight w:val="none"/>
          <w:lang w:val="en-US" w:eastAsia="zh-CN"/>
        </w:rPr>
        <w:t>13.1.5 日</w:t>
      </w:r>
      <w:r>
        <w:rPr>
          <w:rFonts w:hint="eastAsia" w:ascii="宋体" w:hAnsi="宋体" w:eastAsia="宋体" w:cs="宋体"/>
          <w:b/>
          <w:bCs/>
          <w:color w:val="auto"/>
          <w:kern w:val="2"/>
          <w:sz w:val="30"/>
          <w:szCs w:val="30"/>
          <w:highlight w:val="none"/>
        </w:rPr>
        <w:t>数据传输成功率≥99% ，抄读准确率≥99%（投标人提供相关水表用户使用情况及证明材料）。</w:t>
      </w:r>
      <w:bookmarkEnd w:id="1102"/>
      <w:bookmarkEnd w:id="1103"/>
      <w:bookmarkEnd w:id="1104"/>
      <w:bookmarkEnd w:id="1105"/>
    </w:p>
    <w:p w14:paraId="47FFEB30">
      <w:pPr>
        <w:pStyle w:val="18"/>
        <w:rPr>
          <w:rFonts w:hint="eastAsia" w:ascii="宋体" w:hAnsi="宋体" w:eastAsia="宋体" w:cs="宋体"/>
          <w:b/>
          <w:color w:val="auto"/>
          <w:kern w:val="0"/>
          <w:sz w:val="30"/>
          <w:szCs w:val="30"/>
          <w:highlight w:val="none"/>
          <w:lang w:val="en-US" w:eastAsia="zh-CN"/>
        </w:rPr>
      </w:pPr>
    </w:p>
    <w:p w14:paraId="26D8EB1D">
      <w:pPr>
        <w:pStyle w:val="37"/>
        <w:rPr>
          <w:rFonts w:hint="eastAsia" w:ascii="宋体" w:hAnsi="宋体" w:eastAsia="宋体" w:cs="宋体"/>
          <w:b/>
          <w:color w:val="auto"/>
          <w:kern w:val="0"/>
          <w:sz w:val="30"/>
          <w:szCs w:val="30"/>
          <w:highlight w:val="none"/>
          <w:lang w:val="en-US" w:eastAsia="zh-CN"/>
        </w:rPr>
      </w:pPr>
    </w:p>
    <w:p w14:paraId="3EF8DAAB">
      <w:pPr>
        <w:pStyle w:val="38"/>
        <w:rPr>
          <w:rFonts w:hint="eastAsia" w:ascii="宋体" w:hAnsi="宋体" w:eastAsia="宋体" w:cs="宋体"/>
          <w:b/>
          <w:color w:val="auto"/>
          <w:kern w:val="0"/>
          <w:sz w:val="30"/>
          <w:szCs w:val="30"/>
          <w:highlight w:val="none"/>
          <w:lang w:val="en-US" w:eastAsia="zh-CN"/>
        </w:rPr>
      </w:pPr>
    </w:p>
    <w:p w14:paraId="668A571F">
      <w:pPr>
        <w:pStyle w:val="12"/>
        <w:rPr>
          <w:rFonts w:hint="eastAsia"/>
          <w:color w:val="auto"/>
          <w:highlight w:val="none"/>
          <w:lang w:val="en-US" w:eastAsia="zh-CN"/>
        </w:rPr>
      </w:pPr>
    </w:p>
    <w:p w14:paraId="51391253">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AA5A847">
      <w:pPr>
        <w:outlineLvl w:val="2"/>
        <w:rPr>
          <w:rFonts w:hint="eastAsia" w:ascii="宋体" w:hAnsi="宋体" w:eastAsia="宋体" w:cs="宋体"/>
          <w:b/>
          <w:color w:val="auto"/>
          <w:kern w:val="0"/>
          <w:sz w:val="30"/>
          <w:szCs w:val="30"/>
          <w:highlight w:val="none"/>
          <w:lang w:val="en-US" w:eastAsia="zh-CN"/>
        </w:rPr>
      </w:pPr>
      <w:bookmarkStart w:id="1106" w:name="_Toc2470"/>
      <w:bookmarkStart w:id="1107" w:name="_Toc11342"/>
      <w:bookmarkStart w:id="1108" w:name="_Toc7981"/>
      <w:bookmarkStart w:id="1109" w:name="_Toc1706"/>
      <w:r>
        <w:rPr>
          <w:rFonts w:hint="eastAsia" w:ascii="宋体" w:hAnsi="宋体" w:eastAsia="宋体" w:cs="宋体"/>
          <w:b/>
          <w:color w:val="auto"/>
          <w:kern w:val="0"/>
          <w:sz w:val="30"/>
          <w:szCs w:val="30"/>
          <w:highlight w:val="none"/>
          <w:lang w:val="en-US" w:eastAsia="zh-CN"/>
        </w:rPr>
        <w:t>13.2 供货货物清单表格式</w:t>
      </w:r>
      <w:bookmarkEnd w:id="1106"/>
      <w:bookmarkEnd w:id="1107"/>
      <w:bookmarkEnd w:id="1108"/>
      <w:bookmarkEnd w:id="1109"/>
    </w:p>
    <w:p w14:paraId="6BC3E5EC">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586039F2">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12"/>
        <w:gridCol w:w="1093"/>
        <w:gridCol w:w="1037"/>
        <w:gridCol w:w="1170"/>
        <w:gridCol w:w="1093"/>
        <w:gridCol w:w="1093"/>
        <w:gridCol w:w="1093"/>
        <w:gridCol w:w="1093"/>
        <w:gridCol w:w="487"/>
      </w:tblGrid>
      <w:tr w14:paraId="43C4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425A885F">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14:paraId="7FFF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0F8B9D0B">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7574964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1B9672EC">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3C6F36D">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6D7971FD">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口径规格</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6816CE6D">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2C9425C0">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11E7104C">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4C741E52">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232" w:type="pct"/>
            <w:tcBorders>
              <w:top w:val="single" w:color="auto" w:sz="4" w:space="0"/>
              <w:left w:val="single" w:color="auto" w:sz="4" w:space="0"/>
              <w:bottom w:val="single" w:color="auto" w:sz="4" w:space="0"/>
              <w:right w:val="single" w:color="auto" w:sz="4" w:space="0"/>
            </w:tcBorders>
            <w:noWrap w:val="0"/>
            <w:vAlign w:val="center"/>
          </w:tcPr>
          <w:p w14:paraId="5C383F6E">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7D88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0B8F2E9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1 </w:t>
            </w:r>
          </w:p>
        </w:tc>
        <w:tc>
          <w:tcPr>
            <w:tcW w:w="729" w:type="pct"/>
            <w:vMerge w:val="restart"/>
            <w:tcBorders>
              <w:top w:val="single" w:color="auto" w:sz="4" w:space="0"/>
              <w:left w:val="single" w:color="auto" w:sz="4" w:space="0"/>
              <w:right w:val="single" w:color="auto" w:sz="4" w:space="0"/>
            </w:tcBorders>
            <w:shd w:val="clear" w:color="FDE9D9" w:fill="FFFFFF"/>
            <w:noWrap w:val="0"/>
            <w:vAlign w:val="center"/>
          </w:tcPr>
          <w:p w14:paraId="7F7A4E2E">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 xml:space="preserve">缩径超声波水表 </w:t>
            </w:r>
          </w:p>
          <w:p w14:paraId="373CAC3F">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09DC1DD9">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0D83D41">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588413F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DN80</w:t>
            </w:r>
          </w:p>
        </w:tc>
        <w:tc>
          <w:tcPr>
            <w:tcW w:w="1093"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77DC59C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3CB7F31A">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718</w:t>
            </w:r>
          </w:p>
        </w:tc>
        <w:tc>
          <w:tcPr>
            <w:tcW w:w="527" w:type="pct"/>
            <w:tcBorders>
              <w:top w:val="single" w:color="auto" w:sz="4" w:space="0"/>
              <w:left w:val="single" w:color="auto" w:sz="4" w:space="0"/>
              <w:bottom w:val="single" w:color="auto" w:sz="4" w:space="0"/>
              <w:right w:val="single" w:color="auto" w:sz="4" w:space="0"/>
            </w:tcBorders>
            <w:noWrap w:val="0"/>
            <w:vAlign w:val="top"/>
          </w:tcPr>
          <w:p w14:paraId="4BB4E645">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144BD5D2">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0059C7BE">
            <w:pPr>
              <w:spacing w:line="400" w:lineRule="exact"/>
              <w:jc w:val="center"/>
              <w:rPr>
                <w:rFonts w:ascii="宋体" w:hAnsi="宋体" w:eastAsia="宋体" w:cs="Times New Roman"/>
                <w:color w:val="auto"/>
                <w:kern w:val="0"/>
                <w:szCs w:val="21"/>
                <w:highlight w:val="none"/>
              </w:rPr>
            </w:pPr>
          </w:p>
        </w:tc>
      </w:tr>
      <w:tr w14:paraId="74D5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1D39DFB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2 </w:t>
            </w:r>
          </w:p>
        </w:tc>
        <w:tc>
          <w:tcPr>
            <w:tcW w:w="729" w:type="pct"/>
            <w:vMerge w:val="continue"/>
            <w:tcBorders>
              <w:left w:val="single" w:color="auto" w:sz="4" w:space="0"/>
              <w:right w:val="single" w:color="auto" w:sz="4" w:space="0"/>
            </w:tcBorders>
            <w:noWrap w:val="0"/>
            <w:vAlign w:val="top"/>
          </w:tcPr>
          <w:p w14:paraId="48CF9F95">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B49AEC">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C1C54B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91202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DN100</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D31C85">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B89E63">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753</w:t>
            </w:r>
          </w:p>
        </w:tc>
        <w:tc>
          <w:tcPr>
            <w:tcW w:w="527" w:type="pct"/>
            <w:tcBorders>
              <w:top w:val="single" w:color="auto" w:sz="4" w:space="0"/>
              <w:left w:val="single" w:color="auto" w:sz="4" w:space="0"/>
              <w:bottom w:val="single" w:color="auto" w:sz="4" w:space="0"/>
              <w:right w:val="single" w:color="auto" w:sz="4" w:space="0"/>
            </w:tcBorders>
            <w:noWrap w:val="0"/>
            <w:vAlign w:val="top"/>
          </w:tcPr>
          <w:p w14:paraId="69BAD189">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542680B5">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26DE8FEF">
            <w:pPr>
              <w:spacing w:line="400" w:lineRule="exact"/>
              <w:jc w:val="center"/>
              <w:rPr>
                <w:rFonts w:ascii="宋体" w:hAnsi="宋体" w:eastAsia="宋体" w:cs="Times New Roman"/>
                <w:color w:val="auto"/>
                <w:kern w:val="0"/>
                <w:szCs w:val="21"/>
                <w:highlight w:val="none"/>
              </w:rPr>
            </w:pPr>
          </w:p>
        </w:tc>
      </w:tr>
      <w:tr w14:paraId="3388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1359071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3 </w:t>
            </w:r>
          </w:p>
        </w:tc>
        <w:tc>
          <w:tcPr>
            <w:tcW w:w="729" w:type="pct"/>
            <w:vMerge w:val="continue"/>
            <w:tcBorders>
              <w:left w:val="single" w:color="auto" w:sz="4" w:space="0"/>
              <w:right w:val="single" w:color="auto" w:sz="4" w:space="0"/>
            </w:tcBorders>
            <w:noWrap w:val="0"/>
            <w:vAlign w:val="top"/>
          </w:tcPr>
          <w:p w14:paraId="6315012B">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3653F86A">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80227F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7775F8D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DN150</w:t>
            </w:r>
          </w:p>
        </w:tc>
        <w:tc>
          <w:tcPr>
            <w:tcW w:w="1093"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70F5BDBE">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76AB9FCA">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175</w:t>
            </w:r>
          </w:p>
        </w:tc>
        <w:tc>
          <w:tcPr>
            <w:tcW w:w="527" w:type="pct"/>
            <w:tcBorders>
              <w:top w:val="single" w:color="auto" w:sz="4" w:space="0"/>
              <w:left w:val="single" w:color="auto" w:sz="4" w:space="0"/>
              <w:bottom w:val="single" w:color="auto" w:sz="4" w:space="0"/>
              <w:right w:val="single" w:color="auto" w:sz="4" w:space="0"/>
            </w:tcBorders>
            <w:noWrap w:val="0"/>
            <w:vAlign w:val="top"/>
          </w:tcPr>
          <w:p w14:paraId="5D5A97A9">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519ED52E">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5A887BF4">
            <w:pPr>
              <w:spacing w:line="400" w:lineRule="exact"/>
              <w:jc w:val="center"/>
              <w:rPr>
                <w:rFonts w:ascii="宋体" w:hAnsi="宋体" w:eastAsia="宋体" w:cs="Times New Roman"/>
                <w:color w:val="auto"/>
                <w:kern w:val="0"/>
                <w:szCs w:val="21"/>
                <w:highlight w:val="none"/>
              </w:rPr>
            </w:pPr>
          </w:p>
        </w:tc>
      </w:tr>
      <w:tr w14:paraId="2087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65C9148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4 </w:t>
            </w:r>
          </w:p>
        </w:tc>
        <w:tc>
          <w:tcPr>
            <w:tcW w:w="729" w:type="pct"/>
            <w:vMerge w:val="continue"/>
            <w:tcBorders>
              <w:left w:val="single" w:color="auto" w:sz="4" w:space="0"/>
              <w:right w:val="single" w:color="auto" w:sz="4" w:space="0"/>
            </w:tcBorders>
            <w:noWrap w:val="0"/>
            <w:vAlign w:val="top"/>
          </w:tcPr>
          <w:p w14:paraId="2B64FBBE">
            <w:pPr>
              <w:autoSpaceDE w:val="0"/>
              <w:autoSpaceDN w:val="0"/>
              <w:adjustRightInd w:val="0"/>
              <w:spacing w:line="400" w:lineRule="exact"/>
              <w:jc w:val="center"/>
              <w:rPr>
                <w:rFonts w:ascii="宋体" w:hAnsi="宋体" w:eastAsia="宋体"/>
                <w:color w:val="auto"/>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05A7BE">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BEA54EF">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B1D224">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DN200</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8E041C">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C3A081">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w:t>
            </w:r>
          </w:p>
        </w:tc>
        <w:tc>
          <w:tcPr>
            <w:tcW w:w="527" w:type="pct"/>
            <w:tcBorders>
              <w:top w:val="single" w:color="auto" w:sz="4" w:space="0"/>
              <w:left w:val="single" w:color="auto" w:sz="4" w:space="0"/>
              <w:bottom w:val="single" w:color="auto" w:sz="4" w:space="0"/>
              <w:right w:val="single" w:color="auto" w:sz="4" w:space="0"/>
            </w:tcBorders>
            <w:noWrap w:val="0"/>
            <w:vAlign w:val="top"/>
          </w:tcPr>
          <w:p w14:paraId="7A4389AE">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26742040">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568F7694">
            <w:pPr>
              <w:spacing w:line="400" w:lineRule="exact"/>
              <w:jc w:val="center"/>
              <w:rPr>
                <w:rFonts w:ascii="宋体" w:hAnsi="宋体" w:eastAsia="宋体" w:cs="Times New Roman"/>
                <w:color w:val="auto"/>
                <w:kern w:val="0"/>
                <w:szCs w:val="21"/>
                <w:highlight w:val="none"/>
              </w:rPr>
            </w:pPr>
          </w:p>
        </w:tc>
      </w:tr>
      <w:tr w14:paraId="2072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370E9B2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729" w:type="pct"/>
            <w:vMerge w:val="continue"/>
            <w:tcBorders>
              <w:left w:val="single" w:color="auto" w:sz="4" w:space="0"/>
              <w:bottom w:val="single" w:color="auto" w:sz="4" w:space="0"/>
              <w:right w:val="single" w:color="auto" w:sz="4" w:space="0"/>
            </w:tcBorders>
            <w:noWrap w:val="0"/>
            <w:vAlign w:val="top"/>
          </w:tcPr>
          <w:p w14:paraId="46B36CB5">
            <w:pPr>
              <w:autoSpaceDE w:val="0"/>
              <w:autoSpaceDN w:val="0"/>
              <w:adjustRightInd w:val="0"/>
              <w:spacing w:line="400" w:lineRule="exact"/>
              <w:jc w:val="center"/>
              <w:rPr>
                <w:rFonts w:ascii="宋体" w:hAnsi="宋体" w:eastAsia="宋体"/>
                <w:color w:val="auto"/>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BB93EC">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25261A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6C47AD">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3914B7">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975825">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527" w:type="pct"/>
            <w:tcBorders>
              <w:top w:val="single" w:color="auto" w:sz="4" w:space="0"/>
              <w:left w:val="single" w:color="auto" w:sz="4" w:space="0"/>
              <w:bottom w:val="single" w:color="auto" w:sz="4" w:space="0"/>
              <w:right w:val="single" w:color="auto" w:sz="4" w:space="0"/>
            </w:tcBorders>
            <w:noWrap w:val="0"/>
            <w:vAlign w:val="top"/>
          </w:tcPr>
          <w:p w14:paraId="56F9EBBE">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02F47544">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2E6C7CCD">
            <w:pPr>
              <w:spacing w:line="400" w:lineRule="exact"/>
              <w:jc w:val="center"/>
              <w:rPr>
                <w:rFonts w:ascii="宋体" w:hAnsi="宋体" w:eastAsia="宋体" w:cs="Times New Roman"/>
                <w:color w:val="auto"/>
                <w:kern w:val="0"/>
                <w:szCs w:val="21"/>
                <w:highlight w:val="none"/>
              </w:rPr>
            </w:pPr>
          </w:p>
        </w:tc>
      </w:tr>
      <w:tr w14:paraId="4A27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784F716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6 </w:t>
            </w:r>
          </w:p>
        </w:tc>
        <w:tc>
          <w:tcPr>
            <w:tcW w:w="729" w:type="pct"/>
            <w:vMerge w:val="restart"/>
            <w:tcBorders>
              <w:top w:val="single" w:color="auto" w:sz="4" w:space="0"/>
              <w:left w:val="single" w:color="auto" w:sz="4" w:space="0"/>
              <w:right w:val="single" w:color="auto" w:sz="4" w:space="0"/>
            </w:tcBorders>
            <w:shd w:val="clear" w:color="FDE9D9" w:fill="FFFFFF"/>
            <w:noWrap w:val="0"/>
            <w:vAlign w:val="center"/>
          </w:tcPr>
          <w:p w14:paraId="2D70FF76">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 xml:space="preserve">通径超声波水表 </w:t>
            </w: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2501878B">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218CF0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30838B7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DN80</w:t>
            </w:r>
          </w:p>
        </w:tc>
        <w:tc>
          <w:tcPr>
            <w:tcW w:w="1093"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435F5CA0">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66752AE7">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542</w:t>
            </w:r>
          </w:p>
        </w:tc>
        <w:tc>
          <w:tcPr>
            <w:tcW w:w="527" w:type="pct"/>
            <w:tcBorders>
              <w:top w:val="single" w:color="auto" w:sz="4" w:space="0"/>
              <w:left w:val="single" w:color="auto" w:sz="4" w:space="0"/>
              <w:bottom w:val="single" w:color="auto" w:sz="4" w:space="0"/>
              <w:right w:val="single" w:color="auto" w:sz="4" w:space="0"/>
            </w:tcBorders>
            <w:noWrap w:val="0"/>
            <w:vAlign w:val="top"/>
          </w:tcPr>
          <w:p w14:paraId="76F319C7">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1D0760E7">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17054E6C">
            <w:pPr>
              <w:spacing w:line="400" w:lineRule="exact"/>
              <w:jc w:val="center"/>
              <w:rPr>
                <w:rFonts w:ascii="宋体" w:hAnsi="宋体" w:eastAsia="宋体" w:cs="Times New Roman"/>
                <w:color w:val="auto"/>
                <w:kern w:val="0"/>
                <w:szCs w:val="21"/>
                <w:highlight w:val="none"/>
              </w:rPr>
            </w:pPr>
          </w:p>
        </w:tc>
      </w:tr>
      <w:tr w14:paraId="39A3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629416C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7 </w:t>
            </w:r>
          </w:p>
        </w:tc>
        <w:tc>
          <w:tcPr>
            <w:tcW w:w="729" w:type="pct"/>
            <w:vMerge w:val="continue"/>
            <w:tcBorders>
              <w:left w:val="single" w:color="auto" w:sz="4" w:space="0"/>
              <w:right w:val="single" w:color="auto" w:sz="4" w:space="0"/>
            </w:tcBorders>
            <w:noWrap w:val="0"/>
            <w:vAlign w:val="center"/>
          </w:tcPr>
          <w:p w14:paraId="16540762">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616A6">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A1D3722">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B4DC1A">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DN100</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8EA7C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99621E">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607</w:t>
            </w:r>
          </w:p>
        </w:tc>
        <w:tc>
          <w:tcPr>
            <w:tcW w:w="527" w:type="pct"/>
            <w:tcBorders>
              <w:top w:val="single" w:color="auto" w:sz="4" w:space="0"/>
              <w:left w:val="single" w:color="auto" w:sz="4" w:space="0"/>
              <w:bottom w:val="single" w:color="auto" w:sz="4" w:space="0"/>
              <w:right w:val="single" w:color="auto" w:sz="4" w:space="0"/>
            </w:tcBorders>
            <w:noWrap w:val="0"/>
            <w:vAlign w:val="top"/>
          </w:tcPr>
          <w:p w14:paraId="2558F655">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2C91D486">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4BFD4449">
            <w:pPr>
              <w:spacing w:line="400" w:lineRule="exact"/>
              <w:jc w:val="center"/>
              <w:rPr>
                <w:rFonts w:ascii="宋体" w:hAnsi="宋体" w:eastAsia="宋体" w:cs="Times New Roman"/>
                <w:color w:val="auto"/>
                <w:kern w:val="0"/>
                <w:szCs w:val="21"/>
                <w:highlight w:val="none"/>
              </w:rPr>
            </w:pPr>
          </w:p>
        </w:tc>
      </w:tr>
      <w:tr w14:paraId="6025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243BC1E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8 </w:t>
            </w:r>
          </w:p>
        </w:tc>
        <w:tc>
          <w:tcPr>
            <w:tcW w:w="729" w:type="pct"/>
            <w:vMerge w:val="continue"/>
            <w:tcBorders>
              <w:left w:val="single" w:color="auto" w:sz="4" w:space="0"/>
              <w:right w:val="single" w:color="auto" w:sz="4" w:space="0"/>
            </w:tcBorders>
            <w:noWrap w:val="0"/>
            <w:vAlign w:val="center"/>
          </w:tcPr>
          <w:p w14:paraId="4780C303">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731E4CF9">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94FA401">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68CD3B7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DN150</w:t>
            </w:r>
          </w:p>
        </w:tc>
        <w:tc>
          <w:tcPr>
            <w:tcW w:w="1093"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5A832E46">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FDE9D9" w:fill="FFFFFF"/>
            <w:noWrap w:val="0"/>
            <w:vAlign w:val="center"/>
          </w:tcPr>
          <w:p w14:paraId="2A9A109E">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145</w:t>
            </w:r>
          </w:p>
        </w:tc>
        <w:tc>
          <w:tcPr>
            <w:tcW w:w="527" w:type="pct"/>
            <w:tcBorders>
              <w:top w:val="single" w:color="auto" w:sz="4" w:space="0"/>
              <w:left w:val="single" w:color="auto" w:sz="4" w:space="0"/>
              <w:bottom w:val="single" w:color="auto" w:sz="4" w:space="0"/>
              <w:right w:val="single" w:color="auto" w:sz="4" w:space="0"/>
            </w:tcBorders>
            <w:noWrap w:val="0"/>
            <w:vAlign w:val="top"/>
          </w:tcPr>
          <w:p w14:paraId="47C33D82">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6BF70303">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79CF76B9">
            <w:pPr>
              <w:spacing w:line="400" w:lineRule="exact"/>
              <w:jc w:val="center"/>
              <w:rPr>
                <w:rFonts w:ascii="宋体" w:hAnsi="宋体" w:eastAsia="宋体" w:cs="Times New Roman"/>
                <w:color w:val="auto"/>
                <w:kern w:val="0"/>
                <w:szCs w:val="21"/>
                <w:highlight w:val="none"/>
              </w:rPr>
            </w:pPr>
          </w:p>
        </w:tc>
      </w:tr>
      <w:tr w14:paraId="2A16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196F7D8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 xml:space="preserve">9 </w:t>
            </w:r>
          </w:p>
        </w:tc>
        <w:tc>
          <w:tcPr>
            <w:tcW w:w="729" w:type="pct"/>
            <w:vMerge w:val="continue"/>
            <w:tcBorders>
              <w:left w:val="single" w:color="auto" w:sz="4" w:space="0"/>
              <w:right w:val="single" w:color="auto" w:sz="4" w:space="0"/>
            </w:tcBorders>
            <w:noWrap w:val="0"/>
            <w:vAlign w:val="center"/>
          </w:tcPr>
          <w:p w14:paraId="25E01340">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53DF6E">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553B2D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7ABE7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DN200</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F0277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645152">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w:t>
            </w:r>
          </w:p>
        </w:tc>
        <w:tc>
          <w:tcPr>
            <w:tcW w:w="527" w:type="pct"/>
            <w:tcBorders>
              <w:top w:val="single" w:color="auto" w:sz="4" w:space="0"/>
              <w:left w:val="single" w:color="auto" w:sz="4" w:space="0"/>
              <w:bottom w:val="single" w:color="auto" w:sz="4" w:space="0"/>
              <w:right w:val="single" w:color="auto" w:sz="4" w:space="0"/>
            </w:tcBorders>
            <w:noWrap w:val="0"/>
            <w:vAlign w:val="top"/>
          </w:tcPr>
          <w:p w14:paraId="2B594011">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4CCFD547">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120016E6">
            <w:pPr>
              <w:spacing w:line="400" w:lineRule="exact"/>
              <w:jc w:val="center"/>
              <w:rPr>
                <w:rFonts w:ascii="宋体" w:hAnsi="宋体" w:eastAsia="宋体" w:cs="Times New Roman"/>
                <w:color w:val="auto"/>
                <w:kern w:val="0"/>
                <w:szCs w:val="21"/>
                <w:highlight w:val="none"/>
              </w:rPr>
            </w:pPr>
          </w:p>
        </w:tc>
      </w:tr>
      <w:tr w14:paraId="4A42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5461430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10</w:t>
            </w:r>
          </w:p>
        </w:tc>
        <w:tc>
          <w:tcPr>
            <w:tcW w:w="729" w:type="pct"/>
            <w:vMerge w:val="continue"/>
            <w:tcBorders>
              <w:left w:val="single" w:color="auto" w:sz="4" w:space="0"/>
              <w:right w:val="single" w:color="auto" w:sz="4" w:space="0"/>
            </w:tcBorders>
            <w:noWrap w:val="0"/>
            <w:vAlign w:val="center"/>
          </w:tcPr>
          <w:p w14:paraId="1AF152EA">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20A8D1">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40091A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225BC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BC8BD02">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ascii="宋体" w:hAnsi="宋体" w:eastAsia="宋体" w:cs="Times New Roman"/>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4D39D">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527" w:type="pct"/>
            <w:tcBorders>
              <w:top w:val="single" w:color="auto" w:sz="4" w:space="0"/>
              <w:left w:val="single" w:color="auto" w:sz="4" w:space="0"/>
              <w:bottom w:val="single" w:color="auto" w:sz="4" w:space="0"/>
              <w:right w:val="single" w:color="auto" w:sz="4" w:space="0"/>
            </w:tcBorders>
            <w:noWrap w:val="0"/>
            <w:vAlign w:val="top"/>
          </w:tcPr>
          <w:p w14:paraId="2BC44C89">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0B90F877">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39A18BDE">
            <w:pPr>
              <w:spacing w:line="400" w:lineRule="exact"/>
              <w:jc w:val="center"/>
              <w:rPr>
                <w:rFonts w:ascii="宋体" w:hAnsi="宋体" w:eastAsia="宋体" w:cs="Times New Roman"/>
                <w:color w:val="auto"/>
                <w:kern w:val="0"/>
                <w:szCs w:val="21"/>
                <w:highlight w:val="none"/>
              </w:rPr>
            </w:pPr>
          </w:p>
        </w:tc>
      </w:tr>
      <w:tr w14:paraId="7762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noWrap w:val="0"/>
            <w:vAlign w:val="center"/>
          </w:tcPr>
          <w:p w14:paraId="457952C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11</w:t>
            </w:r>
          </w:p>
        </w:tc>
        <w:tc>
          <w:tcPr>
            <w:tcW w:w="729" w:type="pct"/>
            <w:vMerge w:val="continue"/>
            <w:tcBorders>
              <w:left w:val="single" w:color="auto" w:sz="4" w:space="0"/>
              <w:bottom w:val="single" w:color="auto" w:sz="4" w:space="0"/>
              <w:right w:val="single" w:color="auto" w:sz="4" w:space="0"/>
            </w:tcBorders>
            <w:noWrap w:val="0"/>
            <w:vAlign w:val="center"/>
          </w:tcPr>
          <w:p w14:paraId="69FF5BA4">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F912">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F11168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05CD21">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DN300</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4986B33">
            <w:pPr>
              <w:keepNext w:val="0"/>
              <w:keepLines w:val="0"/>
              <w:pageBreakBefore w:val="0"/>
              <w:widowControl/>
              <w:suppressLineNumbers w:val="0"/>
              <w:kinsoku/>
              <w:wordWrap/>
              <w:overflowPunct/>
              <w:topLinePunct w:val="0"/>
              <w:autoSpaceDE w:val="0"/>
              <w:autoSpaceDN w:val="0"/>
              <w:bidi w:val="0"/>
              <w:adjustRightInd w:val="0"/>
              <w:snapToGrid w:val="0"/>
              <w:spacing w:beforeAutospacing="0" w:line="240" w:lineRule="auto"/>
              <w:ind w:right="0" w:rightChars="0"/>
              <w:jc w:val="center"/>
              <w:textAlignment w:val="center"/>
              <w:outlineLvl w:val="9"/>
              <w:rPr>
                <w:rFonts w:ascii="宋体" w:hAnsi="宋体" w:eastAsia="宋体" w:cs="Times New Roman"/>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7ED809">
            <w:pPr>
              <w:keepNext w:val="0"/>
              <w:keepLines w:val="0"/>
              <w:widowControl/>
              <w:suppressLineNumbers w:val="0"/>
              <w:autoSpaceDE w:val="0"/>
              <w:autoSpaceDN w:val="0"/>
              <w:adjustRightInd w:val="0"/>
              <w:snapToGrid w:val="0"/>
              <w:jc w:val="center"/>
              <w:textAlignment w:val="center"/>
              <w:outlineLvl w:val="9"/>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527" w:type="pct"/>
            <w:tcBorders>
              <w:top w:val="single" w:color="auto" w:sz="4" w:space="0"/>
              <w:left w:val="single" w:color="auto" w:sz="4" w:space="0"/>
              <w:bottom w:val="single" w:color="auto" w:sz="4" w:space="0"/>
              <w:right w:val="single" w:color="auto" w:sz="4" w:space="0"/>
            </w:tcBorders>
            <w:noWrap w:val="0"/>
            <w:vAlign w:val="top"/>
          </w:tcPr>
          <w:p w14:paraId="64B18835">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47AE6673">
            <w:pPr>
              <w:spacing w:line="400" w:lineRule="exact"/>
              <w:jc w:val="center"/>
              <w:rPr>
                <w:rFonts w:ascii="宋体" w:hAnsi="宋体" w:eastAsia="宋体" w:cs="Times New Roman"/>
                <w:color w:val="auto"/>
                <w:kern w:val="0"/>
                <w:szCs w:val="21"/>
                <w:highlight w:val="none"/>
              </w:rPr>
            </w:pPr>
          </w:p>
        </w:tc>
        <w:tc>
          <w:tcPr>
            <w:tcW w:w="232" w:type="pct"/>
            <w:tcBorders>
              <w:top w:val="single" w:color="auto" w:sz="4" w:space="0"/>
              <w:left w:val="single" w:color="auto" w:sz="4" w:space="0"/>
              <w:bottom w:val="single" w:color="auto" w:sz="4" w:space="0"/>
              <w:right w:val="single" w:color="auto" w:sz="4" w:space="0"/>
            </w:tcBorders>
            <w:noWrap w:val="0"/>
            <w:vAlign w:val="center"/>
          </w:tcPr>
          <w:p w14:paraId="40B09E6B">
            <w:pPr>
              <w:spacing w:line="400" w:lineRule="exact"/>
              <w:jc w:val="center"/>
              <w:rPr>
                <w:rFonts w:ascii="宋体" w:hAnsi="宋体" w:eastAsia="宋体" w:cs="Times New Roman"/>
                <w:color w:val="auto"/>
                <w:kern w:val="0"/>
                <w:szCs w:val="21"/>
                <w:highlight w:val="none"/>
              </w:rPr>
            </w:pPr>
          </w:p>
        </w:tc>
      </w:tr>
    </w:tbl>
    <w:p w14:paraId="1F9826A6">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153A0A4A">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40198AE5">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6D3222CA">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40660703">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p>
    <w:p w14:paraId="6B68364B">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46EF1599">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6D30FDA1">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2D768208">
      <w:pPr>
        <w:outlineLvl w:val="9"/>
        <w:rPr>
          <w:rFonts w:hint="eastAsia" w:ascii="宋体" w:hAnsi="宋体" w:eastAsia="宋体" w:cs="宋体"/>
          <w:b/>
          <w:color w:val="auto"/>
          <w:kern w:val="0"/>
          <w:sz w:val="30"/>
          <w:szCs w:val="30"/>
          <w:highlight w:val="none"/>
          <w:lang w:val="en-US" w:eastAsia="zh-CN"/>
        </w:rPr>
      </w:pPr>
    </w:p>
    <w:p w14:paraId="1C9C15C7">
      <w:pPr>
        <w:outlineLvl w:val="9"/>
        <w:rPr>
          <w:rFonts w:hint="eastAsia" w:ascii="宋体" w:hAnsi="宋体" w:eastAsia="宋体" w:cs="宋体"/>
          <w:b/>
          <w:color w:val="auto"/>
          <w:kern w:val="0"/>
          <w:sz w:val="30"/>
          <w:szCs w:val="30"/>
          <w:highlight w:val="none"/>
          <w:lang w:val="en-US" w:eastAsia="zh-CN"/>
        </w:rPr>
      </w:pPr>
    </w:p>
    <w:p w14:paraId="4C307AA5">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A8BA8DB">
      <w:pPr>
        <w:outlineLvl w:val="2"/>
        <w:rPr>
          <w:rFonts w:hint="eastAsia" w:ascii="宋体" w:hAnsi="宋体" w:eastAsia="宋体" w:cs="宋体"/>
          <w:b/>
          <w:color w:val="auto"/>
          <w:kern w:val="0"/>
          <w:sz w:val="30"/>
          <w:szCs w:val="30"/>
          <w:highlight w:val="none"/>
          <w:lang w:val="en-US" w:eastAsia="zh-CN"/>
        </w:rPr>
      </w:pPr>
      <w:bookmarkStart w:id="1110" w:name="_Toc26179"/>
      <w:bookmarkStart w:id="1111" w:name="_Toc26998"/>
      <w:bookmarkStart w:id="1112" w:name="_Toc32341"/>
      <w:bookmarkStart w:id="1113" w:name="_Toc31603"/>
      <w:r>
        <w:rPr>
          <w:rFonts w:hint="eastAsia" w:ascii="宋体" w:hAnsi="宋体" w:eastAsia="宋体" w:cs="宋体"/>
          <w:b/>
          <w:color w:val="auto"/>
          <w:kern w:val="0"/>
          <w:sz w:val="30"/>
          <w:szCs w:val="30"/>
          <w:highlight w:val="none"/>
          <w:lang w:val="en-US" w:eastAsia="zh-CN"/>
        </w:rPr>
        <w:t>13.3 研发能力及产品先进性</w:t>
      </w:r>
      <w:r>
        <w:rPr>
          <w:rFonts w:hint="eastAsia" w:ascii="宋体" w:hAnsi="宋体" w:eastAsia="宋体" w:cs="宋体"/>
          <w:b/>
          <w:color w:val="auto"/>
          <w:kern w:val="0"/>
          <w:sz w:val="30"/>
          <w:szCs w:val="30"/>
          <w:highlight w:val="none"/>
        </w:rPr>
        <w:t>的证明材料</w:t>
      </w:r>
      <w:bookmarkEnd w:id="1110"/>
      <w:bookmarkEnd w:id="1111"/>
      <w:bookmarkEnd w:id="1112"/>
      <w:bookmarkEnd w:id="1113"/>
    </w:p>
    <w:p w14:paraId="74B91AF8">
      <w:pPr>
        <w:spacing w:line="360" w:lineRule="auto"/>
        <w:outlineLvl w:val="9"/>
        <w:rPr>
          <w:rFonts w:hint="eastAsia" w:ascii="宋体" w:hAnsi="宋体" w:eastAsia="宋体" w:cs="宋体"/>
          <w:b/>
          <w:bCs/>
          <w:color w:val="auto"/>
          <w:kern w:val="2"/>
          <w:sz w:val="21"/>
          <w:szCs w:val="21"/>
          <w:highlight w:val="none"/>
          <w:lang w:val="en-US" w:eastAsia="zh-CN" w:bidi="ar-SA"/>
        </w:rPr>
      </w:pPr>
    </w:p>
    <w:p w14:paraId="31A36E08">
      <w:pPr>
        <w:spacing w:line="360" w:lineRule="auto"/>
        <w:outlineLvl w:val="9"/>
        <w:rPr>
          <w:rFonts w:hint="default" w:asciiTheme="minorHAnsi" w:hAnsiTheme="minorHAnsi" w:eastAsiaTheme="minorEastAsia" w:cstheme="minorBidi"/>
          <w:b/>
          <w:bCs/>
          <w:color w:val="auto"/>
          <w:kern w:val="2"/>
          <w:sz w:val="21"/>
          <w:szCs w:val="22"/>
          <w:highlight w:val="none"/>
          <w:lang w:val="en-US" w:eastAsia="zh-CN"/>
        </w:rPr>
      </w:pPr>
      <w:r>
        <w:rPr>
          <w:rFonts w:hint="eastAsia" w:ascii="宋体" w:hAnsi="宋体" w:eastAsia="宋体" w:cs="宋体"/>
          <w:b/>
          <w:bCs/>
          <w:color w:val="auto"/>
          <w:kern w:val="0"/>
          <w:sz w:val="21"/>
          <w:szCs w:val="21"/>
          <w:highlight w:val="none"/>
          <w:lang w:val="zh-CN" w:eastAsia="zh-CN" w:bidi="ar-SA"/>
        </w:rPr>
        <w:t>备注：（</w:t>
      </w:r>
      <w:r>
        <w:rPr>
          <w:rFonts w:hint="eastAsia"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zh-CN" w:eastAsia="zh-CN" w:bidi="ar-SA"/>
        </w:rPr>
        <w:t>）投标人应提供相关的许可、批复、专利证书、</w:t>
      </w:r>
      <w:r>
        <w:rPr>
          <w:rFonts w:hint="eastAsia" w:ascii="宋体" w:hAnsi="宋体" w:eastAsia="宋体" w:cs="宋体"/>
          <w:b/>
          <w:bCs/>
          <w:color w:val="auto"/>
          <w:kern w:val="0"/>
          <w:sz w:val="21"/>
          <w:szCs w:val="21"/>
          <w:highlight w:val="none"/>
          <w:lang w:val="en-US" w:eastAsia="zh-CN" w:bidi="ar-SA"/>
        </w:rPr>
        <w:t>技术认证证书</w:t>
      </w:r>
      <w:r>
        <w:rPr>
          <w:rFonts w:hint="eastAsia" w:ascii="宋体" w:hAnsi="宋体" w:eastAsia="宋体" w:cs="宋体"/>
          <w:b/>
          <w:bCs/>
          <w:color w:val="auto"/>
          <w:kern w:val="0"/>
          <w:sz w:val="21"/>
          <w:szCs w:val="21"/>
          <w:highlight w:val="none"/>
          <w:lang w:val="zh-CN" w:eastAsia="zh-CN" w:bidi="ar-SA"/>
        </w:rPr>
        <w:t>及其他相关资料等证明文件的</w:t>
      </w:r>
      <w:r>
        <w:rPr>
          <w:rFonts w:hint="eastAsia" w:ascii="宋体" w:hAnsi="宋体" w:eastAsia="宋体" w:cs="宋体"/>
          <w:b/>
          <w:bCs/>
          <w:color w:val="auto"/>
          <w:kern w:val="0"/>
          <w:sz w:val="21"/>
          <w:szCs w:val="21"/>
          <w:highlight w:val="none"/>
          <w:lang w:val="en-US" w:eastAsia="zh-CN" w:bidi="ar-SA"/>
        </w:rPr>
        <w:t>复印件</w:t>
      </w:r>
      <w:r>
        <w:rPr>
          <w:rFonts w:hint="eastAsia" w:ascii="宋体" w:hAnsi="宋体" w:eastAsia="宋体" w:cs="宋体"/>
          <w:b/>
          <w:bCs/>
          <w:color w:val="auto"/>
          <w:kern w:val="0"/>
          <w:sz w:val="21"/>
          <w:szCs w:val="21"/>
          <w:highlight w:val="none"/>
          <w:lang w:val="zh-CN" w:eastAsia="zh-CN" w:bidi="ar-SA"/>
        </w:rPr>
        <w:t>，其中ISO10012（或GB/T 19022）测量管理体系认证证书除提供证书</w:t>
      </w:r>
      <w:r>
        <w:rPr>
          <w:rFonts w:hint="eastAsia" w:ascii="宋体" w:hAnsi="宋体" w:eastAsia="宋体" w:cs="宋体"/>
          <w:b/>
          <w:bCs/>
          <w:color w:val="auto"/>
          <w:kern w:val="0"/>
          <w:sz w:val="21"/>
          <w:szCs w:val="21"/>
          <w:highlight w:val="none"/>
          <w:lang w:val="en-US" w:eastAsia="zh-CN" w:bidi="ar-SA"/>
        </w:rPr>
        <w:t>复印件</w:t>
      </w:r>
      <w:r>
        <w:rPr>
          <w:rFonts w:hint="eastAsia" w:ascii="宋体" w:hAnsi="宋体" w:eastAsia="宋体" w:cs="宋体"/>
          <w:b/>
          <w:bCs/>
          <w:color w:val="auto"/>
          <w:kern w:val="0"/>
          <w:sz w:val="21"/>
          <w:szCs w:val="21"/>
          <w:highlight w:val="none"/>
          <w:lang w:val="zh-CN" w:eastAsia="zh-CN" w:bidi="ar-SA"/>
        </w:rPr>
        <w:t>外,还需提供能显示证书有效状态的全国认证认可信息公共服务平台（http://cx.cnca.cn/）查询结果凭证{凭证界面需显示有“全国认证认可信息公共服务平台”或“认证证书（需显示网址cx.cnca. cn）”}，以投标人提供的上述资料作为评审依据，未按要求提供上述资料或不能体现与投标人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kern w:val="0"/>
          <w:sz w:val="21"/>
          <w:szCs w:val="21"/>
          <w:highlight w:val="none"/>
          <w:lang w:val="zh-CN" w:eastAsia="zh-CN" w:bidi="ar-SA"/>
        </w:rPr>
        <w:t>关系的不得分。 （2）对于同一类型国际证书提供多个的，不能重复得分，只按一个证书计分。</w:t>
      </w:r>
      <w:r>
        <w:rPr>
          <w:rFonts w:hint="default" w:asciiTheme="minorHAnsi" w:hAnsiTheme="minorHAnsi" w:eastAsiaTheme="minorEastAsia" w:cstheme="minorBidi"/>
          <w:b/>
          <w:bCs/>
          <w:color w:val="auto"/>
          <w:kern w:val="2"/>
          <w:sz w:val="21"/>
          <w:szCs w:val="22"/>
          <w:highlight w:val="none"/>
          <w:lang w:val="en-US" w:eastAsia="zh-CN"/>
        </w:rPr>
        <w:br w:type="page"/>
      </w:r>
    </w:p>
    <w:p w14:paraId="34A6CA24">
      <w:pPr>
        <w:outlineLvl w:val="2"/>
        <w:rPr>
          <w:rFonts w:hint="eastAsia" w:ascii="宋体" w:hAnsi="宋体" w:eastAsia="宋体" w:cs="宋体"/>
          <w:b/>
          <w:color w:val="auto"/>
          <w:kern w:val="0"/>
          <w:sz w:val="30"/>
          <w:szCs w:val="30"/>
          <w:highlight w:val="none"/>
          <w:lang w:val="en-US" w:eastAsia="zh-CN"/>
        </w:rPr>
      </w:pPr>
      <w:bookmarkStart w:id="1114" w:name="_Toc11074"/>
      <w:bookmarkStart w:id="1115" w:name="_Toc23905"/>
      <w:bookmarkStart w:id="1116" w:name="_Toc6794"/>
      <w:bookmarkStart w:id="1117" w:name="_Toc18357"/>
      <w:r>
        <w:rPr>
          <w:rFonts w:hint="eastAsia" w:ascii="宋体" w:hAnsi="宋体" w:eastAsia="宋体" w:cs="宋体"/>
          <w:b/>
          <w:color w:val="auto"/>
          <w:kern w:val="0"/>
          <w:sz w:val="30"/>
          <w:szCs w:val="30"/>
          <w:highlight w:val="none"/>
          <w:lang w:val="en-US" w:eastAsia="zh-CN"/>
        </w:rPr>
        <w:t>13.4 投标产品的设计及性能</w:t>
      </w:r>
      <w:r>
        <w:rPr>
          <w:rFonts w:hint="eastAsia" w:ascii="宋体" w:hAnsi="宋体" w:eastAsia="宋体" w:cs="宋体"/>
          <w:b/>
          <w:color w:val="auto"/>
          <w:kern w:val="0"/>
          <w:sz w:val="30"/>
          <w:szCs w:val="30"/>
          <w:highlight w:val="none"/>
        </w:rPr>
        <w:t>的证明材料</w:t>
      </w:r>
      <w:bookmarkEnd w:id="1114"/>
      <w:bookmarkEnd w:id="1115"/>
      <w:bookmarkEnd w:id="1116"/>
      <w:bookmarkEnd w:id="1117"/>
    </w:p>
    <w:p w14:paraId="4F7328A5">
      <w:pPr>
        <w:rPr>
          <w:rFonts w:hint="eastAsia" w:ascii="宋体" w:hAnsi="宋体" w:eastAsia="宋体" w:cs="宋体"/>
          <w:b/>
          <w:color w:val="auto"/>
          <w:kern w:val="0"/>
          <w:sz w:val="30"/>
          <w:szCs w:val="30"/>
          <w:highlight w:val="none"/>
          <w:lang w:val="en-US" w:eastAsia="zh-CN"/>
        </w:rPr>
      </w:pPr>
    </w:p>
    <w:p w14:paraId="177D8465">
      <w:pPr>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bCs/>
          <w:color w:val="auto"/>
          <w:kern w:val="2"/>
          <w:sz w:val="21"/>
          <w:szCs w:val="21"/>
          <w:highlight w:val="none"/>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、投标人提供的水表类型【提供：DN100缩径设计超声波水表和DN150通径设计超声波水表】的省级或省级以上质量监督检测机构或第三方具有 CMA 资格的检测机构或第三方具有CNAS 认证的检测机构出具的检验报告进行评审。</w:t>
      </w:r>
      <w:r>
        <w:rPr>
          <w:rFonts w:hint="eastAsia" w:ascii="宋体" w:hAnsi="宋体" w:eastAsia="宋体" w:cs="宋体"/>
          <w:b/>
          <w:color w:val="auto"/>
          <w:kern w:val="0"/>
          <w:sz w:val="30"/>
          <w:szCs w:val="30"/>
          <w:highlight w:val="none"/>
          <w:lang w:val="en-US" w:eastAsia="zh-CN"/>
        </w:rPr>
        <w:br w:type="page"/>
      </w:r>
    </w:p>
    <w:p w14:paraId="4A3E34EA">
      <w:pPr>
        <w:outlineLvl w:val="2"/>
        <w:rPr>
          <w:rFonts w:hint="eastAsia" w:ascii="宋体" w:hAnsi="宋体" w:eastAsia="宋体" w:cs="宋体"/>
          <w:b/>
          <w:color w:val="auto"/>
          <w:kern w:val="0"/>
          <w:sz w:val="30"/>
          <w:szCs w:val="30"/>
          <w:highlight w:val="none"/>
          <w:lang w:val="en-US" w:eastAsia="zh-CN"/>
        </w:rPr>
      </w:pPr>
      <w:bookmarkStart w:id="1118" w:name="_Toc12168"/>
      <w:bookmarkStart w:id="1119" w:name="_Toc9236"/>
      <w:bookmarkStart w:id="1120" w:name="_Toc2838"/>
      <w:bookmarkStart w:id="1121" w:name="_Toc18817"/>
      <w:r>
        <w:rPr>
          <w:rFonts w:hint="eastAsia" w:ascii="宋体" w:hAnsi="宋体" w:eastAsia="宋体" w:cs="宋体"/>
          <w:b/>
          <w:color w:val="auto"/>
          <w:kern w:val="0"/>
          <w:sz w:val="30"/>
          <w:szCs w:val="30"/>
          <w:highlight w:val="none"/>
          <w:lang w:val="en-US" w:eastAsia="zh-CN"/>
        </w:rPr>
        <w:t>13.5 生产制造能力</w:t>
      </w:r>
      <w:r>
        <w:rPr>
          <w:rFonts w:hint="eastAsia" w:ascii="宋体" w:hAnsi="宋体" w:eastAsia="宋体" w:cs="宋体"/>
          <w:b/>
          <w:color w:val="auto"/>
          <w:kern w:val="0"/>
          <w:sz w:val="30"/>
          <w:szCs w:val="30"/>
          <w:highlight w:val="none"/>
        </w:rPr>
        <w:t>的证明材料</w:t>
      </w:r>
      <w:bookmarkEnd w:id="1118"/>
      <w:bookmarkEnd w:id="1119"/>
      <w:bookmarkEnd w:id="1120"/>
      <w:bookmarkEnd w:id="1121"/>
    </w:p>
    <w:p w14:paraId="3D4B218A">
      <w:pPr>
        <w:spacing w:line="360" w:lineRule="auto"/>
        <w:rPr>
          <w:rFonts w:hint="eastAsia" w:ascii="宋体" w:hAnsi="宋体" w:eastAsia="宋体" w:cs="宋体"/>
          <w:b/>
          <w:bCs/>
          <w:color w:val="auto"/>
          <w:kern w:val="0"/>
          <w:szCs w:val="21"/>
          <w:highlight w:val="none"/>
          <w:shd w:val="clear" w:color="auto" w:fill="auto"/>
          <w:lang w:val="en-US" w:eastAsia="zh-CN"/>
        </w:rPr>
      </w:pPr>
    </w:p>
    <w:p w14:paraId="05FE94C5">
      <w:pPr>
        <w:spacing w:line="360" w:lineRule="auto"/>
        <w:rPr>
          <w:rFonts w:hint="default"/>
          <w:color w:val="auto"/>
          <w:highlight w:val="none"/>
          <w:lang w:val="en-US" w:eastAsia="zh-CN"/>
        </w:rPr>
      </w:pPr>
      <w:r>
        <w:rPr>
          <w:rFonts w:hint="eastAsia" w:ascii="宋体" w:hAnsi="宋体" w:eastAsia="宋体" w:cs="宋体"/>
          <w:b/>
          <w:bCs/>
          <w:color w:val="auto"/>
          <w:kern w:val="0"/>
          <w:szCs w:val="21"/>
          <w:highlight w:val="none"/>
          <w:shd w:val="clear" w:color="auto" w:fill="auto"/>
          <w:lang w:val="en-US" w:eastAsia="zh-CN"/>
        </w:rPr>
        <w:t>备注：投标人应提供2025年7月1日或以后拍摄的有关所投产品制造商的生产设备、检测设备、制造工艺流程及质检设备的照片/图片（照片/图片须清晰反映拍摄时间，否则评标时将不予考虑），以及相关设备设施清单和（付款单位/购买方为所投产品制造商）采购合同及购置发票原件复印件等证明材料，以投标人提供的上述资料作为评审依据。</w:t>
      </w:r>
    </w:p>
    <w:bookmarkEnd w:id="1083"/>
    <w:p w14:paraId="446864B6">
      <w:pPr>
        <w:outlineLvl w:val="9"/>
        <w:rPr>
          <w:rFonts w:hint="eastAsia" w:ascii="宋体" w:hAnsi="宋体" w:eastAsia="宋体" w:cs="宋体"/>
          <w:b/>
          <w:color w:val="auto"/>
          <w:kern w:val="0"/>
          <w:sz w:val="30"/>
          <w:szCs w:val="30"/>
          <w:highlight w:val="none"/>
          <w:lang w:val="en-US" w:eastAsia="zh-CN"/>
        </w:rPr>
      </w:pPr>
      <w:bookmarkStart w:id="1122" w:name="_Toc27500"/>
      <w:r>
        <w:rPr>
          <w:rFonts w:hint="eastAsia" w:ascii="宋体" w:hAnsi="宋体" w:eastAsia="宋体" w:cs="宋体"/>
          <w:b/>
          <w:color w:val="auto"/>
          <w:kern w:val="0"/>
          <w:sz w:val="30"/>
          <w:szCs w:val="30"/>
          <w:highlight w:val="none"/>
          <w:lang w:val="en-US" w:eastAsia="zh-CN"/>
        </w:rPr>
        <w:br w:type="page"/>
      </w:r>
      <w:bookmarkEnd w:id="1122"/>
    </w:p>
    <w:p w14:paraId="3ED98E6F">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1123" w:name="_Toc29744"/>
      <w:bookmarkStart w:id="1124" w:name="_Toc28131"/>
      <w:bookmarkStart w:id="1125" w:name="_Toc30101"/>
      <w:bookmarkStart w:id="1126" w:name="_Toc8249"/>
      <w:bookmarkStart w:id="1127" w:name="_Toc25913"/>
      <w:bookmarkStart w:id="1128" w:name="_Toc770"/>
      <w:bookmarkStart w:id="1129" w:name="_Toc1222"/>
      <w:r>
        <w:rPr>
          <w:rFonts w:hint="eastAsia" w:ascii="宋体" w:hAnsi="宋体" w:eastAsia="宋体" w:cs="宋体"/>
          <w:b/>
          <w:color w:val="auto"/>
          <w:kern w:val="0"/>
          <w:sz w:val="30"/>
          <w:szCs w:val="30"/>
          <w:highlight w:val="none"/>
          <w:lang w:val="en-US" w:eastAsia="zh-CN"/>
        </w:rPr>
        <w:t>13.</w:t>
      </w:r>
      <w:bookmarkEnd w:id="1123"/>
      <w:r>
        <w:rPr>
          <w:rFonts w:hint="eastAsia" w:ascii="宋体" w:hAnsi="宋体" w:eastAsia="宋体" w:cs="宋体"/>
          <w:b/>
          <w:color w:val="auto"/>
          <w:kern w:val="0"/>
          <w:sz w:val="30"/>
          <w:szCs w:val="30"/>
          <w:highlight w:val="none"/>
          <w:lang w:val="en-US" w:eastAsia="zh-CN"/>
        </w:rPr>
        <w:t>6 售后服务方案</w:t>
      </w:r>
      <w:bookmarkEnd w:id="1124"/>
      <w:bookmarkEnd w:id="1125"/>
      <w:bookmarkEnd w:id="1126"/>
      <w:bookmarkEnd w:id="1127"/>
    </w:p>
    <w:p w14:paraId="301BFDA8">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5D68D87">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3792B88">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084"/>
    <w:bookmarkEnd w:id="1085"/>
    <w:bookmarkEnd w:id="1086"/>
    <w:bookmarkEnd w:id="1087"/>
    <w:bookmarkEnd w:id="1088"/>
    <w:bookmarkEnd w:id="1128"/>
    <w:bookmarkEnd w:id="1129"/>
    <w:p w14:paraId="75C60024">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1130" w:name="_Toc17373"/>
      <w:bookmarkStart w:id="1131" w:name="_Toc10602"/>
      <w:bookmarkStart w:id="1132" w:name="_Toc30927"/>
      <w:bookmarkStart w:id="1133" w:name="_Toc16314"/>
      <w:r>
        <w:rPr>
          <w:rFonts w:hint="eastAsia" w:ascii="宋体" w:hAnsi="宋体" w:eastAsia="宋体" w:cs="宋体"/>
          <w:b/>
          <w:color w:val="auto"/>
          <w:kern w:val="0"/>
          <w:sz w:val="30"/>
          <w:szCs w:val="30"/>
          <w:highlight w:val="none"/>
          <w:lang w:val="en-US" w:eastAsia="zh-CN"/>
        </w:rPr>
        <w:t>13.7 售后服务响应时间承诺</w:t>
      </w:r>
      <w:bookmarkEnd w:id="1130"/>
      <w:bookmarkEnd w:id="1131"/>
      <w:bookmarkEnd w:id="1132"/>
      <w:bookmarkEnd w:id="1133"/>
    </w:p>
    <w:p w14:paraId="1F885429">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C14BE84">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《售后服务响应时间承诺表》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0"/>
      </w:tblGrid>
      <w:tr w14:paraId="0181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15B125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7F04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00A635C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我司</w:t>
            </w:r>
            <w:r>
              <w:rPr>
                <w:rFonts w:hint="eastAsia" w:ascii="宋体" w:hAnsi="宋体" w:eastAsia="宋体" w:cs="宋体"/>
                <w:color w:val="auto"/>
                <w:sz w:val="21"/>
                <w:szCs w:val="21"/>
                <w:highlight w:val="none"/>
                <w:shd w:val="clear" w:color="auto" w:fill="FFFFFF"/>
                <w:lang w:eastAsia="zh-CN"/>
              </w:rPr>
              <w:t>承诺在接到招标人的</w:t>
            </w:r>
            <w:r>
              <w:rPr>
                <w:rFonts w:hint="eastAsia" w:ascii="宋体" w:hAnsi="宋体" w:eastAsia="宋体" w:cs="宋体"/>
                <w:color w:val="auto"/>
                <w:szCs w:val="21"/>
                <w:highlight w:val="none"/>
                <w:lang w:val="en-US" w:eastAsia="zh-CN"/>
              </w:rPr>
              <w:t>售后服务通知</w:t>
            </w:r>
            <w:r>
              <w:rPr>
                <w:rFonts w:hint="eastAsia" w:ascii="宋体" w:hAnsi="宋体" w:eastAsia="宋体" w:cs="宋体"/>
                <w:color w:val="auto"/>
                <w:sz w:val="21"/>
                <w:szCs w:val="21"/>
                <w:highlight w:val="none"/>
                <w:shd w:val="clear" w:color="auto" w:fill="FFFFFF"/>
                <w:lang w:eastAsia="zh-CN"/>
              </w:rPr>
              <w:t>后</w:t>
            </w:r>
            <w:r>
              <w:rPr>
                <w:rFonts w:hint="eastAsia" w:ascii="宋体" w:hAnsi="宋体" w:eastAsia="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小时内响应，</w:t>
            </w:r>
            <w:r>
              <w:rPr>
                <w:rFonts w:hint="eastAsia" w:ascii="宋体" w:hAnsi="宋体" w:eastAsia="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小时内到达项目现场进行维修等服务。</w:t>
            </w:r>
          </w:p>
        </w:tc>
      </w:tr>
    </w:tbl>
    <w:p w14:paraId="1D1A450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58A6ECC">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1134" w:name="_Toc4922"/>
      <w:bookmarkStart w:id="1135" w:name="_Toc20351"/>
      <w:bookmarkStart w:id="1136" w:name="_Toc22382"/>
      <w:bookmarkStart w:id="1137" w:name="_Toc31951"/>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1134"/>
      <w:bookmarkEnd w:id="1135"/>
      <w:bookmarkEnd w:id="1136"/>
      <w:bookmarkEnd w:id="1137"/>
    </w:p>
    <w:p w14:paraId="7B946E3F">
      <w:pPr>
        <w:pStyle w:val="18"/>
        <w:rPr>
          <w:rFonts w:hint="eastAsia"/>
          <w:color w:val="auto"/>
          <w:highlight w:val="none"/>
          <w:lang w:val="en-US" w:eastAsia="zh-CN"/>
        </w:rPr>
      </w:pPr>
    </w:p>
    <w:p w14:paraId="4CFAFC4F">
      <w:pPr>
        <w:autoSpaceDE w:val="0"/>
        <w:autoSpaceDN w:val="0"/>
        <w:adjustRightInd w:val="0"/>
        <w:jc w:val="left"/>
        <w:rPr>
          <w:rFonts w:ascii="宋体" w:hAnsi="宋体" w:eastAsia="宋体" w:cs="Times New Roman"/>
          <w:color w:val="auto"/>
          <w:kern w:val="0"/>
          <w:sz w:val="24"/>
          <w:szCs w:val="24"/>
          <w:highlight w:val="none"/>
        </w:rPr>
      </w:pPr>
    </w:p>
    <w:p w14:paraId="50EF8F1A">
      <w:pPr>
        <w:autoSpaceDE w:val="0"/>
        <w:autoSpaceDN w:val="0"/>
        <w:adjustRightInd w:val="0"/>
        <w:jc w:val="left"/>
        <w:rPr>
          <w:rFonts w:ascii="宋体" w:hAnsi="宋体" w:eastAsia="宋体" w:cs="Times New Roman"/>
          <w:color w:val="auto"/>
          <w:kern w:val="0"/>
          <w:sz w:val="24"/>
          <w:szCs w:val="24"/>
          <w:highlight w:val="none"/>
        </w:rPr>
      </w:pPr>
    </w:p>
    <w:p w14:paraId="1857262C">
      <w:pPr>
        <w:autoSpaceDE w:val="0"/>
        <w:autoSpaceDN w:val="0"/>
        <w:adjustRightInd w:val="0"/>
        <w:jc w:val="left"/>
        <w:rPr>
          <w:rFonts w:ascii="宋体" w:hAnsi="宋体" w:eastAsia="宋体" w:cs="Times New Roman"/>
          <w:color w:val="auto"/>
          <w:kern w:val="0"/>
          <w:sz w:val="24"/>
          <w:szCs w:val="24"/>
          <w:highlight w:val="none"/>
        </w:rPr>
      </w:pPr>
    </w:p>
    <w:p w14:paraId="220FF00F">
      <w:pPr>
        <w:autoSpaceDE w:val="0"/>
        <w:autoSpaceDN w:val="0"/>
        <w:adjustRightInd w:val="0"/>
        <w:jc w:val="left"/>
        <w:rPr>
          <w:rFonts w:ascii="宋体" w:hAnsi="宋体" w:eastAsia="宋体" w:cs="Times New Roman"/>
          <w:color w:val="auto"/>
          <w:kern w:val="0"/>
          <w:sz w:val="24"/>
          <w:szCs w:val="24"/>
          <w:highlight w:val="none"/>
        </w:rPr>
      </w:pPr>
    </w:p>
    <w:p w14:paraId="56807529">
      <w:pPr>
        <w:autoSpaceDE w:val="0"/>
        <w:autoSpaceDN w:val="0"/>
        <w:adjustRightInd w:val="0"/>
        <w:jc w:val="left"/>
        <w:rPr>
          <w:rFonts w:ascii="宋体" w:hAnsi="宋体" w:eastAsia="宋体" w:cs="Times New Roman"/>
          <w:color w:val="auto"/>
          <w:kern w:val="0"/>
          <w:sz w:val="24"/>
          <w:szCs w:val="24"/>
          <w:highlight w:val="none"/>
        </w:rPr>
      </w:pPr>
    </w:p>
    <w:p w14:paraId="170CE123">
      <w:pPr>
        <w:autoSpaceDE w:val="0"/>
        <w:autoSpaceDN w:val="0"/>
        <w:adjustRightInd w:val="0"/>
        <w:jc w:val="left"/>
        <w:rPr>
          <w:rFonts w:ascii="宋体" w:hAnsi="宋体" w:eastAsia="宋体" w:cs="Times New Roman"/>
          <w:color w:val="auto"/>
          <w:kern w:val="0"/>
          <w:sz w:val="24"/>
          <w:szCs w:val="24"/>
          <w:highlight w:val="none"/>
        </w:rPr>
      </w:pPr>
    </w:p>
    <w:p w14:paraId="74B8BE4B">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32AB4BA6">
      <w:pPr>
        <w:autoSpaceDE w:val="0"/>
        <w:autoSpaceDN w:val="0"/>
        <w:adjustRightInd w:val="0"/>
        <w:jc w:val="left"/>
        <w:rPr>
          <w:rFonts w:ascii="宋体" w:hAnsi="宋体" w:eastAsia="宋体" w:cs="Times New Roman"/>
          <w:color w:val="auto"/>
          <w:kern w:val="0"/>
          <w:sz w:val="24"/>
          <w:szCs w:val="24"/>
          <w:highlight w:val="none"/>
        </w:rPr>
      </w:pPr>
    </w:p>
    <w:p w14:paraId="261A0359">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1138" w:name="_Toc25591"/>
      <w:bookmarkStart w:id="1139" w:name="_Toc13529"/>
      <w:bookmarkStart w:id="1140" w:name="_Toc28845"/>
      <w:bookmarkStart w:id="1141" w:name="_Toc1541"/>
      <w:bookmarkStart w:id="1142" w:name="_Toc142508390"/>
      <w:bookmarkStart w:id="1143" w:name="_Toc25469"/>
      <w:bookmarkStart w:id="1144" w:name="_Toc24913"/>
      <w:bookmarkStart w:id="1145" w:name="_Toc15906"/>
      <w:bookmarkStart w:id="1146" w:name="_Toc521918141"/>
      <w:bookmarkStart w:id="1147" w:name="_Toc22601_WPSOffice_Level1"/>
      <w:bookmarkStart w:id="1148" w:name="_Toc522047402"/>
      <w:r>
        <w:rPr>
          <w:rFonts w:hint="eastAsia" w:ascii="宋体" w:hAnsi="宋体" w:eastAsia="宋体" w:cs="宋体"/>
          <w:b/>
          <w:bCs/>
          <w:color w:val="auto"/>
          <w:kern w:val="44"/>
          <w:sz w:val="32"/>
          <w:szCs w:val="32"/>
          <w:highlight w:val="none"/>
          <w:lang w:val="zh-CN"/>
        </w:rPr>
        <w:t>附件一：评标工作大纲</w:t>
      </w:r>
      <w:bookmarkEnd w:id="1138"/>
      <w:bookmarkEnd w:id="1139"/>
      <w:bookmarkEnd w:id="1140"/>
      <w:bookmarkEnd w:id="1141"/>
      <w:bookmarkEnd w:id="1142"/>
      <w:bookmarkEnd w:id="1143"/>
      <w:bookmarkEnd w:id="1144"/>
      <w:bookmarkEnd w:id="1145"/>
    </w:p>
    <w:p w14:paraId="7A21C7C6">
      <w:pPr>
        <w:autoSpaceDE w:val="0"/>
        <w:autoSpaceDN w:val="0"/>
        <w:adjustRightInd w:val="0"/>
        <w:spacing w:line="400" w:lineRule="atLeast"/>
        <w:jc w:val="center"/>
        <w:rPr>
          <w:rFonts w:ascii="宋体" w:hAnsi="宋体" w:eastAsia="宋体" w:cs="宋体"/>
          <w:b/>
          <w:bCs/>
          <w:color w:val="auto"/>
          <w:szCs w:val="21"/>
          <w:highlight w:val="none"/>
        </w:rPr>
      </w:pPr>
    </w:p>
    <w:p w14:paraId="67C976B7">
      <w:pPr>
        <w:autoSpaceDE w:val="0"/>
        <w:autoSpaceDN w:val="0"/>
        <w:adjustRightInd w:val="0"/>
        <w:spacing w:line="400" w:lineRule="atLeast"/>
        <w:jc w:val="center"/>
        <w:rPr>
          <w:rFonts w:ascii="宋体" w:hAnsi="宋体" w:eastAsia="宋体" w:cs="宋体"/>
          <w:b/>
          <w:bCs/>
          <w:color w:val="auto"/>
          <w:szCs w:val="21"/>
          <w:highlight w:val="none"/>
        </w:rPr>
      </w:pPr>
    </w:p>
    <w:p w14:paraId="5180CBAC">
      <w:pPr>
        <w:autoSpaceDE w:val="0"/>
        <w:autoSpaceDN w:val="0"/>
        <w:adjustRightInd w:val="0"/>
        <w:spacing w:line="400" w:lineRule="atLeast"/>
        <w:jc w:val="center"/>
        <w:rPr>
          <w:rFonts w:ascii="宋体" w:hAnsi="宋体" w:eastAsia="宋体" w:cs="宋体"/>
          <w:b/>
          <w:bCs/>
          <w:color w:val="auto"/>
          <w:szCs w:val="21"/>
          <w:highlight w:val="none"/>
        </w:rPr>
      </w:pPr>
    </w:p>
    <w:p w14:paraId="709B73B8">
      <w:pPr>
        <w:autoSpaceDE w:val="0"/>
        <w:autoSpaceDN w:val="0"/>
        <w:adjustRightInd w:val="0"/>
        <w:spacing w:line="400" w:lineRule="atLeast"/>
        <w:jc w:val="center"/>
        <w:rPr>
          <w:rFonts w:ascii="宋体" w:hAnsi="宋体" w:eastAsia="宋体" w:cs="宋体"/>
          <w:b/>
          <w:bCs/>
          <w:color w:val="auto"/>
          <w:szCs w:val="21"/>
          <w:highlight w:val="none"/>
        </w:rPr>
      </w:pPr>
    </w:p>
    <w:p w14:paraId="355F5AFB">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东莞市供水计量设施更新项目（2026-2027年计量仪表）－超声波水表</w:t>
      </w:r>
    </w:p>
    <w:p w14:paraId="34FB128E">
      <w:pPr>
        <w:autoSpaceDE w:val="0"/>
        <w:autoSpaceDN w:val="0"/>
        <w:adjustRightInd w:val="0"/>
        <w:spacing w:line="360" w:lineRule="auto"/>
        <w:jc w:val="center"/>
        <w:rPr>
          <w:rFonts w:ascii="宋体" w:hAnsi="宋体" w:eastAsia="宋体" w:cs="宋体"/>
          <w:b/>
          <w:bCs/>
          <w:color w:val="auto"/>
          <w:sz w:val="36"/>
          <w:szCs w:val="36"/>
          <w:highlight w:val="none"/>
        </w:rPr>
      </w:pPr>
      <w:bookmarkStart w:id="1149" w:name="_Toc14752_WPSOffice_Level1"/>
      <w:r>
        <w:rPr>
          <w:rFonts w:hint="eastAsia" w:ascii="宋体" w:hAnsi="宋体" w:eastAsia="宋体" w:cs="宋体"/>
          <w:b/>
          <w:bCs/>
          <w:color w:val="auto"/>
          <w:sz w:val="36"/>
          <w:szCs w:val="36"/>
          <w:highlight w:val="none"/>
          <w:lang w:val="zh-CN"/>
        </w:rPr>
        <w:t>（招 标 编 号：YFGL-202601011</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w:t>
      </w:r>
      <w:bookmarkEnd w:id="1149"/>
    </w:p>
    <w:p w14:paraId="60A47BBD">
      <w:pPr>
        <w:autoSpaceDE w:val="0"/>
        <w:autoSpaceDN w:val="0"/>
        <w:adjustRightInd w:val="0"/>
        <w:spacing w:line="400" w:lineRule="atLeast"/>
        <w:jc w:val="center"/>
        <w:rPr>
          <w:rFonts w:ascii="宋体" w:hAnsi="宋体" w:eastAsia="宋体" w:cs="宋体"/>
          <w:b/>
          <w:bCs/>
          <w:color w:val="auto"/>
          <w:sz w:val="36"/>
          <w:szCs w:val="36"/>
          <w:highlight w:val="none"/>
        </w:rPr>
      </w:pPr>
    </w:p>
    <w:p w14:paraId="7C992188">
      <w:pPr>
        <w:autoSpaceDE w:val="0"/>
        <w:autoSpaceDN w:val="0"/>
        <w:adjustRightInd w:val="0"/>
        <w:spacing w:line="400" w:lineRule="atLeast"/>
        <w:jc w:val="center"/>
        <w:rPr>
          <w:rFonts w:ascii="宋体" w:hAnsi="宋体" w:eastAsia="宋体" w:cs="宋体"/>
          <w:b/>
          <w:bCs/>
          <w:color w:val="auto"/>
          <w:sz w:val="36"/>
          <w:szCs w:val="36"/>
          <w:highlight w:val="none"/>
        </w:rPr>
      </w:pPr>
    </w:p>
    <w:p w14:paraId="637F6143">
      <w:pPr>
        <w:autoSpaceDE w:val="0"/>
        <w:autoSpaceDN w:val="0"/>
        <w:adjustRightInd w:val="0"/>
        <w:spacing w:line="400" w:lineRule="atLeast"/>
        <w:jc w:val="center"/>
        <w:rPr>
          <w:rFonts w:ascii="宋体" w:hAnsi="宋体" w:eastAsia="宋体" w:cs="宋体"/>
          <w:b/>
          <w:bCs/>
          <w:color w:val="auto"/>
          <w:sz w:val="36"/>
          <w:szCs w:val="36"/>
          <w:highlight w:val="none"/>
        </w:rPr>
      </w:pPr>
    </w:p>
    <w:p w14:paraId="2B0E979E">
      <w:pPr>
        <w:autoSpaceDE w:val="0"/>
        <w:autoSpaceDN w:val="0"/>
        <w:adjustRightInd w:val="0"/>
        <w:spacing w:line="400" w:lineRule="atLeast"/>
        <w:jc w:val="center"/>
        <w:rPr>
          <w:rFonts w:ascii="宋体" w:hAnsi="宋体" w:eastAsia="宋体" w:cs="宋体"/>
          <w:b/>
          <w:bCs/>
          <w:color w:val="auto"/>
          <w:sz w:val="36"/>
          <w:szCs w:val="36"/>
          <w:highlight w:val="none"/>
        </w:rPr>
      </w:pPr>
    </w:p>
    <w:p w14:paraId="5C25FB22">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150" w:name="_Toc18947_WPSOffice_Level2"/>
      <w:r>
        <w:rPr>
          <w:rFonts w:hint="eastAsia" w:ascii="宋体" w:hAnsi="宋体" w:eastAsia="宋体" w:cs="宋体"/>
          <w:b/>
          <w:bCs/>
          <w:color w:val="auto"/>
          <w:sz w:val="72"/>
          <w:szCs w:val="72"/>
          <w:highlight w:val="none"/>
          <w:lang w:val="zh-CN"/>
        </w:rPr>
        <w:t>评标工作大纲</w:t>
      </w:r>
      <w:bookmarkEnd w:id="1150"/>
    </w:p>
    <w:p w14:paraId="306D42BC">
      <w:pPr>
        <w:autoSpaceDE w:val="0"/>
        <w:autoSpaceDN w:val="0"/>
        <w:adjustRightInd w:val="0"/>
        <w:spacing w:line="400" w:lineRule="atLeast"/>
        <w:jc w:val="center"/>
        <w:rPr>
          <w:rFonts w:ascii="宋体" w:hAnsi="宋体" w:eastAsia="宋体" w:cs="宋体"/>
          <w:b/>
          <w:bCs/>
          <w:color w:val="auto"/>
          <w:sz w:val="36"/>
          <w:szCs w:val="36"/>
          <w:highlight w:val="none"/>
        </w:rPr>
      </w:pPr>
    </w:p>
    <w:p w14:paraId="28A7F9D4">
      <w:pPr>
        <w:autoSpaceDE w:val="0"/>
        <w:autoSpaceDN w:val="0"/>
        <w:adjustRightInd w:val="0"/>
        <w:spacing w:line="400" w:lineRule="atLeast"/>
        <w:rPr>
          <w:rFonts w:ascii="宋体" w:hAnsi="宋体" w:eastAsia="宋体" w:cs="宋体"/>
          <w:b/>
          <w:bCs/>
          <w:color w:val="auto"/>
          <w:sz w:val="36"/>
          <w:szCs w:val="36"/>
          <w:highlight w:val="none"/>
        </w:rPr>
      </w:pPr>
    </w:p>
    <w:p w14:paraId="126D208E">
      <w:pPr>
        <w:autoSpaceDE w:val="0"/>
        <w:autoSpaceDN w:val="0"/>
        <w:adjustRightInd w:val="0"/>
        <w:spacing w:line="400" w:lineRule="atLeast"/>
        <w:jc w:val="center"/>
        <w:rPr>
          <w:rFonts w:ascii="宋体" w:hAnsi="宋体" w:eastAsia="宋体" w:cs="宋体"/>
          <w:b/>
          <w:bCs/>
          <w:color w:val="auto"/>
          <w:sz w:val="36"/>
          <w:szCs w:val="36"/>
          <w:highlight w:val="none"/>
        </w:rPr>
      </w:pPr>
    </w:p>
    <w:p w14:paraId="7BE5BCD3">
      <w:pPr>
        <w:autoSpaceDE w:val="0"/>
        <w:autoSpaceDN w:val="0"/>
        <w:adjustRightInd w:val="0"/>
        <w:spacing w:line="400" w:lineRule="atLeast"/>
        <w:jc w:val="center"/>
        <w:rPr>
          <w:rFonts w:ascii="宋体" w:hAnsi="宋体" w:eastAsia="宋体" w:cs="宋体"/>
          <w:b/>
          <w:bCs/>
          <w:color w:val="auto"/>
          <w:sz w:val="36"/>
          <w:szCs w:val="36"/>
          <w:highlight w:val="none"/>
        </w:rPr>
      </w:pPr>
    </w:p>
    <w:p w14:paraId="55A58B11">
      <w:pPr>
        <w:autoSpaceDE w:val="0"/>
        <w:autoSpaceDN w:val="0"/>
        <w:adjustRightInd w:val="0"/>
        <w:spacing w:line="400" w:lineRule="atLeast"/>
        <w:jc w:val="center"/>
        <w:rPr>
          <w:rFonts w:ascii="宋体" w:hAnsi="宋体" w:eastAsia="宋体" w:cs="宋体"/>
          <w:b/>
          <w:bCs/>
          <w:color w:val="auto"/>
          <w:sz w:val="36"/>
          <w:szCs w:val="36"/>
          <w:highlight w:val="none"/>
        </w:rPr>
      </w:pPr>
    </w:p>
    <w:p w14:paraId="247CD1C5">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 xml:space="preserve">   广东一方项目管理有限</w:t>
      </w:r>
      <w:r>
        <w:rPr>
          <w:rFonts w:hint="eastAsia" w:ascii="宋体" w:hAnsi="宋体" w:eastAsia="宋体" w:cs="宋体"/>
          <w:b/>
          <w:bCs/>
          <w:color w:val="auto"/>
          <w:sz w:val="36"/>
          <w:szCs w:val="36"/>
          <w:highlight w:val="none"/>
          <w:lang w:val="zh-CN"/>
        </w:rPr>
        <w:t>公司</w:t>
      </w:r>
    </w:p>
    <w:p w14:paraId="3442D24E">
      <w:pPr>
        <w:autoSpaceDE w:val="0"/>
        <w:autoSpaceDN w:val="0"/>
        <w:adjustRightInd w:val="0"/>
        <w:spacing w:line="400" w:lineRule="atLeast"/>
        <w:jc w:val="center"/>
        <w:rPr>
          <w:rFonts w:ascii="宋体" w:hAnsi="宋体" w:eastAsia="宋体" w:cs="宋体"/>
          <w:b/>
          <w:bCs/>
          <w:color w:val="auto"/>
          <w:sz w:val="36"/>
          <w:szCs w:val="36"/>
          <w:highlight w:val="none"/>
        </w:rPr>
      </w:pPr>
    </w:p>
    <w:p w14:paraId="333B620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151" w:name="_Toc32395_WPSOffice_Level1"/>
      <w:r>
        <w:rPr>
          <w:rFonts w:hint="eastAsia" w:ascii="宋体" w:hAnsi="宋体" w:eastAsia="宋体" w:cs="宋体"/>
          <w:b/>
          <w:bCs/>
          <w:color w:val="auto"/>
          <w:sz w:val="36"/>
          <w:szCs w:val="36"/>
          <w:highlight w:val="none"/>
          <w:lang w:val="zh-CN"/>
        </w:rPr>
        <w:t>目录</w:t>
      </w:r>
      <w:bookmarkEnd w:id="1151"/>
    </w:p>
    <w:p w14:paraId="4D0641D5">
      <w:pPr>
        <w:autoSpaceDE w:val="0"/>
        <w:autoSpaceDN w:val="0"/>
        <w:adjustRightInd w:val="0"/>
        <w:spacing w:line="400" w:lineRule="atLeast"/>
        <w:jc w:val="center"/>
        <w:rPr>
          <w:rFonts w:ascii="宋体" w:hAnsi="宋体" w:eastAsia="宋体" w:cs="宋体"/>
          <w:color w:val="auto"/>
          <w:sz w:val="44"/>
          <w:szCs w:val="44"/>
          <w:highlight w:val="none"/>
        </w:rPr>
      </w:pPr>
    </w:p>
    <w:p w14:paraId="7C080E96">
      <w:pPr>
        <w:autoSpaceDE w:val="0"/>
        <w:autoSpaceDN w:val="0"/>
        <w:adjustRightInd w:val="0"/>
        <w:spacing w:line="360" w:lineRule="auto"/>
        <w:ind w:left="567" w:hanging="567"/>
        <w:rPr>
          <w:rFonts w:ascii="宋体" w:hAnsi="宋体" w:eastAsia="宋体" w:cs="宋体"/>
          <w:color w:val="auto"/>
          <w:szCs w:val="30"/>
          <w:highlight w:val="none"/>
        </w:rPr>
      </w:pPr>
      <w:bookmarkStart w:id="115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152"/>
    </w:p>
    <w:p w14:paraId="0B944FBD">
      <w:pPr>
        <w:autoSpaceDE w:val="0"/>
        <w:autoSpaceDN w:val="0"/>
        <w:adjustRightInd w:val="0"/>
        <w:spacing w:line="360" w:lineRule="auto"/>
        <w:ind w:left="567" w:hanging="567"/>
        <w:rPr>
          <w:rFonts w:ascii="宋体" w:hAnsi="宋体" w:eastAsia="宋体" w:cs="宋体"/>
          <w:color w:val="auto"/>
          <w:szCs w:val="30"/>
          <w:highlight w:val="none"/>
        </w:rPr>
      </w:pPr>
      <w:bookmarkStart w:id="115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153"/>
    </w:p>
    <w:p w14:paraId="526A3265">
      <w:pPr>
        <w:autoSpaceDE w:val="0"/>
        <w:autoSpaceDN w:val="0"/>
        <w:adjustRightInd w:val="0"/>
        <w:spacing w:line="360" w:lineRule="auto"/>
        <w:ind w:left="567" w:hanging="567"/>
        <w:rPr>
          <w:rFonts w:ascii="宋体" w:hAnsi="宋体" w:eastAsia="宋体" w:cs="宋体"/>
          <w:color w:val="auto"/>
          <w:szCs w:val="30"/>
          <w:highlight w:val="none"/>
        </w:rPr>
      </w:pPr>
      <w:bookmarkStart w:id="115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154"/>
    </w:p>
    <w:p w14:paraId="1B34E282">
      <w:pPr>
        <w:autoSpaceDE w:val="0"/>
        <w:autoSpaceDN w:val="0"/>
        <w:adjustRightInd w:val="0"/>
        <w:spacing w:line="360" w:lineRule="auto"/>
        <w:ind w:left="567" w:hanging="567"/>
        <w:rPr>
          <w:rFonts w:ascii="宋体" w:hAnsi="宋体" w:eastAsia="宋体" w:cs="宋体"/>
          <w:color w:val="auto"/>
          <w:szCs w:val="30"/>
          <w:highlight w:val="none"/>
        </w:rPr>
      </w:pPr>
      <w:bookmarkStart w:id="1155" w:name="_Toc1206_WPSOffice_Level1"/>
      <w:r>
        <w:rPr>
          <w:rFonts w:hint="eastAsia" w:ascii="宋体" w:hAnsi="宋体" w:eastAsia="宋体" w:cs="宋体"/>
          <w:color w:val="auto"/>
          <w:szCs w:val="30"/>
          <w:highlight w:val="none"/>
        </w:rPr>
        <w:t>四、 比较和评价</w:t>
      </w:r>
      <w:bookmarkEnd w:id="1155"/>
    </w:p>
    <w:p w14:paraId="45EE637F">
      <w:pPr>
        <w:autoSpaceDE w:val="0"/>
        <w:autoSpaceDN w:val="0"/>
        <w:adjustRightInd w:val="0"/>
        <w:spacing w:line="360" w:lineRule="auto"/>
        <w:ind w:left="567" w:hanging="567"/>
        <w:rPr>
          <w:rFonts w:ascii="宋体" w:hAnsi="宋体" w:eastAsia="宋体" w:cs="宋体"/>
          <w:color w:val="auto"/>
          <w:szCs w:val="30"/>
          <w:highlight w:val="none"/>
        </w:rPr>
      </w:pPr>
      <w:bookmarkStart w:id="115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156"/>
    </w:p>
    <w:p w14:paraId="46F0F5D5">
      <w:pPr>
        <w:autoSpaceDE w:val="0"/>
        <w:autoSpaceDN w:val="0"/>
        <w:adjustRightInd w:val="0"/>
        <w:spacing w:line="360" w:lineRule="auto"/>
        <w:ind w:left="567" w:hanging="567"/>
        <w:rPr>
          <w:rFonts w:ascii="宋体" w:hAnsi="宋体" w:eastAsia="宋体" w:cs="宋体"/>
          <w:color w:val="auto"/>
          <w:szCs w:val="30"/>
          <w:highlight w:val="none"/>
        </w:rPr>
      </w:pPr>
      <w:bookmarkStart w:id="115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157"/>
    </w:p>
    <w:p w14:paraId="7318ED58">
      <w:pPr>
        <w:autoSpaceDE w:val="0"/>
        <w:autoSpaceDN w:val="0"/>
        <w:adjustRightInd w:val="0"/>
        <w:spacing w:line="360" w:lineRule="auto"/>
        <w:ind w:left="567" w:hanging="567"/>
        <w:rPr>
          <w:rFonts w:ascii="宋体" w:hAnsi="宋体" w:eastAsia="宋体" w:cs="宋体"/>
          <w:color w:val="auto"/>
          <w:szCs w:val="30"/>
          <w:highlight w:val="none"/>
        </w:rPr>
      </w:pPr>
      <w:bookmarkStart w:id="115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158"/>
    </w:p>
    <w:p w14:paraId="6C15655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8AECC13">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8750D12">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627C38F5">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15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159"/>
    </w:p>
    <w:p w14:paraId="686A1E1E">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C827F89">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eastAsia="zh-CN"/>
        </w:rPr>
        <w:t>东莞市供水计量设施更新项目（2026-2027年计量仪表）</w:t>
      </w:r>
      <w:r>
        <w:rPr>
          <w:rFonts w:hint="eastAsia" w:ascii="宋体" w:hAnsi="宋体" w:eastAsia="宋体" w:cs="宋体"/>
          <w:color w:val="auto"/>
          <w:kern w:val="0"/>
          <w:szCs w:val="21"/>
          <w:highlight w:val="none"/>
          <w:lang w:eastAsia="zh-CN"/>
        </w:rPr>
        <w:t>－超声波水表</w:t>
      </w:r>
      <w:r>
        <w:rPr>
          <w:rFonts w:hint="eastAsia" w:ascii="宋体" w:hAnsi="宋体" w:eastAsia="宋体" w:cs="宋体"/>
          <w:color w:val="auto"/>
          <w:szCs w:val="21"/>
          <w:highlight w:val="none"/>
          <w:lang w:val="zh-CN"/>
        </w:rPr>
        <w:t>(招 标 编 号：YFGL-202601011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E369A4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BE7F02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(广东一方项目管理有限公司）组</w:t>
      </w:r>
      <w:r>
        <w:rPr>
          <w:rFonts w:hint="eastAsia" w:ascii="宋体" w:hAnsi="宋体" w:eastAsia="宋体" w:cs="宋体"/>
          <w:color w:val="auto"/>
          <w:szCs w:val="24"/>
          <w:highlight w:val="none"/>
          <w:lang w:val="zh-CN"/>
        </w:rPr>
        <w:t>织评标工作，全过程接受招标人及相关部门的监督、管理和指导。</w:t>
      </w:r>
    </w:p>
    <w:p w14:paraId="2884F8D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DA8443A">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3AE2B0E">
      <w:pPr>
        <w:autoSpaceDE w:val="0"/>
        <w:autoSpaceDN w:val="0"/>
        <w:adjustRightInd w:val="0"/>
        <w:spacing w:line="360" w:lineRule="auto"/>
        <w:rPr>
          <w:rFonts w:ascii="宋体" w:hAnsi="宋体" w:eastAsia="宋体" w:cs="宋体"/>
          <w:color w:val="auto"/>
          <w:sz w:val="24"/>
          <w:szCs w:val="24"/>
          <w:highlight w:val="none"/>
          <w:lang w:val="zh-CN"/>
        </w:rPr>
      </w:pPr>
    </w:p>
    <w:p w14:paraId="38525457">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E027FF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AA37A54">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79548EA">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46C2E5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D81E176">
      <w:pPr>
        <w:autoSpaceDE w:val="0"/>
        <w:autoSpaceDN w:val="0"/>
        <w:adjustRightInd w:val="0"/>
        <w:spacing w:line="360" w:lineRule="auto"/>
        <w:rPr>
          <w:rFonts w:ascii="宋体" w:hAnsi="宋体" w:eastAsia="宋体" w:cs="宋体"/>
          <w:color w:val="auto"/>
          <w:sz w:val="24"/>
          <w:szCs w:val="24"/>
          <w:highlight w:val="none"/>
          <w:lang w:val="zh-CN"/>
        </w:rPr>
      </w:pPr>
    </w:p>
    <w:p w14:paraId="1E87A31B">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166E53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68A311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183E554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1B1701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9883B75">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CBE313C">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6BD5CDC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D407D6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2A1B3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2E5458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8D3953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DE5D3B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211B0D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BAE0FC3">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24D9F4F">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3ADA5E59">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291AB08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886D48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5624FA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26F3D05C">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00C9D410">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26837F7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3FD2E0F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93B2137">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1160" w:name="_Toc19435_WPSOffice_Level1"/>
      <w:r>
        <w:rPr>
          <w:rFonts w:hint="eastAsia" w:ascii="宋体" w:hAnsi="宋体" w:eastAsia="宋体" w:cs="宋体"/>
          <w:b/>
          <w:bCs/>
          <w:color w:val="auto"/>
          <w:sz w:val="28"/>
          <w:szCs w:val="28"/>
          <w:highlight w:val="none"/>
          <w:lang w:val="zh-CN"/>
        </w:rPr>
        <w:t>二、投标文件的初审</w:t>
      </w:r>
      <w:bookmarkEnd w:id="1160"/>
    </w:p>
    <w:p w14:paraId="0C0243B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BC6F4C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FEADD5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5A0DE63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7851E30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29ECF5A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C1CA33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5D8C96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10D359A">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14:paraId="3621024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52C2C3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5912C02">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17F01C13">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7.6  存在投标产品制造商及其就本项目独家授权销售的经销商同时参与本项目的投标</w:t>
      </w:r>
      <w:r>
        <w:rPr>
          <w:rFonts w:hint="eastAsia" w:ascii="宋体" w:hAnsi="宋体" w:eastAsia="宋体" w:cs="宋体"/>
          <w:b/>
          <w:bCs/>
          <w:color w:val="auto"/>
          <w:kern w:val="0"/>
          <w:szCs w:val="21"/>
          <w:highlight w:val="none"/>
          <w:lang w:val="en-US" w:eastAsia="zh-CN"/>
        </w:rPr>
        <w:t>的</w:t>
      </w:r>
      <w:r>
        <w:rPr>
          <w:rFonts w:hint="eastAsia" w:ascii="宋体" w:hAnsi="宋体" w:eastAsia="宋体" w:cs="宋体"/>
          <w:b/>
          <w:bCs/>
          <w:color w:val="auto"/>
          <w:kern w:val="0"/>
          <w:szCs w:val="21"/>
          <w:highlight w:val="none"/>
        </w:rPr>
        <w:t>；</w:t>
      </w:r>
    </w:p>
    <w:p w14:paraId="50108411">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7.7  同一投标产品的制造商通过两家或以上就本次投标独家授权的经销商同时参与本项目投标的；</w:t>
      </w:r>
    </w:p>
    <w:p w14:paraId="01588EC3">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2ABA94C8">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05B49E31">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046856A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11</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B209EE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未填写或虚假填写《用户需求偏离表》的；</w:t>
      </w:r>
    </w:p>
    <w:p w14:paraId="5CFC2C57">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3</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1B4D6D72">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8433E1E">
      <w:pPr>
        <w:spacing w:line="360" w:lineRule="auto"/>
        <w:ind w:left="480"/>
        <w:rPr>
          <w:rFonts w:ascii="宋体" w:hAnsi="宋体" w:eastAsia="宋体" w:cs="宋体"/>
          <w:b/>
          <w:color w:val="auto"/>
          <w:kern w:val="0"/>
          <w:szCs w:val="21"/>
          <w:highlight w:val="none"/>
        </w:rPr>
      </w:pPr>
    </w:p>
    <w:p w14:paraId="29E66E86">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1161" w:name="_Toc4109_WPSOffice_Level1"/>
      <w:r>
        <w:rPr>
          <w:rFonts w:hint="eastAsia" w:ascii="宋体" w:hAnsi="宋体" w:eastAsia="宋体" w:cs="宋体"/>
          <w:b/>
          <w:bCs/>
          <w:color w:val="auto"/>
          <w:sz w:val="28"/>
          <w:szCs w:val="28"/>
          <w:highlight w:val="none"/>
          <w:lang w:val="zh-CN"/>
        </w:rPr>
        <w:t>三、澄清有关问题</w:t>
      </w:r>
      <w:bookmarkEnd w:id="1161"/>
    </w:p>
    <w:p w14:paraId="00982C27">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1CBD8CC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38EEBF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6A3B28F">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15164E4">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F96DC2A">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4A65F91">
      <w:pPr>
        <w:autoSpaceDE/>
        <w:autoSpaceDN/>
        <w:adjustRightInd/>
        <w:spacing w:line="360" w:lineRule="auto"/>
        <w:ind w:left="638" w:leftChars="304" w:firstLine="417" w:firstLineChars="199"/>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当以数字表示的报价系数与以文字表示的报价系数不一致时，以文字表示的报价系数为准。经双方确认后，作为投标人的投标报价。</w:t>
      </w:r>
    </w:p>
    <w:p w14:paraId="787D48E9">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FC3D7B1">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若投标人出现超低报价，有可能影响货物及有关服务和不能诚信履约的，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A777D0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162" w:name="_Toc8518_WPSOffice_Level1"/>
    </w:p>
    <w:p w14:paraId="35DE9600">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162"/>
    </w:p>
    <w:p w14:paraId="3E19EA3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F84FB39">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D035C2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51828AB">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4233FE0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1FCD78FF">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5C9635F">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07577B4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w:t>
      </w: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rPr>
        <w:t>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39863F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BCF90B4">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E7AFD4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F18554F">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50DD9E3A">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5903F6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3353892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A6F85E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43A2CA3B">
      <w:pPr>
        <w:autoSpaceDE w:val="0"/>
        <w:autoSpaceDN w:val="0"/>
        <w:adjustRightInd w:val="0"/>
        <w:spacing w:line="360" w:lineRule="auto"/>
        <w:rPr>
          <w:rFonts w:ascii="宋体" w:hAnsi="宋体" w:eastAsia="宋体" w:cs="宋体"/>
          <w:color w:val="auto"/>
          <w:szCs w:val="24"/>
          <w:highlight w:val="none"/>
          <w:lang w:val="zh-CN"/>
        </w:rPr>
      </w:pPr>
    </w:p>
    <w:p w14:paraId="573B247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textAlignment w:val="auto"/>
        <w:outlineLvl w:val="2"/>
        <w:rPr>
          <w:rFonts w:ascii="宋体" w:hAnsi="宋体" w:eastAsia="宋体" w:cs="宋体"/>
          <w:b/>
          <w:color w:val="auto"/>
          <w:szCs w:val="24"/>
          <w:highlight w:val="none"/>
          <w:lang w:val="zh-CN"/>
        </w:rPr>
      </w:pPr>
      <w:bookmarkStart w:id="1163" w:name="_Toc4065"/>
      <w:bookmarkStart w:id="1164" w:name="_Toc22897"/>
      <w:bookmarkStart w:id="1165" w:name="_Toc28432"/>
      <w:bookmarkStart w:id="1166" w:name="_Toc29484"/>
      <w:r>
        <w:rPr>
          <w:rFonts w:hint="eastAsia" w:ascii="宋体" w:hAnsi="宋体" w:eastAsia="宋体" w:cs="宋体"/>
          <w:b/>
          <w:color w:val="auto"/>
          <w:szCs w:val="24"/>
          <w:highlight w:val="none"/>
          <w:lang w:val="zh-CN"/>
        </w:rPr>
        <w:t>12、评分因素及分值</w:t>
      </w:r>
      <w:bookmarkEnd w:id="1163"/>
      <w:bookmarkEnd w:id="1164"/>
      <w:bookmarkEnd w:id="1165"/>
      <w:bookmarkEnd w:id="1166"/>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1E1E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7479D91">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B6F414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6BA54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390015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AB29735">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1941A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0BE64E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B6040A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14:paraId="40043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0240A24">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8A46A5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6D96E925">
      <w:pPr>
        <w:tabs>
          <w:tab w:val="left" w:pos="585"/>
        </w:tabs>
        <w:autoSpaceDE w:val="0"/>
        <w:autoSpaceDN w:val="0"/>
        <w:adjustRightInd w:val="0"/>
        <w:spacing w:line="360" w:lineRule="auto"/>
        <w:rPr>
          <w:rFonts w:ascii="宋体" w:hAnsi="宋体" w:eastAsia="宋体" w:cs="宋体"/>
          <w:b/>
          <w:color w:val="auto"/>
          <w:szCs w:val="21"/>
          <w:highlight w:val="none"/>
        </w:rPr>
      </w:pPr>
      <w:bookmarkStart w:id="1167" w:name="_Toc18349_WPSOffice_Level2"/>
    </w:p>
    <w:p w14:paraId="2A70E358">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1167"/>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7ABB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F5000D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9C8935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06508BB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4372B4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2220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CD2F90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61BA59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18AA032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14:paraId="5E2B840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cs="Times New Roman"/>
                <w:b/>
                <w:color w:val="auto"/>
                <w:kern w:val="0"/>
                <w:sz w:val="21"/>
                <w:szCs w:val="21"/>
                <w:highlight w:val="none"/>
                <w:lang w:val="zh-CN"/>
              </w:rPr>
            </w:pPr>
            <w:r>
              <w:rPr>
                <w:rFonts w:hint="eastAsia" w:ascii="宋体" w:hAnsi="宋体" w:eastAsia="宋体" w:cs="宋体"/>
                <w:b/>
                <w:color w:val="auto"/>
                <w:szCs w:val="21"/>
                <w:highlight w:val="none"/>
                <w:lang w:val="zh-CN"/>
              </w:rPr>
              <w:t>备注：盈利指净利润为正数（非零、非负数），投标人应提供202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16564DA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14:paraId="160D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E1CE5D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bookmarkStart w:id="1168" w:name="_Hlk104987354"/>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C49D13A">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414807CB">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val="0"/>
                <w:bCs w:val="0"/>
                <w:color w:val="auto"/>
                <w:kern w:val="0"/>
                <w:szCs w:val="21"/>
                <w:highlight w:val="none"/>
              </w:rPr>
              <w:t>20</w:t>
            </w:r>
            <w:r>
              <w:rPr>
                <w:rFonts w:hint="default" w:ascii="Times New Roman" w:hAnsi="Times New Roman" w:eastAsia="宋体" w:cs="Times New Roman"/>
                <w:b w:val="0"/>
                <w:bCs w:val="0"/>
                <w:color w:val="auto"/>
                <w:kern w:val="0"/>
                <w:szCs w:val="21"/>
                <w:highlight w:val="none"/>
                <w:lang w:val="en-US" w:eastAsia="zh-CN"/>
              </w:rPr>
              <w:t>23</w:t>
            </w:r>
            <w:r>
              <w:rPr>
                <w:rFonts w:hint="default" w:ascii="Times New Roman" w:hAnsi="Times New Roman" w:eastAsia="宋体" w:cs="Times New Roman"/>
                <w:b w:val="0"/>
                <w:bCs w:val="0"/>
                <w:color w:val="auto"/>
                <w:kern w:val="0"/>
                <w:szCs w:val="21"/>
                <w:highlight w:val="none"/>
              </w:rPr>
              <w:t>年1月1日以来（业绩的时间以合同签订的日期为准）</w:t>
            </w:r>
            <w:r>
              <w:rPr>
                <w:rFonts w:hint="default" w:ascii="Times New Roman" w:hAnsi="Times New Roman" w:eastAsia="宋体" w:cs="Times New Roman"/>
                <w:b w:val="0"/>
                <w:bCs w:val="0"/>
                <w:color w:val="auto"/>
                <w:kern w:val="0"/>
                <w:szCs w:val="21"/>
                <w:highlight w:val="none"/>
                <w:lang w:val="en-US" w:eastAsia="zh-CN"/>
              </w:rPr>
              <w:t>投标品牌</w:t>
            </w:r>
            <w:bookmarkStart w:id="1169" w:name="OLE_LINK1"/>
            <w:r>
              <w:rPr>
                <w:rFonts w:hint="default" w:ascii="Times New Roman" w:hAnsi="Times New Roman" w:eastAsia="宋体" w:cs="Times New Roman"/>
                <w:b w:val="0"/>
                <w:bCs w:val="0"/>
                <w:color w:val="auto"/>
                <w:kern w:val="0"/>
                <w:szCs w:val="21"/>
                <w:highlight w:val="none"/>
                <w:lang w:val="en-US" w:eastAsia="zh-CN"/>
              </w:rPr>
              <w:t>超声波水表</w:t>
            </w:r>
            <w:bookmarkEnd w:id="1169"/>
            <w:r>
              <w:rPr>
                <w:rFonts w:hint="default" w:ascii="Times New Roman" w:hAnsi="Times New Roman" w:eastAsia="宋体" w:cs="Times New Roman"/>
                <w:b w:val="0"/>
                <w:bCs w:val="0"/>
                <w:color w:val="auto"/>
                <w:kern w:val="0"/>
                <w:szCs w:val="21"/>
                <w:highlight w:val="none"/>
              </w:rPr>
              <w:t>在国内的销售业绩，按下列情况评分，本项业绩评审满分</w:t>
            </w:r>
            <w:r>
              <w:rPr>
                <w:rFonts w:hint="default" w:ascii="Times New Roman" w:hAnsi="Times New Roman" w:eastAsia="宋体" w:cs="Times New Roman"/>
                <w:b w:val="0"/>
                <w:bCs w:val="0"/>
                <w:color w:val="auto"/>
                <w:kern w:val="0"/>
                <w:szCs w:val="21"/>
                <w:highlight w:val="none"/>
                <w:lang w:val="en-US" w:eastAsia="zh-CN"/>
              </w:rPr>
              <w:t>27</w:t>
            </w:r>
            <w:r>
              <w:rPr>
                <w:rFonts w:hint="default" w:ascii="Times New Roman" w:hAnsi="Times New Roman" w:eastAsia="宋体" w:cs="Times New Roman"/>
                <w:b w:val="0"/>
                <w:bCs w:val="0"/>
                <w:color w:val="auto"/>
                <w:kern w:val="0"/>
                <w:szCs w:val="21"/>
                <w:highlight w:val="none"/>
              </w:rPr>
              <w:t>分。</w:t>
            </w:r>
          </w:p>
          <w:p w14:paraId="53FC93F7">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val="0"/>
                <w:bCs w:val="0"/>
                <w:color w:val="auto"/>
                <w:kern w:val="0"/>
                <w:szCs w:val="21"/>
                <w:highlight w:val="none"/>
              </w:rPr>
              <w:t>（1）单项合同金额≥</w:t>
            </w:r>
            <w:r>
              <w:rPr>
                <w:rFonts w:hint="eastAsia" w:ascii="Times New Roman" w:hAnsi="Times New Roman" w:eastAsia="宋体" w:cs="Times New Roman"/>
                <w:b w:val="0"/>
                <w:bCs w:val="0"/>
                <w:color w:val="auto"/>
                <w:kern w:val="0"/>
                <w:szCs w:val="21"/>
                <w:highlight w:val="none"/>
                <w:lang w:val="en-US" w:eastAsia="zh-CN"/>
              </w:rPr>
              <w:t>480</w:t>
            </w:r>
            <w:r>
              <w:rPr>
                <w:rFonts w:hint="default" w:ascii="Times New Roman" w:hAnsi="Times New Roman" w:eastAsia="宋体" w:cs="Times New Roman"/>
                <w:b w:val="0"/>
                <w:bCs w:val="0"/>
                <w:color w:val="auto"/>
                <w:kern w:val="0"/>
                <w:szCs w:val="21"/>
                <w:highlight w:val="none"/>
              </w:rPr>
              <w:t>万元的前述业绩，每项得</w:t>
            </w:r>
            <w:r>
              <w:rPr>
                <w:rFonts w:hint="eastAsia" w:ascii="Times New Roman" w:hAnsi="Times New Roman" w:eastAsia="宋体" w:cs="Times New Roman"/>
                <w:b w:val="0"/>
                <w:bCs w:val="0"/>
                <w:color w:val="auto"/>
                <w:kern w:val="0"/>
                <w:szCs w:val="21"/>
                <w:highlight w:val="none"/>
                <w:lang w:val="en-US" w:eastAsia="zh-CN"/>
              </w:rPr>
              <w:t>3</w:t>
            </w:r>
            <w:r>
              <w:rPr>
                <w:rFonts w:hint="default" w:ascii="Times New Roman" w:hAnsi="Times New Roman" w:eastAsia="宋体" w:cs="Times New Roman"/>
                <w:b w:val="0"/>
                <w:bCs w:val="0"/>
                <w:color w:val="auto"/>
                <w:kern w:val="0"/>
                <w:szCs w:val="21"/>
                <w:highlight w:val="none"/>
              </w:rPr>
              <w:t>分。</w:t>
            </w:r>
          </w:p>
          <w:p w14:paraId="51EAEAD5">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default" w:ascii="Times New Roman" w:hAnsi="Times New Roman" w:eastAsia="宋体" w:cs="Times New Roman"/>
                <w:b w:val="0"/>
                <w:bCs w:val="0"/>
                <w:color w:val="auto"/>
                <w:kern w:val="0"/>
                <w:szCs w:val="21"/>
                <w:highlight w:val="none"/>
                <w:lang w:eastAsia="zh-CN"/>
              </w:rPr>
            </w:pPr>
            <w:r>
              <w:rPr>
                <w:rFonts w:hint="default" w:ascii="Times New Roman" w:hAnsi="Times New Roman" w:eastAsia="宋体" w:cs="Times New Roman"/>
                <w:b w:val="0"/>
                <w:bCs w:val="0"/>
                <w:color w:val="auto"/>
                <w:kern w:val="0"/>
                <w:szCs w:val="21"/>
                <w:highlight w:val="none"/>
              </w:rPr>
              <w:t>（2）</w:t>
            </w:r>
            <w:r>
              <w:rPr>
                <w:rFonts w:hint="eastAsia" w:ascii="Times New Roman" w:hAnsi="Times New Roman" w:eastAsia="宋体" w:cs="Times New Roman"/>
                <w:b w:val="0"/>
                <w:bCs w:val="0"/>
                <w:color w:val="auto"/>
                <w:kern w:val="0"/>
                <w:szCs w:val="21"/>
                <w:highlight w:val="none"/>
                <w:lang w:val="en-US" w:eastAsia="zh-CN"/>
              </w:rPr>
              <w:t>32</w:t>
            </w:r>
            <w:r>
              <w:rPr>
                <w:rFonts w:hint="default" w:ascii="Times New Roman" w:hAnsi="Times New Roman" w:eastAsia="宋体" w:cs="Times New Roman"/>
                <w:b w:val="0"/>
                <w:bCs w:val="0"/>
                <w:color w:val="auto"/>
                <w:kern w:val="0"/>
                <w:szCs w:val="21"/>
                <w:highlight w:val="none"/>
                <w:lang w:val="en-US" w:eastAsia="zh-CN"/>
              </w:rPr>
              <w:t>0</w:t>
            </w:r>
            <w:r>
              <w:rPr>
                <w:rFonts w:hint="default" w:ascii="Times New Roman" w:hAnsi="Times New Roman" w:eastAsia="宋体" w:cs="Times New Roman"/>
                <w:b w:val="0"/>
                <w:bCs w:val="0"/>
                <w:color w:val="auto"/>
                <w:kern w:val="0"/>
                <w:szCs w:val="21"/>
                <w:highlight w:val="none"/>
              </w:rPr>
              <w:t>万元≤单项合同金额＜</w:t>
            </w:r>
            <w:r>
              <w:rPr>
                <w:rFonts w:hint="eastAsia" w:ascii="Times New Roman" w:hAnsi="Times New Roman" w:eastAsia="宋体" w:cs="Times New Roman"/>
                <w:b w:val="0"/>
                <w:bCs w:val="0"/>
                <w:color w:val="auto"/>
                <w:kern w:val="0"/>
                <w:szCs w:val="21"/>
                <w:highlight w:val="none"/>
                <w:lang w:val="en-US" w:eastAsia="zh-CN"/>
              </w:rPr>
              <w:t>48</w:t>
            </w:r>
            <w:r>
              <w:rPr>
                <w:rFonts w:hint="default" w:ascii="Times New Roman" w:hAnsi="Times New Roman" w:eastAsia="宋体" w:cs="Times New Roman"/>
                <w:b w:val="0"/>
                <w:bCs w:val="0"/>
                <w:color w:val="auto"/>
                <w:kern w:val="0"/>
                <w:szCs w:val="21"/>
                <w:highlight w:val="none"/>
                <w:lang w:val="en-US" w:eastAsia="zh-CN"/>
              </w:rPr>
              <w:t>0</w:t>
            </w:r>
            <w:r>
              <w:rPr>
                <w:rFonts w:hint="default" w:ascii="Times New Roman" w:hAnsi="Times New Roman" w:eastAsia="宋体" w:cs="Times New Roman"/>
                <w:b w:val="0"/>
                <w:bCs w:val="0"/>
                <w:color w:val="auto"/>
                <w:kern w:val="0"/>
                <w:szCs w:val="21"/>
                <w:highlight w:val="none"/>
              </w:rPr>
              <w:t>万元的前述业绩，每项得</w:t>
            </w:r>
            <w:r>
              <w:rPr>
                <w:rFonts w:hint="eastAsia" w:ascii="Times New Roman" w:hAnsi="Times New Roman" w:eastAsia="宋体" w:cs="Times New Roman"/>
                <w:b w:val="0"/>
                <w:bCs w:val="0"/>
                <w:color w:val="auto"/>
                <w:kern w:val="0"/>
                <w:szCs w:val="21"/>
                <w:highlight w:val="none"/>
                <w:lang w:val="en-US" w:eastAsia="zh-CN"/>
              </w:rPr>
              <w:t>2</w:t>
            </w:r>
            <w:r>
              <w:rPr>
                <w:rFonts w:hint="default" w:ascii="Times New Roman" w:hAnsi="Times New Roman" w:eastAsia="宋体" w:cs="Times New Roman"/>
                <w:b w:val="0"/>
                <w:bCs w:val="0"/>
                <w:color w:val="auto"/>
                <w:kern w:val="0"/>
                <w:szCs w:val="21"/>
                <w:highlight w:val="none"/>
              </w:rPr>
              <w:t>分</w:t>
            </w:r>
            <w:r>
              <w:rPr>
                <w:rFonts w:hint="eastAsia" w:ascii="Times New Roman" w:hAnsi="Times New Roman" w:eastAsia="宋体" w:cs="Times New Roman"/>
                <w:b w:val="0"/>
                <w:bCs w:val="0"/>
                <w:color w:val="auto"/>
                <w:kern w:val="0"/>
                <w:szCs w:val="21"/>
                <w:highlight w:val="none"/>
                <w:lang w:eastAsia="zh-CN"/>
              </w:rPr>
              <w:t>，</w:t>
            </w:r>
            <w:r>
              <w:rPr>
                <w:rFonts w:hint="default" w:ascii="Times New Roman" w:hAnsi="Times New Roman" w:eastAsia="宋体" w:cs="Times New Roman"/>
                <w:b w:val="0"/>
                <w:bCs w:val="0"/>
                <w:color w:val="auto"/>
                <w:kern w:val="0"/>
                <w:szCs w:val="21"/>
                <w:highlight w:val="none"/>
              </w:rPr>
              <w:t>本子项满分</w:t>
            </w:r>
            <w:r>
              <w:rPr>
                <w:rFonts w:hint="default" w:ascii="Times New Roman" w:hAnsi="Times New Roman" w:eastAsia="宋体" w:cs="Times New Roman"/>
                <w:b w:val="0"/>
                <w:bCs w:val="0"/>
                <w:color w:val="auto"/>
                <w:kern w:val="0"/>
                <w:szCs w:val="21"/>
                <w:highlight w:val="none"/>
                <w:lang w:val="en-US" w:eastAsia="zh-CN"/>
              </w:rPr>
              <w:t>12</w:t>
            </w:r>
            <w:r>
              <w:rPr>
                <w:rFonts w:hint="default" w:ascii="Times New Roman" w:hAnsi="Times New Roman" w:eastAsia="宋体" w:cs="Times New Roman"/>
                <w:b w:val="0"/>
                <w:bCs w:val="0"/>
                <w:color w:val="auto"/>
                <w:kern w:val="0"/>
                <w:szCs w:val="21"/>
                <w:highlight w:val="none"/>
              </w:rPr>
              <w:t>分</w:t>
            </w:r>
            <w:r>
              <w:rPr>
                <w:rFonts w:hint="default" w:ascii="Times New Roman" w:hAnsi="Times New Roman" w:eastAsia="宋体" w:cs="Times New Roman"/>
                <w:b w:val="0"/>
                <w:bCs w:val="0"/>
                <w:color w:val="auto"/>
                <w:kern w:val="0"/>
                <w:szCs w:val="21"/>
                <w:highlight w:val="none"/>
                <w:lang w:eastAsia="zh-CN"/>
              </w:rPr>
              <w:t>。</w:t>
            </w:r>
          </w:p>
          <w:p w14:paraId="5EDF362F">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val="0"/>
                <w:bCs w:val="0"/>
                <w:color w:val="auto"/>
                <w:kern w:val="0"/>
                <w:szCs w:val="21"/>
                <w:highlight w:val="none"/>
                <w:lang w:val="en-US" w:eastAsia="zh-CN"/>
              </w:rPr>
              <w:t>（3）</w:t>
            </w:r>
            <w:r>
              <w:rPr>
                <w:rFonts w:hint="eastAsia" w:ascii="Times New Roman" w:hAnsi="Times New Roman" w:eastAsia="宋体" w:cs="Times New Roman"/>
                <w:b w:val="0"/>
                <w:bCs w:val="0"/>
                <w:color w:val="auto"/>
                <w:kern w:val="0"/>
                <w:szCs w:val="21"/>
                <w:highlight w:val="none"/>
                <w:lang w:val="en-US" w:eastAsia="zh-CN"/>
              </w:rPr>
              <w:t>21</w:t>
            </w:r>
            <w:r>
              <w:rPr>
                <w:rFonts w:hint="default" w:ascii="Times New Roman" w:hAnsi="Times New Roman" w:eastAsia="宋体" w:cs="Times New Roman"/>
                <w:b w:val="0"/>
                <w:bCs w:val="0"/>
                <w:color w:val="auto"/>
                <w:kern w:val="0"/>
                <w:szCs w:val="21"/>
                <w:highlight w:val="none"/>
                <w:lang w:val="en-US" w:eastAsia="zh-CN"/>
              </w:rPr>
              <w:t>0</w:t>
            </w:r>
            <w:r>
              <w:rPr>
                <w:rFonts w:hint="default" w:ascii="Times New Roman" w:hAnsi="Times New Roman" w:eastAsia="宋体" w:cs="Times New Roman"/>
                <w:b w:val="0"/>
                <w:bCs w:val="0"/>
                <w:color w:val="auto"/>
                <w:kern w:val="0"/>
                <w:szCs w:val="21"/>
                <w:highlight w:val="none"/>
              </w:rPr>
              <w:t>万元≤单项合同金额＜</w:t>
            </w:r>
            <w:r>
              <w:rPr>
                <w:rFonts w:hint="eastAsia" w:ascii="Times New Roman" w:hAnsi="Times New Roman" w:eastAsia="宋体" w:cs="Times New Roman"/>
                <w:b w:val="0"/>
                <w:bCs w:val="0"/>
                <w:color w:val="auto"/>
                <w:kern w:val="0"/>
                <w:szCs w:val="21"/>
                <w:highlight w:val="none"/>
                <w:lang w:val="en-US" w:eastAsia="zh-CN"/>
              </w:rPr>
              <w:t>32</w:t>
            </w:r>
            <w:r>
              <w:rPr>
                <w:rFonts w:hint="default" w:ascii="Times New Roman" w:hAnsi="Times New Roman" w:eastAsia="宋体" w:cs="Times New Roman"/>
                <w:b w:val="0"/>
                <w:bCs w:val="0"/>
                <w:color w:val="auto"/>
                <w:kern w:val="0"/>
                <w:szCs w:val="21"/>
                <w:highlight w:val="none"/>
                <w:lang w:val="en-US" w:eastAsia="zh-CN"/>
              </w:rPr>
              <w:t>0</w:t>
            </w:r>
            <w:r>
              <w:rPr>
                <w:rFonts w:hint="default" w:ascii="Times New Roman" w:hAnsi="Times New Roman" w:eastAsia="宋体" w:cs="Times New Roman"/>
                <w:b w:val="0"/>
                <w:bCs w:val="0"/>
                <w:color w:val="auto"/>
                <w:kern w:val="0"/>
                <w:szCs w:val="21"/>
                <w:highlight w:val="none"/>
              </w:rPr>
              <w:t>万元的前述业绩，每项得</w:t>
            </w:r>
            <w:r>
              <w:rPr>
                <w:rFonts w:hint="eastAsia" w:ascii="Times New Roman" w:hAnsi="Times New Roman" w:eastAsia="宋体" w:cs="Times New Roman"/>
                <w:b w:val="0"/>
                <w:bCs w:val="0"/>
                <w:color w:val="auto"/>
                <w:kern w:val="0"/>
                <w:szCs w:val="21"/>
                <w:highlight w:val="none"/>
                <w:lang w:val="en-US" w:eastAsia="zh-CN"/>
              </w:rPr>
              <w:t>1</w:t>
            </w:r>
            <w:r>
              <w:rPr>
                <w:rFonts w:hint="default" w:ascii="Times New Roman" w:hAnsi="Times New Roman" w:eastAsia="宋体" w:cs="Times New Roman"/>
                <w:b w:val="0"/>
                <w:bCs w:val="0"/>
                <w:color w:val="auto"/>
                <w:kern w:val="0"/>
                <w:szCs w:val="21"/>
                <w:highlight w:val="none"/>
              </w:rPr>
              <w:t>分</w:t>
            </w:r>
            <w:r>
              <w:rPr>
                <w:rFonts w:hint="default" w:ascii="Times New Roman" w:hAnsi="Times New Roman" w:eastAsia="宋体" w:cs="Times New Roman"/>
                <w:b w:val="0"/>
                <w:bCs w:val="0"/>
                <w:color w:val="auto"/>
                <w:kern w:val="0"/>
                <w:szCs w:val="21"/>
                <w:highlight w:val="none"/>
                <w:lang w:eastAsia="zh-CN"/>
              </w:rPr>
              <w:t>，</w:t>
            </w:r>
            <w:r>
              <w:rPr>
                <w:rFonts w:hint="default" w:ascii="Times New Roman" w:hAnsi="Times New Roman" w:eastAsia="宋体" w:cs="Times New Roman"/>
                <w:b w:val="0"/>
                <w:bCs w:val="0"/>
                <w:color w:val="auto"/>
                <w:kern w:val="0"/>
                <w:szCs w:val="21"/>
                <w:highlight w:val="none"/>
              </w:rPr>
              <w:t>本子项满分</w:t>
            </w:r>
            <w:r>
              <w:rPr>
                <w:rFonts w:hint="eastAsia" w:ascii="Times New Roman" w:hAnsi="Times New Roman" w:eastAsia="宋体" w:cs="Times New Roman"/>
                <w:b w:val="0"/>
                <w:bCs w:val="0"/>
                <w:color w:val="auto"/>
                <w:kern w:val="0"/>
                <w:szCs w:val="21"/>
                <w:highlight w:val="none"/>
                <w:lang w:val="en-US" w:eastAsia="zh-CN"/>
              </w:rPr>
              <w:t>6</w:t>
            </w:r>
            <w:r>
              <w:rPr>
                <w:rFonts w:hint="default" w:ascii="Times New Roman" w:hAnsi="Times New Roman" w:eastAsia="宋体" w:cs="Times New Roman"/>
                <w:b w:val="0"/>
                <w:bCs w:val="0"/>
                <w:color w:val="auto"/>
                <w:kern w:val="0"/>
                <w:szCs w:val="21"/>
                <w:highlight w:val="none"/>
              </w:rPr>
              <w:t>分。</w:t>
            </w:r>
          </w:p>
          <w:p w14:paraId="7AEE71BD">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1BE842BD">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①业绩须同时提供</w:t>
            </w:r>
            <w:r>
              <w:rPr>
                <w:rFonts w:hint="eastAsia" w:ascii="宋体" w:hAnsi="宋体" w:eastAsia="宋体" w:cs="宋体"/>
                <w:b/>
                <w:bCs/>
                <w:color w:val="auto"/>
                <w:kern w:val="0"/>
                <w:szCs w:val="21"/>
                <w:highlight w:val="none"/>
                <w:lang w:eastAsia="zh-CN"/>
              </w:rPr>
              <w:t>⑴</w:t>
            </w:r>
            <w:r>
              <w:rPr>
                <w:rFonts w:hint="eastAsia" w:ascii="宋体" w:hAnsi="宋体" w:eastAsia="宋体" w:cs="宋体"/>
                <w:b/>
                <w:bCs/>
                <w:color w:val="auto"/>
                <w:kern w:val="0"/>
                <w:szCs w:val="21"/>
                <w:highlight w:val="none"/>
                <w:lang w:val="en-US" w:eastAsia="zh-CN"/>
              </w:rPr>
              <w:t>投标品牌</w:t>
            </w:r>
            <w:r>
              <w:rPr>
                <w:rFonts w:hint="eastAsia" w:hAnsi="宋体" w:eastAsia="宋体" w:cs="宋体"/>
                <w:b/>
                <w:bCs/>
                <w:color w:val="auto"/>
                <w:kern w:val="0"/>
                <w:szCs w:val="21"/>
                <w:highlight w:val="none"/>
                <w:lang w:val="en-US" w:eastAsia="zh-CN"/>
              </w:rPr>
              <w:t>超声波水表有效</w:t>
            </w:r>
            <w:r>
              <w:rPr>
                <w:rFonts w:hint="eastAsia" w:ascii="宋体" w:hAnsi="宋体" w:eastAsia="宋体" w:cs="宋体"/>
                <w:b/>
                <w:bCs/>
                <w:color w:val="auto"/>
                <w:kern w:val="0"/>
                <w:szCs w:val="21"/>
                <w:highlight w:val="none"/>
              </w:rPr>
              <w:t>销售合同复印件（合同卖方可为投标品牌</w:t>
            </w:r>
            <w:r>
              <w:rPr>
                <w:rFonts w:hint="eastAsia" w:ascii="宋体" w:hAnsi="宋体" w:eastAsia="宋体" w:cs="宋体"/>
                <w:b/>
                <w:bCs/>
                <w:color w:val="auto"/>
                <w:kern w:val="0"/>
                <w:szCs w:val="21"/>
                <w:highlight w:val="none"/>
                <w:lang w:val="en-US" w:eastAsia="zh-CN"/>
              </w:rPr>
              <w:t>超声波水表</w:t>
            </w:r>
            <w:r>
              <w:rPr>
                <w:rFonts w:hint="eastAsia" w:ascii="宋体" w:hAnsi="宋体" w:eastAsia="宋体" w:cs="宋体"/>
                <w:b/>
                <w:bCs/>
                <w:color w:val="auto"/>
                <w:kern w:val="0"/>
                <w:szCs w:val="21"/>
                <w:highlight w:val="none"/>
              </w:rPr>
              <w:t>的制造商，也可为投标品牌</w:t>
            </w:r>
            <w:r>
              <w:rPr>
                <w:rFonts w:hint="eastAsia" w:ascii="宋体" w:hAnsi="宋体" w:eastAsia="宋体" w:cs="宋体"/>
                <w:b/>
                <w:bCs/>
                <w:color w:val="auto"/>
                <w:kern w:val="0"/>
                <w:szCs w:val="21"/>
                <w:highlight w:val="none"/>
                <w:lang w:val="en-US" w:eastAsia="zh-CN"/>
              </w:rPr>
              <w:t>超声波水表</w:t>
            </w:r>
            <w:r>
              <w:rPr>
                <w:rFonts w:hint="eastAsia" w:ascii="宋体" w:hAnsi="宋体" w:eastAsia="宋体" w:cs="宋体"/>
                <w:b/>
                <w:bCs/>
                <w:color w:val="auto"/>
                <w:kern w:val="0"/>
                <w:szCs w:val="21"/>
                <w:highlight w:val="none"/>
              </w:rPr>
              <w:t>的代理商/经销商），</w:t>
            </w:r>
            <w:r>
              <w:rPr>
                <w:rFonts w:hint="eastAsia" w:ascii="宋体" w:hAnsi="宋体" w:eastAsia="宋体" w:cs="宋体"/>
                <w:b/>
                <w:bCs/>
                <w:color w:val="auto"/>
                <w:kern w:val="0"/>
                <w:szCs w:val="21"/>
                <w:highlight w:val="none"/>
                <w:lang w:eastAsia="zh-CN"/>
              </w:rPr>
              <w:t>⑵已供货产品任意一张发票复印件（发票开具日期须在本项目招标公告发布之日前），</w:t>
            </w:r>
            <w:r>
              <w:rPr>
                <w:rFonts w:hint="eastAsia" w:ascii="宋体" w:hAnsi="宋体" w:eastAsia="宋体" w:cs="宋体"/>
                <w:b/>
                <w:bCs/>
                <w:color w:val="auto"/>
                <w:kern w:val="0"/>
                <w:szCs w:val="21"/>
                <w:highlight w:val="none"/>
              </w:rPr>
              <w:t>否则不得分；</w:t>
            </w:r>
          </w:p>
          <w:p w14:paraId="211B8EEB">
            <w:pPr>
              <w:keepNext w:val="0"/>
              <w:keepLines w:val="0"/>
              <w:pageBreakBefore w:val="0"/>
              <w:widowControl w:val="0"/>
              <w:tabs>
                <w:tab w:val="left" w:pos="134"/>
              </w:tabs>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②</w:t>
            </w:r>
            <w:r>
              <w:rPr>
                <w:rFonts w:hint="eastAsia" w:ascii="宋体" w:hAnsi="宋体" w:eastAsia="宋体" w:cs="宋体"/>
                <w:b/>
                <w:bCs/>
                <w:color w:val="auto"/>
                <w:kern w:val="0"/>
                <w:szCs w:val="21"/>
                <w:highlight w:val="none"/>
              </w:rPr>
              <w:t>若合同无法反映评分条件（合同签订日期为20</w:t>
            </w:r>
            <w:r>
              <w:rPr>
                <w:rFonts w:hint="eastAsia" w:ascii="宋体" w:hAnsi="宋体" w:eastAsia="宋体" w:cs="宋体"/>
                <w:b/>
                <w:bCs/>
                <w:color w:val="auto"/>
                <w:kern w:val="0"/>
                <w:szCs w:val="21"/>
                <w:highlight w:val="none"/>
                <w:lang w:val="en-US" w:eastAsia="zh-CN"/>
              </w:rPr>
              <w:t>23</w:t>
            </w:r>
            <w:r>
              <w:rPr>
                <w:rFonts w:hint="eastAsia" w:ascii="宋体" w:hAnsi="宋体" w:eastAsia="宋体" w:cs="宋体"/>
                <w:b/>
                <w:bCs/>
                <w:color w:val="auto"/>
                <w:kern w:val="0"/>
                <w:szCs w:val="21"/>
                <w:highlight w:val="none"/>
              </w:rPr>
              <w:t>年1月1日或以后，合同标的必须包含</w:t>
            </w:r>
            <w:r>
              <w:rPr>
                <w:rFonts w:hint="eastAsia" w:ascii="宋体" w:hAnsi="宋体" w:eastAsia="宋体" w:cs="宋体"/>
                <w:b/>
                <w:bCs/>
                <w:color w:val="auto"/>
                <w:kern w:val="0"/>
                <w:szCs w:val="21"/>
                <w:highlight w:val="none"/>
                <w:lang w:val="en-US" w:eastAsia="zh-CN"/>
              </w:rPr>
              <w:t>投标品牌</w:t>
            </w:r>
            <w:r>
              <w:rPr>
                <w:rFonts w:hint="eastAsia" w:hAnsi="宋体" w:eastAsia="宋体" w:cs="宋体"/>
                <w:b/>
                <w:bCs/>
                <w:color w:val="auto"/>
                <w:kern w:val="0"/>
                <w:szCs w:val="21"/>
                <w:highlight w:val="none"/>
                <w:lang w:val="en-US" w:eastAsia="zh-CN"/>
              </w:rPr>
              <w:t>超声波</w:t>
            </w:r>
            <w:r>
              <w:rPr>
                <w:rFonts w:hint="eastAsia" w:ascii="宋体" w:hAnsi="宋体" w:eastAsia="宋体" w:cs="宋体"/>
                <w:b/>
                <w:bCs/>
                <w:color w:val="auto"/>
                <w:kern w:val="0"/>
                <w:szCs w:val="21"/>
                <w:highlight w:val="none"/>
                <w:lang w:val="en-US" w:eastAsia="zh-CN"/>
              </w:rPr>
              <w:t>水表</w:t>
            </w:r>
            <w:r>
              <w:rPr>
                <w:rFonts w:hint="eastAsia" w:ascii="宋体" w:hAnsi="宋体" w:eastAsia="宋体" w:cs="宋体"/>
                <w:b/>
                <w:bCs/>
                <w:color w:val="auto"/>
                <w:kern w:val="0"/>
                <w:szCs w:val="21"/>
                <w:highlight w:val="none"/>
              </w:rPr>
              <w:t>、合同金额）的，还需提供产品购买方出具的书面补充说明文件复印件作为辅助证明（需</w:t>
            </w:r>
            <w:r>
              <w:rPr>
                <w:rFonts w:hint="eastAsia" w:ascii="宋体" w:hAnsi="宋体" w:eastAsia="宋体" w:cs="宋体"/>
                <w:b/>
                <w:bCs/>
                <w:color w:val="auto"/>
                <w:kern w:val="0"/>
                <w:szCs w:val="21"/>
                <w:highlight w:val="none"/>
                <w:lang w:val="en-US" w:eastAsia="zh-CN"/>
              </w:rPr>
              <w:t>显示</w:t>
            </w:r>
            <w:r>
              <w:rPr>
                <w:rFonts w:hint="eastAsia" w:ascii="宋体" w:hAnsi="宋体" w:eastAsia="宋体" w:cs="宋体"/>
                <w:b/>
                <w:bCs/>
                <w:color w:val="auto"/>
                <w:kern w:val="0"/>
                <w:szCs w:val="21"/>
                <w:highlight w:val="none"/>
              </w:rPr>
              <w:t>购买方公章），否则不得分；</w:t>
            </w:r>
          </w:p>
          <w:p w14:paraId="2407673C">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ascii="宋体" w:hAnsi="宋体" w:eastAsia="宋体" w:cs="Times New Roman"/>
                <w:b/>
                <w:color w:val="auto"/>
                <w:kern w:val="0"/>
                <w:sz w:val="21"/>
                <w:szCs w:val="21"/>
                <w:highlight w:val="none"/>
              </w:rPr>
            </w:pPr>
            <w:r>
              <w:rPr>
                <w:rFonts w:hint="eastAsia" w:ascii="宋体" w:hAnsi="宋体" w:eastAsia="宋体" w:cs="宋体"/>
                <w:b/>
                <w:bCs/>
                <w:color w:val="auto"/>
                <w:kern w:val="0"/>
                <w:szCs w:val="21"/>
                <w:highlight w:val="none"/>
                <w:lang w:val="en-US" w:eastAsia="zh-CN"/>
              </w:rPr>
              <w:t>③</w:t>
            </w:r>
            <w:r>
              <w:rPr>
                <w:rFonts w:hint="eastAsia" w:ascii="宋体" w:hAnsi="宋体" w:eastAsia="宋体" w:cs="宋体"/>
                <w:b/>
                <w:bCs/>
                <w:color w:val="auto"/>
                <w:kern w:val="0"/>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bCs/>
                <w:color w:val="auto"/>
                <w:kern w:val="0"/>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70D45C1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27分</w:t>
            </w:r>
          </w:p>
        </w:tc>
      </w:tr>
      <w:tr w14:paraId="7FE0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14:paraId="433613FC">
            <w:pPr>
              <w:keepNext w:val="0"/>
              <w:keepLines w:val="0"/>
              <w:pageBreakBefore w:val="0"/>
              <w:widowControl w:val="0"/>
              <w:tabs>
                <w:tab w:val="left" w:pos="134"/>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bookmarkStart w:id="1170" w:name="_Toc11639_WPSOffice_Level2"/>
            <w:r>
              <w:rPr>
                <w:rFonts w:hint="eastAsia" w:ascii="宋体" w:hAnsi="宋体" w:eastAsia="宋体" w:cs="宋体"/>
                <w:b/>
                <w:color w:val="auto"/>
                <w:sz w:val="21"/>
                <w:szCs w:val="21"/>
                <w:highlight w:val="none"/>
                <w:lang w:val="en-US" w:eastAsia="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14:paraId="7362D7D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r>
      <w:bookmarkEnd w:id="1168"/>
    </w:tbl>
    <w:p w14:paraId="7EB1BFDF">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049DC38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1170"/>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33"/>
        <w:gridCol w:w="7677"/>
        <w:gridCol w:w="907"/>
      </w:tblGrid>
      <w:tr w14:paraId="1A59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2A36B6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17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82970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0" w:type="pct"/>
            <w:tcBorders>
              <w:top w:val="single" w:color="auto" w:sz="4" w:space="0"/>
              <w:left w:val="single" w:color="auto" w:sz="4" w:space="0"/>
              <w:bottom w:val="single" w:color="auto" w:sz="4" w:space="0"/>
              <w:right w:val="single" w:color="auto" w:sz="4" w:space="0"/>
            </w:tcBorders>
            <w:vAlign w:val="center"/>
          </w:tcPr>
          <w:p w14:paraId="2086A2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5623473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314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13166B9B">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4C90D75">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用户需求的响应程度</w:t>
            </w:r>
          </w:p>
        </w:tc>
        <w:tc>
          <w:tcPr>
            <w:tcW w:w="3700" w:type="pct"/>
            <w:tcBorders>
              <w:top w:val="single" w:color="auto" w:sz="4" w:space="0"/>
              <w:left w:val="single" w:color="auto" w:sz="4" w:space="0"/>
              <w:bottom w:val="single" w:color="auto" w:sz="4" w:space="0"/>
              <w:right w:val="single" w:color="auto" w:sz="4" w:space="0"/>
            </w:tcBorders>
            <w:vAlign w:val="center"/>
          </w:tcPr>
          <w:p w14:paraId="62066567">
            <w:pPr>
              <w:pStyle w:val="21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根据用户需求偏离表的偏离情况进行评审计分，完全满足用户需求的要求得满分，每项带“▲”号的条款负偏离或未响应的，扣2分；每一处非“▲”号条款负偏离或未响应的，扣1分；同时参照其投标文件中产品技术性能说明等技术资料的内容进行对比，每发现一处投标人填写为无偏离或正偏离，但评标委员会评审认定其为负偏离的，每处扣3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5637C4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9分</w:t>
            </w:r>
          </w:p>
        </w:tc>
      </w:tr>
      <w:tr w14:paraId="019A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82DEF3E">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655357A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研发能力及产品先进性</w:t>
            </w:r>
          </w:p>
        </w:tc>
        <w:tc>
          <w:tcPr>
            <w:tcW w:w="3700" w:type="pct"/>
            <w:tcBorders>
              <w:top w:val="single" w:color="auto" w:sz="4" w:space="0"/>
              <w:left w:val="single" w:color="auto" w:sz="4" w:space="0"/>
              <w:bottom w:val="single" w:color="auto" w:sz="4" w:space="0"/>
              <w:right w:val="single" w:color="auto" w:sz="4" w:space="0"/>
            </w:tcBorders>
            <w:vAlign w:val="center"/>
          </w:tcPr>
          <w:p w14:paraId="2F4B03D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w:t>
            </w:r>
            <w:r>
              <w:rPr>
                <w:rFonts w:hint="eastAsia" w:ascii="宋体" w:hAnsi="宋体" w:eastAsia="宋体" w:cs="宋体"/>
                <w:b w:val="0"/>
                <w:color w:val="auto"/>
                <w:kern w:val="0"/>
                <w:sz w:val="21"/>
                <w:szCs w:val="21"/>
                <w:highlight w:val="none"/>
                <w:lang w:val="en-US" w:eastAsia="zh-CN" w:bidi="ar-SA"/>
              </w:rPr>
              <w:t>1</w:t>
            </w:r>
            <w:r>
              <w:rPr>
                <w:rFonts w:hint="eastAsia" w:ascii="宋体" w:hAnsi="宋体" w:eastAsia="宋体" w:cs="宋体"/>
                <w:b w:val="0"/>
                <w:color w:val="auto"/>
                <w:kern w:val="0"/>
                <w:sz w:val="21"/>
                <w:szCs w:val="21"/>
                <w:highlight w:val="none"/>
                <w:lang w:val="zh-CN" w:eastAsia="zh-CN" w:bidi="ar-SA"/>
              </w:rPr>
              <w:t>）企业研发能力（</w:t>
            </w:r>
            <w:r>
              <w:rPr>
                <w:rFonts w:hint="eastAsia" w:ascii="宋体" w:hAnsi="宋体" w:eastAsia="宋体" w:cs="宋体"/>
                <w:b w:val="0"/>
                <w:color w:val="auto"/>
                <w:kern w:val="0"/>
                <w:sz w:val="21"/>
                <w:szCs w:val="21"/>
                <w:highlight w:val="none"/>
                <w:lang w:val="en-US" w:eastAsia="zh-CN" w:bidi="ar-SA"/>
              </w:rPr>
              <w:t>6分</w:t>
            </w:r>
            <w:r>
              <w:rPr>
                <w:rFonts w:hint="eastAsia" w:ascii="宋体" w:hAnsi="宋体" w:eastAsia="宋体" w:cs="宋体"/>
                <w:b w:val="0"/>
                <w:color w:val="auto"/>
                <w:kern w:val="0"/>
                <w:sz w:val="21"/>
                <w:szCs w:val="21"/>
                <w:highlight w:val="none"/>
                <w:lang w:val="zh-CN" w:eastAsia="zh-CN" w:bidi="ar-SA"/>
              </w:rPr>
              <w:t>）:</w:t>
            </w:r>
          </w:p>
          <w:p w14:paraId="29A23D7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①</w:t>
            </w: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建有省（部）级或以上技术研发中心/工程中心/研究院等研究机构的（须取得行政部门相关许可或批复等证明文件），得</w:t>
            </w:r>
            <w:r>
              <w:rPr>
                <w:rFonts w:hint="eastAsia" w:ascii="宋体" w:hAnsi="宋体" w:eastAsia="宋体" w:cs="宋体"/>
                <w:b w:val="0"/>
                <w:color w:val="auto"/>
                <w:kern w:val="0"/>
                <w:sz w:val="21"/>
                <w:szCs w:val="21"/>
                <w:highlight w:val="none"/>
                <w:lang w:val="en-US" w:eastAsia="zh-CN" w:bidi="ar-SA"/>
              </w:rPr>
              <w:t>3</w:t>
            </w:r>
            <w:r>
              <w:rPr>
                <w:rFonts w:hint="eastAsia" w:ascii="宋体" w:hAnsi="宋体" w:eastAsia="宋体" w:cs="宋体"/>
                <w:b w:val="0"/>
                <w:color w:val="auto"/>
                <w:kern w:val="0"/>
                <w:sz w:val="21"/>
                <w:szCs w:val="21"/>
                <w:highlight w:val="none"/>
                <w:lang w:val="zh-CN" w:eastAsia="zh-CN" w:bidi="ar-SA"/>
              </w:rPr>
              <w:t xml:space="preserve">分； </w:t>
            </w:r>
          </w:p>
          <w:p w14:paraId="1984B60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②</w:t>
            </w: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取得中国合格评定国家认可委员会实验室认可证书（有效期内的CNAS证书）或具备质量技术监督部门颁发的检验检测机构资质认定证书（有效期内的CMA证书），得</w:t>
            </w:r>
            <w:r>
              <w:rPr>
                <w:rFonts w:hint="eastAsia" w:ascii="宋体" w:hAnsi="宋体" w:eastAsia="宋体" w:cs="宋体"/>
                <w:b w:val="0"/>
                <w:color w:val="auto"/>
                <w:kern w:val="0"/>
                <w:sz w:val="21"/>
                <w:szCs w:val="21"/>
                <w:highlight w:val="none"/>
                <w:lang w:val="en-US" w:eastAsia="zh-CN" w:bidi="ar-SA"/>
              </w:rPr>
              <w:t>3</w:t>
            </w:r>
            <w:r>
              <w:rPr>
                <w:rFonts w:hint="eastAsia" w:ascii="宋体" w:hAnsi="宋体" w:eastAsia="宋体" w:cs="宋体"/>
                <w:b w:val="0"/>
                <w:color w:val="auto"/>
                <w:kern w:val="0"/>
                <w:sz w:val="21"/>
                <w:szCs w:val="21"/>
                <w:highlight w:val="none"/>
                <w:lang w:val="zh-CN" w:eastAsia="zh-CN" w:bidi="ar-SA"/>
              </w:rPr>
              <w:t xml:space="preserve">分。 </w:t>
            </w:r>
          </w:p>
          <w:p w14:paraId="2C8F1FE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（2）专利数量（</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分）：</w:t>
            </w:r>
          </w:p>
          <w:p w14:paraId="77CF23D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具有应用于投标产品的发明专利证书或实用新型专利证书，且投标人须为专利权人，每获得过1项得0.5分；本子项最高得</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 xml:space="preserve">分。 </w:t>
            </w:r>
          </w:p>
          <w:p w14:paraId="2CD756F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zh-CN" w:eastAsia="zh-CN" w:bidi="ar-SA"/>
              </w:rPr>
              <w:t>（3）技术认证（</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分）：</w:t>
            </w:r>
          </w:p>
          <w:p w14:paraId="02A0B9B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val="0"/>
                <w:color w:val="auto"/>
                <w:kern w:val="0"/>
                <w:sz w:val="21"/>
                <w:szCs w:val="21"/>
                <w:highlight w:val="none"/>
                <w:lang w:val="en-US" w:eastAsia="zh-CN" w:bidi="ar-SA"/>
              </w:rPr>
              <w:t>投标人（或所投产品制造商）</w:t>
            </w:r>
            <w:r>
              <w:rPr>
                <w:rFonts w:hint="eastAsia" w:ascii="宋体" w:hAnsi="宋体" w:eastAsia="宋体" w:cs="宋体"/>
                <w:b w:val="0"/>
                <w:color w:val="auto"/>
                <w:kern w:val="0"/>
                <w:sz w:val="21"/>
                <w:szCs w:val="21"/>
                <w:highlight w:val="none"/>
                <w:lang w:val="zh-CN" w:eastAsia="zh-CN" w:bidi="ar-SA"/>
              </w:rPr>
              <w:t>获得有效期内的国际证书（OIML、MID、CE、NSF、WRAS、ACS、AS4020）、</w:t>
            </w:r>
            <w:r>
              <w:rPr>
                <w:rFonts w:hint="eastAsia" w:ascii="宋体" w:hAnsi="宋体" w:eastAsia="宋体" w:cs="宋体"/>
                <w:b w:val="0"/>
                <w:color w:val="auto"/>
                <w:kern w:val="0"/>
                <w:sz w:val="21"/>
                <w:szCs w:val="21"/>
                <w:highlight w:val="none"/>
                <w:lang w:val="en-US" w:eastAsia="zh-CN" w:bidi="ar-SA"/>
              </w:rPr>
              <w:t>ISO10012（或GB/T 19022）测量管理体系认证证书</w:t>
            </w:r>
            <w:r>
              <w:rPr>
                <w:rFonts w:hint="eastAsia" w:ascii="宋体" w:hAnsi="宋体" w:eastAsia="宋体" w:cs="宋体"/>
                <w:b w:val="0"/>
                <w:color w:val="auto"/>
                <w:kern w:val="0"/>
                <w:sz w:val="21"/>
                <w:szCs w:val="21"/>
                <w:highlight w:val="none"/>
                <w:lang w:val="zh-CN" w:eastAsia="zh-CN" w:bidi="ar-SA"/>
              </w:rPr>
              <w:t>的</w:t>
            </w:r>
            <w:r>
              <w:rPr>
                <w:rFonts w:hint="eastAsia" w:ascii="宋体" w:hAnsi="宋体" w:eastAsia="宋体" w:cs="宋体"/>
                <w:b w:val="0"/>
                <w:color w:val="auto"/>
                <w:kern w:val="0"/>
                <w:sz w:val="21"/>
                <w:szCs w:val="21"/>
                <w:highlight w:val="none"/>
                <w:lang w:val="en-US" w:eastAsia="zh-CN" w:bidi="ar-SA"/>
              </w:rPr>
              <w:t>,</w:t>
            </w:r>
            <w:r>
              <w:rPr>
                <w:rFonts w:hint="eastAsia" w:ascii="宋体" w:hAnsi="宋体" w:eastAsia="宋体" w:cs="宋体"/>
                <w:b w:val="0"/>
                <w:color w:val="auto"/>
                <w:kern w:val="0"/>
                <w:sz w:val="21"/>
                <w:szCs w:val="21"/>
                <w:highlight w:val="none"/>
                <w:lang w:val="zh-CN" w:eastAsia="zh-CN" w:bidi="ar-SA"/>
              </w:rPr>
              <w:t>每个证书得 1 分</w:t>
            </w:r>
            <w:r>
              <w:rPr>
                <w:rFonts w:hint="eastAsia" w:ascii="宋体" w:hAnsi="宋体" w:eastAsia="宋体" w:cs="宋体"/>
                <w:b w:val="0"/>
                <w:color w:val="auto"/>
                <w:kern w:val="0"/>
                <w:sz w:val="21"/>
                <w:szCs w:val="21"/>
                <w:highlight w:val="none"/>
                <w:lang w:val="en-US" w:eastAsia="zh-CN" w:bidi="ar-SA"/>
              </w:rPr>
              <w:t>,</w:t>
            </w:r>
            <w:r>
              <w:rPr>
                <w:rFonts w:hint="eastAsia" w:ascii="宋体" w:hAnsi="宋体" w:eastAsia="宋体" w:cs="宋体"/>
                <w:b w:val="0"/>
                <w:color w:val="auto"/>
                <w:kern w:val="0"/>
                <w:sz w:val="21"/>
                <w:szCs w:val="21"/>
                <w:highlight w:val="none"/>
                <w:lang w:val="zh-CN" w:eastAsia="zh-CN" w:bidi="ar-SA"/>
              </w:rPr>
              <w:t>本子项最高得</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zh-CN" w:eastAsia="zh-CN" w:bidi="ar-SA"/>
              </w:rPr>
              <w:t>分。如为非中文证书的，须提供中文译本并注明属于前述证书的类型，否则不得分。中文译本及注明内容无法体现评分要求的，不得分。中标后，招标人有权要求提供</w:t>
            </w:r>
            <w:r>
              <w:rPr>
                <w:rFonts w:hint="eastAsia" w:ascii="宋体" w:hAnsi="宋体" w:eastAsia="宋体" w:cs="宋体"/>
                <w:b w:val="0"/>
                <w:color w:val="auto"/>
                <w:kern w:val="0"/>
                <w:sz w:val="21"/>
                <w:szCs w:val="21"/>
                <w:highlight w:val="none"/>
                <w:lang w:val="en-US" w:eastAsia="zh-CN" w:bidi="ar-SA"/>
              </w:rPr>
              <w:t>技术认证证书</w:t>
            </w:r>
            <w:r>
              <w:rPr>
                <w:rFonts w:hint="eastAsia" w:ascii="宋体" w:hAnsi="宋体" w:eastAsia="宋体" w:cs="宋体"/>
                <w:b w:val="0"/>
                <w:color w:val="auto"/>
                <w:kern w:val="0"/>
                <w:sz w:val="21"/>
                <w:szCs w:val="21"/>
                <w:highlight w:val="none"/>
                <w:lang w:val="zh-CN" w:eastAsia="zh-CN" w:bidi="ar-SA"/>
              </w:rPr>
              <w:t xml:space="preserve">的证明材料进行复核。 </w:t>
            </w:r>
          </w:p>
          <w:p w14:paraId="70D6591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zh-CN" w:eastAsia="zh-CN" w:bidi="ar-SA"/>
              </w:rPr>
            </w:pPr>
            <w:r>
              <w:rPr>
                <w:rFonts w:hint="eastAsia" w:ascii="宋体" w:hAnsi="宋体" w:eastAsia="宋体" w:cs="宋体"/>
                <w:b/>
                <w:bCs/>
                <w:color w:val="auto"/>
                <w:kern w:val="0"/>
                <w:sz w:val="21"/>
                <w:szCs w:val="21"/>
                <w:highlight w:val="none"/>
                <w:lang w:val="zh-CN" w:eastAsia="zh-CN" w:bidi="ar-SA"/>
              </w:rPr>
              <w:t>备注：（</w:t>
            </w:r>
            <w:r>
              <w:rPr>
                <w:rFonts w:hint="eastAsia"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zh-CN" w:eastAsia="zh-CN" w:bidi="ar-SA"/>
              </w:rPr>
              <w:t>）投标人应提供相关的许可、批复、专利证书、</w:t>
            </w:r>
            <w:r>
              <w:rPr>
                <w:rFonts w:hint="eastAsia" w:ascii="宋体" w:hAnsi="宋体" w:eastAsia="宋体" w:cs="宋体"/>
                <w:b/>
                <w:bCs/>
                <w:color w:val="auto"/>
                <w:kern w:val="0"/>
                <w:sz w:val="21"/>
                <w:szCs w:val="21"/>
                <w:highlight w:val="none"/>
                <w:lang w:val="en-US" w:eastAsia="zh-CN" w:bidi="ar-SA"/>
              </w:rPr>
              <w:t>技术认证证书</w:t>
            </w:r>
            <w:r>
              <w:rPr>
                <w:rFonts w:hint="eastAsia" w:ascii="宋体" w:hAnsi="宋体" w:eastAsia="宋体" w:cs="宋体"/>
                <w:b/>
                <w:bCs/>
                <w:color w:val="auto"/>
                <w:kern w:val="0"/>
                <w:sz w:val="21"/>
                <w:szCs w:val="21"/>
                <w:highlight w:val="none"/>
                <w:lang w:val="zh-CN" w:eastAsia="zh-CN" w:bidi="ar-SA"/>
              </w:rPr>
              <w:t>及其他相关资料等证明文件的</w:t>
            </w:r>
            <w:r>
              <w:rPr>
                <w:rFonts w:hint="eastAsia" w:ascii="宋体" w:hAnsi="宋体" w:eastAsia="宋体" w:cs="宋体"/>
                <w:b/>
                <w:bCs/>
                <w:color w:val="auto"/>
                <w:kern w:val="0"/>
                <w:sz w:val="21"/>
                <w:szCs w:val="21"/>
                <w:highlight w:val="none"/>
                <w:lang w:val="en-US" w:eastAsia="zh-CN" w:bidi="ar-SA"/>
              </w:rPr>
              <w:t>复印</w:t>
            </w:r>
            <w:r>
              <w:rPr>
                <w:rFonts w:hint="eastAsia" w:ascii="宋体" w:hAnsi="宋体" w:eastAsia="宋体" w:cs="宋体"/>
                <w:b/>
                <w:bCs/>
                <w:color w:val="auto"/>
                <w:kern w:val="0"/>
                <w:sz w:val="21"/>
                <w:szCs w:val="21"/>
                <w:highlight w:val="none"/>
                <w:lang w:val="zh-CN" w:eastAsia="zh-CN" w:bidi="ar-SA"/>
              </w:rPr>
              <w:t>件，其中ISO10012（或GB/T 19022）测量管理体系认证证书除提供证书</w:t>
            </w:r>
            <w:r>
              <w:rPr>
                <w:rFonts w:hint="eastAsia" w:ascii="宋体" w:hAnsi="宋体" w:eastAsia="宋体" w:cs="宋体"/>
                <w:b/>
                <w:bCs/>
                <w:color w:val="auto"/>
                <w:kern w:val="0"/>
                <w:sz w:val="21"/>
                <w:szCs w:val="21"/>
                <w:highlight w:val="none"/>
                <w:lang w:val="en-US" w:eastAsia="zh-CN" w:bidi="ar-SA"/>
              </w:rPr>
              <w:t>复印</w:t>
            </w:r>
            <w:r>
              <w:rPr>
                <w:rFonts w:hint="eastAsia" w:ascii="宋体" w:hAnsi="宋体" w:eastAsia="宋体" w:cs="宋体"/>
                <w:b/>
                <w:bCs/>
                <w:color w:val="auto"/>
                <w:kern w:val="0"/>
                <w:sz w:val="21"/>
                <w:szCs w:val="21"/>
                <w:highlight w:val="none"/>
                <w:lang w:val="zh-CN" w:eastAsia="zh-CN" w:bidi="ar-SA"/>
              </w:rPr>
              <w:t>件外,还需提供能显示证书有效状态的全国认证认可信息公共服务平台（http://cx.cnca.cn/）查询结果凭证{凭证界面需显示有“全国认证认可信息公共服务平台”或“认证证书（需显示网址cx.cnca. cn）”}，以投标人提供的上述资料作为评审依据，未按要求提供上述资料或不能体现与投标人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kern w:val="0"/>
                <w:sz w:val="21"/>
                <w:szCs w:val="21"/>
                <w:highlight w:val="none"/>
                <w:lang w:val="zh-CN" w:eastAsia="zh-CN" w:bidi="ar-SA"/>
              </w:rPr>
              <w:t>关系的不得分。</w:t>
            </w:r>
            <w:r>
              <w:rPr>
                <w:rFonts w:hint="eastAsia" w:ascii="宋体" w:hAnsi="宋体" w:eastAsia="宋体" w:cs="宋体"/>
                <w:b w:val="0"/>
                <w:color w:val="auto"/>
                <w:kern w:val="0"/>
                <w:sz w:val="21"/>
                <w:szCs w:val="21"/>
                <w:highlight w:val="none"/>
                <w:lang w:val="zh-CN" w:eastAsia="zh-CN" w:bidi="ar-SA"/>
              </w:rPr>
              <w:t xml:space="preserve"> </w:t>
            </w:r>
          </w:p>
          <w:p w14:paraId="54D5554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（2）对于同一类型国际证书提供多个的，不能重复得分，只按一个证书计分。</w:t>
            </w:r>
          </w:p>
        </w:tc>
        <w:tc>
          <w:tcPr>
            <w:tcW w:w="437" w:type="pct"/>
            <w:tcBorders>
              <w:top w:val="single" w:color="auto" w:sz="4" w:space="0"/>
              <w:left w:val="single" w:color="auto" w:sz="4" w:space="0"/>
              <w:bottom w:val="single" w:color="auto" w:sz="4" w:space="0"/>
              <w:right w:val="single" w:color="auto" w:sz="4" w:space="0"/>
            </w:tcBorders>
            <w:vAlign w:val="center"/>
          </w:tcPr>
          <w:p w14:paraId="5AB81BF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16分</w:t>
            </w:r>
          </w:p>
        </w:tc>
      </w:tr>
      <w:tr w14:paraId="117F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2818D0A">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A9D4C23">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投标产品 </w:t>
            </w:r>
          </w:p>
          <w:p w14:paraId="6C1F762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的设计及性能</w:t>
            </w:r>
          </w:p>
        </w:tc>
        <w:tc>
          <w:tcPr>
            <w:tcW w:w="3700" w:type="pct"/>
            <w:tcBorders>
              <w:top w:val="single" w:color="auto" w:sz="4" w:space="0"/>
              <w:left w:val="single" w:color="auto" w:sz="4" w:space="0"/>
              <w:bottom w:val="single" w:color="auto" w:sz="4" w:space="0"/>
              <w:right w:val="single" w:color="auto" w:sz="4" w:space="0"/>
            </w:tcBorders>
            <w:vAlign w:val="center"/>
          </w:tcPr>
          <w:p w14:paraId="4C44682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对投标品牌</w:t>
            </w:r>
            <w:r>
              <w:rPr>
                <w:rFonts w:hint="eastAsia" w:ascii="宋体" w:hAnsi="宋体" w:eastAsia="宋体" w:cs="宋体"/>
                <w:b w:val="0"/>
                <w:bCs w:val="0"/>
                <w:color w:val="auto"/>
                <w:kern w:val="0"/>
                <w:szCs w:val="21"/>
                <w:highlight w:val="none"/>
                <w:shd w:val="clear" w:color="auto" w:fill="auto"/>
                <w:lang w:val="en-US" w:eastAsia="zh-CN"/>
              </w:rPr>
              <w:t>超声波</w:t>
            </w:r>
            <w:r>
              <w:rPr>
                <w:rFonts w:hint="default" w:ascii="宋体" w:hAnsi="宋体" w:eastAsia="宋体" w:cs="宋体"/>
                <w:b w:val="0"/>
                <w:bCs w:val="0"/>
                <w:color w:val="auto"/>
                <w:kern w:val="0"/>
                <w:szCs w:val="21"/>
                <w:highlight w:val="none"/>
                <w:shd w:val="clear" w:color="auto" w:fill="auto"/>
                <w:lang w:val="en-US" w:eastAsia="zh-CN"/>
              </w:rPr>
              <w:t>水表的整体设计</w:t>
            </w:r>
            <w:r>
              <w:rPr>
                <w:rFonts w:hint="eastAsia" w:ascii="宋体" w:hAnsi="宋体" w:eastAsia="宋体" w:cs="宋体"/>
                <w:b w:val="0"/>
                <w:bCs w:val="0"/>
                <w:color w:val="auto"/>
                <w:kern w:val="0"/>
                <w:szCs w:val="21"/>
                <w:highlight w:val="none"/>
                <w:shd w:val="clear" w:color="auto" w:fill="auto"/>
                <w:lang w:val="en-US" w:eastAsia="zh-CN"/>
              </w:rPr>
              <w:t>、产品性能及技术响应度</w:t>
            </w:r>
            <w:r>
              <w:rPr>
                <w:rFonts w:hint="default" w:ascii="宋体" w:hAnsi="宋体" w:eastAsia="宋体" w:cs="宋体"/>
                <w:b w:val="0"/>
                <w:bCs w:val="0"/>
                <w:color w:val="auto"/>
                <w:kern w:val="0"/>
                <w:szCs w:val="21"/>
                <w:highlight w:val="none"/>
                <w:shd w:val="clear" w:color="auto" w:fill="auto"/>
                <w:lang w:val="en-US" w:eastAsia="zh-CN"/>
              </w:rPr>
              <w:t>进行综合评审</w:t>
            </w:r>
            <w:r>
              <w:rPr>
                <w:rFonts w:hint="eastAsia" w:ascii="宋体" w:hAnsi="宋体" w:eastAsia="宋体" w:cs="宋体"/>
                <w:b w:val="0"/>
                <w:bCs w:val="0"/>
                <w:color w:val="auto"/>
                <w:kern w:val="0"/>
                <w:szCs w:val="21"/>
                <w:highlight w:val="none"/>
                <w:shd w:val="clear" w:color="auto" w:fill="auto"/>
                <w:lang w:val="en-US" w:eastAsia="zh-CN"/>
              </w:rPr>
              <w:t>，包括但不限于</w:t>
            </w:r>
            <w:r>
              <w:rPr>
                <w:rFonts w:hint="default" w:ascii="宋体" w:hAnsi="宋体" w:eastAsia="宋体" w:cs="宋体"/>
                <w:b w:val="0"/>
                <w:bCs w:val="0"/>
                <w:color w:val="auto"/>
                <w:kern w:val="0"/>
                <w:szCs w:val="21"/>
                <w:highlight w:val="none"/>
                <w:shd w:val="clear" w:color="auto" w:fill="auto"/>
                <w:lang w:val="en-US" w:eastAsia="zh-CN"/>
              </w:rPr>
              <w:t>：显示屏设计、同屏显示内容、换能器结构设计、制造</w:t>
            </w:r>
            <w:r>
              <w:rPr>
                <w:rFonts w:hint="eastAsia" w:ascii="宋体" w:hAnsi="宋体" w:eastAsia="宋体" w:cs="宋体"/>
                <w:b w:val="0"/>
                <w:bCs w:val="0"/>
                <w:color w:val="auto"/>
                <w:kern w:val="0"/>
                <w:szCs w:val="21"/>
                <w:highlight w:val="none"/>
                <w:shd w:val="clear" w:color="auto" w:fill="auto"/>
                <w:lang w:val="en-US" w:eastAsia="zh-CN"/>
              </w:rPr>
              <w:t>工艺</w:t>
            </w:r>
            <w:r>
              <w:rPr>
                <w:rFonts w:hint="default" w:ascii="宋体" w:hAnsi="宋体" w:eastAsia="宋体" w:cs="宋体"/>
                <w:b w:val="0"/>
                <w:bCs w:val="0"/>
                <w:color w:val="auto"/>
                <w:kern w:val="0"/>
                <w:szCs w:val="21"/>
                <w:highlight w:val="none"/>
                <w:shd w:val="clear" w:color="auto" w:fill="auto"/>
                <w:lang w:val="en-US" w:eastAsia="zh-CN"/>
              </w:rPr>
              <w:t>精细度、配套远传</w:t>
            </w:r>
            <w:r>
              <w:rPr>
                <w:rFonts w:hint="eastAsia" w:ascii="宋体" w:hAnsi="宋体" w:eastAsia="宋体" w:cs="宋体"/>
                <w:b w:val="0"/>
                <w:bCs w:val="0"/>
                <w:color w:val="auto"/>
                <w:kern w:val="0"/>
                <w:szCs w:val="21"/>
                <w:highlight w:val="none"/>
                <w:shd w:val="clear" w:color="auto" w:fill="auto"/>
                <w:lang w:val="en-US" w:eastAsia="zh-CN"/>
              </w:rPr>
              <w:t>模块</w:t>
            </w:r>
            <w:r>
              <w:rPr>
                <w:rFonts w:hint="default" w:ascii="宋体" w:hAnsi="宋体" w:eastAsia="宋体" w:cs="宋体"/>
                <w:b w:val="0"/>
                <w:bCs w:val="0"/>
                <w:color w:val="auto"/>
                <w:kern w:val="0"/>
                <w:szCs w:val="21"/>
                <w:highlight w:val="none"/>
                <w:shd w:val="clear" w:color="auto" w:fill="auto"/>
                <w:lang w:val="en-US" w:eastAsia="zh-CN"/>
              </w:rPr>
              <w:t>和内置电池的维护便利性</w:t>
            </w:r>
            <w:r>
              <w:rPr>
                <w:rFonts w:hint="eastAsia" w:ascii="宋体" w:hAnsi="宋体" w:eastAsia="宋体" w:cs="宋体"/>
                <w:b w:val="0"/>
                <w:bCs w:val="0"/>
                <w:color w:val="auto"/>
                <w:kern w:val="0"/>
                <w:szCs w:val="21"/>
                <w:highlight w:val="none"/>
                <w:shd w:val="clear" w:color="auto" w:fill="auto"/>
                <w:lang w:val="en-US" w:eastAsia="zh-CN"/>
              </w:rPr>
              <w:t>、计量性能参数、防腐技术、密封性能及防护等级、抗干扰性能、芯片及换能器设计、电池性能和设计寿命以及水表测量频率等配置</w:t>
            </w:r>
            <w:r>
              <w:rPr>
                <w:rFonts w:hint="default" w:ascii="宋体" w:hAnsi="宋体" w:eastAsia="宋体" w:cs="宋体"/>
                <w:b w:val="0"/>
                <w:bCs w:val="0"/>
                <w:color w:val="auto"/>
                <w:kern w:val="0"/>
                <w:szCs w:val="21"/>
                <w:highlight w:val="none"/>
                <w:shd w:val="clear" w:color="auto" w:fill="auto"/>
                <w:lang w:val="en-US" w:eastAsia="zh-CN"/>
              </w:rPr>
              <w:t>。</w:t>
            </w:r>
          </w:p>
          <w:p w14:paraId="4DE2AB5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优：产品设计说明详实完善，外观实用美观，结构合理，制造工艺先进，关键部件易于维护；技术性能先进，功能响应全面，运行稳定可靠，维护简便</w:t>
            </w:r>
            <w:r>
              <w:rPr>
                <w:rFonts w:hint="eastAsia" w:ascii="宋体" w:hAnsi="宋体" w:eastAsia="宋体" w:cs="宋体"/>
                <w:b w:val="0"/>
                <w:bCs w:val="0"/>
                <w:color w:val="auto"/>
                <w:kern w:val="0"/>
                <w:szCs w:val="21"/>
                <w:highlight w:val="none"/>
                <w:shd w:val="clear" w:color="auto" w:fill="auto"/>
                <w:lang w:val="en-US" w:eastAsia="zh-CN"/>
              </w:rPr>
              <w:t>，得</w:t>
            </w:r>
            <w:r>
              <w:rPr>
                <w:rFonts w:hint="eastAsia" w:ascii="宋体" w:hAnsi="宋体" w:eastAsia="宋体" w:cs="宋体"/>
                <w:szCs w:val="21"/>
                <w:highlight w:val="none"/>
                <w:lang w:val="en-US" w:eastAsia="zh-CN" w:bidi="ar"/>
              </w:rPr>
              <w:t>（3.5,5</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53D9B7F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良：产品设计说明较详实，设计较合理，制造工艺较好，维护较为方便；技术性能良好，功能响应较全面，运行较稳定，维护较简便</w:t>
            </w:r>
            <w:r>
              <w:rPr>
                <w:rFonts w:hint="eastAsia" w:ascii="宋体" w:hAnsi="宋体" w:eastAsia="宋体" w:cs="宋体"/>
                <w:b w:val="0"/>
                <w:bCs w:val="0"/>
                <w:color w:val="auto"/>
                <w:kern w:val="0"/>
                <w:szCs w:val="21"/>
                <w:highlight w:val="none"/>
                <w:shd w:val="clear" w:color="auto" w:fill="auto"/>
                <w:lang w:val="en-US" w:eastAsia="zh-CN"/>
              </w:rPr>
              <w:t>，得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2,3.5</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6AB6865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中：产品设计说明一般，设计合理性一般，制造工艺一般，维护便利性一般；技术性能基本满足要求，功能响应一般，运行稳定</w:t>
            </w:r>
            <w:r>
              <w:rPr>
                <w:rFonts w:hint="eastAsia" w:ascii="宋体" w:hAnsi="宋体" w:eastAsia="宋体" w:cs="宋体"/>
                <w:b w:val="0"/>
                <w:bCs w:val="0"/>
                <w:color w:val="auto"/>
                <w:kern w:val="0"/>
                <w:szCs w:val="21"/>
                <w:highlight w:val="none"/>
                <w:shd w:val="clear" w:color="auto" w:fill="auto"/>
                <w:lang w:val="en-US" w:eastAsia="zh-CN"/>
              </w:rPr>
              <w:t>性一般，得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2561198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val="0"/>
                <w:bCs w:val="0"/>
                <w:color w:val="auto"/>
                <w:kern w:val="0"/>
                <w:szCs w:val="21"/>
                <w:highlight w:val="none"/>
                <w:shd w:val="clear" w:color="auto" w:fill="auto"/>
                <w:lang w:val="en-US" w:eastAsia="zh-CN"/>
              </w:rPr>
            </w:pPr>
            <w:r>
              <w:rPr>
                <w:rFonts w:hint="default" w:ascii="宋体" w:hAnsi="宋体" w:eastAsia="宋体" w:cs="宋体"/>
                <w:b w:val="0"/>
                <w:bCs w:val="0"/>
                <w:color w:val="auto"/>
                <w:kern w:val="0"/>
                <w:szCs w:val="21"/>
                <w:highlight w:val="none"/>
                <w:shd w:val="clear" w:color="auto" w:fill="auto"/>
                <w:lang w:val="en-US" w:eastAsia="zh-CN"/>
              </w:rPr>
              <w:t>差：</w:t>
            </w:r>
            <w:r>
              <w:rPr>
                <w:rFonts w:ascii="宋体" w:hAnsi="宋体" w:eastAsia="宋体" w:cs="宋体"/>
                <w:b w:val="0"/>
                <w:bCs w:val="0"/>
                <w:i w:val="0"/>
                <w:iCs w:val="0"/>
                <w:caps w:val="0"/>
                <w:color w:val="auto"/>
                <w:spacing w:val="0"/>
                <w:kern w:val="0"/>
                <w:sz w:val="21"/>
                <w:szCs w:val="21"/>
                <w:highlight w:val="none"/>
                <w:shd w:val="clear" w:color="auto" w:fill="auto"/>
              </w:rPr>
              <w:t>产品设计说明基本</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符合要求</w:t>
            </w:r>
            <w:r>
              <w:rPr>
                <w:rFonts w:ascii="宋体" w:hAnsi="宋体" w:eastAsia="宋体" w:cs="宋体"/>
                <w:b w:val="0"/>
                <w:bCs w:val="0"/>
                <w:i w:val="0"/>
                <w:iCs w:val="0"/>
                <w:caps w:val="0"/>
                <w:color w:val="auto"/>
                <w:spacing w:val="0"/>
                <w:kern w:val="0"/>
                <w:sz w:val="21"/>
                <w:szCs w:val="21"/>
                <w:highlight w:val="none"/>
                <w:shd w:val="clear" w:color="auto" w:fill="auto"/>
              </w:rPr>
              <w:t>，结构设计基本合理，制造工艺一般，维护</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不够</w:t>
            </w:r>
            <w:r>
              <w:rPr>
                <w:rFonts w:ascii="宋体" w:hAnsi="宋体" w:eastAsia="宋体" w:cs="宋体"/>
                <w:b w:val="0"/>
                <w:bCs w:val="0"/>
                <w:i w:val="0"/>
                <w:iCs w:val="0"/>
                <w:caps w:val="0"/>
                <w:color w:val="auto"/>
                <w:spacing w:val="0"/>
                <w:kern w:val="0"/>
                <w:sz w:val="21"/>
                <w:szCs w:val="21"/>
                <w:highlight w:val="none"/>
                <w:shd w:val="clear" w:color="auto" w:fill="auto"/>
              </w:rPr>
              <w:t>方便；技术性能基本达标，功能响应基本满足要求，运行</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基本</w:t>
            </w:r>
            <w:r>
              <w:rPr>
                <w:rFonts w:ascii="宋体" w:hAnsi="宋体" w:eastAsia="宋体" w:cs="宋体"/>
                <w:b w:val="0"/>
                <w:bCs w:val="0"/>
                <w:i w:val="0"/>
                <w:iCs w:val="0"/>
                <w:caps w:val="0"/>
                <w:color w:val="auto"/>
                <w:spacing w:val="0"/>
                <w:kern w:val="0"/>
                <w:sz w:val="21"/>
                <w:szCs w:val="21"/>
                <w:highlight w:val="none"/>
                <w:shd w:val="clear" w:color="auto" w:fill="auto"/>
              </w:rPr>
              <w:t>稳定，得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0,1</w:t>
            </w:r>
            <w:r>
              <w:rPr>
                <w:rFonts w:hint="eastAsia" w:ascii="宋体" w:hAnsi="宋体" w:eastAsia="宋体" w:cs="宋体"/>
                <w:szCs w:val="21"/>
                <w:highlight w:val="none"/>
                <w:lang w:bidi="ar"/>
              </w:rPr>
              <w:t>]</w:t>
            </w:r>
            <w:r>
              <w:rPr>
                <w:rFonts w:ascii="宋体" w:hAnsi="宋体" w:eastAsia="宋体" w:cs="宋体"/>
                <w:b w:val="0"/>
                <w:bCs w:val="0"/>
                <w:i w:val="0"/>
                <w:iCs w:val="0"/>
                <w:caps w:val="0"/>
                <w:color w:val="auto"/>
                <w:spacing w:val="0"/>
                <w:kern w:val="0"/>
                <w:sz w:val="21"/>
                <w:szCs w:val="21"/>
                <w:highlight w:val="none"/>
                <w:shd w:val="clear" w:color="auto" w:fill="auto"/>
              </w:rPr>
              <w:t>分</w:t>
            </w:r>
            <w:r>
              <w:rPr>
                <w:rFonts w:hint="eastAsia" w:ascii="宋体" w:hAnsi="宋体" w:eastAsia="宋体" w:cs="宋体"/>
                <w:b w:val="0"/>
                <w:bCs w:val="0"/>
                <w:color w:val="auto"/>
                <w:kern w:val="0"/>
                <w:szCs w:val="21"/>
                <w:highlight w:val="none"/>
                <w:shd w:val="clear" w:color="auto" w:fill="auto"/>
                <w:lang w:val="en-US" w:eastAsia="zh-CN"/>
              </w:rPr>
              <w:t xml:space="preserve">； </w:t>
            </w:r>
          </w:p>
          <w:p w14:paraId="6C976A5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hAnsi="宋体" w:cs="宋体"/>
                <w:color w:val="auto"/>
                <w:kern w:val="2"/>
                <w:sz w:val="21"/>
                <w:szCs w:val="22"/>
                <w:highlight w:val="none"/>
                <w:lang w:val="en-US" w:eastAsia="zh-CN"/>
              </w:rPr>
            </w:pPr>
            <w:r>
              <w:rPr>
                <w:rFonts w:hint="eastAsia" w:ascii="宋体" w:hAnsi="宋体" w:eastAsia="宋体" w:cs="宋体"/>
                <w:b/>
                <w:bCs/>
                <w:color w:val="auto"/>
                <w:kern w:val="2"/>
                <w:sz w:val="21"/>
                <w:szCs w:val="21"/>
                <w:highlight w:val="none"/>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、投标人提供的水表类型【提供：DN100缩径设计超声波水表和DN100通径设计超声波水表】的省级或省级以上质量监督检测机构或第三方具有 CMA 资格的检测机构或第三方具有CNAS 认证的检测机构出具的检验报告进行评审。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E8EF41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14:paraId="03D2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B29477E">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BBC1CEE">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生产制造能力</w:t>
            </w:r>
          </w:p>
        </w:tc>
        <w:tc>
          <w:tcPr>
            <w:tcW w:w="3700" w:type="pct"/>
            <w:tcBorders>
              <w:top w:val="single" w:color="auto" w:sz="4" w:space="0"/>
              <w:left w:val="single" w:color="auto" w:sz="4" w:space="0"/>
              <w:bottom w:val="single" w:color="auto" w:sz="4" w:space="0"/>
              <w:right w:val="single" w:color="auto" w:sz="4" w:space="0"/>
            </w:tcBorders>
            <w:vAlign w:val="center"/>
          </w:tcPr>
          <w:p w14:paraId="2C3ED842">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根据投标人（或所投产品制造商）的生产设备、检测设备、制造工艺流程及质检手段（包括各类设备的单台价值及档次水平、生产能力、工艺质量、试压和误差检测的效率）等进行评审： </w:t>
            </w:r>
          </w:p>
          <w:p w14:paraId="4DC8E3D1">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优：生产、检测设备质量高、生产管理流程高效、产品质量检测能力先进，得</w:t>
            </w:r>
            <w:r>
              <w:rPr>
                <w:rFonts w:hint="eastAsia" w:ascii="宋体" w:hAnsi="宋体" w:eastAsia="宋体" w:cs="宋体"/>
                <w:szCs w:val="21"/>
                <w:highlight w:val="none"/>
                <w:lang w:val="en-US" w:eastAsia="zh-CN" w:bidi="ar"/>
              </w:rPr>
              <w:t>（3,4</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27393A22">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良：生产、检测设备质量比较高、生产管理流程比较稳定、产品质量检测能力较好，得</w:t>
            </w:r>
            <w:r>
              <w:rPr>
                <w:rFonts w:hint="eastAsia" w:ascii="宋体" w:hAnsi="宋体" w:eastAsia="宋体" w:cs="宋体"/>
                <w:szCs w:val="21"/>
                <w:highlight w:val="none"/>
                <w:lang w:val="en-US" w:eastAsia="zh-CN" w:bidi="ar"/>
              </w:rPr>
              <w:t>（2,3</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373A4B64">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中：生产、检测设备质量一般、生产管理流程效率一般、产品质量检测能力一般，得</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5CEEFF37">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w:t>
            </w:r>
            <w:r>
              <w:rPr>
                <w:rFonts w:hint="eastAsia" w:ascii="宋体" w:hAnsi="宋体" w:eastAsia="宋体" w:cs="宋体"/>
                <w:b w:val="0"/>
                <w:bCs w:val="0"/>
                <w:i w:val="0"/>
                <w:iCs w:val="0"/>
                <w:caps w:val="0"/>
                <w:color w:val="auto"/>
                <w:spacing w:val="0"/>
                <w:sz w:val="21"/>
                <w:szCs w:val="21"/>
                <w:highlight w:val="none"/>
                <w:shd w:val="clear"/>
              </w:rPr>
              <w:t>具备基本的生产与检测设备，生产管理流程初步建立，产品质量检测</w:t>
            </w:r>
            <w:r>
              <w:rPr>
                <w:rFonts w:hint="eastAsia" w:ascii="宋体" w:hAnsi="宋体" w:eastAsia="宋体" w:cs="宋体"/>
                <w:b w:val="0"/>
                <w:bCs w:val="0"/>
                <w:i w:val="0"/>
                <w:iCs w:val="0"/>
                <w:caps w:val="0"/>
                <w:color w:val="auto"/>
                <w:spacing w:val="0"/>
                <w:sz w:val="21"/>
                <w:szCs w:val="21"/>
                <w:highlight w:val="none"/>
                <w:shd w:val="clear"/>
                <w:lang w:val="en-US" w:eastAsia="zh-CN"/>
              </w:rPr>
              <w:t>能力较为基础</w:t>
            </w:r>
            <w:r>
              <w:rPr>
                <w:rFonts w:hint="eastAsia" w:ascii="宋体" w:hAnsi="宋体" w:eastAsia="宋体" w:cs="宋体"/>
                <w:b w:val="0"/>
                <w:bCs w:val="0"/>
                <w:i w:val="0"/>
                <w:iCs w:val="0"/>
                <w:caps w:val="0"/>
                <w:color w:val="auto"/>
                <w:spacing w:val="0"/>
                <w:sz w:val="21"/>
                <w:szCs w:val="21"/>
                <w:highlight w:val="none"/>
                <w:shd w:val="clear"/>
              </w:rPr>
              <w:t>，得</w:t>
            </w:r>
            <w:r>
              <w:rPr>
                <w:rFonts w:hint="eastAsia" w:ascii="宋体" w:hAnsi="宋体" w:eastAsia="宋体" w:cs="宋体"/>
                <w:szCs w:val="21"/>
                <w:highlight w:val="none"/>
                <w:lang w:val="en-US" w:eastAsia="zh-CN" w:bidi="ar"/>
              </w:rPr>
              <w:t>（0,1</w:t>
            </w:r>
            <w:r>
              <w:rPr>
                <w:rFonts w:hint="eastAsia" w:ascii="宋体" w:hAnsi="宋体" w:eastAsia="宋体" w:cs="宋体"/>
                <w:szCs w:val="21"/>
                <w:highlight w:val="none"/>
                <w:lang w:bidi="ar"/>
              </w:rPr>
              <w:t>]</w:t>
            </w:r>
            <w:r>
              <w:rPr>
                <w:rFonts w:hint="eastAsia" w:ascii="宋体" w:hAnsi="宋体" w:eastAsia="宋体" w:cs="宋体"/>
                <w:b w:val="0"/>
                <w:bCs w:val="0"/>
                <w:i w:val="0"/>
                <w:iCs w:val="0"/>
                <w:caps w:val="0"/>
                <w:color w:val="auto"/>
                <w:spacing w:val="0"/>
                <w:sz w:val="21"/>
                <w:szCs w:val="21"/>
                <w:highlight w:val="none"/>
                <w:shd w:val="clear"/>
              </w:rPr>
              <w:t>分</w:t>
            </w:r>
            <w:r>
              <w:rPr>
                <w:rFonts w:hint="eastAsia" w:ascii="宋体" w:hAnsi="宋体" w:eastAsia="宋体" w:cs="宋体"/>
                <w:color w:val="auto"/>
                <w:kern w:val="2"/>
                <w:sz w:val="21"/>
                <w:szCs w:val="21"/>
                <w:highlight w:val="none"/>
                <w:lang w:val="en-US" w:eastAsia="zh-CN" w:bidi="ar-SA"/>
              </w:rPr>
              <w:t>；</w:t>
            </w:r>
          </w:p>
          <w:p w14:paraId="19702FE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未提供生产制造能力方案及相关证明材料的，不得分。</w:t>
            </w:r>
          </w:p>
          <w:p w14:paraId="3D9B974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shd w:val="clear" w:color="auto" w:fill="auto"/>
                <w:lang w:val="en-US" w:eastAsia="zh-CN"/>
              </w:rPr>
              <w:t>备注：投标人应提供2025年7月1日或以后拍摄的有关所投产品制造商的生产设备、检测设备、制造工艺流程及质检设备的照片/图片（照片/图片须清晰反映拍摄时间，否则评标时将不予考虑），以及相关设备设施清单和（付款单位/购买方为所投产品制造商）采购合同及购置发票原件复印件等证明材料，以投标人提供的上述资料作为评审依据。</w:t>
            </w:r>
          </w:p>
        </w:tc>
        <w:tc>
          <w:tcPr>
            <w:tcW w:w="437" w:type="pct"/>
            <w:tcBorders>
              <w:top w:val="single" w:color="auto" w:sz="4" w:space="0"/>
              <w:left w:val="single" w:color="auto" w:sz="4" w:space="0"/>
              <w:bottom w:val="single" w:color="auto" w:sz="4" w:space="0"/>
              <w:right w:val="single" w:color="auto" w:sz="4" w:space="0"/>
            </w:tcBorders>
            <w:vAlign w:val="center"/>
          </w:tcPr>
          <w:p w14:paraId="4C7338A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5EE1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restart"/>
            <w:tcBorders>
              <w:top w:val="single" w:color="auto" w:sz="4" w:space="0"/>
              <w:left w:val="single" w:color="auto" w:sz="4" w:space="0"/>
              <w:right w:val="single" w:color="auto" w:sz="4" w:space="0"/>
            </w:tcBorders>
            <w:vAlign w:val="center"/>
          </w:tcPr>
          <w:p w14:paraId="211B0D76">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546" w:type="pct"/>
            <w:vMerge w:val="restart"/>
            <w:tcBorders>
              <w:top w:val="single" w:color="auto" w:sz="4" w:space="0"/>
              <w:left w:val="single" w:color="auto" w:sz="4" w:space="0"/>
              <w:right w:val="single" w:color="auto" w:sz="4" w:space="0"/>
            </w:tcBorders>
            <w:shd w:val="clear" w:color="auto" w:fill="auto"/>
            <w:vAlign w:val="center"/>
          </w:tcPr>
          <w:p w14:paraId="7DDA6E9D">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售后服务方案</w:t>
            </w:r>
          </w:p>
        </w:tc>
        <w:tc>
          <w:tcPr>
            <w:tcW w:w="3700" w:type="pct"/>
            <w:tcBorders>
              <w:top w:val="single" w:color="auto" w:sz="4" w:space="0"/>
              <w:left w:val="single" w:color="auto" w:sz="4" w:space="0"/>
              <w:bottom w:val="single" w:color="auto" w:sz="4" w:space="0"/>
              <w:right w:val="single" w:color="auto" w:sz="4" w:space="0"/>
            </w:tcBorders>
            <w:vAlign w:val="center"/>
          </w:tcPr>
          <w:p w14:paraId="6D0EE13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 xml:space="preserve">1、根据投标人提供的售后服务机构配置（包括技术服务人员数量及水平、备品配件数量、保修方式），售后服务的便利性，应急处理方式，培训计划等进行评审： </w:t>
            </w:r>
          </w:p>
          <w:p w14:paraId="6681497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优：售后服务机构配置的技术服务人员数量、备品配件数量充足；技术服务水平高，保修方式高效；售后服务便利、应急处理方式完善；培训计划内容非常详实完善、科学合理和保障及时充分，得</w:t>
            </w:r>
            <w:r>
              <w:rPr>
                <w:rFonts w:hint="eastAsia" w:ascii="宋体" w:hAnsi="宋体" w:eastAsia="宋体" w:cs="宋体"/>
                <w:szCs w:val="21"/>
                <w:highlight w:val="none"/>
                <w:lang w:val="en-US" w:eastAsia="zh-CN" w:bidi="ar"/>
              </w:rPr>
              <w:t>（3,4</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298ED05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良：售后服务机构配置的技术服务人员数量、备品配件数量较充足；技术服务水平较高，保修方式较佳；售后服务较便利、应急处理方式较完善；培训计划内容比较详实完善、可行性较好、保障性和及时性较好，得</w:t>
            </w:r>
            <w:r>
              <w:rPr>
                <w:rFonts w:hint="eastAsia" w:ascii="宋体" w:hAnsi="宋体" w:eastAsia="宋体" w:cs="宋体"/>
                <w:szCs w:val="21"/>
                <w:highlight w:val="none"/>
                <w:lang w:val="en-US" w:eastAsia="zh-CN" w:bidi="ar"/>
              </w:rPr>
              <w:t>（2,3</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4951518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中：售后服务机构配置的技术服务人员数量、备品配件数量一般；技术服务水平一般，保修方式一般；售后服务便利性一般、应急处理方式一般；培训计划内容基本详实完善、基本可行、保障性和及时性一般，得</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w:t>
            </w:r>
            <w:r>
              <w:rPr>
                <w:rFonts w:hint="eastAsia" w:ascii="宋体" w:hAnsi="宋体" w:eastAsia="宋体" w:cs="宋体"/>
                <w:b w:val="0"/>
                <w:bCs w:val="0"/>
                <w:color w:val="auto"/>
                <w:kern w:val="0"/>
                <w:szCs w:val="21"/>
                <w:highlight w:val="none"/>
                <w:shd w:val="clear" w:color="auto" w:fill="auto"/>
                <w:lang w:val="en-US" w:eastAsia="zh-CN"/>
              </w:rPr>
              <w:t xml:space="preserve">分； </w:t>
            </w:r>
          </w:p>
          <w:p w14:paraId="0164291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差：</w:t>
            </w:r>
            <w:r>
              <w:rPr>
                <w:rFonts w:hint="eastAsia" w:ascii="宋体" w:hAnsi="宋体" w:eastAsia="宋体" w:cs="宋体"/>
                <w:b w:val="0"/>
                <w:bCs w:val="0"/>
                <w:i w:val="0"/>
                <w:iCs w:val="0"/>
                <w:caps w:val="0"/>
                <w:color w:val="auto"/>
                <w:spacing w:val="0"/>
                <w:kern w:val="0"/>
                <w:sz w:val="21"/>
                <w:szCs w:val="21"/>
                <w:highlight w:val="none"/>
                <w:shd w:val="clear" w:color="auto" w:fill="auto"/>
              </w:rPr>
              <w:t>售后服务机构配置的技术服务人员数量和备品配件数量基本满足项目需求；技术服务</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水平、</w:t>
            </w:r>
            <w:r>
              <w:rPr>
                <w:rFonts w:hint="eastAsia" w:ascii="宋体" w:hAnsi="宋体" w:eastAsia="宋体" w:cs="宋体"/>
                <w:b w:val="0"/>
                <w:bCs w:val="0"/>
                <w:i w:val="0"/>
                <w:iCs w:val="0"/>
                <w:caps w:val="0"/>
                <w:color w:val="auto"/>
                <w:spacing w:val="0"/>
                <w:kern w:val="0"/>
                <w:sz w:val="21"/>
                <w:szCs w:val="21"/>
                <w:highlight w:val="none"/>
                <w:shd w:val="clear" w:color="auto" w:fill="auto"/>
              </w:rPr>
              <w:t>保修方式较为基础；售后服务便利性一般，应急处理方式</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单一</w:t>
            </w:r>
            <w:r>
              <w:rPr>
                <w:rFonts w:hint="eastAsia" w:ascii="宋体" w:hAnsi="宋体" w:eastAsia="宋体" w:cs="宋体"/>
                <w:b w:val="0"/>
                <w:bCs w:val="0"/>
                <w:i w:val="0"/>
                <w:iCs w:val="0"/>
                <w:caps w:val="0"/>
                <w:color w:val="auto"/>
                <w:spacing w:val="0"/>
                <w:kern w:val="0"/>
                <w:sz w:val="21"/>
                <w:szCs w:val="21"/>
                <w:highlight w:val="none"/>
                <w:shd w:val="clear" w:color="auto" w:fill="auto"/>
              </w:rPr>
              <w:t>；培训计划内容</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简单</w:t>
            </w:r>
            <w:r>
              <w:rPr>
                <w:rFonts w:hint="eastAsia" w:ascii="宋体" w:hAnsi="宋体" w:eastAsia="宋体" w:cs="宋体"/>
                <w:b w:val="0"/>
                <w:bCs w:val="0"/>
                <w:i w:val="0"/>
                <w:iCs w:val="0"/>
                <w:caps w:val="0"/>
                <w:color w:val="auto"/>
                <w:spacing w:val="0"/>
                <w:kern w:val="0"/>
                <w:sz w:val="21"/>
                <w:szCs w:val="21"/>
                <w:highlight w:val="none"/>
                <w:shd w:val="clear" w:color="auto" w:fill="auto"/>
              </w:rPr>
              <w:t>，可行性</w:t>
            </w:r>
            <w:r>
              <w:rPr>
                <w:rFonts w:hint="eastAsia" w:ascii="宋体" w:hAnsi="宋体" w:eastAsia="宋体" w:cs="宋体"/>
                <w:b w:val="0"/>
                <w:bCs w:val="0"/>
                <w:i w:val="0"/>
                <w:iCs w:val="0"/>
                <w:caps w:val="0"/>
                <w:color w:val="auto"/>
                <w:spacing w:val="0"/>
                <w:kern w:val="0"/>
                <w:sz w:val="21"/>
                <w:szCs w:val="21"/>
                <w:highlight w:val="none"/>
                <w:shd w:val="clear" w:color="auto" w:fill="auto"/>
                <w:lang w:eastAsia="zh-CN"/>
              </w:rPr>
              <w:t>、</w:t>
            </w:r>
            <w:r>
              <w:rPr>
                <w:rFonts w:hint="eastAsia" w:ascii="宋体" w:hAnsi="宋体" w:eastAsia="宋体" w:cs="宋体"/>
                <w:b w:val="0"/>
                <w:bCs w:val="0"/>
                <w:i w:val="0"/>
                <w:iCs w:val="0"/>
                <w:caps w:val="0"/>
                <w:color w:val="auto"/>
                <w:spacing w:val="0"/>
                <w:kern w:val="0"/>
                <w:sz w:val="21"/>
                <w:szCs w:val="21"/>
                <w:highlight w:val="none"/>
                <w:shd w:val="clear" w:color="auto" w:fill="auto"/>
              </w:rPr>
              <w:t>保障</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rPr>
              <w:t>性和</w:t>
            </w:r>
            <w:r>
              <w:rPr>
                <w:rFonts w:hint="eastAsia" w:ascii="宋体" w:hAnsi="宋体" w:eastAsia="宋体" w:cs="宋体"/>
                <w:b w:val="0"/>
                <w:bCs w:val="0"/>
                <w:i w:val="0"/>
                <w:iCs w:val="0"/>
                <w:caps w:val="0"/>
                <w:color w:val="auto"/>
                <w:spacing w:val="0"/>
                <w:kern w:val="0"/>
                <w:sz w:val="21"/>
                <w:szCs w:val="21"/>
                <w:highlight w:val="none"/>
                <w:shd w:val="clear" w:color="auto" w:fill="auto"/>
              </w:rPr>
              <w:t>及时性存在一定局限，得</w:t>
            </w:r>
            <w:r>
              <w:rPr>
                <w:rFonts w:hint="eastAsia" w:ascii="宋体" w:hAnsi="宋体" w:eastAsia="宋体" w:cs="宋体"/>
                <w:szCs w:val="21"/>
                <w:highlight w:val="none"/>
                <w:lang w:val="en-US" w:eastAsia="zh-CN" w:bidi="ar"/>
              </w:rPr>
              <w:t>（0,1</w:t>
            </w:r>
            <w:r>
              <w:rPr>
                <w:rFonts w:hint="eastAsia" w:ascii="宋体" w:hAnsi="宋体" w:eastAsia="宋体" w:cs="宋体"/>
                <w:szCs w:val="21"/>
                <w:highlight w:val="none"/>
                <w:lang w:bidi="ar"/>
              </w:rPr>
              <w:t>]</w:t>
            </w:r>
            <w:r>
              <w:rPr>
                <w:rFonts w:hint="eastAsia" w:ascii="宋体" w:hAnsi="宋体" w:eastAsia="宋体" w:cs="宋体"/>
                <w:b w:val="0"/>
                <w:bCs w:val="0"/>
                <w:i w:val="0"/>
                <w:iCs w:val="0"/>
                <w:caps w:val="0"/>
                <w:color w:val="auto"/>
                <w:spacing w:val="0"/>
                <w:kern w:val="0"/>
                <w:sz w:val="21"/>
                <w:szCs w:val="21"/>
                <w:highlight w:val="none"/>
                <w:shd w:val="clear" w:color="auto" w:fill="auto"/>
              </w:rPr>
              <w:t>分</w:t>
            </w:r>
            <w:r>
              <w:rPr>
                <w:rFonts w:hint="eastAsia" w:ascii="宋体" w:hAnsi="宋体" w:eastAsia="宋体" w:cs="宋体"/>
                <w:b w:val="0"/>
                <w:bCs w:val="0"/>
                <w:color w:val="auto"/>
                <w:kern w:val="0"/>
                <w:szCs w:val="21"/>
                <w:highlight w:val="none"/>
                <w:shd w:val="clear" w:color="auto" w:fill="auto"/>
                <w:lang w:val="en-US" w:eastAsia="zh-CN"/>
              </w:rPr>
              <w:t>；</w:t>
            </w:r>
          </w:p>
          <w:p w14:paraId="1973ABA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未提供售后服务方案的，不得分。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163F4F0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5A26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tcBorders>
              <w:left w:val="single" w:color="auto" w:sz="4" w:space="0"/>
              <w:bottom w:val="single" w:color="auto" w:sz="4" w:space="0"/>
              <w:right w:val="single" w:color="auto" w:sz="4" w:space="0"/>
            </w:tcBorders>
            <w:vAlign w:val="center"/>
          </w:tcPr>
          <w:p w14:paraId="1878454C">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shd w:val="clear" w:color="auto" w:fill="auto"/>
            <w:vAlign w:val="center"/>
          </w:tcPr>
          <w:p w14:paraId="7C8248F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p>
        </w:tc>
        <w:tc>
          <w:tcPr>
            <w:tcW w:w="3700" w:type="pct"/>
            <w:tcBorders>
              <w:top w:val="single" w:color="auto" w:sz="4" w:space="0"/>
              <w:left w:val="single" w:color="auto" w:sz="4" w:space="0"/>
              <w:bottom w:val="single" w:color="auto" w:sz="4" w:space="0"/>
              <w:right w:val="single" w:color="auto" w:sz="4" w:space="0"/>
            </w:tcBorders>
            <w:vAlign w:val="center"/>
          </w:tcPr>
          <w:p w14:paraId="3A07639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 xml:space="preserve">2、根据投标人承诺的售后服务响应时间进行评审： </w:t>
            </w:r>
          </w:p>
          <w:p w14:paraId="284FD29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①承诺在接到招标人的售后服务通知响应时间为：2小时＜响应时间≤3小时的，到达项目现场进行维修等服务时间为：8小时＜到达时间≤16小时的，得1分；</w:t>
            </w:r>
          </w:p>
          <w:p w14:paraId="0E46B0B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rPr>
            </w:pPr>
            <w:r>
              <w:rPr>
                <w:rFonts w:hint="eastAsia" w:ascii="宋体" w:hAnsi="宋体" w:eastAsia="宋体" w:cs="宋体"/>
                <w:b w:val="0"/>
                <w:bCs w:val="0"/>
                <w:color w:val="auto"/>
                <w:kern w:val="0"/>
                <w:szCs w:val="21"/>
                <w:highlight w:val="none"/>
                <w:shd w:val="clear" w:color="auto" w:fill="auto"/>
                <w:lang w:val="en-US" w:eastAsia="zh-CN"/>
              </w:rPr>
              <w:t xml:space="preserve">②承诺在接到招标人的售后服务通知响应时间为：响应时间≤2小时的，到达项目现场进行维修等服务时间为：到达时间≤8小时的，得2分； </w:t>
            </w:r>
          </w:p>
          <w:p w14:paraId="4F2688E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0"/>
                <w:szCs w:val="21"/>
                <w:highlight w:val="none"/>
                <w:shd w:val="clear" w:color="auto" w:fill="auto"/>
                <w:lang w:val="en-US" w:eastAsia="zh-CN"/>
              </w:rPr>
              <w:t>备注：根据《</w:t>
            </w:r>
            <w:r>
              <w:rPr>
                <w:rFonts w:hint="eastAsia" w:ascii="宋体" w:hAnsi="宋体" w:eastAsia="宋体" w:cs="宋体"/>
                <w:b/>
                <w:bCs/>
                <w:color w:val="auto"/>
                <w:szCs w:val="21"/>
                <w:highlight w:val="none"/>
                <w:lang w:val="en-US" w:eastAsia="zh-CN"/>
              </w:rPr>
              <w:t>售后服务</w:t>
            </w:r>
            <w:r>
              <w:rPr>
                <w:rFonts w:hint="eastAsia" w:ascii="宋体" w:hAnsi="宋体" w:eastAsia="宋体" w:cs="宋体"/>
                <w:b/>
                <w:bCs/>
                <w:color w:val="auto"/>
                <w:kern w:val="0"/>
                <w:szCs w:val="21"/>
                <w:highlight w:val="none"/>
              </w:rPr>
              <w:t>响应时间承诺表</w:t>
            </w:r>
            <w:r>
              <w:rPr>
                <w:rFonts w:hint="eastAsia" w:ascii="宋体" w:hAnsi="宋体" w:eastAsia="宋体" w:cs="宋体"/>
                <w:b w:val="0"/>
                <w:bCs w:val="0"/>
                <w:color w:val="auto"/>
                <w:kern w:val="0"/>
                <w:szCs w:val="21"/>
                <w:highlight w:val="none"/>
                <w:shd w:val="clear" w:color="auto" w:fill="auto"/>
                <w:lang w:val="en-US" w:eastAsia="zh-CN"/>
              </w:rPr>
              <w:t>》进行评审。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C9C811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7A83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1A68C8F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69F50C9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40分</w:t>
            </w:r>
          </w:p>
        </w:tc>
      </w:tr>
      <w:bookmarkEnd w:id="1171"/>
    </w:tbl>
    <w:p w14:paraId="614560A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09F56A2">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06401C2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r>
        <w:rPr>
          <w:rFonts w:hint="eastAsia" w:ascii="宋体" w:hAnsi="宋体" w:eastAsia="宋体" w:cs="宋体"/>
          <w:color w:val="auto"/>
          <w:szCs w:val="24"/>
          <w:highlight w:val="none"/>
          <w:lang w:val="zh-CN"/>
        </w:rPr>
        <w:t>。</w:t>
      </w:r>
    </w:p>
    <w:p w14:paraId="2861F636">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③上述“评分项目”中按“优、良、中、差”区间评审的，若低于该项满分分值60%时，评标专家需详细填写该项低分的充分理由，例如：该项目内容存在违反国家有关标准和规范或与项目实际不符等原则性问题。</w:t>
      </w:r>
    </w:p>
    <w:p w14:paraId="4A1F35AA">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000000" w:themeColor="text1"/>
          <w:szCs w:val="24"/>
          <w:highlight w:val="none"/>
          <w:lang w:val="en-US" w:eastAsia="zh-CN"/>
          <w14:textFill>
            <w14:solidFill>
              <w14:schemeClr w14:val="tx1"/>
            </w14:solidFill>
          </w14:textFill>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DCB06E4">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2C89C12">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527B0034">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3E5A74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w:t>
      </w:r>
      <w:r>
        <w:rPr>
          <w:rFonts w:hint="eastAsia" w:ascii="宋体" w:hAnsi="宋体" w:eastAsia="宋体" w:cs="宋体"/>
          <w:color w:val="auto"/>
          <w:kern w:val="0"/>
          <w:szCs w:val="21"/>
          <w:highlight w:val="none"/>
          <w:lang w:eastAsia="zh-CN"/>
        </w:rPr>
        <w:t>货物及有关服务</w:t>
      </w:r>
      <w:r>
        <w:rPr>
          <w:rFonts w:hint="eastAsia" w:ascii="宋体" w:hAnsi="宋体" w:eastAsia="宋体" w:cs="宋体"/>
          <w:color w:val="auto"/>
          <w:kern w:val="0"/>
          <w:szCs w:val="21"/>
          <w:highlight w:val="none"/>
        </w:rPr>
        <w:t>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6BF31899">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E15F010">
      <w:pPr>
        <w:spacing w:line="360" w:lineRule="auto"/>
        <w:ind w:left="420" w:leftChars="200" w:firstLine="420" w:firstLineChars="200"/>
        <w:rPr>
          <w:rFonts w:ascii="宋体" w:hAnsi="宋体" w:eastAsia="宋体" w:cs="宋体"/>
          <w:color w:val="auto"/>
          <w:kern w:val="0"/>
          <w:szCs w:val="21"/>
          <w:highlight w:val="none"/>
          <w:lang w:val="zh-CN"/>
        </w:rPr>
      </w:pPr>
    </w:p>
    <w:p w14:paraId="3142D69A">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058D9622">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3EE68F9A">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ED9507F">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D387CBB">
      <w:pPr>
        <w:spacing w:line="400" w:lineRule="exact"/>
        <w:ind w:firstLine="848" w:firstLineChars="404"/>
        <w:rPr>
          <w:rFonts w:ascii="宋体" w:hAnsi="宋体" w:eastAsia="宋体" w:cs="宋体"/>
          <w:color w:val="auto"/>
          <w:kern w:val="0"/>
          <w:szCs w:val="28"/>
          <w:highlight w:val="none"/>
          <w:lang w:val="zh-CN"/>
        </w:rPr>
      </w:pPr>
      <w:bookmarkStart w:id="1172" w:name="_Toc31624_WPSOffice_Level2"/>
      <w:r>
        <w:rPr>
          <w:rFonts w:hint="eastAsia" w:ascii="宋体" w:hAnsi="宋体" w:eastAsia="宋体" w:cs="宋体"/>
          <w:color w:val="auto"/>
          <w:kern w:val="0"/>
          <w:szCs w:val="28"/>
          <w:highlight w:val="none"/>
          <w:lang w:val="zh-CN"/>
        </w:rPr>
        <w:t>评标总得分=F1＋F2＋……+Fn</w:t>
      </w:r>
      <w:bookmarkEnd w:id="1172"/>
    </w:p>
    <w:p w14:paraId="2CCC3747">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1173" w:name="_Toc13236_WPSOffice_Level2"/>
      <w:r>
        <w:rPr>
          <w:rFonts w:hint="eastAsia" w:ascii="宋体" w:hAnsi="宋体" w:eastAsia="宋体" w:cs="宋体"/>
          <w:color w:val="auto"/>
          <w:kern w:val="0"/>
          <w:szCs w:val="21"/>
          <w:highlight w:val="none"/>
        </w:rPr>
        <w:t>F1、F2、……Fn分别为各项评分因素的得分</w:t>
      </w:r>
      <w:bookmarkEnd w:id="1173"/>
      <w:r>
        <w:rPr>
          <w:rFonts w:hint="eastAsia" w:ascii="宋体" w:hAnsi="宋体" w:eastAsia="宋体" w:cs="宋体"/>
          <w:color w:val="auto"/>
          <w:kern w:val="0"/>
          <w:szCs w:val="21"/>
          <w:highlight w:val="none"/>
        </w:rPr>
        <w:t>。</w:t>
      </w:r>
    </w:p>
    <w:p w14:paraId="5AC87CF2">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0B6E9521">
      <w:pPr>
        <w:autoSpaceDE w:val="0"/>
        <w:autoSpaceDN w:val="0"/>
        <w:adjustRightInd w:val="0"/>
        <w:spacing w:line="360" w:lineRule="auto"/>
        <w:jc w:val="center"/>
        <w:rPr>
          <w:rFonts w:ascii="宋体" w:hAnsi="宋体" w:eastAsia="宋体" w:cs="宋体"/>
          <w:b/>
          <w:bCs/>
          <w:color w:val="auto"/>
          <w:sz w:val="28"/>
          <w:szCs w:val="28"/>
          <w:highlight w:val="none"/>
        </w:rPr>
      </w:pPr>
      <w:bookmarkStart w:id="1174" w:name="_Toc518_WPSOffice_Level1"/>
      <w:r>
        <w:rPr>
          <w:rFonts w:hint="eastAsia" w:ascii="宋体" w:hAnsi="宋体" w:eastAsia="宋体" w:cs="宋体"/>
          <w:b/>
          <w:bCs/>
          <w:color w:val="auto"/>
          <w:sz w:val="28"/>
          <w:szCs w:val="28"/>
          <w:highlight w:val="none"/>
          <w:lang w:val="zh-CN"/>
        </w:rPr>
        <w:t>五、推荐中标人</w:t>
      </w:r>
      <w:bookmarkEnd w:id="1174"/>
    </w:p>
    <w:p w14:paraId="405F505E">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E687BDE">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41FCE27">
      <w:pPr>
        <w:widowControl/>
        <w:spacing w:line="360" w:lineRule="auto"/>
        <w:jc w:val="left"/>
        <w:rPr>
          <w:rFonts w:ascii="宋体" w:hAnsi="宋体" w:eastAsia="宋体" w:cs="宋体"/>
          <w:color w:val="auto"/>
          <w:kern w:val="0"/>
          <w:szCs w:val="21"/>
          <w:highlight w:val="none"/>
        </w:rPr>
      </w:pPr>
    </w:p>
    <w:p w14:paraId="1F6AEFCD">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1175" w:name="_Toc22724_WPSOffice_Level1"/>
      <w:r>
        <w:rPr>
          <w:rFonts w:hint="eastAsia" w:ascii="宋体" w:hAnsi="宋体" w:eastAsia="宋体" w:cs="宋体"/>
          <w:b/>
          <w:bCs/>
          <w:color w:val="auto"/>
          <w:sz w:val="28"/>
          <w:szCs w:val="28"/>
          <w:highlight w:val="none"/>
          <w:lang w:val="zh-CN"/>
        </w:rPr>
        <w:t>六、编写评标报告</w:t>
      </w:r>
      <w:bookmarkEnd w:id="1175"/>
    </w:p>
    <w:p w14:paraId="6A38FFB7">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E609FD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5B503B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3853E33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A635C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5D55AF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1BE01201">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154995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3E6DB0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176" w:name="_Toc23773_WPSOffice_Level1"/>
      <w:r>
        <w:rPr>
          <w:rFonts w:hint="eastAsia" w:ascii="宋体" w:hAnsi="宋体" w:eastAsia="宋体" w:cs="宋体"/>
          <w:b/>
          <w:bCs/>
          <w:color w:val="auto"/>
          <w:sz w:val="28"/>
          <w:szCs w:val="28"/>
          <w:highlight w:val="none"/>
          <w:lang w:val="zh-CN"/>
        </w:rPr>
        <w:t>七、注意事项</w:t>
      </w:r>
      <w:bookmarkEnd w:id="1176"/>
    </w:p>
    <w:p w14:paraId="21DC2C9E">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w:t>
      </w:r>
      <w:r>
        <w:rPr>
          <w:rFonts w:hint="eastAsia" w:ascii="宋体" w:hAnsi="宋体" w:eastAsia="宋体" w:cs="宋体"/>
          <w:color w:val="auto"/>
          <w:szCs w:val="24"/>
          <w:highlight w:val="none"/>
          <w:lang w:val="en-US" w:eastAsia="zh-CN"/>
        </w:rPr>
        <w:t>其它</w:t>
      </w:r>
      <w:r>
        <w:rPr>
          <w:rFonts w:hint="eastAsia" w:ascii="宋体" w:hAnsi="宋体" w:eastAsia="宋体" w:cs="宋体"/>
          <w:color w:val="auto"/>
          <w:szCs w:val="24"/>
          <w:highlight w:val="none"/>
          <w:lang w:val="zh-CN"/>
        </w:rPr>
        <w:t>意外而造成的不良后果及影响，凡参加评审工作的人员都必须认真执行本规定：</w:t>
      </w:r>
    </w:p>
    <w:p w14:paraId="1997A47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w:t>
      </w:r>
      <w:r>
        <w:rPr>
          <w:rFonts w:hint="eastAsia" w:ascii="宋体" w:hAnsi="宋体" w:eastAsia="宋体" w:cs="宋体"/>
          <w:color w:val="auto"/>
          <w:szCs w:val="24"/>
          <w:highlight w:val="none"/>
          <w:lang w:val="en-US" w:eastAsia="zh-CN"/>
        </w:rPr>
        <w:t>其它</w:t>
      </w:r>
      <w:r>
        <w:rPr>
          <w:rFonts w:hint="eastAsia" w:ascii="宋体" w:hAnsi="宋体" w:eastAsia="宋体" w:cs="宋体"/>
          <w:color w:val="auto"/>
          <w:szCs w:val="24"/>
          <w:highlight w:val="none"/>
          <w:lang w:val="zh-CN"/>
        </w:rPr>
        <w:t>地方，所有的招标文件、投标文件、资料等一律编号登记；</w:t>
      </w:r>
    </w:p>
    <w:p w14:paraId="55FBC08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4312BD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E5D3E7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B9D135C">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1089"/>
    <w:bookmarkEnd w:id="1146"/>
    <w:bookmarkEnd w:id="1147"/>
    <w:bookmarkEnd w:id="1148"/>
    <w:p w14:paraId="75ECA4C1">
      <w:pPr>
        <w:widowControl/>
        <w:jc w:val="left"/>
        <w:rPr>
          <w:rFonts w:ascii="宋体" w:hAnsi="宋体" w:eastAsia="宋体" w:cs="宋体"/>
          <w:color w:val="auto"/>
          <w:szCs w:val="24"/>
          <w:highlight w:val="none"/>
          <w:lang w:val="zh-CN"/>
        </w:rPr>
      </w:pPr>
    </w:p>
    <w:p w14:paraId="4C5DDF5A">
      <w:pPr>
        <w:rPr>
          <w:color w:val="auto"/>
          <w:highlight w:val="none"/>
        </w:rPr>
      </w:pPr>
    </w:p>
    <w:p w14:paraId="675D1A16">
      <w:pPr>
        <w:rPr>
          <w:color w:val="auto"/>
          <w:highlight w:val="none"/>
        </w:rPr>
      </w:pPr>
    </w:p>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2E367">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5BB6C">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85BB6C">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21F3A">
    <w:pPr>
      <w:pStyle w:val="2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08617">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708617">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5444">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F5F6A">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CF5F6A">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7542">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12FD">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AB312FD">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E8BD">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3EDC3">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FD3EDC3">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C2CDF">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456BC">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09456BC">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A1E6A">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46B87">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3446B87">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p w14:paraId="165CFC1C">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DFmYWE3YTY0ZjdjODg3NWJlYzQ1MzZmOTgxY2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874D5"/>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50E6"/>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44713"/>
    <w:rsid w:val="023C37B3"/>
    <w:rsid w:val="028642E4"/>
    <w:rsid w:val="02B35D80"/>
    <w:rsid w:val="02FE5AC7"/>
    <w:rsid w:val="03030BB2"/>
    <w:rsid w:val="030D24B4"/>
    <w:rsid w:val="037B6451"/>
    <w:rsid w:val="03C25E33"/>
    <w:rsid w:val="0490200A"/>
    <w:rsid w:val="04DD5D12"/>
    <w:rsid w:val="0539563E"/>
    <w:rsid w:val="058F7720"/>
    <w:rsid w:val="05C40BDE"/>
    <w:rsid w:val="05C8750C"/>
    <w:rsid w:val="05CC15BC"/>
    <w:rsid w:val="061708DD"/>
    <w:rsid w:val="0639341C"/>
    <w:rsid w:val="06447858"/>
    <w:rsid w:val="06A75D00"/>
    <w:rsid w:val="06BF21B8"/>
    <w:rsid w:val="06F259D1"/>
    <w:rsid w:val="06F4189A"/>
    <w:rsid w:val="07463A70"/>
    <w:rsid w:val="077741FC"/>
    <w:rsid w:val="07A750B9"/>
    <w:rsid w:val="07B92A66"/>
    <w:rsid w:val="07DB167E"/>
    <w:rsid w:val="091361A6"/>
    <w:rsid w:val="093F3118"/>
    <w:rsid w:val="097F55EA"/>
    <w:rsid w:val="09A609E3"/>
    <w:rsid w:val="09B259BF"/>
    <w:rsid w:val="09FC6C3A"/>
    <w:rsid w:val="0A1F2635"/>
    <w:rsid w:val="0A622F41"/>
    <w:rsid w:val="0A7D3253"/>
    <w:rsid w:val="0A8A41C5"/>
    <w:rsid w:val="0B671F13"/>
    <w:rsid w:val="0B7168EE"/>
    <w:rsid w:val="0B93537C"/>
    <w:rsid w:val="0B9F2439"/>
    <w:rsid w:val="0BE470A9"/>
    <w:rsid w:val="0C8353F1"/>
    <w:rsid w:val="0CCB0971"/>
    <w:rsid w:val="0CE20369"/>
    <w:rsid w:val="0CF103CF"/>
    <w:rsid w:val="0D214E57"/>
    <w:rsid w:val="0D26294C"/>
    <w:rsid w:val="0D295F98"/>
    <w:rsid w:val="0D662D48"/>
    <w:rsid w:val="0D7001DA"/>
    <w:rsid w:val="0DB0061E"/>
    <w:rsid w:val="0DBE08B1"/>
    <w:rsid w:val="0E2C2506"/>
    <w:rsid w:val="0E7B0F90"/>
    <w:rsid w:val="0E8C4C06"/>
    <w:rsid w:val="0F241091"/>
    <w:rsid w:val="0F490B74"/>
    <w:rsid w:val="0F5372FC"/>
    <w:rsid w:val="0F96368D"/>
    <w:rsid w:val="10264E6C"/>
    <w:rsid w:val="10343FF3"/>
    <w:rsid w:val="104906FF"/>
    <w:rsid w:val="1053674F"/>
    <w:rsid w:val="11A2456B"/>
    <w:rsid w:val="11D14466"/>
    <w:rsid w:val="1209283C"/>
    <w:rsid w:val="12244F80"/>
    <w:rsid w:val="126B7053"/>
    <w:rsid w:val="127F43C7"/>
    <w:rsid w:val="12BD721E"/>
    <w:rsid w:val="12C11E6A"/>
    <w:rsid w:val="130F4A87"/>
    <w:rsid w:val="133A1349"/>
    <w:rsid w:val="135861C6"/>
    <w:rsid w:val="1381624B"/>
    <w:rsid w:val="13A56B55"/>
    <w:rsid w:val="13A91BE1"/>
    <w:rsid w:val="13E1581F"/>
    <w:rsid w:val="13F721DF"/>
    <w:rsid w:val="14470AF8"/>
    <w:rsid w:val="147E1E08"/>
    <w:rsid w:val="14951983"/>
    <w:rsid w:val="15071C47"/>
    <w:rsid w:val="151119BA"/>
    <w:rsid w:val="156133DF"/>
    <w:rsid w:val="15680672"/>
    <w:rsid w:val="159E495B"/>
    <w:rsid w:val="15D77577"/>
    <w:rsid w:val="15EC4007"/>
    <w:rsid w:val="16530015"/>
    <w:rsid w:val="16CF61E0"/>
    <w:rsid w:val="16FD77F0"/>
    <w:rsid w:val="172A2B95"/>
    <w:rsid w:val="17C973B3"/>
    <w:rsid w:val="17E21008"/>
    <w:rsid w:val="18171E8B"/>
    <w:rsid w:val="18200528"/>
    <w:rsid w:val="185B3D13"/>
    <w:rsid w:val="18BA6F89"/>
    <w:rsid w:val="18CF523B"/>
    <w:rsid w:val="18EB5447"/>
    <w:rsid w:val="19023CDF"/>
    <w:rsid w:val="19B44505"/>
    <w:rsid w:val="1A5D0B81"/>
    <w:rsid w:val="1A730089"/>
    <w:rsid w:val="1B0940FF"/>
    <w:rsid w:val="1B892C01"/>
    <w:rsid w:val="1BDB0DA5"/>
    <w:rsid w:val="1C161677"/>
    <w:rsid w:val="1C3F17D3"/>
    <w:rsid w:val="1CC61A56"/>
    <w:rsid w:val="1D9B4C90"/>
    <w:rsid w:val="1DFC4F05"/>
    <w:rsid w:val="1E2471AC"/>
    <w:rsid w:val="1E4A0464"/>
    <w:rsid w:val="1E533470"/>
    <w:rsid w:val="1E5D0198"/>
    <w:rsid w:val="1F530B3A"/>
    <w:rsid w:val="1FCC0DB8"/>
    <w:rsid w:val="1FD417EE"/>
    <w:rsid w:val="20110CBD"/>
    <w:rsid w:val="203B632D"/>
    <w:rsid w:val="207A1985"/>
    <w:rsid w:val="20B72CE7"/>
    <w:rsid w:val="20CC24E4"/>
    <w:rsid w:val="21182154"/>
    <w:rsid w:val="21632106"/>
    <w:rsid w:val="21920158"/>
    <w:rsid w:val="220625B1"/>
    <w:rsid w:val="222334A6"/>
    <w:rsid w:val="22407BB4"/>
    <w:rsid w:val="226F4F56"/>
    <w:rsid w:val="234266D3"/>
    <w:rsid w:val="23EF1892"/>
    <w:rsid w:val="23FD01D9"/>
    <w:rsid w:val="240A302A"/>
    <w:rsid w:val="24BB22D6"/>
    <w:rsid w:val="24F45147"/>
    <w:rsid w:val="263C7249"/>
    <w:rsid w:val="267F6174"/>
    <w:rsid w:val="26EA2974"/>
    <w:rsid w:val="276947E2"/>
    <w:rsid w:val="27842B81"/>
    <w:rsid w:val="27E26EA0"/>
    <w:rsid w:val="27FB0AD0"/>
    <w:rsid w:val="281C69CE"/>
    <w:rsid w:val="286E02B3"/>
    <w:rsid w:val="28B33702"/>
    <w:rsid w:val="28CD7B64"/>
    <w:rsid w:val="28DA73F5"/>
    <w:rsid w:val="29665695"/>
    <w:rsid w:val="2996630C"/>
    <w:rsid w:val="29A758A6"/>
    <w:rsid w:val="29E63CF8"/>
    <w:rsid w:val="2A490C09"/>
    <w:rsid w:val="2A515FFE"/>
    <w:rsid w:val="2A6B64D6"/>
    <w:rsid w:val="2A7E571E"/>
    <w:rsid w:val="2AAD5E79"/>
    <w:rsid w:val="2ABB774C"/>
    <w:rsid w:val="2AC03215"/>
    <w:rsid w:val="2B5453C7"/>
    <w:rsid w:val="2C5A747A"/>
    <w:rsid w:val="2C6F395B"/>
    <w:rsid w:val="2C85114F"/>
    <w:rsid w:val="2CCB46DD"/>
    <w:rsid w:val="2CDD2E15"/>
    <w:rsid w:val="2CFC2BFE"/>
    <w:rsid w:val="2D3A6CF2"/>
    <w:rsid w:val="2DB11966"/>
    <w:rsid w:val="2DC0362C"/>
    <w:rsid w:val="2E3D039E"/>
    <w:rsid w:val="2E444588"/>
    <w:rsid w:val="2E5B4832"/>
    <w:rsid w:val="2EBF58E2"/>
    <w:rsid w:val="2EF275EA"/>
    <w:rsid w:val="2EFE023A"/>
    <w:rsid w:val="2F133225"/>
    <w:rsid w:val="2F5B13CD"/>
    <w:rsid w:val="2F5E2A08"/>
    <w:rsid w:val="2F9432ED"/>
    <w:rsid w:val="2FAC4D55"/>
    <w:rsid w:val="308F348B"/>
    <w:rsid w:val="309C04F5"/>
    <w:rsid w:val="30AC28B9"/>
    <w:rsid w:val="30D836AE"/>
    <w:rsid w:val="314D028A"/>
    <w:rsid w:val="31722022"/>
    <w:rsid w:val="31726538"/>
    <w:rsid w:val="31750988"/>
    <w:rsid w:val="31E84412"/>
    <w:rsid w:val="31FC479D"/>
    <w:rsid w:val="32270D81"/>
    <w:rsid w:val="32454D73"/>
    <w:rsid w:val="327875F1"/>
    <w:rsid w:val="32860DF0"/>
    <w:rsid w:val="328C22B5"/>
    <w:rsid w:val="32C1784B"/>
    <w:rsid w:val="33021100"/>
    <w:rsid w:val="331A44A4"/>
    <w:rsid w:val="33CA5530"/>
    <w:rsid w:val="34006A3F"/>
    <w:rsid w:val="342168FA"/>
    <w:rsid w:val="3425709A"/>
    <w:rsid w:val="34E41523"/>
    <w:rsid w:val="350C3BC5"/>
    <w:rsid w:val="351965A5"/>
    <w:rsid w:val="352E1AEE"/>
    <w:rsid w:val="355530AA"/>
    <w:rsid w:val="364631D7"/>
    <w:rsid w:val="36471BC4"/>
    <w:rsid w:val="36664D31"/>
    <w:rsid w:val="368928C2"/>
    <w:rsid w:val="38083FA1"/>
    <w:rsid w:val="38635F53"/>
    <w:rsid w:val="389C3799"/>
    <w:rsid w:val="38E43446"/>
    <w:rsid w:val="397A6507"/>
    <w:rsid w:val="39EA4BD6"/>
    <w:rsid w:val="3A2F188D"/>
    <w:rsid w:val="3A9643BE"/>
    <w:rsid w:val="3B1F29B6"/>
    <w:rsid w:val="3B8E088C"/>
    <w:rsid w:val="3B9971A7"/>
    <w:rsid w:val="3C6A262C"/>
    <w:rsid w:val="3C7B33BE"/>
    <w:rsid w:val="3CC11A94"/>
    <w:rsid w:val="3CF63839"/>
    <w:rsid w:val="3D022F30"/>
    <w:rsid w:val="3D2A17AE"/>
    <w:rsid w:val="3D502128"/>
    <w:rsid w:val="3ECA6D2C"/>
    <w:rsid w:val="3F1507CD"/>
    <w:rsid w:val="3F4E4BB7"/>
    <w:rsid w:val="3F5B255F"/>
    <w:rsid w:val="3F635161"/>
    <w:rsid w:val="3FA96189"/>
    <w:rsid w:val="3FF25C5F"/>
    <w:rsid w:val="40380B94"/>
    <w:rsid w:val="40B530C4"/>
    <w:rsid w:val="40C8729B"/>
    <w:rsid w:val="41166258"/>
    <w:rsid w:val="41325A95"/>
    <w:rsid w:val="4178464C"/>
    <w:rsid w:val="41C731CB"/>
    <w:rsid w:val="42065753"/>
    <w:rsid w:val="432B1D63"/>
    <w:rsid w:val="43611999"/>
    <w:rsid w:val="43641046"/>
    <w:rsid w:val="43795002"/>
    <w:rsid w:val="43B50E83"/>
    <w:rsid w:val="43C24475"/>
    <w:rsid w:val="43F60D08"/>
    <w:rsid w:val="44095C00"/>
    <w:rsid w:val="444805A0"/>
    <w:rsid w:val="44715FCE"/>
    <w:rsid w:val="44A02DC8"/>
    <w:rsid w:val="44C9660E"/>
    <w:rsid w:val="44E55806"/>
    <w:rsid w:val="460D3842"/>
    <w:rsid w:val="464B69A4"/>
    <w:rsid w:val="4689164E"/>
    <w:rsid w:val="46B76DF8"/>
    <w:rsid w:val="471C20EE"/>
    <w:rsid w:val="47676826"/>
    <w:rsid w:val="47BC11DC"/>
    <w:rsid w:val="47E853ED"/>
    <w:rsid w:val="480037BE"/>
    <w:rsid w:val="487D6BBD"/>
    <w:rsid w:val="48C2463F"/>
    <w:rsid w:val="499441BE"/>
    <w:rsid w:val="4A3E412A"/>
    <w:rsid w:val="4AD706E7"/>
    <w:rsid w:val="4B434B4F"/>
    <w:rsid w:val="4B673B0D"/>
    <w:rsid w:val="4BB86E3D"/>
    <w:rsid w:val="4BC2393C"/>
    <w:rsid w:val="4BC76F58"/>
    <w:rsid w:val="4BE11211"/>
    <w:rsid w:val="4D53613E"/>
    <w:rsid w:val="4D980E69"/>
    <w:rsid w:val="4DEE6E44"/>
    <w:rsid w:val="4E946A0E"/>
    <w:rsid w:val="4F0A4599"/>
    <w:rsid w:val="4F3558FD"/>
    <w:rsid w:val="4F5A1578"/>
    <w:rsid w:val="4FCD1AFA"/>
    <w:rsid w:val="50526B81"/>
    <w:rsid w:val="505377A4"/>
    <w:rsid w:val="508C2093"/>
    <w:rsid w:val="50D15CF8"/>
    <w:rsid w:val="512E7B91"/>
    <w:rsid w:val="51695CCD"/>
    <w:rsid w:val="51AA0CDA"/>
    <w:rsid w:val="51C8216C"/>
    <w:rsid w:val="51DC3F1A"/>
    <w:rsid w:val="520E08A3"/>
    <w:rsid w:val="52F80915"/>
    <w:rsid w:val="53D07723"/>
    <w:rsid w:val="54B113CD"/>
    <w:rsid w:val="54B4693D"/>
    <w:rsid w:val="54C3004D"/>
    <w:rsid w:val="54C47921"/>
    <w:rsid w:val="54FC5843"/>
    <w:rsid w:val="5528619D"/>
    <w:rsid w:val="55464928"/>
    <w:rsid w:val="562B0474"/>
    <w:rsid w:val="568802DB"/>
    <w:rsid w:val="56B37004"/>
    <w:rsid w:val="56F077AE"/>
    <w:rsid w:val="56F75BBB"/>
    <w:rsid w:val="574B60D8"/>
    <w:rsid w:val="57A672CB"/>
    <w:rsid w:val="57B87AC7"/>
    <w:rsid w:val="57B9743E"/>
    <w:rsid w:val="588D0DD8"/>
    <w:rsid w:val="58DE5456"/>
    <w:rsid w:val="59633BAD"/>
    <w:rsid w:val="59CA7788"/>
    <w:rsid w:val="59D21AB3"/>
    <w:rsid w:val="5A0A0398"/>
    <w:rsid w:val="5A1522A3"/>
    <w:rsid w:val="5AF80E46"/>
    <w:rsid w:val="5B5E5095"/>
    <w:rsid w:val="5B647E48"/>
    <w:rsid w:val="5B9C7D19"/>
    <w:rsid w:val="5BB33B2B"/>
    <w:rsid w:val="5BE12FA3"/>
    <w:rsid w:val="5C213498"/>
    <w:rsid w:val="5C2F7D76"/>
    <w:rsid w:val="5C3E7B0B"/>
    <w:rsid w:val="5C5236FE"/>
    <w:rsid w:val="5CE83505"/>
    <w:rsid w:val="5D663C6C"/>
    <w:rsid w:val="5D663C88"/>
    <w:rsid w:val="5D8866EC"/>
    <w:rsid w:val="5D9E1593"/>
    <w:rsid w:val="5DE16AE2"/>
    <w:rsid w:val="5EBF421E"/>
    <w:rsid w:val="5EC4703C"/>
    <w:rsid w:val="5FF26C90"/>
    <w:rsid w:val="602B372A"/>
    <w:rsid w:val="60970ACB"/>
    <w:rsid w:val="60A305BA"/>
    <w:rsid w:val="61354081"/>
    <w:rsid w:val="61573A30"/>
    <w:rsid w:val="61D00235"/>
    <w:rsid w:val="623C4F9B"/>
    <w:rsid w:val="62B13874"/>
    <w:rsid w:val="63092EF6"/>
    <w:rsid w:val="63495780"/>
    <w:rsid w:val="63672753"/>
    <w:rsid w:val="639F3A33"/>
    <w:rsid w:val="63B86436"/>
    <w:rsid w:val="63C74CF9"/>
    <w:rsid w:val="645779AB"/>
    <w:rsid w:val="64E060B2"/>
    <w:rsid w:val="650225FA"/>
    <w:rsid w:val="65336B39"/>
    <w:rsid w:val="65395875"/>
    <w:rsid w:val="653A1C66"/>
    <w:rsid w:val="65444757"/>
    <w:rsid w:val="654E1436"/>
    <w:rsid w:val="65D218F7"/>
    <w:rsid w:val="65DC419D"/>
    <w:rsid w:val="65E62E7A"/>
    <w:rsid w:val="66007604"/>
    <w:rsid w:val="66081D64"/>
    <w:rsid w:val="662C3957"/>
    <w:rsid w:val="66E12737"/>
    <w:rsid w:val="67167698"/>
    <w:rsid w:val="67BB5990"/>
    <w:rsid w:val="68607E3D"/>
    <w:rsid w:val="68822DC9"/>
    <w:rsid w:val="697C3B7E"/>
    <w:rsid w:val="699658D9"/>
    <w:rsid w:val="69CF5E41"/>
    <w:rsid w:val="69D32689"/>
    <w:rsid w:val="6A362676"/>
    <w:rsid w:val="6A3A04F9"/>
    <w:rsid w:val="6A7F223B"/>
    <w:rsid w:val="6A8E3D35"/>
    <w:rsid w:val="6AAD178D"/>
    <w:rsid w:val="6AE606B8"/>
    <w:rsid w:val="6B2805C9"/>
    <w:rsid w:val="6B8A209B"/>
    <w:rsid w:val="6C1B20C5"/>
    <w:rsid w:val="6C1B3E73"/>
    <w:rsid w:val="6CB2741C"/>
    <w:rsid w:val="6CC649E7"/>
    <w:rsid w:val="6D126543"/>
    <w:rsid w:val="6D321474"/>
    <w:rsid w:val="6D6B4986"/>
    <w:rsid w:val="6D9B0DCA"/>
    <w:rsid w:val="6DA45ED8"/>
    <w:rsid w:val="6E5518BE"/>
    <w:rsid w:val="6E582A1A"/>
    <w:rsid w:val="6E7206C2"/>
    <w:rsid w:val="6E8B1784"/>
    <w:rsid w:val="6F1654F2"/>
    <w:rsid w:val="6F5F71DE"/>
    <w:rsid w:val="6F6F261D"/>
    <w:rsid w:val="6FAD1EDF"/>
    <w:rsid w:val="6FBF064E"/>
    <w:rsid w:val="6FC50CC6"/>
    <w:rsid w:val="705F504D"/>
    <w:rsid w:val="70826EAE"/>
    <w:rsid w:val="70D274F6"/>
    <w:rsid w:val="70E47206"/>
    <w:rsid w:val="70F52EE5"/>
    <w:rsid w:val="70F85707"/>
    <w:rsid w:val="71222860"/>
    <w:rsid w:val="71A92920"/>
    <w:rsid w:val="71F17AA8"/>
    <w:rsid w:val="72A03F09"/>
    <w:rsid w:val="730B69EF"/>
    <w:rsid w:val="734D525A"/>
    <w:rsid w:val="73C36922"/>
    <w:rsid w:val="740C6EC3"/>
    <w:rsid w:val="743D7CF2"/>
    <w:rsid w:val="74992F01"/>
    <w:rsid w:val="750117DC"/>
    <w:rsid w:val="7503531D"/>
    <w:rsid w:val="7516167C"/>
    <w:rsid w:val="763627BA"/>
    <w:rsid w:val="76BE1FCB"/>
    <w:rsid w:val="779B0A09"/>
    <w:rsid w:val="78DD11C9"/>
    <w:rsid w:val="7904127D"/>
    <w:rsid w:val="791F5A5A"/>
    <w:rsid w:val="79420BD7"/>
    <w:rsid w:val="79C97A09"/>
    <w:rsid w:val="7A4A774A"/>
    <w:rsid w:val="7B6A0D0F"/>
    <w:rsid w:val="7B842D4C"/>
    <w:rsid w:val="7BA16C85"/>
    <w:rsid w:val="7C2C50CE"/>
    <w:rsid w:val="7CA83501"/>
    <w:rsid w:val="7D6457E7"/>
    <w:rsid w:val="7D695875"/>
    <w:rsid w:val="7DD23729"/>
    <w:rsid w:val="7EC81D47"/>
    <w:rsid w:val="7EDF3D6D"/>
    <w:rsid w:val="7F170842"/>
    <w:rsid w:val="7F2A0A4F"/>
    <w:rsid w:val="7F4A3E6A"/>
    <w:rsid w:val="7F847077"/>
    <w:rsid w:val="7F871C4A"/>
    <w:rsid w:val="7FDC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unhideWhenUsed/>
    <w:qFormat/>
    <w:uiPriority w:val="99"/>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20">
    <w:name w:val="Body Text Indent"/>
    <w:basedOn w:val="1"/>
    <w:next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8"/>
    <w:next w:val="3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8">
    <w:name w:val="Body Text First Indent 2"/>
    <w:basedOn w:val="20"/>
    <w:next w:val="12"/>
    <w:qFormat/>
    <w:uiPriority w:val="0"/>
    <w:pPr>
      <w:ind w:firstLine="420" w:firstLineChars="200"/>
    </w:pPr>
    <w:rPr>
      <w:szCs w:val="24"/>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qFormat/>
    <w:uiPriority w:val="99"/>
    <w:rPr>
      <w:sz w:val="21"/>
      <w:szCs w:val="21"/>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41"/>
    <w:qFormat/>
    <w:uiPriority w:val="0"/>
    <w:rPr>
      <w:b/>
      <w:bCs/>
      <w:kern w:val="44"/>
      <w:sz w:val="44"/>
      <w:szCs w:val="44"/>
    </w:rPr>
  </w:style>
  <w:style w:type="character" w:customStyle="1" w:styleId="49">
    <w:name w:val="标题 2 Char"/>
    <w:basedOn w:val="41"/>
    <w:link w:val="3"/>
    <w:qFormat/>
    <w:uiPriority w:val="0"/>
    <w:rPr>
      <w:rFonts w:ascii="宋体" w:hAnsi="Calibri" w:eastAsia="宋体" w:cs="Times New Roman"/>
      <w:kern w:val="0"/>
      <w:sz w:val="24"/>
      <w:szCs w:val="24"/>
    </w:rPr>
  </w:style>
  <w:style w:type="character" w:customStyle="1" w:styleId="50">
    <w:name w:val="标题 3 字符"/>
    <w:basedOn w:val="41"/>
    <w:qFormat/>
    <w:uiPriority w:val="0"/>
    <w:rPr>
      <w:b/>
      <w:bCs/>
      <w:sz w:val="32"/>
      <w:szCs w:val="32"/>
    </w:rPr>
  </w:style>
  <w:style w:type="character" w:customStyle="1" w:styleId="51">
    <w:name w:val="标题 4 Char1"/>
    <w:basedOn w:val="41"/>
    <w:link w:val="5"/>
    <w:qFormat/>
    <w:uiPriority w:val="9"/>
    <w:rPr>
      <w:rFonts w:ascii="Arial" w:hAnsi="Arial" w:eastAsia="黑体" w:cs="Times New Roman"/>
      <w:b/>
      <w:bCs/>
      <w:kern w:val="0"/>
      <w:sz w:val="28"/>
      <w:szCs w:val="28"/>
    </w:rPr>
  </w:style>
  <w:style w:type="character" w:customStyle="1" w:styleId="52">
    <w:name w:val="标题 5 字符"/>
    <w:basedOn w:val="41"/>
    <w:qFormat/>
    <w:uiPriority w:val="9"/>
    <w:rPr>
      <w:b/>
      <w:bCs/>
      <w:sz w:val="28"/>
      <w:szCs w:val="28"/>
    </w:rPr>
  </w:style>
  <w:style w:type="character" w:customStyle="1" w:styleId="53">
    <w:name w:val="标题 6 字符"/>
    <w:basedOn w:val="41"/>
    <w:qFormat/>
    <w:uiPriority w:val="0"/>
    <w:rPr>
      <w:rFonts w:asciiTheme="majorHAnsi" w:hAnsiTheme="majorHAnsi" w:eastAsiaTheme="majorEastAsia" w:cstheme="majorBidi"/>
      <w:b/>
      <w:bCs/>
      <w:sz w:val="24"/>
      <w:szCs w:val="24"/>
    </w:rPr>
  </w:style>
  <w:style w:type="character" w:customStyle="1" w:styleId="54">
    <w:name w:val="标题 7 Char"/>
    <w:basedOn w:val="41"/>
    <w:link w:val="9"/>
    <w:qFormat/>
    <w:uiPriority w:val="9"/>
    <w:rPr>
      <w:rFonts w:ascii="Times New Roman" w:hAnsi="Calibri" w:eastAsia="黑体" w:cs="Times New Roman"/>
      <w:b/>
      <w:bCs/>
      <w:kern w:val="0"/>
      <w:sz w:val="28"/>
      <w:szCs w:val="24"/>
    </w:rPr>
  </w:style>
  <w:style w:type="character" w:customStyle="1" w:styleId="55">
    <w:name w:val="标题 8 Char"/>
    <w:basedOn w:val="41"/>
    <w:link w:val="10"/>
    <w:qFormat/>
    <w:uiPriority w:val="9"/>
    <w:rPr>
      <w:rFonts w:ascii="Times New Roman" w:hAnsi="Calibri" w:eastAsia="黑体" w:cs="Times New Roman"/>
      <w:b/>
      <w:kern w:val="0"/>
      <w:sz w:val="28"/>
      <w:szCs w:val="24"/>
    </w:rPr>
  </w:style>
  <w:style w:type="character" w:customStyle="1" w:styleId="56">
    <w:name w:val="标题 9 Char"/>
    <w:basedOn w:val="41"/>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4"/>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19"/>
    <w:qFormat/>
    <w:uiPriority w:val="0"/>
    <w:rPr>
      <w:rFonts w:ascii="Arial" w:hAnsi="Arial" w:eastAsia="宋体" w:cs="Times New Roman"/>
      <w:color w:val="000000"/>
      <w:szCs w:val="24"/>
    </w:rPr>
  </w:style>
  <w:style w:type="character" w:customStyle="1" w:styleId="145">
    <w:name w:val="标题 3 Char"/>
    <w:link w:val="4"/>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2"/>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1"/>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semiHidden/>
    <w:qFormat/>
    <w:uiPriority w:val="99"/>
    <w:rPr>
      <w:rFonts w:hAnsi="Courier New" w:cs="Courier New" w:asciiTheme="minorEastAsia"/>
    </w:rPr>
  </w:style>
  <w:style w:type="character" w:customStyle="1" w:styleId="164">
    <w:name w:val="批注文字 Char2"/>
    <w:basedOn w:val="41"/>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1"/>
    <w:qFormat/>
    <w:uiPriority w:val="10"/>
    <w:rPr>
      <w:rFonts w:asciiTheme="majorHAnsi" w:hAnsiTheme="majorHAnsi" w:eastAsiaTheme="majorEastAsia" w:cstheme="majorBidi"/>
      <w:b/>
      <w:bCs/>
      <w:sz w:val="32"/>
      <w:szCs w:val="32"/>
    </w:rPr>
  </w:style>
  <w:style w:type="character" w:customStyle="1" w:styleId="167">
    <w:name w:val="正文文本缩进 字符3"/>
    <w:basedOn w:val="41"/>
    <w:semiHidden/>
    <w:qFormat/>
    <w:uiPriority w:val="99"/>
  </w:style>
  <w:style w:type="character" w:customStyle="1" w:styleId="168">
    <w:name w:val="正文文本 字符4"/>
    <w:basedOn w:val="41"/>
    <w:semiHidden/>
    <w:qFormat/>
    <w:uiPriority w:val="99"/>
  </w:style>
  <w:style w:type="character" w:customStyle="1" w:styleId="169">
    <w:name w:val="正文文本缩进 3 字符2"/>
    <w:basedOn w:val="41"/>
    <w:semiHidden/>
    <w:qFormat/>
    <w:uiPriority w:val="99"/>
    <w:rPr>
      <w:sz w:val="16"/>
      <w:szCs w:val="16"/>
    </w:rPr>
  </w:style>
  <w:style w:type="character" w:customStyle="1" w:styleId="170">
    <w:name w:val="页眉 字符2"/>
    <w:basedOn w:val="41"/>
    <w:semiHidden/>
    <w:qFormat/>
    <w:uiPriority w:val="99"/>
    <w:rPr>
      <w:sz w:val="18"/>
      <w:szCs w:val="18"/>
    </w:rPr>
  </w:style>
  <w:style w:type="character" w:customStyle="1" w:styleId="171">
    <w:name w:val="批注框文本 字符2"/>
    <w:basedOn w:val="41"/>
    <w:semiHidden/>
    <w:qFormat/>
    <w:uiPriority w:val="99"/>
    <w:rPr>
      <w:sz w:val="18"/>
      <w:szCs w:val="18"/>
    </w:rPr>
  </w:style>
  <w:style w:type="character" w:customStyle="1" w:styleId="172">
    <w:name w:val="HTML 预设格式 字符2"/>
    <w:basedOn w:val="41"/>
    <w:semiHidden/>
    <w:qFormat/>
    <w:uiPriority w:val="99"/>
    <w:rPr>
      <w:rFonts w:ascii="Courier New" w:hAnsi="Courier New" w:cs="Courier New"/>
      <w:sz w:val="20"/>
      <w:szCs w:val="20"/>
    </w:rPr>
  </w:style>
  <w:style w:type="character" w:customStyle="1" w:styleId="173">
    <w:name w:val="页脚 字符2"/>
    <w:basedOn w:val="41"/>
    <w:semiHidden/>
    <w:qFormat/>
    <w:uiPriority w:val="99"/>
    <w:rPr>
      <w:sz w:val="18"/>
      <w:szCs w:val="18"/>
    </w:rPr>
  </w:style>
  <w:style w:type="character" w:customStyle="1" w:styleId="174">
    <w:name w:val="正文文本缩进 2 字符2"/>
    <w:basedOn w:val="41"/>
    <w:semiHidden/>
    <w:qFormat/>
    <w:uiPriority w:val="99"/>
  </w:style>
  <w:style w:type="character" w:customStyle="1" w:styleId="175">
    <w:name w:val="正文文本 3 字符2"/>
    <w:basedOn w:val="41"/>
    <w:semiHidden/>
    <w:qFormat/>
    <w:uiPriority w:val="99"/>
    <w:rPr>
      <w:sz w:val="16"/>
      <w:szCs w:val="16"/>
    </w:rPr>
  </w:style>
  <w:style w:type="character" w:customStyle="1" w:styleId="176">
    <w:name w:val="正文文本 2 字符2"/>
    <w:basedOn w:val="41"/>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semiHidden/>
    <w:qFormat/>
    <w:uiPriority w:val="99"/>
    <w:rPr>
      <w:rFonts w:ascii="Microsoft YaHei UI" w:eastAsia="Microsoft YaHei UI"/>
      <w:sz w:val="18"/>
      <w:szCs w:val="18"/>
    </w:rPr>
  </w:style>
  <w:style w:type="character" w:customStyle="1" w:styleId="180">
    <w:name w:val="日期 字符2"/>
    <w:basedOn w:val="41"/>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7"/>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Table Paragraph"/>
    <w:basedOn w:val="1"/>
    <w:qFormat/>
    <w:uiPriority w:val="1"/>
    <w:pPr>
      <w:jc w:val="center"/>
    </w:pPr>
    <w:rPr>
      <w:rFonts w:ascii="宋体" w:hAnsi="宋体" w:eastAsia="宋体" w:cs="宋体"/>
      <w:lang w:val="zh-CN" w:eastAsia="zh-CN" w:bidi="zh-CN"/>
    </w:rPr>
  </w:style>
  <w:style w:type="character" w:customStyle="1" w:styleId="205">
    <w:name w:val="font51"/>
    <w:basedOn w:val="41"/>
    <w:qFormat/>
    <w:uiPriority w:val="0"/>
    <w:rPr>
      <w:rFonts w:hint="eastAsia" w:ascii="宋体" w:hAnsi="宋体" w:eastAsia="宋体" w:cs="宋体"/>
      <w:color w:val="000000"/>
      <w:sz w:val="36"/>
      <w:szCs w:val="36"/>
      <w:u w:val="none"/>
    </w:rPr>
  </w:style>
  <w:style w:type="character" w:customStyle="1" w:styleId="206">
    <w:name w:val="font41"/>
    <w:basedOn w:val="41"/>
    <w:qFormat/>
    <w:uiPriority w:val="0"/>
    <w:rPr>
      <w:rFonts w:hint="eastAsia" w:ascii="宋体" w:hAnsi="宋体" w:eastAsia="宋体" w:cs="宋体"/>
      <w:color w:val="000000"/>
      <w:sz w:val="20"/>
      <w:szCs w:val="20"/>
      <w:u w:val="none"/>
    </w:rPr>
  </w:style>
  <w:style w:type="paragraph" w:customStyle="1" w:styleId="207">
    <w:name w:val="Table Text"/>
    <w:basedOn w:val="1"/>
    <w:semiHidden/>
    <w:qFormat/>
    <w:uiPriority w:val="0"/>
    <w:rPr>
      <w:rFonts w:ascii="宋体" w:hAnsi="宋体" w:eastAsia="宋体" w:cs="宋体"/>
      <w:sz w:val="16"/>
      <w:szCs w:val="16"/>
      <w:lang w:val="en-US" w:eastAsia="en-US" w:bidi="ar-SA"/>
    </w:rPr>
  </w:style>
  <w:style w:type="table" w:customStyle="1" w:styleId="208">
    <w:name w:val="Table Normal"/>
    <w:semiHidden/>
    <w:unhideWhenUsed/>
    <w:qFormat/>
    <w:uiPriority w:val="0"/>
    <w:tblPr>
      <w:tblCellMar>
        <w:top w:w="0" w:type="dxa"/>
        <w:left w:w="0" w:type="dxa"/>
        <w:bottom w:w="0" w:type="dxa"/>
        <w:right w:w="0" w:type="dxa"/>
      </w:tblCellMar>
    </w:tblPr>
  </w:style>
  <w:style w:type="paragraph" w:customStyle="1" w:styleId="209">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10">
    <w:name w:val="Body Text First Indent1"/>
    <w:basedOn w:val="1"/>
    <w:qFormat/>
    <w:uiPriority w:val="0"/>
    <w:pPr>
      <w:ind w:firstLine="420" w:firstLineChars="100"/>
    </w:pPr>
  </w:style>
  <w:style w:type="paragraph" w:customStyle="1" w:styleId="211">
    <w:name w:val="_附录编号标题"/>
    <w:basedOn w:val="1"/>
    <w:next w:val="212"/>
    <w:qFormat/>
    <w:uiPriority w:val="0"/>
    <w:pPr>
      <w:snapToGrid w:val="0"/>
      <w:spacing w:before="567"/>
      <w:jc w:val="center"/>
    </w:pPr>
    <w:rPr>
      <w:rFonts w:eastAsia="黑体"/>
      <w:color w:val="000000"/>
    </w:rPr>
  </w:style>
  <w:style w:type="paragraph" w:customStyle="1" w:styleId="212">
    <w:name w:val="附录标题1"/>
    <w:basedOn w:val="2"/>
    <w:next w:val="213"/>
    <w:qFormat/>
    <w:uiPriority w:val="0"/>
    <w:pPr>
      <w:tabs>
        <w:tab w:val="left" w:pos="300"/>
        <w:tab w:val="left" w:pos="700"/>
      </w:tabs>
      <w:ind w:left="300" w:hanging="300"/>
    </w:pPr>
    <w:rPr>
      <w:color w:val="FFFFFF"/>
      <w:sz w:val="18"/>
    </w:rPr>
  </w:style>
  <w:style w:type="paragraph" w:customStyle="1" w:styleId="213">
    <w:name w:val="附录标题2"/>
    <w:basedOn w:val="3"/>
    <w:next w:val="37"/>
    <w:qFormat/>
    <w:uiPriority w:val="0"/>
    <w:pPr>
      <w:tabs>
        <w:tab w:val="left" w:pos="500"/>
      </w:tabs>
      <w:ind w:left="500" w:hanging="500"/>
    </w:pPr>
    <w:rPr>
      <w:rFonts w:eastAsia="黑体"/>
    </w:rPr>
  </w:style>
  <w:style w:type="paragraph" w:customStyle="1" w:styleId="214">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608</Words>
  <Characters>701</Characters>
  <Lines>314</Lines>
  <Paragraphs>88</Paragraphs>
  <TotalTime>21</TotalTime>
  <ScaleCrop>false</ScaleCrop>
  <LinksUpToDate>false</LinksUpToDate>
  <CharactersWithSpaces>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Wendy8900</cp:lastModifiedBy>
  <cp:lastPrinted>2026-02-04T09:48:00Z</cp:lastPrinted>
  <dcterms:modified xsi:type="dcterms:W3CDTF">2026-02-06T05:58:42Z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F7D49B3BD38942D296C41E4BACED0679_13</vt:lpwstr>
  </property>
  <property fmtid="{D5CDD505-2E9C-101B-9397-08002B2CF9AE}" pid="4" name="KSOTemplateDocerSaveRecord">
    <vt:lpwstr>eyJoZGlkIjoiMmEwM2JlMDZmZDUwYTU2MDU2OWM2ODhmNGE1ODM2MDYiLCJ1c2VySWQiOiIyNzQxMjcyODQifQ==</vt:lpwstr>
  </property>
</Properties>
</file>