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8E2E">
      <w:pPr>
        <w:spacing w:line="360" w:lineRule="auto"/>
        <w:ind w:right="-26"/>
        <w:jc w:val="center"/>
        <w:rPr>
          <w:rFonts w:hAnsi="宋体" w:cs="宋体"/>
          <w:b/>
          <w:bCs/>
          <w:color w:val="auto"/>
          <w:kern w:val="2"/>
          <w:sz w:val="48"/>
          <w:szCs w:val="48"/>
          <w:highlight w:val="none"/>
          <w:lang w:val="zh-CN"/>
        </w:rPr>
      </w:pPr>
    </w:p>
    <w:p w14:paraId="7C23469C">
      <w:pPr>
        <w:spacing w:line="360" w:lineRule="auto"/>
        <w:ind w:right="-26"/>
        <w:jc w:val="center"/>
        <w:rPr>
          <w:rFonts w:hAnsi="宋体" w:cs="宋体"/>
          <w:b/>
          <w:bCs/>
          <w:color w:val="auto"/>
          <w:kern w:val="2"/>
          <w:sz w:val="48"/>
          <w:szCs w:val="48"/>
          <w:highlight w:val="none"/>
          <w:lang w:val="zh-CN"/>
        </w:rPr>
      </w:pPr>
    </w:p>
    <w:p w14:paraId="7058CEF2">
      <w:pPr>
        <w:spacing w:line="360" w:lineRule="auto"/>
        <w:ind w:right="-26"/>
        <w:jc w:val="center"/>
        <w:rPr>
          <w:rFonts w:hAnsi="宋体" w:cs="宋体"/>
          <w:b/>
          <w:bCs/>
          <w:color w:val="auto"/>
          <w:kern w:val="2"/>
          <w:sz w:val="48"/>
          <w:szCs w:val="48"/>
          <w:highlight w:val="none"/>
          <w:lang w:val="zh-CN"/>
        </w:rPr>
      </w:pPr>
    </w:p>
    <w:p w14:paraId="1A0818EC">
      <w:pPr>
        <w:spacing w:line="360" w:lineRule="auto"/>
        <w:ind w:right="-26"/>
        <w:jc w:val="center"/>
        <w:rPr>
          <w:rFonts w:hAnsi="宋体" w:cs="宋体"/>
          <w:b/>
          <w:bCs/>
          <w:color w:val="auto"/>
          <w:kern w:val="2"/>
          <w:sz w:val="48"/>
          <w:szCs w:val="48"/>
          <w:highlight w:val="none"/>
          <w:lang w:val="zh-CN"/>
        </w:rPr>
      </w:pPr>
    </w:p>
    <w:p w14:paraId="43B0C4B7">
      <w:pPr>
        <w:spacing w:line="360" w:lineRule="auto"/>
        <w:ind w:right="-26"/>
        <w:jc w:val="center"/>
        <w:rPr>
          <w:rFonts w:hAnsi="宋体" w:cs="宋体"/>
          <w:b/>
          <w:bCs/>
          <w:color w:val="auto"/>
          <w:kern w:val="2"/>
          <w:sz w:val="48"/>
          <w:szCs w:val="48"/>
          <w:highlight w:val="none"/>
          <w:lang w:val="zh-CN"/>
        </w:rPr>
      </w:pPr>
    </w:p>
    <w:p w14:paraId="57CFDDF0">
      <w:pPr>
        <w:spacing w:line="360" w:lineRule="auto"/>
        <w:ind w:right="-26"/>
        <w:jc w:val="center"/>
        <w:rPr>
          <w:rFonts w:hint="eastAsia" w:hAnsi="宋体" w:cs="宋体"/>
          <w:b/>
          <w:bCs/>
          <w:color w:val="auto"/>
          <w:w w:val="90"/>
          <w:kern w:val="2"/>
          <w:sz w:val="48"/>
          <w:szCs w:val="48"/>
          <w:highlight w:val="none"/>
          <w:lang w:val="zh-CN"/>
        </w:rPr>
      </w:pPr>
      <w:r>
        <w:rPr>
          <w:rFonts w:hint="eastAsia" w:hAnsi="宋体" w:cs="宋体"/>
          <w:b/>
          <w:bCs/>
          <w:color w:val="auto"/>
          <w:w w:val="90"/>
          <w:kern w:val="2"/>
          <w:sz w:val="48"/>
          <w:szCs w:val="48"/>
          <w:highlight w:val="none"/>
          <w:lang w:val="zh-CN"/>
        </w:rPr>
        <w:t>东莞市众源环境投资有限公司BOT权属清溪长山头厂一二期等8家污水处理厂污泥脱水减量处理应急采购项目</w:t>
      </w:r>
    </w:p>
    <w:p w14:paraId="0018FCBA">
      <w:pPr>
        <w:spacing w:line="360" w:lineRule="auto"/>
        <w:ind w:right="-26"/>
        <w:jc w:val="center"/>
        <w:rPr>
          <w:rFonts w:hint="eastAsia" w:hAnsi="宋体" w:cs="宋体"/>
          <w:b/>
          <w:bCs/>
          <w:color w:val="auto"/>
          <w:kern w:val="2"/>
          <w:sz w:val="48"/>
          <w:szCs w:val="48"/>
          <w:highlight w:val="none"/>
        </w:rPr>
      </w:pPr>
    </w:p>
    <w:p w14:paraId="4ACC9F80">
      <w:pPr>
        <w:spacing w:line="360" w:lineRule="auto"/>
        <w:ind w:right="-26"/>
        <w:jc w:val="center"/>
        <w:rPr>
          <w:rFonts w:hAnsi="宋体" w:cs="宋体"/>
          <w:b/>
          <w:bCs/>
          <w:color w:val="auto"/>
          <w:kern w:val="2"/>
          <w:sz w:val="48"/>
          <w:szCs w:val="48"/>
          <w:highlight w:val="none"/>
          <w:lang w:val="zh-CN"/>
        </w:rPr>
      </w:pPr>
      <w:r>
        <w:rPr>
          <w:rFonts w:hint="eastAsia" w:hAnsi="宋体" w:cs="宋体"/>
          <w:b/>
          <w:bCs/>
          <w:color w:val="auto"/>
          <w:kern w:val="2"/>
          <w:sz w:val="48"/>
          <w:szCs w:val="48"/>
          <w:highlight w:val="none"/>
          <w:lang w:val="zh-CN"/>
        </w:rPr>
        <w:t>询价文件</w:t>
      </w:r>
    </w:p>
    <w:p w14:paraId="270FD575">
      <w:pPr>
        <w:spacing w:line="360" w:lineRule="auto"/>
        <w:ind w:right="-26"/>
        <w:jc w:val="center"/>
        <w:rPr>
          <w:rFonts w:hAnsi="宋体" w:cs="宋体"/>
          <w:b/>
          <w:bCs/>
          <w:color w:val="auto"/>
          <w:kern w:val="2"/>
          <w:sz w:val="48"/>
          <w:szCs w:val="48"/>
          <w:highlight w:val="none"/>
          <w:lang w:val="zh-CN"/>
        </w:rPr>
      </w:pPr>
    </w:p>
    <w:p w14:paraId="257CA8D2">
      <w:pPr>
        <w:spacing w:line="360" w:lineRule="auto"/>
        <w:ind w:right="-26"/>
        <w:jc w:val="center"/>
        <w:rPr>
          <w:rFonts w:hAnsi="宋体" w:cs="宋体"/>
          <w:b/>
          <w:bCs/>
          <w:color w:val="auto"/>
          <w:kern w:val="2"/>
          <w:sz w:val="48"/>
          <w:szCs w:val="48"/>
          <w:highlight w:val="none"/>
          <w:lang w:val="zh-CN"/>
        </w:rPr>
      </w:pPr>
    </w:p>
    <w:p w14:paraId="3A65466C">
      <w:pPr>
        <w:spacing w:line="360" w:lineRule="auto"/>
        <w:ind w:right="-26"/>
        <w:jc w:val="center"/>
        <w:rPr>
          <w:rFonts w:hAnsi="宋体" w:cs="宋体"/>
          <w:b/>
          <w:bCs/>
          <w:color w:val="auto"/>
          <w:kern w:val="2"/>
          <w:sz w:val="48"/>
          <w:szCs w:val="48"/>
          <w:highlight w:val="none"/>
          <w:lang w:val="zh-CN"/>
        </w:rPr>
      </w:pPr>
    </w:p>
    <w:p w14:paraId="5A4B77AC">
      <w:pPr>
        <w:spacing w:line="360" w:lineRule="auto"/>
        <w:ind w:right="-26"/>
        <w:jc w:val="center"/>
        <w:rPr>
          <w:rFonts w:hAnsi="宋体" w:cs="宋体"/>
          <w:b/>
          <w:bCs/>
          <w:color w:val="auto"/>
          <w:kern w:val="2"/>
          <w:sz w:val="48"/>
          <w:szCs w:val="48"/>
          <w:highlight w:val="none"/>
          <w:lang w:val="zh-CN"/>
        </w:rPr>
      </w:pPr>
    </w:p>
    <w:p w14:paraId="1C3AE48B">
      <w:pPr>
        <w:spacing w:line="360" w:lineRule="auto"/>
        <w:ind w:right="-26"/>
        <w:jc w:val="center"/>
        <w:rPr>
          <w:rFonts w:hAnsi="宋体" w:cs="宋体"/>
          <w:b/>
          <w:bCs/>
          <w:color w:val="auto"/>
          <w:kern w:val="2"/>
          <w:sz w:val="48"/>
          <w:szCs w:val="48"/>
          <w:highlight w:val="none"/>
          <w:lang w:val="zh-CN"/>
        </w:rPr>
      </w:pPr>
    </w:p>
    <w:p w14:paraId="1A5E60EB">
      <w:pPr>
        <w:spacing w:line="360" w:lineRule="auto"/>
        <w:ind w:right="-26"/>
        <w:jc w:val="center"/>
        <w:rPr>
          <w:rFonts w:hAnsi="宋体" w:cs="宋体"/>
          <w:b/>
          <w:bCs/>
          <w:color w:val="auto"/>
          <w:kern w:val="2"/>
          <w:sz w:val="48"/>
          <w:szCs w:val="48"/>
          <w:highlight w:val="none"/>
          <w:lang w:val="zh-CN"/>
        </w:rPr>
      </w:pPr>
    </w:p>
    <w:p w14:paraId="31B8E898">
      <w:pPr>
        <w:spacing w:line="360" w:lineRule="auto"/>
        <w:ind w:right="-26"/>
        <w:jc w:val="center"/>
        <w:rPr>
          <w:rFonts w:hAnsi="宋体" w:cs="宋体"/>
          <w:b/>
          <w:bCs/>
          <w:color w:val="auto"/>
          <w:kern w:val="2"/>
          <w:sz w:val="48"/>
          <w:szCs w:val="48"/>
          <w:highlight w:val="none"/>
          <w:lang w:val="zh-CN"/>
        </w:rPr>
      </w:pPr>
    </w:p>
    <w:p w14:paraId="1DBFE52A">
      <w:pPr>
        <w:spacing w:line="360" w:lineRule="auto"/>
        <w:jc w:val="center"/>
        <w:rPr>
          <w:rFonts w:hint="eastAsia" w:hAnsi="宋体" w:eastAsia="宋体" w:cs="宋体"/>
          <w:b/>
          <w:bCs/>
          <w:color w:val="auto"/>
          <w:sz w:val="32"/>
          <w:szCs w:val="32"/>
          <w:highlight w:val="none"/>
          <w:lang w:eastAsia="zh-CN"/>
        </w:rPr>
      </w:pPr>
      <w:bookmarkStart w:id="0" w:name="_Hlk26971294"/>
      <w:r>
        <w:rPr>
          <w:rFonts w:hint="eastAsia" w:hAnsi="宋体" w:cs="宋体"/>
          <w:b/>
          <w:bCs/>
          <w:color w:val="auto"/>
          <w:spacing w:val="28"/>
          <w:sz w:val="32"/>
          <w:szCs w:val="32"/>
          <w:highlight w:val="none"/>
          <w:lang w:eastAsia="zh-CN"/>
        </w:rPr>
        <w:t>东莞市水务环境投资控股集团净水有限公司</w:t>
      </w:r>
    </w:p>
    <w:bookmarkEnd w:id="0"/>
    <w:p w14:paraId="65C73CD8">
      <w:pPr>
        <w:spacing w:after="156" w:line="360" w:lineRule="auto"/>
        <w:jc w:val="center"/>
        <w:rPr>
          <w:rFonts w:hAnsi="宋体" w:cs="宋体"/>
          <w:b/>
          <w:bCs/>
          <w:color w:val="auto"/>
          <w:kern w:val="2"/>
          <w:sz w:val="32"/>
          <w:szCs w:val="32"/>
          <w:highlight w:val="none"/>
          <w:lang w:val="zh-CN"/>
        </w:rPr>
        <w:sectPr>
          <w:footerReference r:id="rId3" w:type="default"/>
          <w:pgSz w:w="11906" w:h="16838"/>
          <w:pgMar w:top="1440" w:right="1800" w:bottom="1440" w:left="1800" w:header="851" w:footer="992" w:gutter="0"/>
          <w:cols w:space="0" w:num="1"/>
          <w:docGrid w:type="lines" w:linePitch="332" w:charSpace="0"/>
        </w:sectPr>
      </w:pPr>
      <w:r>
        <w:rPr>
          <w:rFonts w:hint="eastAsia" w:ascii="Times New Roman"/>
          <w:b/>
          <w:bCs/>
          <w:color w:val="auto"/>
          <w:kern w:val="2"/>
          <w:sz w:val="32"/>
          <w:szCs w:val="32"/>
          <w:highlight w:val="none"/>
          <w:lang w:val="zh-CN"/>
        </w:rPr>
        <w:t>2025年12月</w:t>
      </w:r>
      <w:r>
        <w:rPr>
          <w:rFonts w:hint="eastAsia" w:ascii="Times New Roman"/>
          <w:b/>
          <w:bCs/>
          <w:color w:val="auto"/>
          <w:kern w:val="2"/>
          <w:sz w:val="32"/>
          <w:szCs w:val="32"/>
          <w:highlight w:val="none"/>
          <w:lang w:val="en-US" w:eastAsia="zh-CN"/>
        </w:rPr>
        <w:t>29</w:t>
      </w:r>
      <w:r>
        <w:rPr>
          <w:rFonts w:hint="eastAsia" w:ascii="Times New Roman"/>
          <w:b/>
          <w:bCs/>
          <w:color w:val="auto"/>
          <w:kern w:val="2"/>
          <w:sz w:val="32"/>
          <w:szCs w:val="32"/>
          <w:highlight w:val="none"/>
          <w:lang w:val="zh-CN"/>
        </w:rPr>
        <w:t>日</w:t>
      </w:r>
    </w:p>
    <w:sdt>
      <w:sdtPr>
        <w:rPr>
          <w:rFonts w:hint="eastAsia" w:ascii="宋体" w:hAnsi="宋体" w:eastAsia="宋体" w:cs="宋体"/>
          <w:color w:val="auto"/>
          <w:sz w:val="24"/>
          <w:szCs w:val="24"/>
          <w:highlight w:val="none"/>
          <w:lang w:val="zh-CN"/>
        </w:rPr>
        <w:id w:val="1797334744"/>
        <w:docPartObj>
          <w:docPartGallery w:val="Table of Contents"/>
          <w:docPartUnique/>
        </w:docPartObj>
      </w:sdtPr>
      <w:sdtEndPr>
        <w:rPr>
          <w:rFonts w:hint="default" w:ascii="Times New Roman" w:hAnsi="Times New Roman" w:eastAsia="宋体" w:cs="Times New Roman"/>
          <w:b/>
          <w:bCs/>
          <w:color w:val="auto"/>
          <w:sz w:val="24"/>
          <w:szCs w:val="24"/>
          <w:highlight w:val="none"/>
          <w:lang w:val="zh-CN"/>
        </w:rPr>
      </w:sdtEndPr>
      <w:sdtContent>
        <w:p w14:paraId="27761A57">
          <w:pPr>
            <w:pStyle w:val="27"/>
            <w:spacing w:before="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lang w:val="zh-CN"/>
            </w:rPr>
            <w:t>目   录</w:t>
          </w:r>
        </w:p>
        <w:p w14:paraId="5E13FA75">
          <w:pPr>
            <w:pStyle w:val="15"/>
            <w:tabs>
              <w:tab w:val="right" w:leader="dot" w:pos="8300"/>
              <w:tab w:val="clear" w:pos="8296"/>
            </w:tabs>
          </w:pPr>
          <w:r>
            <w:rPr>
              <w:rFonts w:ascii="Times New Roman"/>
              <w:color w:val="auto"/>
              <w:sz w:val="40"/>
              <w:szCs w:val="40"/>
              <w:highlight w:val="none"/>
            </w:rPr>
            <w:fldChar w:fldCharType="begin"/>
          </w:r>
          <w:r>
            <w:rPr>
              <w:rFonts w:ascii="Times New Roman"/>
              <w:color w:val="auto"/>
              <w:sz w:val="40"/>
              <w:szCs w:val="40"/>
              <w:highlight w:val="none"/>
            </w:rPr>
            <w:instrText xml:space="preserve"> TOC \o "1-3" \h \z \u </w:instrText>
          </w:r>
          <w:r>
            <w:rPr>
              <w:rFonts w:ascii="Times New Roman"/>
              <w:color w:val="auto"/>
              <w:sz w:val="40"/>
              <w:szCs w:val="40"/>
              <w:highlight w:val="none"/>
            </w:rPr>
            <w:fldChar w:fldCharType="separate"/>
          </w:r>
          <w:r>
            <w:rPr>
              <w:rFonts w:ascii="Times New Roman"/>
              <w:color w:val="auto"/>
              <w:szCs w:val="40"/>
              <w:highlight w:val="none"/>
            </w:rPr>
            <w:fldChar w:fldCharType="begin"/>
          </w:r>
          <w:r>
            <w:rPr>
              <w:rFonts w:ascii="Times New Roman"/>
              <w:szCs w:val="40"/>
              <w:highlight w:val="none"/>
            </w:rPr>
            <w:instrText xml:space="preserve"> HYPERLINK \l _Toc15480 </w:instrText>
          </w:r>
          <w:r>
            <w:rPr>
              <w:rFonts w:ascii="Times New Roman"/>
              <w:szCs w:val="40"/>
              <w:highlight w:val="none"/>
            </w:rPr>
            <w:fldChar w:fldCharType="separate"/>
          </w:r>
          <w:r>
            <w:rPr>
              <w:rFonts w:hint="eastAsia" w:hAnsi="宋体" w:cs="宋体"/>
              <w:szCs w:val="32"/>
              <w:highlight w:val="none"/>
            </w:rPr>
            <w:t>第一章 询价邀请函</w:t>
          </w:r>
          <w:r>
            <w:tab/>
          </w:r>
          <w:r>
            <w:fldChar w:fldCharType="begin"/>
          </w:r>
          <w:r>
            <w:instrText xml:space="preserve"> PAGEREF _Toc15480 \h </w:instrText>
          </w:r>
          <w:r>
            <w:fldChar w:fldCharType="separate"/>
          </w:r>
          <w:r>
            <w:t>3</w:t>
          </w:r>
          <w:r>
            <w:fldChar w:fldCharType="end"/>
          </w:r>
          <w:r>
            <w:rPr>
              <w:rFonts w:ascii="Times New Roman"/>
              <w:color w:val="auto"/>
              <w:szCs w:val="40"/>
              <w:highlight w:val="none"/>
            </w:rPr>
            <w:fldChar w:fldCharType="end"/>
          </w:r>
        </w:p>
        <w:p w14:paraId="4EAE0DEB">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_Toc28832 </w:instrText>
          </w:r>
          <w:r>
            <w:rPr>
              <w:rFonts w:ascii="Times New Roman"/>
              <w:szCs w:val="40"/>
              <w:highlight w:val="none"/>
              <w:lang w:val="zh-CN"/>
            </w:rPr>
            <w:fldChar w:fldCharType="separate"/>
          </w:r>
          <w:r>
            <w:rPr>
              <w:rFonts w:hint="eastAsia" w:hAnsi="宋体" w:cs="宋体"/>
              <w:szCs w:val="32"/>
              <w:highlight w:val="none"/>
            </w:rPr>
            <w:t>第二章 用户需求</w:t>
          </w:r>
          <w:r>
            <w:tab/>
          </w:r>
          <w:r>
            <w:fldChar w:fldCharType="begin"/>
          </w:r>
          <w:r>
            <w:instrText xml:space="preserve"> PAGEREF _Toc28832 \h </w:instrText>
          </w:r>
          <w:r>
            <w:fldChar w:fldCharType="separate"/>
          </w:r>
          <w:r>
            <w:t>5</w:t>
          </w:r>
          <w:r>
            <w:fldChar w:fldCharType="end"/>
          </w:r>
          <w:r>
            <w:rPr>
              <w:rFonts w:ascii="Times New Roman"/>
              <w:color w:val="auto"/>
              <w:szCs w:val="40"/>
              <w:highlight w:val="none"/>
              <w:lang w:val="zh-CN"/>
            </w:rPr>
            <w:fldChar w:fldCharType="end"/>
          </w:r>
        </w:p>
        <w:p w14:paraId="7BBA8E83">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_Toc30244 </w:instrText>
          </w:r>
          <w:r>
            <w:rPr>
              <w:rFonts w:ascii="Times New Roman"/>
              <w:szCs w:val="40"/>
              <w:highlight w:val="none"/>
              <w:lang w:val="zh-CN"/>
            </w:rPr>
            <w:fldChar w:fldCharType="separate"/>
          </w:r>
          <w:r>
            <w:rPr>
              <w:rFonts w:hint="eastAsia" w:hAnsi="宋体" w:cs="宋体"/>
              <w:szCs w:val="32"/>
              <w:highlight w:val="none"/>
            </w:rPr>
            <w:t>第三章 合同条款</w:t>
          </w:r>
          <w:r>
            <w:tab/>
          </w:r>
          <w:r>
            <w:fldChar w:fldCharType="begin"/>
          </w:r>
          <w:r>
            <w:instrText xml:space="preserve"> PAGEREF _Toc30244 \h </w:instrText>
          </w:r>
          <w:r>
            <w:fldChar w:fldCharType="separate"/>
          </w:r>
          <w:r>
            <w:t>15</w:t>
          </w:r>
          <w:r>
            <w:fldChar w:fldCharType="end"/>
          </w:r>
          <w:r>
            <w:rPr>
              <w:rFonts w:ascii="Times New Roman"/>
              <w:color w:val="auto"/>
              <w:szCs w:val="40"/>
              <w:highlight w:val="none"/>
              <w:lang w:val="zh-CN"/>
            </w:rPr>
            <w:fldChar w:fldCharType="end"/>
          </w:r>
        </w:p>
        <w:p w14:paraId="5AAFF311">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_Toc4686 </w:instrText>
          </w:r>
          <w:r>
            <w:rPr>
              <w:rFonts w:ascii="Times New Roman"/>
              <w:szCs w:val="40"/>
              <w:highlight w:val="none"/>
              <w:lang w:val="zh-CN"/>
            </w:rPr>
            <w:fldChar w:fldCharType="separate"/>
          </w:r>
          <w:r>
            <w:rPr>
              <w:rFonts w:hint="eastAsia" w:hAnsi="宋体" w:cs="宋体"/>
              <w:szCs w:val="32"/>
              <w:highlight w:val="none"/>
            </w:rPr>
            <w:t>第四章 报价须知</w:t>
          </w:r>
          <w:r>
            <w:tab/>
          </w:r>
          <w:bookmarkStart w:id="21" w:name="_GoBack"/>
          <w:bookmarkEnd w:id="21"/>
          <w:r>
            <w:fldChar w:fldCharType="begin"/>
          </w:r>
          <w:r>
            <w:instrText xml:space="preserve"> PAGEREF _Toc4686 \h </w:instrText>
          </w:r>
          <w:r>
            <w:fldChar w:fldCharType="separate"/>
          </w:r>
          <w:r>
            <w:t>46</w:t>
          </w:r>
          <w:r>
            <w:fldChar w:fldCharType="end"/>
          </w:r>
          <w:r>
            <w:rPr>
              <w:rFonts w:ascii="Times New Roman"/>
              <w:color w:val="auto"/>
              <w:szCs w:val="40"/>
              <w:highlight w:val="none"/>
              <w:lang w:val="zh-CN"/>
            </w:rPr>
            <w:fldChar w:fldCharType="end"/>
          </w:r>
        </w:p>
        <w:p w14:paraId="5153F41A">
          <w:pPr>
            <w:pStyle w:val="15"/>
            <w:tabs>
              <w:tab w:val="right" w:leader="dot" w:pos="8300"/>
              <w:tab w:val="clear" w:pos="8296"/>
            </w:tabs>
          </w:pPr>
          <w:r>
            <w:rPr>
              <w:rFonts w:ascii="Times New Roman"/>
              <w:color w:val="auto"/>
              <w:szCs w:val="40"/>
              <w:highlight w:val="none"/>
              <w:lang w:val="zh-CN"/>
            </w:rPr>
            <w:fldChar w:fldCharType="begin"/>
          </w:r>
          <w:r>
            <w:rPr>
              <w:rFonts w:ascii="Times New Roman"/>
              <w:szCs w:val="40"/>
              <w:highlight w:val="none"/>
              <w:lang w:val="zh-CN"/>
            </w:rPr>
            <w:instrText xml:space="preserve"> HYPERLINK \l _Toc16353 </w:instrText>
          </w:r>
          <w:r>
            <w:rPr>
              <w:rFonts w:ascii="Times New Roman"/>
              <w:szCs w:val="40"/>
              <w:highlight w:val="none"/>
              <w:lang w:val="zh-CN"/>
            </w:rPr>
            <w:fldChar w:fldCharType="separate"/>
          </w:r>
          <w:r>
            <w:rPr>
              <w:rFonts w:hint="eastAsia" w:hAnsi="宋体" w:cs="宋体"/>
              <w:szCs w:val="32"/>
              <w:highlight w:val="none"/>
            </w:rPr>
            <w:t>第五章 报价文件（格式）</w:t>
          </w:r>
          <w:r>
            <w:tab/>
          </w:r>
          <w:r>
            <w:fldChar w:fldCharType="begin"/>
          </w:r>
          <w:r>
            <w:instrText xml:space="preserve"> PAGEREF _Toc16353 \h </w:instrText>
          </w:r>
          <w:r>
            <w:fldChar w:fldCharType="separate"/>
          </w:r>
          <w:r>
            <w:t>48</w:t>
          </w:r>
          <w:r>
            <w:fldChar w:fldCharType="end"/>
          </w:r>
          <w:r>
            <w:rPr>
              <w:rFonts w:ascii="Times New Roman"/>
              <w:color w:val="auto"/>
              <w:szCs w:val="40"/>
              <w:highlight w:val="none"/>
              <w:lang w:val="zh-CN"/>
            </w:rPr>
            <w:fldChar w:fldCharType="end"/>
          </w:r>
        </w:p>
        <w:p w14:paraId="26734DA7">
          <w:pPr>
            <w:spacing w:line="360" w:lineRule="auto"/>
            <w:rPr>
              <w:rFonts w:ascii="Times New Roman"/>
              <w:color w:val="auto"/>
              <w:sz w:val="32"/>
              <w:szCs w:val="32"/>
              <w:highlight w:val="none"/>
            </w:rPr>
            <w:sectPr>
              <w:pgSz w:w="11906" w:h="16838"/>
              <w:pgMar w:top="1440" w:right="1803" w:bottom="1440" w:left="1803" w:header="851" w:footer="992" w:gutter="0"/>
              <w:cols w:space="0" w:num="1"/>
              <w:docGrid w:type="lines" w:linePitch="332" w:charSpace="0"/>
            </w:sectPr>
          </w:pPr>
          <w:r>
            <w:rPr>
              <w:rFonts w:ascii="Times New Roman"/>
              <w:color w:val="auto"/>
              <w:szCs w:val="40"/>
              <w:highlight w:val="none"/>
              <w:lang w:val="zh-CN"/>
            </w:rPr>
            <w:fldChar w:fldCharType="end"/>
          </w:r>
        </w:p>
      </w:sdtContent>
    </w:sdt>
    <w:p w14:paraId="3076CB0C">
      <w:pPr>
        <w:pStyle w:val="2"/>
        <w:spacing w:before="0" w:after="0"/>
        <w:jc w:val="center"/>
        <w:rPr>
          <w:rFonts w:hAnsi="宋体" w:cs="宋体"/>
          <w:b w:val="0"/>
          <w:bCs w:val="0"/>
          <w:color w:val="auto"/>
          <w:szCs w:val="32"/>
          <w:highlight w:val="none"/>
        </w:rPr>
      </w:pPr>
      <w:bookmarkStart w:id="1" w:name="_Toc15480"/>
      <w:r>
        <w:rPr>
          <w:rFonts w:hint="eastAsia" w:hAnsi="宋体" w:cs="宋体"/>
          <w:color w:val="auto"/>
          <w:szCs w:val="32"/>
          <w:highlight w:val="none"/>
        </w:rPr>
        <w:t>第一章 询价邀请函</w:t>
      </w:r>
      <w:bookmarkEnd w:id="1"/>
    </w:p>
    <w:p w14:paraId="080183D3">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int="eastAsia" w:hAnsi="宋体" w:cs="宋体"/>
          <w:color w:val="auto"/>
          <w:highlight w:val="none"/>
        </w:rPr>
      </w:pPr>
    </w:p>
    <w:p w14:paraId="58585ADB">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r>
        <w:rPr>
          <w:rFonts w:hint="eastAsia" w:hAnsi="宋体" w:cs="宋体"/>
          <w:color w:val="auto"/>
          <w:highlight w:val="none"/>
        </w:rPr>
        <w:t>各供应商：</w:t>
      </w:r>
    </w:p>
    <w:p w14:paraId="50A2790C">
      <w:pPr>
        <w:keepNext w:val="0"/>
        <w:keepLines w:val="0"/>
        <w:pageBreakBefore w:val="0"/>
        <w:widowControl w:val="0"/>
        <w:kinsoku/>
        <w:overflowPunct/>
        <w:topLinePunct w:val="0"/>
        <w:autoSpaceDE w:val="0"/>
        <w:autoSpaceDN w:val="0"/>
        <w:bidi w:val="0"/>
        <w:adjustRightInd w:val="0"/>
        <w:snapToGrid/>
        <w:spacing w:line="360" w:lineRule="auto"/>
        <w:ind w:firstLine="480" w:firstLineChars="200"/>
        <w:textAlignment w:val="auto"/>
        <w:rPr>
          <w:rFonts w:hAnsi="宋体" w:cs="宋体"/>
          <w:color w:val="auto"/>
          <w:highlight w:val="none"/>
        </w:rPr>
      </w:pPr>
      <w:r>
        <w:rPr>
          <w:rFonts w:hint="eastAsia" w:hAnsi="宋体" w:cs="宋体"/>
          <w:color w:val="auto"/>
          <w:highlight w:val="none"/>
        </w:rPr>
        <w:t>我公司的</w:t>
      </w:r>
      <w:r>
        <w:rPr>
          <w:rFonts w:hint="eastAsia" w:hAnsi="宋体" w:cs="宋体"/>
          <w:color w:val="auto"/>
          <w:highlight w:val="none"/>
          <w:u w:val="single"/>
        </w:rPr>
        <w:t>“</w:t>
      </w:r>
      <w:r>
        <w:rPr>
          <w:rFonts w:hint="eastAsia" w:hAnsi="宋体" w:cs="宋体"/>
          <w:color w:val="auto"/>
          <w:highlight w:val="none"/>
          <w:u w:val="single"/>
          <w:lang w:eastAsia="zh-CN"/>
        </w:rPr>
        <w:t>东莞市众源环境投资有限公司BOT权属清溪长山头厂一二期等8家污水处理厂污泥脱水减量处理应急采购项目</w:t>
      </w:r>
      <w:r>
        <w:rPr>
          <w:rFonts w:hint="eastAsia" w:hAnsi="宋体" w:cs="宋体"/>
          <w:color w:val="auto"/>
          <w:highlight w:val="none"/>
          <w:u w:val="single"/>
        </w:rPr>
        <w:t>”</w:t>
      </w:r>
      <w:r>
        <w:rPr>
          <w:rFonts w:hint="eastAsia" w:hAnsi="宋体" w:cs="宋体"/>
          <w:color w:val="auto"/>
          <w:highlight w:val="none"/>
        </w:rPr>
        <w:t>正式开展，现邀请贵司参与本项目的询价采购。具体采购信息如下：</w:t>
      </w:r>
    </w:p>
    <w:p w14:paraId="040A9402">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default" w:hAnsi="宋体" w:eastAsia="宋体" w:cs="宋体"/>
          <w:color w:val="auto"/>
          <w:highlight w:val="none"/>
          <w:lang w:val="en-US" w:eastAsia="zh-CN"/>
        </w:rPr>
      </w:pPr>
      <w:r>
        <w:rPr>
          <w:rFonts w:hint="eastAsia" w:hAnsi="宋体" w:cs="宋体"/>
          <w:color w:val="auto"/>
          <w:highlight w:val="none"/>
        </w:rPr>
        <w:t>一、采购项目编号：</w:t>
      </w:r>
      <w:r>
        <w:rPr>
          <w:rFonts w:hint="eastAsia" w:ascii="Times New Roman" w:cs="宋体"/>
          <w:color w:val="auto"/>
          <w:highlight w:val="none"/>
          <w:lang w:eastAsia="zh-CN"/>
        </w:rPr>
        <w:t>JS-2025-1</w:t>
      </w:r>
      <w:r>
        <w:rPr>
          <w:rFonts w:hint="eastAsia" w:ascii="Times New Roman" w:cs="宋体"/>
          <w:color w:val="auto"/>
          <w:highlight w:val="none"/>
          <w:lang w:val="en-US" w:eastAsia="zh-CN"/>
        </w:rPr>
        <w:t>70</w:t>
      </w:r>
    </w:p>
    <w:p w14:paraId="24DCD19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hAnsi="宋体" w:eastAsia="宋体" w:cs="宋体"/>
          <w:color w:val="auto"/>
          <w:highlight w:val="none"/>
          <w:lang w:eastAsia="zh-CN"/>
        </w:rPr>
      </w:pPr>
      <w:r>
        <w:rPr>
          <w:rFonts w:hint="eastAsia" w:hAnsi="宋体" w:cs="宋体"/>
          <w:color w:val="auto"/>
          <w:highlight w:val="none"/>
        </w:rPr>
        <w:t>二、采购项目名称：</w:t>
      </w:r>
      <w:r>
        <w:rPr>
          <w:rFonts w:hint="eastAsia" w:ascii="Times New Roman" w:cs="宋体"/>
          <w:color w:val="auto"/>
          <w:highlight w:val="none"/>
          <w:u w:val="single"/>
          <w:lang w:eastAsia="zh-CN"/>
        </w:rPr>
        <w:t>东莞市众源环境投资有限公司BOT权属清溪长山头厂一二期等8家污水处理厂污泥脱水减量处理应急采购项目</w:t>
      </w:r>
    </w:p>
    <w:p w14:paraId="4662596A">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int="eastAsia" w:ascii="Times New Roman" w:cs="宋体"/>
          <w:color w:val="auto"/>
          <w:highlight w:val="none"/>
        </w:rPr>
      </w:pPr>
      <w:r>
        <w:rPr>
          <w:rFonts w:hint="eastAsia" w:hAnsi="宋体" w:cs="宋体"/>
          <w:color w:val="auto"/>
          <w:highlight w:val="none"/>
        </w:rPr>
        <w:t>三、采购</w:t>
      </w:r>
      <w:r>
        <w:rPr>
          <w:rFonts w:hint="eastAsia" w:ascii="Times New Roman" w:cs="宋体"/>
          <w:color w:val="auto"/>
          <w:highlight w:val="none"/>
        </w:rPr>
        <w:t>预算：不含税最高限价为</w:t>
      </w:r>
      <w:r>
        <w:rPr>
          <w:rFonts w:hint="eastAsia" w:ascii="Times New Roman" w:cs="宋体"/>
          <w:color w:val="auto"/>
          <w:highlight w:val="none"/>
          <w:u w:val="single"/>
          <w:lang w:val="en-US" w:eastAsia="zh-CN"/>
        </w:rPr>
        <w:t>A包254</w:t>
      </w:r>
      <w:r>
        <w:rPr>
          <w:rFonts w:hint="eastAsia" w:ascii="Times New Roman" w:cs="宋体"/>
          <w:color w:val="auto"/>
          <w:highlight w:val="none"/>
          <w:u w:val="single"/>
        </w:rPr>
        <w:t>元</w:t>
      </w:r>
      <w:r>
        <w:rPr>
          <w:rFonts w:hint="eastAsia" w:ascii="Times New Roman" w:cs="宋体"/>
          <w:color w:val="auto"/>
          <w:highlight w:val="none"/>
          <w:u w:val="single"/>
          <w:lang w:val="en-US" w:eastAsia="zh-CN"/>
        </w:rPr>
        <w:t>/吨</w:t>
      </w:r>
      <w:r>
        <w:rPr>
          <w:rFonts w:hint="eastAsia" w:ascii="Times New Roman" w:cs="宋体"/>
          <w:color w:val="auto"/>
          <w:highlight w:val="none"/>
          <w:u w:val="single"/>
          <w:lang w:eastAsia="zh-CN"/>
        </w:rPr>
        <w:t>、</w:t>
      </w:r>
      <w:r>
        <w:rPr>
          <w:rFonts w:hint="eastAsia" w:ascii="Times New Roman" w:cs="宋体"/>
          <w:color w:val="auto"/>
          <w:highlight w:val="none"/>
          <w:u w:val="single"/>
          <w:lang w:val="en-US" w:eastAsia="zh-CN"/>
        </w:rPr>
        <w:t>B包260</w:t>
      </w:r>
      <w:r>
        <w:rPr>
          <w:rFonts w:hint="eastAsia" w:ascii="Times New Roman" w:cs="宋体"/>
          <w:color w:val="auto"/>
          <w:highlight w:val="none"/>
          <w:u w:val="single"/>
        </w:rPr>
        <w:t>元</w:t>
      </w:r>
      <w:r>
        <w:rPr>
          <w:rFonts w:hint="eastAsia" w:ascii="Times New Roman" w:cs="宋体"/>
          <w:color w:val="auto"/>
          <w:highlight w:val="none"/>
          <w:u w:val="single"/>
          <w:lang w:val="en-US" w:eastAsia="zh-CN"/>
        </w:rPr>
        <w:t>/吨</w:t>
      </w:r>
      <w:r>
        <w:rPr>
          <w:rFonts w:hint="eastAsia" w:ascii="Times New Roman" w:cs="宋体"/>
          <w:color w:val="auto"/>
          <w:highlight w:val="none"/>
          <w:u w:val="single"/>
          <w:lang w:eastAsia="zh-CN"/>
        </w:rPr>
        <w:t>、</w:t>
      </w:r>
      <w:r>
        <w:rPr>
          <w:rFonts w:hint="eastAsia" w:ascii="Times New Roman" w:cs="宋体"/>
          <w:color w:val="auto"/>
          <w:highlight w:val="none"/>
          <w:u w:val="single"/>
          <w:lang w:val="en-US" w:eastAsia="zh-CN"/>
        </w:rPr>
        <w:t>C包258.67</w:t>
      </w:r>
      <w:r>
        <w:rPr>
          <w:rFonts w:hint="eastAsia" w:ascii="Times New Roman" w:cs="宋体"/>
          <w:color w:val="auto"/>
          <w:highlight w:val="none"/>
          <w:u w:val="single"/>
        </w:rPr>
        <w:t>元</w:t>
      </w:r>
      <w:r>
        <w:rPr>
          <w:rFonts w:hint="eastAsia" w:ascii="Times New Roman" w:cs="宋体"/>
          <w:color w:val="auto"/>
          <w:highlight w:val="none"/>
          <w:u w:val="single"/>
          <w:lang w:val="en-US" w:eastAsia="zh-CN"/>
        </w:rPr>
        <w:t>/吨</w:t>
      </w:r>
      <w:r>
        <w:rPr>
          <w:rFonts w:hint="eastAsia" w:ascii="Times New Roman" w:cs="宋体"/>
          <w:color w:val="auto"/>
          <w:highlight w:val="none"/>
        </w:rPr>
        <w:t>。</w:t>
      </w:r>
    </w:p>
    <w:p w14:paraId="460D0821">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rPr>
        <w:t>四、采购内容：</w:t>
      </w:r>
      <w:r>
        <w:rPr>
          <w:rFonts w:hint="eastAsia" w:hAnsi="宋体" w:cs="宋体"/>
          <w:color w:val="auto"/>
          <w:highlight w:val="none"/>
          <w:u w:val="single"/>
          <w:lang w:val="en-US" w:eastAsia="zh-CN"/>
        </w:rPr>
        <w:t>污泥脱水减量服务</w:t>
      </w:r>
      <w:r>
        <w:rPr>
          <w:rFonts w:hint="eastAsia" w:hAnsi="宋体" w:cs="宋体"/>
          <w:color w:val="auto"/>
          <w:highlight w:val="none"/>
        </w:rPr>
        <w:t>（具体详见用户需求书）</w:t>
      </w:r>
    </w:p>
    <w:p w14:paraId="19F5496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bookmarkStart w:id="2" w:name="_Hlk27138410"/>
      <w:r>
        <w:rPr>
          <w:rFonts w:hint="eastAsia" w:hAnsi="宋体" w:cs="宋体"/>
          <w:color w:val="auto"/>
          <w:highlight w:val="none"/>
        </w:rPr>
        <w:t>五、资质要求：</w:t>
      </w:r>
    </w:p>
    <w:p w14:paraId="35AD0F7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1.</w:t>
      </w:r>
      <w:r>
        <w:rPr>
          <w:rFonts w:hint="eastAsia" w:hAnsi="宋体" w:cs="宋体"/>
          <w:color w:val="auto"/>
          <w:highlight w:val="none"/>
        </w:rPr>
        <w:t>报价人</w:t>
      </w:r>
      <w:r>
        <w:rPr>
          <w:rFonts w:ascii="Times New Roman"/>
          <w:color w:val="auto"/>
          <w:highlight w:val="none"/>
        </w:rPr>
        <w:t>自2022年1月1日以来，至少具备一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污泥脱水减量服务</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F99D70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Ansi="宋体" w:cs="宋体"/>
          <w:color w:val="auto"/>
          <w:highlight w:val="none"/>
        </w:rPr>
        <w:t>2.</w:t>
      </w:r>
      <w:r>
        <w:rPr>
          <w:rFonts w:hint="eastAsia" w:hAnsi="宋体" w:cs="宋体"/>
          <w:color w:val="auto"/>
          <w:highlight w:val="none"/>
        </w:rPr>
        <w:t>报价人未被列入“信用中国”网站（www.creditchina.gov.cn）失信被执行人、重大税收违法失信主体、政府采购严重违法失信行为记录名单（处罚期限届满的除外）。</w:t>
      </w:r>
    </w:p>
    <w:p w14:paraId="6CFC1788">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ascii="Times New Roman" w:cs="宋体"/>
          <w:color w:val="auto"/>
          <w:highlight w:val="none"/>
        </w:rPr>
      </w:pPr>
      <w:r>
        <w:rPr>
          <w:rFonts w:hint="eastAsia" w:hAnsi="宋体" w:cs="宋体"/>
          <w:color w:val="auto"/>
          <w:highlight w:val="none"/>
          <w:lang w:val="en-US" w:eastAsia="zh-CN"/>
        </w:rPr>
        <w:t>六</w:t>
      </w:r>
      <w:r>
        <w:rPr>
          <w:rFonts w:hint="eastAsia" w:hAnsi="宋体" w:cs="宋体"/>
          <w:color w:val="auto"/>
          <w:highlight w:val="none"/>
        </w:rPr>
        <w:t>、成交原则：</w:t>
      </w:r>
      <w:r>
        <w:rPr>
          <w:rFonts w:hint="eastAsia" w:hAnsi="宋体" w:cs="宋体"/>
          <w:color w:val="auto"/>
          <w:highlight w:val="none"/>
          <w:lang w:val="en-US" w:eastAsia="zh-CN"/>
        </w:rPr>
        <w:t>各包组单独评审兼投不兼中，按A、B、C三个包组依次从实质性满足采购需求的供应商中，按不含税价最低成交原则确定成交供应商。若供应商数量不足无法确定所有包组时，采购人有权按供应商实际数量确定或重新组织采购。</w:t>
      </w:r>
    </w:p>
    <w:p w14:paraId="4FB13E3C">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七</w:t>
      </w:r>
      <w:r>
        <w:rPr>
          <w:rFonts w:hint="eastAsia" w:hAnsi="宋体" w:cs="宋体"/>
          <w:color w:val="auto"/>
          <w:highlight w:val="none"/>
        </w:rPr>
        <w:t>、报价文件递交截止时间：</w:t>
      </w:r>
      <w:bookmarkStart w:id="3" w:name="_Hlk27138379"/>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bookmarkEnd w:id="3"/>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490239E9">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八</w:t>
      </w:r>
      <w:r>
        <w:rPr>
          <w:rFonts w:hint="eastAsia" w:hAnsi="宋体" w:cs="宋体"/>
          <w:color w:val="auto"/>
          <w:highlight w:val="none"/>
        </w:rPr>
        <w:t>、报价文件递交地点：</w:t>
      </w:r>
      <w:r>
        <w:rPr>
          <w:rFonts w:hint="eastAsia" w:hAnsi="宋体" w:cs="宋体"/>
          <w:color w:val="auto"/>
          <w:highlight w:val="none"/>
          <w:lang w:eastAsia="zh-CN"/>
        </w:rPr>
        <w:t>东莞市水务环境投资控股集团净水有限公司招标成本部</w:t>
      </w:r>
      <w:r>
        <w:rPr>
          <w:rFonts w:hint="eastAsia" w:hAnsi="宋体" w:cs="宋体"/>
          <w:color w:val="auto"/>
          <w:highlight w:val="none"/>
        </w:rPr>
        <w:t>。</w:t>
      </w:r>
    </w:p>
    <w:p w14:paraId="2F70F025">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九</w:t>
      </w:r>
      <w:r>
        <w:rPr>
          <w:rFonts w:hint="eastAsia" w:hAnsi="宋体" w:cs="宋体"/>
          <w:color w:val="auto"/>
          <w:highlight w:val="none"/>
        </w:rPr>
        <w:t>、报价文件开封时间：</w:t>
      </w:r>
      <w:r>
        <w:rPr>
          <w:rFonts w:ascii="Times New Roman"/>
          <w:color w:val="auto"/>
          <w:highlight w:val="none"/>
        </w:rPr>
        <w:t>202</w:t>
      </w:r>
      <w:r>
        <w:rPr>
          <w:rFonts w:hint="eastAsia" w:ascii="Times New Roman"/>
          <w:color w:val="auto"/>
          <w:highlight w:val="none"/>
          <w:lang w:val="en-US" w:eastAsia="zh-CN"/>
        </w:rPr>
        <w:t>6</w:t>
      </w:r>
      <w:r>
        <w:rPr>
          <w:rFonts w:ascii="Times New Roman"/>
          <w:color w:val="auto"/>
          <w:highlight w:val="none"/>
        </w:rPr>
        <w:t>年</w:t>
      </w:r>
      <w:r>
        <w:rPr>
          <w:rFonts w:hint="eastAsia" w:ascii="Times New Roman"/>
          <w:color w:val="000000" w:themeColor="text1"/>
          <w:lang w:val="en-US" w:eastAsia="zh-CN"/>
          <w14:textFill>
            <w14:solidFill>
              <w14:schemeClr w14:val="tx1"/>
            </w14:solidFill>
          </w14:textFill>
        </w:rPr>
        <w:t>1</w:t>
      </w:r>
      <w:r>
        <w:rPr>
          <w:rFonts w:ascii="Times New Roman"/>
          <w:color w:val="000000" w:themeColor="text1"/>
          <w14:textFill>
            <w14:solidFill>
              <w14:schemeClr w14:val="tx1"/>
            </w14:solidFill>
          </w14:textFill>
        </w:rPr>
        <w:t>月</w:t>
      </w:r>
      <w:r>
        <w:rPr>
          <w:rFonts w:hint="eastAsia" w:ascii="Times New Roman"/>
          <w:color w:val="000000" w:themeColor="text1"/>
          <w:lang w:val="en-US" w:eastAsia="zh-CN"/>
          <w14:textFill>
            <w14:solidFill>
              <w14:schemeClr w14:val="tx1"/>
            </w14:solidFill>
          </w14:textFill>
        </w:rPr>
        <w:t>4</w:t>
      </w:r>
      <w:r>
        <w:rPr>
          <w:rFonts w:ascii="Times New Roman"/>
          <w:color w:val="000000" w:themeColor="text1"/>
          <w14:textFill>
            <w14:solidFill>
              <w14:schemeClr w14:val="tx1"/>
            </w14:solidFill>
          </w14:textFill>
        </w:rPr>
        <w:t>日</w:t>
      </w:r>
      <w:r>
        <w:rPr>
          <w:rFonts w:hint="eastAsia" w:ascii="Times New Roman"/>
          <w:color w:val="000000" w:themeColor="text1"/>
          <w:lang w:val="en-US" w:eastAsia="zh-CN"/>
          <w14:textFill>
            <w14:solidFill>
              <w14:schemeClr w14:val="tx1"/>
            </w14:solidFill>
          </w14:textFill>
        </w:rPr>
        <w:t>10</w:t>
      </w:r>
      <w:r>
        <w:rPr>
          <w:rFonts w:ascii="Times New Roman"/>
          <w:color w:val="000000" w:themeColor="text1"/>
          <w14:textFill>
            <w14:solidFill>
              <w14:schemeClr w14:val="tx1"/>
            </w14:solidFill>
          </w14:textFill>
        </w:rPr>
        <w:t>时</w:t>
      </w:r>
      <w:r>
        <w:rPr>
          <w:rFonts w:hint="eastAsia" w:ascii="Times New Roman"/>
          <w:color w:val="000000" w:themeColor="text1"/>
          <w:lang w:val="en-US" w:eastAsia="zh-CN"/>
          <w14:textFill>
            <w14:solidFill>
              <w14:schemeClr w14:val="tx1"/>
            </w14:solidFill>
          </w14:textFill>
        </w:rPr>
        <w:t>00</w:t>
      </w:r>
      <w:r>
        <w:rPr>
          <w:rFonts w:ascii="Times New Roman"/>
          <w:color w:val="000000" w:themeColor="text1"/>
          <w14:textFill>
            <w14:solidFill>
              <w14:schemeClr w14:val="tx1"/>
            </w14:solidFill>
          </w14:textFill>
        </w:rPr>
        <w:t>分</w:t>
      </w:r>
      <w:r>
        <w:rPr>
          <w:rFonts w:hint="eastAsia" w:hAnsi="宋体" w:cs="宋体"/>
          <w:color w:val="auto"/>
          <w:highlight w:val="none"/>
        </w:rPr>
        <w:t>。</w:t>
      </w:r>
    </w:p>
    <w:p w14:paraId="0F0D8763">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w:t>
      </w:r>
      <w:r>
        <w:rPr>
          <w:rFonts w:hint="eastAsia" w:hAnsi="宋体" w:cs="宋体"/>
          <w:color w:val="auto"/>
          <w:highlight w:val="none"/>
        </w:rPr>
        <w:t>、开封地点：</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4楼开标室。</w:t>
      </w:r>
    </w:p>
    <w:p w14:paraId="5077372E">
      <w:pPr>
        <w:keepNext w:val="0"/>
        <w:keepLines w:val="0"/>
        <w:pageBreakBefore w:val="0"/>
        <w:widowControl w:val="0"/>
        <w:kinsoku/>
        <w:overflowPunct/>
        <w:topLinePunct w:val="0"/>
        <w:autoSpaceDE w:val="0"/>
        <w:autoSpaceDN w:val="0"/>
        <w:bidi w:val="0"/>
        <w:adjustRightInd w:val="0"/>
        <w:snapToGrid/>
        <w:spacing w:line="360" w:lineRule="auto"/>
        <w:ind w:firstLine="424" w:firstLineChars="177"/>
        <w:textAlignment w:val="auto"/>
        <w:rPr>
          <w:rFonts w:hAnsi="宋体" w:cs="宋体"/>
          <w:color w:val="auto"/>
          <w:highlight w:val="none"/>
        </w:rPr>
      </w:pPr>
      <w:r>
        <w:rPr>
          <w:rFonts w:hint="eastAsia" w:hAnsi="宋体" w:cs="宋体"/>
          <w:color w:val="auto"/>
          <w:highlight w:val="none"/>
          <w:lang w:val="en-US" w:eastAsia="zh-CN"/>
        </w:rPr>
        <w:t>十一</w:t>
      </w:r>
      <w:r>
        <w:rPr>
          <w:rFonts w:hint="eastAsia" w:hAnsi="宋体" w:cs="宋体"/>
          <w:color w:val="auto"/>
          <w:highlight w:val="none"/>
        </w:rPr>
        <w:t>、采购人联系方式：</w:t>
      </w:r>
    </w:p>
    <w:p w14:paraId="461F6ED6">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int="eastAsia" w:hAnsi="宋体" w:eastAsia="宋体" w:cs="宋体"/>
          <w:color w:val="auto"/>
          <w:highlight w:val="none"/>
          <w:lang w:eastAsia="zh-CN"/>
        </w:rPr>
      </w:pPr>
      <w:bookmarkStart w:id="4" w:name="_Hlk27138405"/>
      <w:r>
        <w:rPr>
          <w:rFonts w:hint="eastAsia" w:hAnsi="宋体" w:cs="宋体"/>
          <w:color w:val="auto"/>
          <w:highlight w:val="none"/>
        </w:rPr>
        <w:t>采购联系人：</w:t>
      </w:r>
      <w:r>
        <w:rPr>
          <w:rFonts w:hint="eastAsia" w:hAnsi="宋体" w:cs="宋体"/>
          <w:color w:val="auto"/>
          <w:highlight w:val="none"/>
          <w:lang w:val="en-US" w:eastAsia="zh-CN"/>
        </w:rPr>
        <w:t>黄工</w:t>
      </w:r>
    </w:p>
    <w:p w14:paraId="47DFADB2">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联系电话：</w:t>
      </w:r>
      <w:r>
        <w:rPr>
          <w:rFonts w:ascii="Times New Roman" w:cs="宋体"/>
          <w:color w:val="auto"/>
          <w:highlight w:val="none"/>
        </w:rPr>
        <w:t>0769</w:t>
      </w:r>
      <w:r>
        <w:rPr>
          <w:rFonts w:hint="eastAsia" w:ascii="Times New Roman" w:cs="宋体"/>
          <w:color w:val="auto"/>
          <w:highlight w:val="none"/>
        </w:rPr>
        <w:t>-23286160</w:t>
      </w:r>
    </w:p>
    <w:p w14:paraId="786BE32B">
      <w:pPr>
        <w:keepNext w:val="0"/>
        <w:keepLines w:val="0"/>
        <w:pageBreakBefore w:val="0"/>
        <w:widowControl w:val="0"/>
        <w:kinsoku/>
        <w:overflowPunct/>
        <w:topLinePunct w:val="0"/>
        <w:autoSpaceDE w:val="0"/>
        <w:autoSpaceDN w:val="0"/>
        <w:bidi w:val="0"/>
        <w:adjustRightInd w:val="0"/>
        <w:snapToGrid/>
        <w:spacing w:line="360" w:lineRule="auto"/>
        <w:ind w:left="566" w:leftChars="236" w:firstLine="285"/>
        <w:textAlignment w:val="auto"/>
        <w:rPr>
          <w:rFonts w:hAnsi="宋体" w:cs="宋体"/>
          <w:color w:val="auto"/>
          <w:highlight w:val="none"/>
        </w:rPr>
      </w:pPr>
      <w:r>
        <w:rPr>
          <w:rFonts w:hint="eastAsia" w:hAnsi="宋体" w:cs="宋体"/>
          <w:color w:val="auto"/>
          <w:highlight w:val="none"/>
        </w:rPr>
        <w:t>联系地址：东莞市南城街道滨河路</w:t>
      </w:r>
      <w:r>
        <w:rPr>
          <w:rFonts w:ascii="Times New Roman"/>
          <w:color w:val="auto"/>
          <w:highlight w:val="none"/>
        </w:rPr>
        <w:t>100</w:t>
      </w:r>
      <w:r>
        <w:rPr>
          <w:rFonts w:hint="eastAsia" w:hAnsi="宋体" w:cs="宋体"/>
          <w:color w:val="auto"/>
          <w:highlight w:val="none"/>
        </w:rPr>
        <w:t>号（</w:t>
      </w:r>
      <w:r>
        <w:rPr>
          <w:rFonts w:hint="eastAsia" w:hAnsi="宋体" w:cs="宋体"/>
          <w:color w:val="auto"/>
          <w:highlight w:val="none"/>
          <w:lang w:eastAsia="zh-CN"/>
        </w:rPr>
        <w:t>东莞市水务环境投资控股集团净水有限公司</w:t>
      </w:r>
      <w:r>
        <w:rPr>
          <w:rFonts w:hint="eastAsia" w:hAnsi="宋体" w:cs="宋体"/>
          <w:color w:val="auto"/>
          <w:highlight w:val="none"/>
        </w:rPr>
        <w:t>）</w:t>
      </w:r>
    </w:p>
    <w:bookmarkEnd w:id="4"/>
    <w:p w14:paraId="7AD09594">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68A1A502">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pPr>
    </w:p>
    <w:p w14:paraId="11964BA0">
      <w:pPr>
        <w:keepNext w:val="0"/>
        <w:keepLines w:val="0"/>
        <w:pageBreakBefore w:val="0"/>
        <w:widowControl w:val="0"/>
        <w:kinsoku/>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hAnsi="宋体" w:cs="宋体"/>
          <w:color w:val="auto"/>
          <w:highlight w:val="none"/>
        </w:rPr>
        <w:t>东莞市水务环境投资控股集团净水有限公司</w:t>
      </w:r>
    </w:p>
    <w:p w14:paraId="76D22EC7">
      <w:pPr>
        <w:keepNext w:val="0"/>
        <w:keepLines w:val="0"/>
        <w:pageBreakBefore w:val="0"/>
        <w:widowControl w:val="0"/>
        <w:kinsoku/>
        <w:wordWrap w:val="0"/>
        <w:overflowPunct/>
        <w:topLinePunct w:val="0"/>
        <w:autoSpaceDE w:val="0"/>
        <w:autoSpaceDN w:val="0"/>
        <w:bidi w:val="0"/>
        <w:adjustRightInd w:val="0"/>
        <w:snapToGrid/>
        <w:spacing w:line="360" w:lineRule="auto"/>
        <w:jc w:val="right"/>
        <w:textAlignment w:val="auto"/>
        <w:rPr>
          <w:rFonts w:hAnsi="宋体" w:cs="宋体"/>
          <w:color w:val="auto"/>
          <w:highlight w:val="none"/>
        </w:rPr>
      </w:pPr>
      <w:r>
        <w:rPr>
          <w:rFonts w:hint="eastAsia" w:ascii="Times New Roman"/>
          <w:color w:val="auto"/>
          <w:highlight w:val="none"/>
          <w:lang w:eastAsia="zh-CN"/>
        </w:rPr>
        <w:t>2025年12月</w:t>
      </w:r>
      <w:r>
        <w:rPr>
          <w:rFonts w:hint="eastAsia" w:ascii="Times New Roman"/>
          <w:color w:val="auto"/>
          <w:highlight w:val="none"/>
          <w:lang w:val="en-US" w:eastAsia="zh-CN"/>
        </w:rPr>
        <w:t>29</w:t>
      </w:r>
      <w:r>
        <w:rPr>
          <w:rFonts w:hint="eastAsia" w:ascii="Times New Roman"/>
          <w:color w:val="auto"/>
          <w:highlight w:val="none"/>
          <w:lang w:eastAsia="zh-CN"/>
        </w:rPr>
        <w:t>日</w:t>
      </w:r>
      <w:r>
        <w:rPr>
          <w:rFonts w:hint="eastAsia" w:ascii="Times New Roman"/>
          <w:color w:val="auto"/>
          <w:highlight w:val="none"/>
        </w:rPr>
        <w:t xml:space="preserve">       </w:t>
      </w:r>
      <w:bookmarkEnd w:id="2"/>
    </w:p>
    <w:p w14:paraId="785991C9">
      <w:pPr>
        <w:keepNext w:val="0"/>
        <w:keepLines w:val="0"/>
        <w:pageBreakBefore w:val="0"/>
        <w:widowControl w:val="0"/>
        <w:kinsoku/>
        <w:overflowPunct/>
        <w:topLinePunct w:val="0"/>
        <w:autoSpaceDE w:val="0"/>
        <w:autoSpaceDN w:val="0"/>
        <w:bidi w:val="0"/>
        <w:adjustRightInd w:val="0"/>
        <w:snapToGrid/>
        <w:spacing w:line="360" w:lineRule="auto"/>
        <w:textAlignment w:val="auto"/>
        <w:rPr>
          <w:rFonts w:hAnsi="宋体" w:cs="宋体"/>
          <w:color w:val="auto"/>
          <w:highlight w:val="none"/>
        </w:rPr>
        <w:sectPr>
          <w:pgSz w:w="11906" w:h="16838"/>
          <w:pgMar w:top="1440" w:right="1803" w:bottom="1440" w:left="1803" w:header="851" w:footer="992" w:gutter="0"/>
          <w:cols w:space="0" w:num="1"/>
          <w:docGrid w:type="lines" w:linePitch="332" w:charSpace="0"/>
        </w:sectPr>
      </w:pPr>
    </w:p>
    <w:p w14:paraId="1F3AB1D9">
      <w:pPr>
        <w:pStyle w:val="2"/>
        <w:spacing w:before="0" w:after="0"/>
        <w:jc w:val="center"/>
        <w:rPr>
          <w:rFonts w:hAnsi="宋体" w:cs="宋体"/>
          <w:color w:val="auto"/>
          <w:szCs w:val="32"/>
          <w:highlight w:val="none"/>
        </w:rPr>
      </w:pPr>
      <w:bookmarkStart w:id="5" w:name="_Toc28832"/>
      <w:r>
        <w:rPr>
          <w:rFonts w:hint="eastAsia" w:hAnsi="宋体" w:cs="宋体"/>
          <w:color w:val="auto"/>
          <w:szCs w:val="32"/>
          <w:highlight w:val="none"/>
        </w:rPr>
        <w:t>第二章 用户需求</w:t>
      </w:r>
      <w:bookmarkEnd w:id="5"/>
    </w:p>
    <w:p w14:paraId="548B809A">
      <w:pPr>
        <w:rPr>
          <w:rFonts w:hAnsi="宋体"/>
          <w:b/>
          <w:color w:val="auto"/>
          <w:highlight w:val="none"/>
        </w:rPr>
      </w:pPr>
      <w:bookmarkStart w:id="6" w:name="_Toc447044476"/>
      <w:bookmarkStart w:id="7" w:name="_Toc447045087"/>
      <w:bookmarkStart w:id="8" w:name="_Toc447044600"/>
    </w:p>
    <w:p w14:paraId="5A0663B2">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val="en-US" w:eastAsia="zh-CN"/>
        </w:rPr>
        <w:t>概况</w:t>
      </w:r>
    </w:p>
    <w:p w14:paraId="021D3779">
      <w:pPr>
        <w:keepNext w:val="0"/>
        <w:keepLines w:val="0"/>
        <w:pageBreakBefore w:val="0"/>
        <w:widowControl/>
        <w:kinsoku/>
        <w:wordWrap/>
        <w:overflowPunct/>
        <w:topLinePunct w:val="0"/>
        <w:bidi w:val="0"/>
        <w:adjustRightInd w:val="0"/>
        <w:snapToGrid/>
        <w:spacing w:line="360" w:lineRule="auto"/>
        <w:ind w:firstLine="420" w:firstLineChars="200"/>
        <w:jc w:val="left"/>
        <w:rPr>
          <w:rFonts w:hint="eastAsia" w:ascii="宋体" w:hAnsi="宋体" w:eastAsia="宋体" w:cs="宋体"/>
          <w:color w:val="FF0000"/>
          <w:sz w:val="21"/>
          <w:szCs w:val="21"/>
          <w:highlight w:val="none"/>
          <w:lang w:val="en-US" w:eastAsia="zh-CN"/>
        </w:rPr>
      </w:pPr>
      <w:r>
        <w:rPr>
          <w:rFonts w:hint="eastAsia" w:ascii="宋体" w:hAnsi="宋体" w:eastAsia="宋体" w:cs="宋体"/>
          <w:sz w:val="21"/>
          <w:szCs w:val="21"/>
          <w:highlight w:val="none"/>
          <w:lang w:val="en-US" w:eastAsia="zh-CN"/>
        </w:rPr>
        <w:t>东莞市BOT污水处理厂由采购方在清溪长山头厂一二期等8家污水处理厂内实施污泥脱水减量化应急处理工作。具体开始日期以甲方发出《进场通知书》之日起为准。由供应方开展</w:t>
      </w:r>
      <w:r>
        <w:rPr>
          <w:rFonts w:hint="eastAsia" w:ascii="宋体" w:hAnsi="宋体" w:eastAsia="宋体" w:cs="宋体"/>
          <w:kern w:val="2"/>
          <w:sz w:val="21"/>
          <w:szCs w:val="21"/>
          <w:highlight w:val="none"/>
          <w:lang w:val="en-US" w:eastAsia="zh-CN" w:bidi="ar"/>
        </w:rPr>
        <w:t>权属BOT的</w:t>
      </w:r>
      <w:r>
        <w:rPr>
          <w:rFonts w:hint="eastAsia" w:ascii="宋体" w:hAnsi="宋体" w:eastAsia="宋体" w:cs="宋体"/>
          <w:sz w:val="21"/>
          <w:szCs w:val="21"/>
          <w:highlight w:val="none"/>
          <w:lang w:val="en-US" w:eastAsia="zh-CN"/>
        </w:rPr>
        <w:t>清溪长山头厂一二期等</w:t>
      </w:r>
      <w:r>
        <w:rPr>
          <w:rFonts w:hint="eastAsia" w:ascii="宋体" w:hAnsi="宋体" w:eastAsia="宋体" w:cs="宋体"/>
          <w:kern w:val="2"/>
          <w:sz w:val="21"/>
          <w:szCs w:val="21"/>
          <w:highlight w:val="none"/>
          <w:lang w:val="en-US" w:eastAsia="zh-CN" w:bidi="ar"/>
        </w:rPr>
        <w:t>8家污水处理厂污泥减量化应急服务</w:t>
      </w:r>
      <w:r>
        <w:rPr>
          <w:rFonts w:hint="eastAsia" w:ascii="宋体" w:hAnsi="宋体" w:eastAsia="宋体" w:cs="宋体"/>
          <w:sz w:val="21"/>
          <w:szCs w:val="21"/>
          <w:highlight w:val="none"/>
          <w:lang w:val="en-US" w:eastAsia="zh-CN"/>
        </w:rPr>
        <w:t>。服务内容为，在相应污水处理厂重新选址并新增设备，将污水厂储泥池或沉淀池抽取的污泥脱水减量至含水率不超过60%的半干化泥粉，服务期自</w:t>
      </w:r>
      <w:r>
        <w:rPr>
          <w:rFonts w:hint="eastAsia" w:ascii="宋体" w:hAnsi="宋体" w:eastAsia="宋体" w:cs="宋体"/>
          <w:kern w:val="2"/>
          <w:sz w:val="21"/>
          <w:szCs w:val="21"/>
          <w:highlight w:val="none"/>
          <w:lang w:val="en-US" w:eastAsia="zh-CN" w:bidi="ar"/>
        </w:rPr>
        <w:t>设备进场投用之日起12个月</w:t>
      </w:r>
      <w:r>
        <w:rPr>
          <w:rFonts w:hint="eastAsia" w:ascii="宋体" w:hAnsi="宋体" w:eastAsia="宋体" w:cs="宋体"/>
          <w:color w:val="FF0000"/>
          <w:sz w:val="21"/>
          <w:szCs w:val="21"/>
          <w:highlight w:val="none"/>
          <w:lang w:val="en-US" w:eastAsia="zh-CN"/>
        </w:rPr>
        <w:t>。</w:t>
      </w:r>
    </w:p>
    <w:p w14:paraId="0BC67857">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sz w:val="21"/>
          <w:szCs w:val="21"/>
          <w:highlight w:val="none"/>
          <w:lang w:val="en-US" w:eastAsia="zh-CN"/>
        </w:rPr>
        <w:t>采购范围</w:t>
      </w:r>
    </w:p>
    <w:p w14:paraId="0DA804F2">
      <w:pPr>
        <w:keepNext w:val="0"/>
        <w:keepLines w:val="0"/>
        <w:pageBreakBefore w:val="0"/>
        <w:widowControl/>
        <w:kinsoku/>
        <w:wordWrap/>
        <w:overflowPunct/>
        <w:topLinePunct w:val="0"/>
        <w:bidi w:val="0"/>
        <w:adjustRightInd w:val="0"/>
        <w:snapToGrid/>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由供应方在8家BOT污水处理厂内实施污泥脱水减量化服务，需重新选址新增设备从污水处理厂储泥池或沉淀池抽取的污泥脱水减量至含水率不超过60%的半干化泥粉。服务期届满之日，供应方需</w:t>
      </w:r>
      <w:r>
        <w:rPr>
          <w:rFonts w:hint="eastAsia" w:ascii="宋体" w:hAnsi="宋体" w:eastAsia="宋体" w:cs="宋体"/>
          <w:b w:val="0"/>
          <w:bCs w:val="0"/>
          <w:kern w:val="2"/>
          <w:sz w:val="21"/>
          <w:szCs w:val="21"/>
          <w:highlight w:val="none"/>
          <w:u w:val="none"/>
          <w:lang w:val="en-US" w:eastAsia="zh-CN"/>
        </w:rPr>
        <w:t>拆除设备设施及场地复原，产生的相应费用由</w:t>
      </w:r>
      <w:r>
        <w:rPr>
          <w:rFonts w:hint="eastAsia" w:ascii="宋体" w:hAnsi="宋体" w:eastAsia="宋体" w:cs="宋体"/>
          <w:sz w:val="21"/>
          <w:szCs w:val="21"/>
          <w:highlight w:val="none"/>
          <w:lang w:val="en-US" w:eastAsia="zh-CN"/>
        </w:rPr>
        <w:t>供应方</w:t>
      </w:r>
      <w:r>
        <w:rPr>
          <w:rFonts w:hint="eastAsia" w:ascii="宋体" w:hAnsi="宋体" w:eastAsia="宋体" w:cs="宋体"/>
          <w:b w:val="0"/>
          <w:bCs w:val="0"/>
          <w:kern w:val="2"/>
          <w:sz w:val="21"/>
          <w:szCs w:val="21"/>
          <w:highlight w:val="none"/>
          <w:u w:val="none"/>
          <w:lang w:val="en-US" w:eastAsia="zh-CN"/>
        </w:rPr>
        <w:t>承担，在本项目的拆除过程中和拆除之后，采购人无须向供应方支付任何补偿或移交费用</w:t>
      </w:r>
      <w:r>
        <w:rPr>
          <w:rFonts w:hint="eastAsia" w:ascii="宋体" w:hAnsi="宋体" w:eastAsia="宋体" w:cs="宋体"/>
          <w:sz w:val="21"/>
          <w:szCs w:val="21"/>
          <w:highlight w:val="none"/>
          <w:lang w:val="en-US" w:eastAsia="zh-CN"/>
        </w:rPr>
        <w:t>。</w:t>
      </w:r>
    </w:p>
    <w:p w14:paraId="55FA3458">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应急8家BOT污水处理厂污泥脱水减量处理服务基本情况详见下表，该表介绍的污泥脱水减量化处理产能等信息仅为便于供应方了解项目情况，并限定各减量点设备产能使用，不作为采购方最终委托减量化处理量的保证。最终按实际处理量结算，供应方不得因脱水减量化处理量的减少或增加要求任何形式的补偿或赔偿，或要求采购方按本用户需求书介绍的范围采购相应的减量化处理服务。</w:t>
      </w:r>
    </w:p>
    <w:tbl>
      <w:tblPr>
        <w:tblStyle w:val="21"/>
        <w:tblW w:w="87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7"/>
        <w:gridCol w:w="1021"/>
        <w:gridCol w:w="793"/>
        <w:gridCol w:w="922"/>
        <w:gridCol w:w="893"/>
        <w:gridCol w:w="1432"/>
        <w:gridCol w:w="1531"/>
        <w:gridCol w:w="1451"/>
      </w:tblGrid>
      <w:tr w14:paraId="6B28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8700" w:type="dxa"/>
            <w:gridSpan w:val="8"/>
            <w:tcBorders>
              <w:top w:val="single" w:color="000000" w:sz="4" w:space="0"/>
              <w:left w:val="single" w:color="000000" w:sz="4" w:space="0"/>
              <w:bottom w:val="single" w:color="000000" w:sz="4" w:space="0"/>
              <w:right w:val="single" w:color="000000" w:sz="4" w:space="0"/>
            </w:tcBorders>
            <w:noWrap/>
            <w:vAlign w:val="center"/>
          </w:tcPr>
          <w:p w14:paraId="34A5F96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分包情况</w:t>
            </w:r>
          </w:p>
        </w:tc>
      </w:tr>
      <w:tr w14:paraId="136E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9"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1D1CB76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noWrap/>
            <w:vAlign w:val="center"/>
          </w:tcPr>
          <w:p w14:paraId="527F100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厂区</w:t>
            </w: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4926BAA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组别</w:t>
            </w:r>
          </w:p>
        </w:tc>
        <w:tc>
          <w:tcPr>
            <w:tcW w:w="922" w:type="dxa"/>
            <w:tcBorders>
              <w:top w:val="single" w:color="000000" w:sz="4" w:space="0"/>
              <w:left w:val="single" w:color="000000" w:sz="4" w:space="0"/>
              <w:bottom w:val="single" w:color="000000" w:sz="4" w:space="0"/>
              <w:right w:val="single" w:color="000000" w:sz="4" w:space="0"/>
            </w:tcBorders>
            <w:noWrap/>
            <w:vAlign w:val="center"/>
          </w:tcPr>
          <w:p w14:paraId="15104C6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是否可出湿泥</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1C6459C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所属镇街</w:t>
            </w:r>
          </w:p>
        </w:tc>
        <w:tc>
          <w:tcPr>
            <w:tcW w:w="1432" w:type="dxa"/>
            <w:tcBorders>
              <w:top w:val="single" w:color="000000" w:sz="4" w:space="0"/>
              <w:left w:val="single" w:color="000000" w:sz="4" w:space="0"/>
              <w:bottom w:val="single" w:color="000000" w:sz="4" w:space="0"/>
              <w:right w:val="single" w:color="000000" w:sz="4" w:space="0"/>
            </w:tcBorders>
            <w:noWrap w:val="0"/>
            <w:vAlign w:val="center"/>
          </w:tcPr>
          <w:p w14:paraId="53A393D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原约定产能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（吨/天）</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323D21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近三个月日均产量（吨）</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6888DC5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近三个月日均产量（折算80%湿泥量)</w:t>
            </w:r>
          </w:p>
        </w:tc>
      </w:tr>
      <w:tr w14:paraId="0A42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0F0C9E8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1C417FC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茶山厂</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1B97FF7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A</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546F82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E25FE5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茶山</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38DCFB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769321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5009B11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47.14</w:t>
            </w:r>
          </w:p>
        </w:tc>
      </w:tr>
      <w:tr w14:paraId="7BE3C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2B211FF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63F2B87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高埗厂一期</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5C0A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1924903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10B2818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高埗</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1FFC13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382B32F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8.86</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80D9AD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19.93</w:t>
            </w:r>
          </w:p>
        </w:tc>
      </w:tr>
      <w:tr w14:paraId="7D4C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5F9557F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87B774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企石厂</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C876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5AA24D5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CDC706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企石</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05EB3E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0503871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9.94</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B030F3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22.37</w:t>
            </w:r>
          </w:p>
        </w:tc>
      </w:tr>
      <w:tr w14:paraId="5C9B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7216">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i w:val="0"/>
                <w:iCs w:val="0"/>
                <w:color w:val="000000"/>
                <w:sz w:val="21"/>
                <w:szCs w:val="21"/>
                <w:u w:val="none"/>
              </w:rPr>
            </w:pPr>
          </w:p>
        </w:tc>
        <w:tc>
          <w:tcPr>
            <w:tcW w:w="3629" w:type="dxa"/>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F32373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43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DA9EAC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53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19E3D5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39.75</w:t>
            </w:r>
          </w:p>
        </w:tc>
        <w:tc>
          <w:tcPr>
            <w:tcW w:w="145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F33DB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89.44</w:t>
            </w:r>
          </w:p>
        </w:tc>
      </w:tr>
      <w:tr w14:paraId="7EAA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578BA04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22AE0C0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石龙新区厂</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C0E440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B</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D4131F7">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7783DC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石龙</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200473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401835B">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6.20 </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C28CB19">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13.95</w:t>
            </w:r>
          </w:p>
        </w:tc>
      </w:tr>
      <w:tr w14:paraId="0779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06A43E9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465E2164">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清溪长山头厂一二期</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E3B12">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43DFAD2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71CAD7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清溪</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1926D1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719047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447521E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43.24</w:t>
            </w:r>
          </w:p>
        </w:tc>
      </w:tr>
      <w:tr w14:paraId="41452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CC49">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i w:val="0"/>
                <w:iCs w:val="0"/>
                <w:color w:val="000000"/>
                <w:sz w:val="21"/>
                <w:szCs w:val="21"/>
                <w:u w:val="none"/>
              </w:rPr>
            </w:pPr>
          </w:p>
        </w:tc>
        <w:tc>
          <w:tcPr>
            <w:tcW w:w="3629" w:type="dxa"/>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03E13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43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DCF20C">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53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63464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25.42</w:t>
            </w:r>
          </w:p>
        </w:tc>
        <w:tc>
          <w:tcPr>
            <w:tcW w:w="145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F67A49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57.19</w:t>
            </w:r>
          </w:p>
        </w:tc>
      </w:tr>
      <w:tr w14:paraId="54678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7676454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07971B3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桥头厂一期</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2F91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C</w:t>
            </w: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37ED51A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否</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F53041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桥头</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4CEF71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2C2CD29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9.85</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D60795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22.17</w:t>
            </w:r>
          </w:p>
        </w:tc>
      </w:tr>
      <w:tr w14:paraId="7E656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2E1D812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F121DE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谢岗厂一期</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63118">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73621C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79F7F8F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谢岗</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14E5E48">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59805BB2">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8.07</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2DFF8111">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18.16</w:t>
            </w:r>
          </w:p>
        </w:tc>
      </w:tr>
      <w:tr w14:paraId="2E7E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2" w:hRule="atLeast"/>
        </w:trPr>
        <w:tc>
          <w:tcPr>
            <w:tcW w:w="657" w:type="dxa"/>
            <w:tcBorders>
              <w:top w:val="single" w:color="000000" w:sz="4" w:space="0"/>
              <w:left w:val="single" w:color="000000" w:sz="4" w:space="0"/>
              <w:bottom w:val="single" w:color="000000" w:sz="4" w:space="0"/>
              <w:right w:val="single" w:color="000000" w:sz="4" w:space="0"/>
            </w:tcBorders>
            <w:noWrap/>
            <w:vAlign w:val="center"/>
          </w:tcPr>
          <w:p w14:paraId="742299D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noWrap w:val="0"/>
            <w:vAlign w:val="center"/>
          </w:tcPr>
          <w:p w14:paraId="51494B10">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樟木头厂一二期</w:t>
            </w: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69103">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b/>
                <w:bCs/>
                <w:i w:val="0"/>
                <w:iCs w:val="0"/>
                <w:color w:val="000000"/>
                <w:sz w:val="21"/>
                <w:szCs w:val="21"/>
                <w:u w:val="none"/>
              </w:rPr>
            </w:pPr>
          </w:p>
        </w:tc>
        <w:tc>
          <w:tcPr>
            <w:tcW w:w="922" w:type="dxa"/>
            <w:tcBorders>
              <w:top w:val="single" w:color="000000" w:sz="4" w:space="0"/>
              <w:left w:val="single" w:color="000000" w:sz="4" w:space="0"/>
              <w:bottom w:val="single" w:color="000000" w:sz="4" w:space="0"/>
              <w:right w:val="single" w:color="000000" w:sz="4" w:space="0"/>
            </w:tcBorders>
            <w:noWrap w:val="0"/>
            <w:vAlign w:val="center"/>
          </w:tcPr>
          <w:p w14:paraId="7D83D8EF">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598E520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樟木头</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8F9CB7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4F189A55">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12.62</w:t>
            </w:r>
          </w:p>
        </w:tc>
        <w:tc>
          <w:tcPr>
            <w:tcW w:w="1451" w:type="dxa"/>
            <w:tcBorders>
              <w:top w:val="single" w:color="000000" w:sz="4" w:space="0"/>
              <w:left w:val="single" w:color="000000" w:sz="4" w:space="0"/>
              <w:bottom w:val="single" w:color="000000" w:sz="4" w:space="0"/>
              <w:right w:val="single" w:color="000000" w:sz="4" w:space="0"/>
            </w:tcBorders>
            <w:noWrap/>
            <w:vAlign w:val="center"/>
          </w:tcPr>
          <w:p w14:paraId="3784C5E3">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28.40 </w:t>
            </w:r>
          </w:p>
        </w:tc>
      </w:tr>
      <w:tr w14:paraId="5C718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B04E">
            <w:pPr>
              <w:keepNext w:val="0"/>
              <w:keepLines w:val="0"/>
              <w:pageBreakBefore w:val="0"/>
              <w:kinsoku/>
              <w:wordWrap/>
              <w:overflowPunct/>
              <w:topLinePunct w:val="0"/>
              <w:bidi w:val="0"/>
              <w:adjustRightInd w:val="0"/>
              <w:snapToGrid/>
              <w:spacing w:line="360" w:lineRule="auto"/>
              <w:jc w:val="center"/>
              <w:rPr>
                <w:rFonts w:hint="eastAsia" w:ascii="宋体" w:hAnsi="宋体" w:eastAsia="宋体" w:cs="宋体"/>
                <w:i w:val="0"/>
                <w:iCs w:val="0"/>
                <w:color w:val="000000"/>
                <w:sz w:val="21"/>
                <w:szCs w:val="21"/>
                <w:u w:val="none"/>
              </w:rPr>
            </w:pPr>
          </w:p>
        </w:tc>
        <w:tc>
          <w:tcPr>
            <w:tcW w:w="3629" w:type="dxa"/>
            <w:gridSpan w:val="4"/>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9A4FB4E">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1432"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BC15CD">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53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292016">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30.54</w:t>
            </w:r>
          </w:p>
        </w:tc>
        <w:tc>
          <w:tcPr>
            <w:tcW w:w="145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B7BAEA">
            <w:pPr>
              <w:keepNext w:val="0"/>
              <w:keepLines w:val="0"/>
              <w:pageBreakBefore w:val="0"/>
              <w:widowControl/>
              <w:suppressLineNumbers w:val="0"/>
              <w:kinsoku/>
              <w:wordWrap/>
              <w:overflowPunct/>
              <w:topLinePunct w:val="0"/>
              <w:bidi w:val="0"/>
              <w:adjustRightInd w:val="0"/>
              <w:snapToGrid/>
              <w:spacing w:line="36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68.73</w:t>
            </w:r>
          </w:p>
        </w:tc>
      </w:tr>
    </w:tbl>
    <w:p w14:paraId="71C29BFF">
      <w:pPr>
        <w:keepNext w:val="0"/>
        <w:keepLines w:val="0"/>
        <w:pageBreakBefore w:val="0"/>
        <w:widowControl/>
        <w:kinsoku/>
        <w:wordWrap/>
        <w:overflowPunct/>
        <w:topLinePunct w:val="0"/>
        <w:bidi w:val="0"/>
        <w:adjustRightInd w:val="0"/>
        <w:snapToGrid/>
        <w:spacing w:line="360" w:lineRule="auto"/>
        <w:ind w:firstLine="420" w:firstLineChars="200"/>
        <w:jc w:val="left"/>
        <w:rPr>
          <w:rFonts w:hint="eastAsia" w:ascii="宋体" w:hAnsi="宋体" w:eastAsia="宋体" w:cs="宋体"/>
          <w:sz w:val="21"/>
          <w:szCs w:val="21"/>
          <w:highlight w:val="none"/>
          <w:lang w:val="en-US" w:eastAsia="zh-CN"/>
        </w:rPr>
      </w:pPr>
    </w:p>
    <w:p w14:paraId="23B352F6">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lang w:val="en-US" w:eastAsia="zh"/>
        </w:rPr>
        <w:t>限价、成交方式</w:t>
      </w:r>
      <w:r>
        <w:rPr>
          <w:rFonts w:hint="eastAsia" w:ascii="宋体" w:hAnsi="宋体" w:eastAsia="宋体" w:cs="宋体"/>
          <w:b/>
          <w:bCs/>
          <w:sz w:val="21"/>
          <w:szCs w:val="21"/>
          <w:highlight w:val="none"/>
          <w:lang w:val="en-US" w:eastAsia="zh-CN"/>
        </w:rPr>
        <w:t>及</w:t>
      </w:r>
      <w:r>
        <w:rPr>
          <w:rFonts w:hint="eastAsia" w:ascii="宋体" w:hAnsi="宋体" w:eastAsia="宋体" w:cs="宋体"/>
          <w:b/>
          <w:bCs/>
          <w:sz w:val="21"/>
          <w:szCs w:val="21"/>
          <w:highlight w:val="none"/>
          <w:lang w:val="en-US" w:eastAsia="zh"/>
        </w:rPr>
        <w:t>报价</w:t>
      </w:r>
      <w:r>
        <w:rPr>
          <w:rFonts w:hint="eastAsia" w:ascii="宋体" w:hAnsi="宋体" w:eastAsia="宋体" w:cs="宋体"/>
          <w:b/>
          <w:bCs/>
          <w:sz w:val="21"/>
          <w:szCs w:val="21"/>
          <w:highlight w:val="none"/>
          <w:lang w:val="en-US" w:eastAsia="zh-CN"/>
        </w:rPr>
        <w:t>要求</w:t>
      </w:r>
    </w:p>
    <w:p w14:paraId="7AE9FE99">
      <w:pPr>
        <w:keepNext w:val="0"/>
        <w:keepLines w:val="0"/>
        <w:pageBreakBefore w:val="0"/>
        <w:numPr>
          <w:ilvl w:val="0"/>
          <w:numId w:val="2"/>
        </w:numPr>
        <w:kinsoku/>
        <w:wordWrap/>
        <w:overflowPunct/>
        <w:topLinePunct w:val="0"/>
        <w:bidi w:val="0"/>
        <w:adjustRightInd w:val="0"/>
        <w:snapToGrid/>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采购限价</w:t>
      </w:r>
    </w:p>
    <w:p w14:paraId="4184B5D6">
      <w:pPr>
        <w:keepNext w:val="0"/>
        <w:keepLines w:val="0"/>
        <w:pageBreakBefore w:val="0"/>
        <w:numPr>
          <w:ilvl w:val="0"/>
          <w:numId w:val="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以市场询价平均单价</w:t>
      </w:r>
      <w:r>
        <w:rPr>
          <w:rFonts w:hint="eastAsia" w:ascii="宋体" w:hAnsi="宋体" w:eastAsia="宋体" w:cs="宋体"/>
          <w:sz w:val="21"/>
          <w:szCs w:val="21"/>
          <w:highlight w:val="none"/>
          <w:lang w:val="en-US" w:eastAsia="zh"/>
        </w:rPr>
        <w:t>（不含税）</w:t>
      </w:r>
      <w:r>
        <w:rPr>
          <w:rFonts w:hint="eastAsia" w:ascii="宋体" w:hAnsi="宋体" w:eastAsia="宋体" w:cs="宋体"/>
          <w:sz w:val="21"/>
          <w:szCs w:val="21"/>
          <w:highlight w:val="none"/>
          <w:lang w:val="en-US" w:eastAsia="zh-CN"/>
        </w:rPr>
        <w:t>作为最高限价</w:t>
      </w:r>
      <w:r>
        <w:rPr>
          <w:rFonts w:hint="eastAsia" w:ascii="宋体" w:hAnsi="宋体" w:eastAsia="宋体" w:cs="宋体"/>
          <w:sz w:val="21"/>
          <w:szCs w:val="21"/>
          <w:highlight w:val="none"/>
          <w:lang w:val="en-US" w:eastAsia="zh"/>
        </w:rPr>
        <w:t>，其中A包254元/吨、B包260元/吨、C包258.67元/吨</w:t>
      </w:r>
      <w:r>
        <w:rPr>
          <w:rFonts w:hint="eastAsia" w:ascii="宋体" w:hAnsi="宋体" w:eastAsia="宋体" w:cs="宋体"/>
          <w:sz w:val="21"/>
          <w:szCs w:val="21"/>
          <w:highlight w:val="none"/>
          <w:lang w:val="en-US" w:eastAsia="zh-CN"/>
        </w:rPr>
        <w:t>。</w:t>
      </w:r>
    </w:p>
    <w:p w14:paraId="23E07736">
      <w:pPr>
        <w:keepNext w:val="0"/>
        <w:keepLines w:val="0"/>
        <w:pageBreakBefore w:val="0"/>
        <w:numPr>
          <w:ilvl w:val="0"/>
          <w:numId w:val="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
        </w:rPr>
      </w:pPr>
      <w:r>
        <w:rPr>
          <w:rFonts w:hint="eastAsia" w:ascii="宋体" w:hAnsi="宋体" w:eastAsia="宋体" w:cs="宋体"/>
          <w:sz w:val="21"/>
          <w:szCs w:val="21"/>
          <w:highlight w:val="none"/>
          <w:lang w:val="en-US" w:eastAsia="zh-CN"/>
        </w:rPr>
        <w:t>（二）</w:t>
      </w:r>
      <w:r>
        <w:rPr>
          <w:rFonts w:hint="eastAsia" w:ascii="宋体" w:hAnsi="宋体" w:eastAsia="宋体" w:cs="宋体"/>
          <w:sz w:val="21"/>
          <w:szCs w:val="21"/>
          <w:highlight w:val="none"/>
        </w:rPr>
        <w:t>成交原则：</w:t>
      </w:r>
      <w:r>
        <w:rPr>
          <w:rFonts w:hint="eastAsia" w:ascii="宋体" w:hAnsi="宋体" w:eastAsia="宋体" w:cs="宋体"/>
          <w:b w:val="0"/>
          <w:bCs w:val="0"/>
          <w:sz w:val="21"/>
          <w:szCs w:val="21"/>
          <w:highlight w:val="none"/>
          <w:lang w:eastAsia="zh"/>
        </w:rPr>
        <w:t>各包组单独评审兼投不兼中，按A、B、C三个包组依次从实质性满足采购需求的供应商中，按不含税价最低成交原则确定成交供应商。若供应商数量不足无法确定所有包组时，采购人有权按供应商实际数量确定或重新组织采购</w:t>
      </w:r>
      <w:r>
        <w:rPr>
          <w:rFonts w:hint="eastAsia" w:ascii="宋体" w:hAnsi="宋体" w:eastAsia="宋体" w:cs="宋体"/>
          <w:sz w:val="21"/>
          <w:szCs w:val="21"/>
          <w:highlight w:val="none"/>
          <w:lang w:eastAsia="zh"/>
        </w:rPr>
        <w:t>。</w:t>
      </w:r>
    </w:p>
    <w:p w14:paraId="7CE99055">
      <w:pPr>
        <w:keepNext w:val="0"/>
        <w:keepLines w:val="0"/>
        <w:pageBreakBefore w:val="0"/>
        <w:numPr>
          <w:ilvl w:val="0"/>
          <w:numId w:val="0"/>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（三）报价要求</w:t>
      </w:r>
    </w:p>
    <w:p w14:paraId="5AD4BBD7">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总报价应包括</w:t>
      </w:r>
      <w:r>
        <w:rPr>
          <w:rFonts w:hint="eastAsia" w:ascii="宋体" w:hAnsi="宋体" w:eastAsia="宋体" w:cs="宋体"/>
          <w:b/>
          <w:bCs/>
          <w:sz w:val="21"/>
          <w:szCs w:val="21"/>
          <w:highlight w:val="none"/>
          <w:lang w:val="en-US" w:eastAsia="zh-CN"/>
        </w:rPr>
        <w:t>完成采购方污泥减量化达标处理服务所需的设备设施、物资、服务、人力成本、药剂费、电费、水费、维修（包括但不限于日常维修）、日常办公等管理费、设备增补、税费、保险费、合同实施过程中的所有费用。</w:t>
      </w:r>
      <w:r>
        <w:rPr>
          <w:rFonts w:hint="eastAsia" w:ascii="宋体" w:hAnsi="宋体" w:eastAsia="宋体" w:cs="宋体"/>
          <w:b/>
          <w:bCs/>
          <w:kern w:val="2"/>
          <w:sz w:val="21"/>
          <w:szCs w:val="21"/>
          <w:highlight w:val="none"/>
          <w:u w:val="none"/>
          <w:lang w:val="en-US" w:eastAsia="zh-CN"/>
        </w:rPr>
        <w:t>供应方自行与水、电、气等提供方协商确定费用的计量方式、计价标准以及费用结算时的票据处理流程。</w:t>
      </w:r>
    </w:p>
    <w:p w14:paraId="6336260E">
      <w:pPr>
        <w:keepNext w:val="0"/>
        <w:keepLines w:val="0"/>
        <w:pageBreakBefore w:val="0"/>
        <w:numPr>
          <w:ilvl w:val="0"/>
          <w:numId w:val="0"/>
        </w:numPr>
        <w:kinsoku/>
        <w:wordWrap/>
        <w:overflowPunct/>
        <w:topLinePunct w:val="0"/>
        <w:bidi w:val="0"/>
        <w:adjustRightInd w:val="0"/>
        <w:snapToGrid/>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
        </w:rPr>
        <w:t>（四）</w:t>
      </w:r>
      <w:r>
        <w:rPr>
          <w:rFonts w:hint="eastAsia" w:ascii="宋体" w:hAnsi="宋体" w:eastAsia="宋体" w:cs="宋体"/>
          <w:b/>
          <w:bCs/>
          <w:sz w:val="21"/>
          <w:szCs w:val="21"/>
          <w:highlight w:val="none"/>
          <w:lang w:val="en-US" w:eastAsia="zh-CN"/>
        </w:rPr>
        <w:t>风险特别约定情况</w:t>
      </w:r>
    </w:p>
    <w:p w14:paraId="1EB20FCE">
      <w:pPr>
        <w:keepNext w:val="0"/>
        <w:keepLines w:val="0"/>
        <w:pageBreakBefore w:val="0"/>
        <w:kinsoku/>
        <w:wordWrap/>
        <w:overflowPunct/>
        <w:topLinePunct w:val="0"/>
        <w:bidi w:val="0"/>
        <w:adjustRightInd w:val="0"/>
        <w:snapToGrid/>
        <w:spacing w:line="360" w:lineRule="auto"/>
        <w:ind w:firstLine="420" w:firstLineChars="200"/>
        <w:outlineLvl w:val="9"/>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供应方应清楚理解并同意接受本项目具有较大的不确定性，存在包括但不限于以下不确定性因素，因政策调整取消实施或拆除已安装的污泥脱水减量化处理设施、因污水处理厂用地手续不完善等问题被相关行政主管部门叫停而导致需提前结束污泥脱水减量化处理服务合同、因提供给供应方脱水减量化处理的泥量严重不符、因政策或标准调整要求含水率的变化导致需提前解除污泥脱水减量化处理服务合同等，因前述原因或同类因素导致已委托给供应方的项目无法实施或正在安装的或已安装的污泥脱水处理设施后项目取消的，供应方同意放弃向采购方追讨任何费用或主张任何权利和责任。若发生以上情况，服务期未满前撤场，发出《撤场通知书》后30日内完成撤场。</w:t>
      </w:r>
    </w:p>
    <w:p w14:paraId="0FEF4E14">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rPr>
        <w:t>服务</w:t>
      </w:r>
      <w:r>
        <w:rPr>
          <w:rFonts w:hint="eastAsia" w:ascii="宋体" w:hAnsi="宋体" w:eastAsia="宋体" w:cs="宋体"/>
          <w:b/>
          <w:bCs/>
          <w:sz w:val="21"/>
          <w:szCs w:val="21"/>
          <w:highlight w:val="none"/>
          <w:lang w:val="en-US" w:eastAsia="zh-CN"/>
        </w:rPr>
        <w:t>期限</w:t>
      </w:r>
    </w:p>
    <w:p w14:paraId="22044055">
      <w:pPr>
        <w:keepNext w:val="0"/>
        <w:keepLines w:val="0"/>
        <w:pageBreakBefore w:val="0"/>
        <w:widowControl/>
        <w:kinsoku/>
        <w:wordWrap/>
        <w:overflowPunct/>
        <w:topLinePunct w:val="0"/>
        <w:bidi w:val="0"/>
        <w:adjustRightInd w:val="0"/>
        <w:snapToGrid/>
        <w:spacing w:line="360" w:lineRule="auto"/>
        <w:ind w:firstLine="420" w:firstLineChars="2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本应急服务合同具体开始日期以甲方发出《进场通知书》之日起为准。服务期自</w:t>
      </w:r>
      <w:r>
        <w:rPr>
          <w:rFonts w:hint="eastAsia" w:ascii="宋体" w:hAnsi="宋体" w:eastAsia="宋体" w:cs="宋体"/>
          <w:kern w:val="2"/>
          <w:sz w:val="21"/>
          <w:szCs w:val="21"/>
          <w:highlight w:val="none"/>
          <w:lang w:val="en-US" w:eastAsia="zh-CN" w:bidi="ar"/>
        </w:rPr>
        <w:t>设备进场投用之日起12个月止</w:t>
      </w:r>
      <w:r>
        <w:rPr>
          <w:rFonts w:hint="eastAsia" w:ascii="宋体" w:hAnsi="宋体" w:eastAsia="宋体" w:cs="宋体"/>
          <w:sz w:val="21"/>
          <w:szCs w:val="21"/>
          <w:highlight w:val="none"/>
          <w:lang w:val="en-US" w:eastAsia="zh-CN"/>
        </w:rPr>
        <w:t>，。服务期内，采购方根据风险提示约定条件，有权根据实际情况发出《撤场通知书》并要求供应方无条件提前终止服务并在采购方发出《撤场通知书》后30日内完成撤场。若服务期未满前撤场，发出《撤场通知书》后30日内完成撤场。</w:t>
      </w:r>
    </w:p>
    <w:p w14:paraId="28491B9A">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服务要求</w:t>
      </w:r>
    </w:p>
    <w:p w14:paraId="3F282A91">
      <w:pPr>
        <w:keepNext w:val="0"/>
        <w:keepLines w:val="0"/>
        <w:pageBreakBefore w:val="0"/>
        <w:numPr>
          <w:ilvl w:val="0"/>
          <w:numId w:val="3"/>
        </w:numPr>
        <w:kinsoku/>
        <w:wordWrap/>
        <w:overflowPunct/>
        <w:topLinePunct w:val="0"/>
        <w:bidi w:val="0"/>
        <w:adjustRightInd w:val="0"/>
        <w:snapToGrid/>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脱水减量化处理设施建设进度要求</w:t>
      </w:r>
    </w:p>
    <w:p w14:paraId="44B308DB">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污水处理厂污泥脱水减量化项目，供应方必须承诺在收到采购方《进场通知书》之日起15日内完成设备安装并具备正式投产条件。</w:t>
      </w:r>
    </w:p>
    <w:p w14:paraId="4692FA1F">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泥脱水减量化项目的“投产”是指污泥脱水减量化产能连续三日稳定达到该处理点设计规模产能的80%或以上，减量化后的半干化污泥含水率不高于60%（若由于污泥产出单位自身原因导致的污泥产量不足，则由采购方与污泥产生单位经现场确认其产能是否达到要求）。</w:t>
      </w:r>
    </w:p>
    <w:p w14:paraId="1B62DB8E">
      <w:pPr>
        <w:keepNext w:val="0"/>
        <w:keepLines w:val="0"/>
        <w:pageBreakBefore w:val="0"/>
        <w:numPr>
          <w:ilvl w:val="0"/>
          <w:numId w:val="3"/>
        </w:numPr>
        <w:kinsoku/>
        <w:wordWrap/>
        <w:overflowPunct/>
        <w:topLinePunct w:val="0"/>
        <w:bidi w:val="0"/>
        <w:adjustRightInd w:val="0"/>
        <w:snapToGrid/>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污泥计量、脱水减量化处理后污泥的含水率及抽检、计费要求</w:t>
      </w:r>
    </w:p>
    <w:p w14:paraId="268D1FC7">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污水处理厂污泥减量化项目减量化服务费单价按含水率80%的湿泥计价（元/吨）。</w:t>
      </w:r>
    </w:p>
    <w:p w14:paraId="609345E4">
      <w:pPr>
        <w:keepNext w:val="0"/>
        <w:keepLines w:val="0"/>
        <w:pageBreakBefore w:val="0"/>
        <w:numPr>
          <w:ilvl w:val="0"/>
          <w:numId w:val="5"/>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污泥称重计量：污水处理厂出厂的半干化泥粉，通过采购方指定的地磅的称重数据（磅单）为计量计费依据，计量相关费用均由采购方承担。</w:t>
      </w:r>
    </w:p>
    <w:p w14:paraId="55846E90">
      <w:pPr>
        <w:keepNext w:val="0"/>
        <w:keepLines w:val="0"/>
        <w:pageBreakBefore w:val="0"/>
        <w:numPr>
          <w:ilvl w:val="0"/>
          <w:numId w:val="5"/>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当车结算泥量。当车结算泥量=称重数据（磅单）×（1-60%）/（1-80%）。</w:t>
      </w:r>
    </w:p>
    <w:p w14:paraId="4D74024E">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含水率</w:t>
      </w:r>
    </w:p>
    <w:p w14:paraId="149C1A93">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应严格遵照采购方要求将污泥脱水减量化至含水率不高于60%，合同统一按含水率60%统计污泥减量化处理量，并折算为含水率80%的湿泥计价，按合同单价（将从污水厂储泥池或沉淀池抽取的污泥脱水减量至含水率不高于60%的半干化污泥服务费单价）计取。</w:t>
      </w:r>
    </w:p>
    <w:p w14:paraId="12D40BC0">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含水率检测</w:t>
      </w:r>
    </w:p>
    <w:p w14:paraId="0CD36CC6">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含水率检测包括由污水处理厂化验室（或污水处理厂委托的第三方检测机构）检测及采购方抽检两部分。</w:t>
      </w:r>
    </w:p>
    <w:p w14:paraId="5F0AAFF7">
      <w:pPr>
        <w:keepNext w:val="0"/>
        <w:keepLines w:val="0"/>
        <w:pageBreakBefore w:val="0"/>
        <w:numPr>
          <w:ilvl w:val="0"/>
          <w:numId w:val="6"/>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抽检采样方式</w:t>
      </w:r>
    </w:p>
    <w:p w14:paraId="74FD7D3B">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污水处理厂化验室（或污水处理厂委托的第三方检测机构）检测：在本项目半干化泥粉外运装车时采集半干化泥粉样品，采样点为采购方指定采样位置，采样方法执行《城镇污水处理厂污染物排放标准》（GB18918-2002）的规定，多点取样，即在采购方指定3个不同的地方，用不锈钢采样器采集泥样后，现场混合碾碎为一个均匀样。前述采集的均匀样分为4份,并对4份样品进行编码以便记录和区分。1份交由污水处理厂化验室（或污水处理厂委托的第三方检测机构）检测；1份放至污水处理厂化验室（或污水处理厂委托的第三方检测机构），以备采购方委托的第三方检测机构复检（有异议时）或抽检（每月4次）；1份交由供应方自行保留或自检；1份交由采购方自行检测。若供应方对污水处理厂化验室（或污水处理厂委托的第三方检测机构）检测的含水率有异议（24小时内提出），则由采购方委托的第三方有资质的检测公司对污水处理厂留底的样品进行检测（48小时内），并以该含水率作为最终计费依据。</w:t>
      </w:r>
    </w:p>
    <w:p w14:paraId="277BD61D">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采购方抽检：由采购方或采购方委托的第三方检测机构进行采样，样本采集后分4份，其中1份由第三方检测机构检验；2份交由污泥减量化项目所在污水处理厂化验室检测（1份由化验室检测，1份由化验室留存以备复检）；1份由供应方自行保留或自检。</w:t>
      </w:r>
    </w:p>
    <w:p w14:paraId="16C8FA0A">
      <w:pPr>
        <w:keepNext w:val="0"/>
        <w:keepLines w:val="0"/>
        <w:pageBreakBefore w:val="0"/>
        <w:numPr>
          <w:ilvl w:val="0"/>
          <w:numId w:val="6"/>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样时供应方需用水印相机拍摄采样过程视频，并由供应方负责建立《采样台账》（具体格式由供应方自定，含样品编码、抽检位置、抽检时间及双方签字记录等信息），由污水处理厂（或污水处理厂委托的第三方检测机构）和供应方共同在《采样台账》上签名确认污泥样品，采样视频及《采样台账》于每月请款时交采购方留底。</w:t>
      </w:r>
    </w:p>
    <w:p w14:paraId="36C3E056">
      <w:pPr>
        <w:keepNext w:val="0"/>
        <w:keepLines w:val="0"/>
        <w:pageBreakBefore w:val="0"/>
        <w:numPr>
          <w:ilvl w:val="0"/>
          <w:numId w:val="6"/>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水处理厂化验室（或污水处理厂委托的第三方检测机构）检测。污水处理厂化验室（或污水处理厂委托的第三方检测机构）在每车半干化泥粉出厂前（过第2次地磅前）完成采样工作。污水处理厂、采购方及供应方三方对脱水减量化后的半干化泥粉出厂含水率进行共同确认，形成《统计台账》，于每月请款时交采购方留底。</w:t>
      </w:r>
      <w:r>
        <w:rPr>
          <w:rFonts w:hint="eastAsia" w:ascii="宋体" w:hAnsi="宋体" w:eastAsia="宋体" w:cs="宋体"/>
          <w:sz w:val="21"/>
          <w:szCs w:val="21"/>
          <w:highlight w:val="none"/>
        </w:rPr>
        <w:t>因乙方减量化处理后的污泥含水率高于</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%，导致甲方委外的污泥处置单位拒收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退车，主管部门扣款等情况</w:t>
      </w:r>
      <w:r>
        <w:rPr>
          <w:rFonts w:hint="eastAsia" w:ascii="宋体" w:hAnsi="宋体" w:eastAsia="宋体" w:cs="宋体"/>
          <w:sz w:val="21"/>
          <w:szCs w:val="21"/>
          <w:highlight w:val="none"/>
        </w:rPr>
        <w:t>，因此发生的往返运输、称重、装车、重新减量化处理等相关费用由乙方承担。</w:t>
      </w:r>
      <w:r>
        <w:rPr>
          <w:rFonts w:hint="eastAsia" w:ascii="宋体" w:hAnsi="宋体" w:eastAsia="宋体" w:cs="宋体"/>
          <w:bCs w:val="0"/>
          <w:sz w:val="21"/>
          <w:szCs w:val="21"/>
          <w:highlight w:val="none"/>
        </w:rPr>
        <w:t>若由此给甲方造成损失的，乙方还应当承担全部赔偿责任。</w:t>
      </w:r>
    </w:p>
    <w:p w14:paraId="680E7008">
      <w:pPr>
        <w:keepNext w:val="0"/>
        <w:keepLines w:val="0"/>
        <w:pageBreakBefore w:val="0"/>
        <w:numPr>
          <w:ilvl w:val="0"/>
          <w:numId w:val="6"/>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方或采购方委托的第三方检测机构每月随机从采集的样品中选取不少于4个进行检测（如污泥产生单位产生污泥量不足4车，以具体车次为准），并最终以采购方委托的第三方检测机构的检测数据作为当车污泥脱水减量化处理服务费计费依据，当月其余车次含水率以《统计台账》为准，形成《XXX年XX月XXX厂污泥脱水减量服务费结算台账》（下称“《结算台账》”），作为采购方向供应方支付当月污泥脱水减量化处理服务费的结算依据。</w:t>
      </w:r>
    </w:p>
    <w:p w14:paraId="0D85CCF2">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污泥脱水减量化处理服务费计费（按同一污泥产生单位进行计费）</w:t>
      </w:r>
    </w:p>
    <w:p w14:paraId="29E90327">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当车含水率小于或等于60%时，当车污泥脱水减量化处理服务费=当车结算泥量×合同单价（从污水厂储泥池或沉淀池抽取的污泥减量至含水率不高于60%的半干化污泥服务费单价）。</w:t>
      </w:r>
    </w:p>
    <w:p w14:paraId="2B5BE534">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当车含水率大于60%小于等于65%时，当车污泥脱水减量化处理服务费=当车结算泥量×合同单价（从污水厂储泥池或沉淀池抽取的污泥减量至含水率不高于60%的半干化污泥服务费单价）×0.5。</w:t>
      </w:r>
    </w:p>
    <w:p w14:paraId="6F02137C">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当车含水率大于65%时，采购方无需支付当车污泥脱水减量化处理服务费。</w:t>
      </w:r>
    </w:p>
    <w:p w14:paraId="797CBF8D">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同一污泥产生单位的当月平均含水率小于或等于60%时，当月污泥脱水减量化处理服务费为当月每车</w:t>
      </w:r>
      <w:r>
        <w:rPr>
          <w:rFonts w:hint="eastAsia" w:ascii="宋体" w:hAnsi="宋体" w:eastAsia="宋体" w:cs="宋体"/>
          <w:sz w:val="21"/>
          <w:szCs w:val="21"/>
          <w:highlight w:val="none"/>
          <w:lang w:val="en-US" w:eastAsia="zh-CN"/>
        </w:rPr>
        <w:t>污泥脱水减量化处理服务费之和</w:t>
      </w:r>
      <w:r>
        <w:rPr>
          <w:rFonts w:hint="eastAsia" w:ascii="宋体" w:hAnsi="宋体" w:eastAsia="宋体" w:cs="宋体"/>
          <w:b w:val="0"/>
          <w:bCs w:val="0"/>
          <w:sz w:val="21"/>
          <w:szCs w:val="21"/>
          <w:highlight w:val="none"/>
          <w:lang w:val="en-US" w:eastAsia="zh-CN"/>
        </w:rPr>
        <w:t>；</w:t>
      </w:r>
    </w:p>
    <w:p w14:paraId="733259FE">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rPr>
        <w:t>同一污泥产生单位的</w:t>
      </w:r>
      <w:r>
        <w:rPr>
          <w:rFonts w:hint="eastAsia" w:ascii="宋体" w:hAnsi="宋体" w:eastAsia="宋体" w:cs="宋体"/>
          <w:b w:val="0"/>
          <w:bCs w:val="0"/>
          <w:sz w:val="21"/>
          <w:szCs w:val="21"/>
          <w:highlight w:val="none"/>
          <w:lang w:val="en-US" w:eastAsia="zh-CN"/>
        </w:rPr>
        <w:t>当月平均含水率大于60%小于65%</w:t>
      </w:r>
      <w:r>
        <w:rPr>
          <w:rFonts w:hint="eastAsia" w:ascii="宋体" w:hAnsi="宋体" w:eastAsia="宋体" w:cs="宋体"/>
          <w:sz w:val="21"/>
          <w:szCs w:val="21"/>
          <w:highlight w:val="none"/>
          <w:lang w:val="en-US" w:eastAsia="zh-CN"/>
        </w:rPr>
        <w:t>（含65%）</w:t>
      </w:r>
      <w:r>
        <w:rPr>
          <w:rFonts w:hint="eastAsia" w:ascii="宋体" w:hAnsi="宋体" w:eastAsia="宋体" w:cs="宋体"/>
          <w:b w:val="0"/>
          <w:bCs w:val="0"/>
          <w:sz w:val="21"/>
          <w:szCs w:val="21"/>
          <w:highlight w:val="none"/>
          <w:lang w:val="en-US" w:eastAsia="zh-CN"/>
        </w:rPr>
        <w:t>时，</w:t>
      </w:r>
      <w:r>
        <w:rPr>
          <w:rFonts w:hint="eastAsia" w:ascii="宋体" w:hAnsi="宋体" w:eastAsia="宋体" w:cs="宋体"/>
          <w:sz w:val="21"/>
          <w:szCs w:val="21"/>
          <w:highlight w:val="none"/>
          <w:lang w:val="en-US" w:eastAsia="zh-CN"/>
        </w:rPr>
        <w:t>当月应收取污泥脱水减量化处理服务费=</w:t>
      </w:r>
      <w:r>
        <w:rPr>
          <w:rFonts w:hint="eastAsia" w:ascii="宋体" w:hAnsi="宋体" w:eastAsia="宋体" w:cs="宋体"/>
          <w:b w:val="0"/>
          <w:bCs w:val="0"/>
          <w:sz w:val="21"/>
          <w:szCs w:val="21"/>
          <w:highlight w:val="none"/>
          <w:lang w:val="en-US" w:eastAsia="zh-CN"/>
        </w:rPr>
        <w:t>当月每车</w:t>
      </w:r>
      <w:r>
        <w:rPr>
          <w:rFonts w:hint="eastAsia" w:ascii="宋体" w:hAnsi="宋体" w:eastAsia="宋体" w:cs="宋体"/>
          <w:sz w:val="21"/>
          <w:szCs w:val="21"/>
          <w:highlight w:val="none"/>
          <w:lang w:val="en-US" w:eastAsia="zh-CN"/>
        </w:rPr>
        <w:t>污泥脱水减量化处理服务费之和×0.5</w:t>
      </w:r>
      <w:r>
        <w:rPr>
          <w:rFonts w:hint="eastAsia" w:ascii="宋体" w:hAnsi="宋体" w:eastAsia="宋体" w:cs="宋体"/>
          <w:b w:val="0"/>
          <w:bCs w:val="0"/>
          <w:sz w:val="21"/>
          <w:szCs w:val="21"/>
          <w:highlight w:val="none"/>
          <w:lang w:val="en-US" w:eastAsia="zh-CN"/>
        </w:rPr>
        <w:t>；</w:t>
      </w:r>
    </w:p>
    <w:p w14:paraId="75592640">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sz w:val="21"/>
          <w:szCs w:val="21"/>
          <w:highlight w:val="none"/>
        </w:rPr>
        <w:t>同一污泥产生单位的</w:t>
      </w:r>
      <w:r>
        <w:rPr>
          <w:rFonts w:hint="eastAsia" w:ascii="宋体" w:hAnsi="宋体" w:eastAsia="宋体" w:cs="宋体"/>
          <w:b w:val="0"/>
          <w:bCs w:val="0"/>
          <w:sz w:val="21"/>
          <w:szCs w:val="21"/>
          <w:highlight w:val="none"/>
          <w:lang w:val="en-US" w:eastAsia="zh-CN"/>
        </w:rPr>
        <w:t>当月平均含水率大于65%时，采购方无需支付当月应收取污泥脱水减量化处理服务费。</w:t>
      </w:r>
    </w:p>
    <w:p w14:paraId="446404DF">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以</w:t>
      </w:r>
      <w:r>
        <w:rPr>
          <w:rFonts w:hint="eastAsia" w:ascii="宋体" w:hAnsi="宋体" w:eastAsia="宋体" w:cs="宋体"/>
          <w:sz w:val="21"/>
          <w:szCs w:val="21"/>
          <w:highlight w:val="none"/>
          <w:lang w:val="en-US" w:eastAsia="zh-CN"/>
        </w:rPr>
        <w:t>采购方或产业中心</w:t>
      </w:r>
      <w:r>
        <w:rPr>
          <w:rFonts w:hint="eastAsia" w:ascii="宋体" w:hAnsi="宋体" w:eastAsia="宋体" w:cs="宋体"/>
          <w:sz w:val="21"/>
          <w:szCs w:val="21"/>
          <w:highlight w:val="none"/>
        </w:rPr>
        <w:t>抽检的含水率检测结果作为日常监督过程数据和对</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作出违约处罚的依据：</w:t>
      </w:r>
    </w:p>
    <w:p w14:paraId="5549E9D4">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当抽检半干化污泥含水率检测结果大于</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%小于65%</w:t>
      </w:r>
      <w:r>
        <w:rPr>
          <w:rFonts w:hint="eastAsia" w:ascii="宋体" w:hAnsi="宋体" w:eastAsia="宋体" w:cs="宋体"/>
          <w:sz w:val="21"/>
          <w:szCs w:val="21"/>
          <w:highlight w:val="none"/>
          <w:lang w:val="en-US" w:eastAsia="zh-CN"/>
        </w:rPr>
        <w:t>（含65%）时</w:t>
      </w:r>
      <w:r>
        <w:rPr>
          <w:rFonts w:hint="eastAsia" w:ascii="宋体" w:hAnsi="宋体" w:eastAsia="宋体" w:cs="宋体"/>
          <w:sz w:val="21"/>
          <w:szCs w:val="21"/>
          <w:highlight w:val="none"/>
        </w:rPr>
        <w:t>，每发现一次</w:t>
      </w:r>
      <w:r>
        <w:rPr>
          <w:rFonts w:hint="eastAsia" w:ascii="宋体" w:hAnsi="宋体" w:eastAsia="宋体" w:cs="宋体"/>
          <w:sz w:val="21"/>
          <w:szCs w:val="21"/>
          <w:highlight w:val="none"/>
          <w:lang w:val="en-US" w:eastAsia="zh-CN"/>
        </w:rPr>
        <w:t>采购方</w:t>
      </w:r>
      <w:r>
        <w:rPr>
          <w:rFonts w:hint="eastAsia" w:ascii="宋体" w:hAnsi="宋体" w:eastAsia="宋体" w:cs="宋体"/>
          <w:sz w:val="21"/>
          <w:szCs w:val="21"/>
          <w:highlight w:val="none"/>
        </w:rPr>
        <w:t>有权在</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的污泥处理处置服务费中扣减</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0000元（</w:t>
      </w:r>
      <w:r>
        <w:rPr>
          <w:rFonts w:hint="eastAsia" w:ascii="宋体" w:hAnsi="宋体" w:eastAsia="宋体" w:cs="宋体"/>
          <w:sz w:val="21"/>
          <w:szCs w:val="21"/>
          <w:highlight w:val="none"/>
          <w:lang w:val="en-US" w:eastAsia="zh-CN"/>
        </w:rPr>
        <w:t>壹</w:t>
      </w:r>
      <w:r>
        <w:rPr>
          <w:rFonts w:hint="eastAsia" w:ascii="宋体" w:hAnsi="宋体" w:eastAsia="宋体" w:cs="宋体"/>
          <w:sz w:val="21"/>
          <w:szCs w:val="21"/>
          <w:highlight w:val="none"/>
        </w:rPr>
        <w:t>万元整）作为违约金</w:t>
      </w:r>
      <w:r>
        <w:rPr>
          <w:rFonts w:hint="eastAsia" w:ascii="宋体" w:hAnsi="宋体" w:eastAsia="宋体" w:cs="宋体"/>
          <w:sz w:val="21"/>
          <w:szCs w:val="21"/>
          <w:highlight w:val="none"/>
          <w:lang w:eastAsia="zh-CN"/>
        </w:rPr>
        <w:t>；</w:t>
      </w:r>
    </w:p>
    <w:p w14:paraId="100436D6">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当抽检半干化污泥含水率检测结果大于65%的，每发现一次</w:t>
      </w:r>
      <w:r>
        <w:rPr>
          <w:rFonts w:hint="eastAsia" w:ascii="宋体" w:hAnsi="宋体" w:eastAsia="宋体" w:cs="宋体"/>
          <w:sz w:val="21"/>
          <w:szCs w:val="21"/>
          <w:highlight w:val="none"/>
          <w:lang w:val="en-US" w:eastAsia="zh-CN"/>
        </w:rPr>
        <w:t>采购方</w:t>
      </w:r>
      <w:r>
        <w:rPr>
          <w:rFonts w:hint="eastAsia" w:ascii="宋体" w:hAnsi="宋体" w:eastAsia="宋体" w:cs="宋体"/>
          <w:sz w:val="21"/>
          <w:szCs w:val="21"/>
          <w:highlight w:val="none"/>
        </w:rPr>
        <w:t>有权在</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的污泥处理处置服务费中扣减</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0000元（贰万元整）作为违约金</w:t>
      </w:r>
      <w:r>
        <w:rPr>
          <w:rFonts w:hint="eastAsia" w:ascii="宋体" w:hAnsi="宋体" w:eastAsia="宋体" w:cs="宋体"/>
          <w:sz w:val="21"/>
          <w:szCs w:val="21"/>
          <w:highlight w:val="none"/>
          <w:lang w:eastAsia="zh-CN"/>
        </w:rPr>
        <w:t>；</w:t>
      </w:r>
    </w:p>
    <w:p w14:paraId="4C3AC4FA">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同一月份抽检发现同一污泥产生单位的半干化污泥含水率检测结果存在三次及以上大于</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%的，</w:t>
      </w:r>
      <w:r>
        <w:rPr>
          <w:rFonts w:hint="eastAsia" w:ascii="宋体" w:hAnsi="宋体" w:eastAsia="宋体" w:cs="宋体"/>
          <w:sz w:val="21"/>
          <w:szCs w:val="21"/>
          <w:highlight w:val="none"/>
          <w:lang w:val="en-US" w:eastAsia="zh-CN"/>
        </w:rPr>
        <w:t>采购方</w:t>
      </w:r>
      <w:r>
        <w:rPr>
          <w:rFonts w:hint="eastAsia" w:ascii="宋体" w:hAnsi="宋体" w:eastAsia="宋体" w:cs="宋体"/>
          <w:sz w:val="21"/>
          <w:szCs w:val="21"/>
          <w:highlight w:val="none"/>
        </w:rPr>
        <w:t>有权不予支付</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当月对该污泥产生单位的全部污泥处理处置，并按上述情形扣减违约金</w:t>
      </w:r>
      <w:r>
        <w:rPr>
          <w:rFonts w:hint="eastAsia" w:ascii="宋体" w:hAnsi="宋体" w:eastAsia="宋体" w:cs="宋体"/>
          <w:sz w:val="21"/>
          <w:szCs w:val="21"/>
          <w:highlight w:val="none"/>
          <w:lang w:eastAsia="zh-CN"/>
        </w:rPr>
        <w:t>；</w:t>
      </w:r>
    </w:p>
    <w:p w14:paraId="77A5AD46">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lang w:val="en-US"/>
        </w:rPr>
        <w:t>上述</w:t>
      </w:r>
      <w:r>
        <w:rPr>
          <w:rFonts w:hint="eastAsia" w:ascii="宋体" w:hAnsi="宋体" w:eastAsia="宋体" w:cs="宋体"/>
          <w:b w:val="0"/>
          <w:bCs w:val="0"/>
          <w:sz w:val="21"/>
          <w:szCs w:val="21"/>
          <w:highlight w:val="none"/>
          <w:lang w:val="en-US" w:eastAsia="zh-CN"/>
        </w:rPr>
        <w:t>当月</w:t>
      </w:r>
      <w:r>
        <w:rPr>
          <w:rFonts w:hint="eastAsia" w:ascii="宋体" w:hAnsi="宋体" w:eastAsia="宋体" w:cs="宋体"/>
          <w:b w:val="0"/>
          <w:bCs w:val="0"/>
          <w:sz w:val="21"/>
          <w:szCs w:val="21"/>
          <w:highlight w:val="none"/>
          <w:lang w:val="en-US"/>
        </w:rPr>
        <w:t>违约金总额最高不超【</w:t>
      </w:r>
      <w:r>
        <w:rPr>
          <w:rFonts w:hint="eastAsia" w:ascii="宋体" w:hAnsi="宋体" w:eastAsia="宋体" w:cs="宋体"/>
          <w:b w:val="0"/>
          <w:bCs w:val="0"/>
          <w:sz w:val="21"/>
          <w:szCs w:val="21"/>
          <w:highlight w:val="none"/>
          <w:lang w:val="en-US" w:eastAsia="zh-CN"/>
        </w:rPr>
        <w:t>25</w:t>
      </w:r>
      <w:r>
        <w:rPr>
          <w:rFonts w:hint="eastAsia" w:ascii="宋体" w:hAnsi="宋体" w:eastAsia="宋体" w:cs="宋体"/>
          <w:b w:val="0"/>
          <w:bCs w:val="0"/>
          <w:sz w:val="21"/>
          <w:szCs w:val="21"/>
          <w:highlight w:val="none"/>
          <w:lang w:val="en-US"/>
        </w:rPr>
        <w:t>】万元。</w:t>
      </w:r>
    </w:p>
    <w:p w14:paraId="3A4F1E09">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采购</w:t>
      </w:r>
      <w:r>
        <w:rPr>
          <w:rFonts w:hint="eastAsia" w:ascii="宋体" w:hAnsi="宋体" w:eastAsia="宋体" w:cs="宋体"/>
          <w:sz w:val="21"/>
          <w:szCs w:val="21"/>
          <w:highlight w:val="none"/>
          <w:lang w:val="en-US" w:eastAsia="zh-CN"/>
        </w:rPr>
        <w:t>方</w:t>
      </w:r>
      <w:r>
        <w:rPr>
          <w:rFonts w:hint="eastAsia" w:ascii="宋体" w:hAnsi="宋体" w:eastAsia="宋体" w:cs="宋体"/>
          <w:sz w:val="21"/>
          <w:szCs w:val="21"/>
          <w:highlight w:val="none"/>
        </w:rPr>
        <w:t>按照本条的约定的方式与</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进行服务费结算，并不影响采购</w:t>
      </w:r>
      <w:r>
        <w:rPr>
          <w:rFonts w:hint="eastAsia" w:ascii="宋体" w:hAnsi="宋体" w:eastAsia="宋体" w:cs="宋体"/>
          <w:sz w:val="21"/>
          <w:szCs w:val="21"/>
          <w:highlight w:val="none"/>
          <w:lang w:val="en-US" w:eastAsia="zh-CN"/>
        </w:rPr>
        <w:t>方</w:t>
      </w:r>
      <w:r>
        <w:rPr>
          <w:rFonts w:hint="eastAsia" w:ascii="宋体" w:hAnsi="宋体" w:eastAsia="宋体" w:cs="宋体"/>
          <w:sz w:val="21"/>
          <w:szCs w:val="21"/>
          <w:highlight w:val="none"/>
        </w:rPr>
        <w:t>追究</w:t>
      </w:r>
      <w:r>
        <w:rPr>
          <w:rFonts w:hint="eastAsia" w:ascii="宋体" w:hAnsi="宋体" w:eastAsia="宋体" w:cs="宋体"/>
          <w:sz w:val="21"/>
          <w:szCs w:val="21"/>
          <w:highlight w:val="none"/>
          <w:lang w:val="en-US" w:eastAsia="zh-CN"/>
        </w:rPr>
        <w:t>供应方</w:t>
      </w:r>
      <w:r>
        <w:rPr>
          <w:rFonts w:hint="eastAsia" w:ascii="宋体" w:hAnsi="宋体" w:eastAsia="宋体" w:cs="宋体"/>
          <w:sz w:val="21"/>
          <w:szCs w:val="21"/>
          <w:highlight w:val="none"/>
        </w:rPr>
        <w:t>的有关违约责任，两者可以并行执行。</w:t>
      </w:r>
    </w:p>
    <w:p w14:paraId="1157FF51">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污泥减量化项目技术要求</w:t>
      </w:r>
    </w:p>
    <w:p w14:paraId="64666614">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污泥处理要求</w:t>
      </w:r>
    </w:p>
    <w:p w14:paraId="369D09F9">
      <w:pPr>
        <w:keepNext w:val="0"/>
        <w:keepLines w:val="0"/>
        <w:pageBreakBefore w:val="0"/>
        <w:numPr>
          <w:ilvl w:val="0"/>
          <w:numId w:val="4"/>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★脱水减量化处理后的半干化污泥含水率应≤60%。考虑到脱水减量化的半干化污泥后端送砖厂、纸厂、电厂等处置的要求，供应方需采取措施将半干化污泥粉进行适当破碎。</w:t>
      </w:r>
    </w:p>
    <w:p w14:paraId="4268256D">
      <w:pPr>
        <w:keepNext w:val="0"/>
        <w:keepLines w:val="0"/>
        <w:pageBreakBefore w:val="0"/>
        <w:numPr>
          <w:ilvl w:val="0"/>
          <w:numId w:val="7"/>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★为保证污泥减量效果，不允许添加石灰以及含石灰的调理剂。</w:t>
      </w:r>
    </w:p>
    <w:p w14:paraId="4F42CFD7">
      <w:pPr>
        <w:keepNext w:val="0"/>
        <w:keepLines w:val="0"/>
        <w:pageBreakBefore w:val="0"/>
        <w:numPr>
          <w:ilvl w:val="0"/>
          <w:numId w:val="7"/>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供应方需做好调理剂等添加药剂的出入库单（或进出场记录）或用量记录，定期提供给采购方，以备各级政府主管部门检查、核查。</w:t>
      </w:r>
    </w:p>
    <w:p w14:paraId="6CAC48C0">
      <w:pPr>
        <w:keepNext w:val="0"/>
        <w:keepLines w:val="0"/>
        <w:pageBreakBefore w:val="0"/>
        <w:numPr>
          <w:ilvl w:val="0"/>
          <w:numId w:val="8"/>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配套设施排放要求</w:t>
      </w:r>
    </w:p>
    <w:p w14:paraId="65DFEDAE">
      <w:pPr>
        <w:keepNext w:val="0"/>
        <w:keepLines w:val="0"/>
        <w:pageBreakBefore w:val="0"/>
        <w:numPr>
          <w:ilvl w:val="0"/>
          <w:numId w:val="9"/>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供应方污泥脱水减量化设备、设施一般建设在污水处理厂污泥脱水车间或附近可利用空地，具体根据各处理点实际情况及污泥产生单位意见确定。</w:t>
      </w:r>
    </w:p>
    <w:p w14:paraId="79EFCA3F">
      <w:pPr>
        <w:keepNext w:val="0"/>
        <w:keepLines w:val="0"/>
        <w:pageBreakBefore w:val="0"/>
        <w:numPr>
          <w:ilvl w:val="0"/>
          <w:numId w:val="9"/>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减量化处理过程中产生的废水须回流至污水处理厂指定地方，不得直接外排。</w:t>
      </w:r>
    </w:p>
    <w:p w14:paraId="3DB895F6">
      <w:pPr>
        <w:keepNext w:val="0"/>
        <w:keepLines w:val="0"/>
        <w:pageBreakBefore w:val="0"/>
        <w:numPr>
          <w:ilvl w:val="0"/>
          <w:numId w:val="9"/>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减量处理项目产生的臭气、噪声不得引起投诉。如出现相关投诉或行政主管部门通知整改时，由供应方负责制定整改方案并限期完成整改工作，产生的相关费用由供应方自行承担。</w:t>
      </w:r>
    </w:p>
    <w:p w14:paraId="74E02FB3">
      <w:pPr>
        <w:keepNext w:val="0"/>
        <w:keepLines w:val="0"/>
        <w:pageBreakBefore w:val="0"/>
        <w:numPr>
          <w:ilvl w:val="0"/>
          <w:numId w:val="9"/>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在国家、省市的相关环保要求有调整时，项目的排放按要求相应调整。</w:t>
      </w:r>
    </w:p>
    <w:p w14:paraId="40F74C8B">
      <w:pPr>
        <w:keepNext w:val="0"/>
        <w:keepLines w:val="0"/>
        <w:pageBreakBefore w:val="0"/>
        <w:numPr>
          <w:ilvl w:val="0"/>
          <w:numId w:val="3"/>
        </w:numPr>
        <w:kinsoku/>
        <w:wordWrap/>
        <w:overflowPunct/>
        <w:topLinePunct w:val="0"/>
        <w:bidi w:val="0"/>
        <w:adjustRightInd w:val="0"/>
        <w:snapToGrid/>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服务要求</w:t>
      </w:r>
    </w:p>
    <w:p w14:paraId="3CF869D9">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合同履行期间，本用户需求书所提及或者采购方要求的相关法律、法规、规章、标准、规范等有修订、修正、更新，或被新的法律、法规、规章、标准、规范等取代，或在相关领域内有新的法律、法规、规章、标准、规范等出台，供应方应无条件按新的法律、法规、规章、标准、规范等执行。</w:t>
      </w:r>
    </w:p>
    <w:p w14:paraId="3CE2D49D">
      <w:pPr>
        <w:keepNext w:val="0"/>
        <w:keepLines w:val="0"/>
        <w:pageBreakBefore w:val="0"/>
        <w:numPr>
          <w:ilvl w:val="0"/>
          <w:numId w:val="11"/>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项目服务要求</w:t>
      </w:r>
    </w:p>
    <w:p w14:paraId="33F0E27D">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自行承担承包项目运行维护管理所需配备的管理人员、技术人员及相关工作人员所有的工资和税费、通讯费等费用，污泥减量化服务过程中用水、用电、产生的废水处理等费用和风险，管理、运营和维护污泥脱水减量设施、设备。</w:t>
      </w:r>
    </w:p>
    <w:p w14:paraId="196D3301">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采购方按现状提供指定范围内的空地。项目用地的“三通一平”由供应方自主负责，若涉及总配电系统、供水管网、供气管网等设施设备改造或加装，所有费用亦由供应方承担，采购方予以配合。</w:t>
      </w:r>
    </w:p>
    <w:p w14:paraId="09BD95D5">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供应方对各污水处理厂原有道路、绿化等造成损坏，需在采购方限期内恢复原状并承担一切费用。</w:t>
      </w:r>
    </w:p>
    <w:p w14:paraId="20A492EE">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在服务期间，供应方需保证本项目设施的外立面简洁美观，设备外观整洁，无明显的破损及渗漏，周边环境整洁，无污泥、污水、泥饼等跑、冒、滴、漏的现象。</w:t>
      </w:r>
    </w:p>
    <w:p w14:paraId="47938B81">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完成项目前置或准备工作后，进入试运行需通知采购方，采购方将对设备设施或项目临时组建成果进行全面考核。供应方应积极配合采购方对项目建设费用、项目运营成本、设备运行效果、设备稳定性、环境影响进行评估。</w:t>
      </w:r>
    </w:p>
    <w:p w14:paraId="1474165A">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由供应方负责半干化泥粉的外运装车工作，装车费用由供应方承担，供应方视现场情况考量是否配备铲车、叉车等机械。</w:t>
      </w:r>
    </w:p>
    <w:p w14:paraId="073E87AC">
      <w:pPr>
        <w:keepNext w:val="0"/>
        <w:keepLines w:val="0"/>
        <w:pageBreakBefore w:val="0"/>
        <w:numPr>
          <w:ilvl w:val="0"/>
          <w:numId w:val="10"/>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污泥脱水减量化设备、设施布置在污水处理厂脱水车间附近，应充分做好沟通协调，降低对现有脱水车间运行影响。若需要调整现有脱水车间设备运行情况，应提交专项方案，由采购方和污泥产生单位审核同意后实施。</w:t>
      </w:r>
    </w:p>
    <w:p w14:paraId="7A495A2F">
      <w:pPr>
        <w:keepNext w:val="0"/>
        <w:keepLines w:val="0"/>
        <w:pageBreakBefore w:val="0"/>
        <w:numPr>
          <w:ilvl w:val="0"/>
          <w:numId w:val="11"/>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项目管理要求</w:t>
      </w:r>
    </w:p>
    <w:p w14:paraId="78B5D19C">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应严格执行《中华人民共和国安全生产法》、《中华人民共和国固体废物污染环境防治法》、《广东省住房和城乡建设厅广东省生态环境厅城镇生活污水处理厂污泥处理处置管理办法》、《大中型企业安全生产标准化管理体系要求》(GB/T 33000-2025)等国家、地方有关污泥脱水减量、安全生产和劳动保护等的现行法律法规、规范和标准，并遵守采购方及污水处理厂的安全生产管理制度以及《安全生产管理协议》，建立完善的安全生产和劳动保护体系，制定与污泥安全处理有关的规章制度、污泥安全监督管理实施方案和突发事故等安全生产应急预防方案，并向采购方报备。供应方须在合同履行期间保证安全与卫生设施随项目主体同时投入使用，并制定相应的操作规程。</w:t>
      </w:r>
    </w:p>
    <w:p w14:paraId="75C415EB">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如因供应方安全生产设备、措施、操作规程、环保设备设施、劳动保护条件等不符合规范要求或标准，导致安全生产事故/造成人身损害或财产损失的，由供应方自行承担全部责任和后果，如因此给采购方造成损失的，供应方承担全部赔偿责任。</w:t>
      </w:r>
    </w:p>
    <w:p w14:paraId="488B1EE6">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合同期内，供应方的一切活动均须服从采购方的管理要求，接受采购方对本项目实施过程中的监督管理，采购方及其上级主管部门有权随时检查供应方的贮存和处理情况。</w:t>
      </w:r>
    </w:p>
    <w:p w14:paraId="30B97F4D">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应建立项目《生产台账》(具体格式由供应方自定)，《生产台账》内容应包括但不限于：如实记录日常运营中的污泥进料量、主要设备工艺及配套设备的运行参数、药剂使用量和进出场记录、能源使用量、污泥脱水产生量及含水率等。为便利采购方监管，供应方需及时向采购方提交项目《生产台账》并持续更新内容。</w:t>
      </w:r>
    </w:p>
    <w:p w14:paraId="34B9D209">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服务期内，供应方应对本项目所含各项设施设备进行日常养护、维修、更新改造或重置，以满足项目运营目标之需要，并承担相应费用。</w:t>
      </w:r>
    </w:p>
    <w:p w14:paraId="1AF7B40B">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在各污水处理厂内的一切活动均须服从采购方的管理要求，供应方的所有工作人员须遵守采购方、污泥产生单位及相关污水处理厂的安全生产管理制度，未经采购方、污泥产生单位同意，不能进入与运营无关的区域，不得影响采购方、污泥产生单位的办公、生产、生活等。供应方管理人员、车辆、机械等进出采购方、污泥产生单位相关污水处理厂须服从采购方的管理规定，并佩戴供应方的工作牌，对不服从管理的人员，采购方有权拒绝其进入。</w:t>
      </w:r>
    </w:p>
    <w:p w14:paraId="44873DD1">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如是可预见性的计划外停产，供应方应至少提前3日书面通知采购方并经采购方同意。如是不可预见性的任何计划外停产时，供应方应立即通知采购方并采取有效的补救措施，且须在停产后的2日内向采购方提交书面的情况说明，如停产时间超过3日，需经甲方同意方可停产，甲方有权追究相关责任。</w:t>
      </w:r>
    </w:p>
    <w:p w14:paraId="4428AA09">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供应方自行负责合同履行期间人员食宿、职业卫生体检等的办公生活保障，每年至少进行一次相关的职业病体检，并根据采购方需要，按采购方要求将结果留一份给采购方保存。</w:t>
      </w:r>
    </w:p>
    <w:p w14:paraId="74BA5B92">
      <w:pPr>
        <w:keepNext w:val="0"/>
        <w:keepLines w:val="0"/>
        <w:pageBreakBefore w:val="0"/>
        <w:numPr>
          <w:ilvl w:val="0"/>
          <w:numId w:val="12"/>
        </w:numPr>
        <w:kinsoku/>
        <w:wordWrap/>
        <w:overflowPunct/>
        <w:topLinePunct w:val="0"/>
        <w:bidi w:val="0"/>
        <w:adjustRightInd w:val="0"/>
        <w:snapToGrid/>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除本需求和合同约定的供应方的具体工作和义务外，供应方必须执行相关职能部门</w:t>
      </w:r>
      <w:r>
        <w:rPr>
          <w:rFonts w:hint="eastAsia" w:ascii="宋体" w:hAnsi="宋体" w:eastAsia="宋体" w:cs="宋体"/>
          <w:sz w:val="21"/>
          <w:szCs w:val="21"/>
          <w:highlight w:val="none"/>
          <w:lang w:val="en-US" w:eastAsia="zh-CN"/>
        </w:rPr>
        <w:t>、行政管理部门</w:t>
      </w:r>
      <w:r>
        <w:rPr>
          <w:rFonts w:hint="eastAsia" w:ascii="宋体" w:hAnsi="宋体" w:eastAsia="宋体" w:cs="宋体"/>
          <w:sz w:val="21"/>
          <w:szCs w:val="21"/>
          <w:highlight w:val="none"/>
          <w:lang w:eastAsia="zh-CN"/>
        </w:rPr>
        <w:t>对</w:t>
      </w:r>
      <w:r>
        <w:rPr>
          <w:rFonts w:hint="eastAsia" w:ascii="宋体" w:hAnsi="宋体" w:eastAsia="宋体" w:cs="宋体"/>
          <w:sz w:val="21"/>
          <w:szCs w:val="21"/>
          <w:highlight w:val="none"/>
          <w:lang w:val="en-US" w:eastAsia="zh-CN"/>
        </w:rPr>
        <w:t>污泥脱水减量设备、</w:t>
      </w:r>
      <w:r>
        <w:rPr>
          <w:rFonts w:hint="eastAsia" w:ascii="宋体" w:hAnsi="宋体" w:eastAsia="宋体" w:cs="宋体"/>
          <w:sz w:val="21"/>
          <w:szCs w:val="21"/>
          <w:highlight w:val="none"/>
          <w:lang w:eastAsia="zh-CN"/>
        </w:rPr>
        <w:t>设施运行维护管理的相关规定，保障</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lang w:eastAsia="zh-CN"/>
        </w:rPr>
        <w:t>范围内的</w:t>
      </w:r>
      <w:r>
        <w:rPr>
          <w:rFonts w:hint="eastAsia" w:ascii="宋体" w:hAnsi="宋体" w:eastAsia="宋体" w:cs="宋体"/>
          <w:sz w:val="21"/>
          <w:szCs w:val="21"/>
          <w:highlight w:val="none"/>
          <w:lang w:val="en-US" w:eastAsia="zh-CN"/>
        </w:rPr>
        <w:t>污泥脱水减量设备、</w:t>
      </w:r>
      <w:r>
        <w:rPr>
          <w:rFonts w:hint="eastAsia" w:ascii="宋体" w:hAnsi="宋体" w:eastAsia="宋体" w:cs="宋体"/>
          <w:sz w:val="21"/>
          <w:szCs w:val="21"/>
          <w:highlight w:val="none"/>
          <w:lang w:eastAsia="zh-CN"/>
        </w:rPr>
        <w:t>设施运行维护管理符合相关规定。</w:t>
      </w:r>
    </w:p>
    <w:p w14:paraId="3990B228">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付款</w:t>
      </w:r>
      <w:r>
        <w:rPr>
          <w:rFonts w:hint="eastAsia" w:ascii="宋体" w:hAnsi="宋体" w:eastAsia="宋体" w:cs="宋体"/>
          <w:b/>
          <w:bCs/>
          <w:sz w:val="21"/>
          <w:szCs w:val="21"/>
          <w:highlight w:val="none"/>
          <w:lang w:val="en-US" w:eastAsia="zh-CN"/>
        </w:rPr>
        <w:t>条款</w:t>
      </w:r>
    </w:p>
    <w:p w14:paraId="3483BF20">
      <w:pPr>
        <w:pStyle w:val="7"/>
        <w:keepNext w:val="0"/>
        <w:keepLines w:val="0"/>
        <w:pageBreakBefore w:val="0"/>
        <w:numPr>
          <w:ilvl w:val="0"/>
          <w:numId w:val="13"/>
        </w:numPr>
        <w:kinsoku/>
        <w:wordWrap/>
        <w:overflowPunct/>
        <w:topLinePunct w:val="0"/>
        <w:bidi w:val="0"/>
        <w:adjustRightInd w:val="0"/>
        <w:snapToGrid/>
        <w:spacing w:line="360" w:lineRule="auto"/>
        <w:ind w:right="0" w:firstLine="422" w:firstLineChars="200"/>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付款要求</w:t>
      </w:r>
    </w:p>
    <w:p w14:paraId="347FB9BA">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合同的履约过程中，供应方根据合同约定需向采购方支付违约金、赔偿金、或其他应付费用等款项的，供应方必须向采购方支付完成相关款项后，采购方才根据合同向供应方支付服务费，</w:t>
      </w:r>
      <w:r>
        <w:rPr>
          <w:rFonts w:hint="eastAsia" w:ascii="宋体" w:hAnsi="宋体" w:eastAsia="宋体" w:cs="宋体"/>
          <w:b w:val="0"/>
          <w:bCs w:val="0"/>
          <w:sz w:val="21"/>
          <w:szCs w:val="21"/>
          <w:highlight w:val="none"/>
          <w:lang w:val="en-US" w:eastAsia="zh-CN"/>
        </w:rPr>
        <w:t>且不视为采购方违约</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同时</w:t>
      </w:r>
      <w:r>
        <w:rPr>
          <w:rFonts w:hint="eastAsia" w:ascii="宋体" w:hAnsi="宋体" w:eastAsia="宋体" w:cs="宋体"/>
          <w:b w:val="0"/>
          <w:bCs w:val="0"/>
          <w:sz w:val="21"/>
          <w:szCs w:val="21"/>
          <w:highlight w:val="none"/>
          <w:lang w:eastAsia="zh-CN"/>
        </w:rPr>
        <w:t>供应方必须按照</w:t>
      </w:r>
      <w:r>
        <w:rPr>
          <w:rFonts w:hint="eastAsia" w:ascii="宋体" w:hAnsi="宋体" w:eastAsia="宋体" w:cs="宋体"/>
          <w:b/>
          <w:bCs/>
          <w:sz w:val="21"/>
          <w:szCs w:val="21"/>
          <w:highlight w:val="none"/>
          <w:lang w:eastAsia="zh-CN"/>
        </w:rPr>
        <w:t>扣除前述费用前的法泥脱水减量处理费</w:t>
      </w:r>
      <w:r>
        <w:rPr>
          <w:rFonts w:hint="eastAsia" w:ascii="宋体" w:hAnsi="宋体" w:eastAsia="宋体" w:cs="宋体"/>
          <w:b w:val="0"/>
          <w:bCs w:val="0"/>
          <w:sz w:val="21"/>
          <w:szCs w:val="21"/>
          <w:highlight w:val="none"/>
          <w:lang w:eastAsia="zh-CN"/>
        </w:rPr>
        <w:t>（销售额）开具等额、合法、有效的增值税专用发票。</w:t>
      </w:r>
    </w:p>
    <w:p w14:paraId="125D82E9">
      <w:pPr>
        <w:pStyle w:val="7"/>
        <w:keepNext w:val="0"/>
        <w:keepLines w:val="0"/>
        <w:pageBreakBefore w:val="0"/>
        <w:numPr>
          <w:ilvl w:val="0"/>
          <w:numId w:val="13"/>
        </w:numPr>
        <w:kinsoku/>
        <w:wordWrap/>
        <w:overflowPunct/>
        <w:topLinePunct w:val="0"/>
        <w:bidi w:val="0"/>
        <w:adjustRightInd w:val="0"/>
        <w:snapToGrid/>
        <w:spacing w:line="360" w:lineRule="auto"/>
        <w:ind w:right="0" w:firstLine="422" w:firstLineChars="200"/>
        <w:jc w:val="both"/>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支付方式</w:t>
      </w:r>
    </w:p>
    <w:p w14:paraId="2C9562FB">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采购方通过银行承兑汇票或银行转账或银行汇款方式向供应方支付处理服务费。供应方应每月15日前，向采购方提交以下文件及单据等有效的请款凭证（所有资料需加盖供应方公章），申请支付上月污泥脱水减量化服务费，采购方</w:t>
      </w:r>
      <w:r>
        <w:rPr>
          <w:rFonts w:hint="eastAsia" w:ascii="宋体" w:hAnsi="宋体" w:eastAsia="宋体" w:cs="宋体"/>
          <w:b w:val="0"/>
          <w:bCs w:val="0"/>
          <w:sz w:val="21"/>
          <w:szCs w:val="21"/>
          <w:highlight w:val="none"/>
        </w:rPr>
        <w:t>确认收到违约金、赔偿金等相关款项</w:t>
      </w:r>
      <w:r>
        <w:rPr>
          <w:rFonts w:hint="eastAsia" w:ascii="宋体" w:hAnsi="宋体" w:eastAsia="宋体" w:cs="宋体"/>
          <w:b w:val="0"/>
          <w:bCs w:val="0"/>
          <w:sz w:val="21"/>
          <w:szCs w:val="21"/>
          <w:highlight w:val="none"/>
          <w:lang w:val="en-US" w:eastAsia="zh-CN"/>
        </w:rPr>
        <w:t>后</w:t>
      </w:r>
      <w:r>
        <w:rPr>
          <w:rFonts w:hint="eastAsia" w:ascii="宋体" w:hAnsi="宋体" w:eastAsia="宋体" w:cs="宋体"/>
          <w:b w:val="0"/>
          <w:bCs w:val="0"/>
          <w:sz w:val="21"/>
          <w:szCs w:val="21"/>
          <w:highlight w:val="none"/>
          <w:lang w:eastAsia="zh-CN"/>
        </w:rPr>
        <w:t>向供应方支付请款金额的50%。若采用银行承兑汇票方式支付，该笔费用按元位取整，且汇票期限不超过3个月。款项支付方式由采购方决定。</w:t>
      </w:r>
    </w:p>
    <w:p w14:paraId="6F682DFA">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A.请款报告；</w:t>
      </w:r>
    </w:p>
    <w:p w14:paraId="5C984299">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B.请款月份半干化泥粉脱水减量处理费100%的足额、合法、有效的增值税专用发票；</w:t>
      </w:r>
    </w:p>
    <w:p w14:paraId="48E20803">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C.《结算台账》；</w:t>
      </w:r>
    </w:p>
    <w:p w14:paraId="5C639243">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val="en-US" w:eastAsia="zh-CN"/>
        </w:rPr>
        <w:t>D.乙方已完成支付违约金、赔偿金、或其它应付费用等款项的证明材料，包括但不限于甲方财务部门出具的收据等</w:t>
      </w:r>
      <w:r>
        <w:rPr>
          <w:rFonts w:hint="eastAsia" w:ascii="宋体" w:hAnsi="宋体" w:eastAsia="宋体" w:cs="宋体"/>
          <w:b w:val="0"/>
          <w:bCs w:val="0"/>
          <w:sz w:val="21"/>
          <w:szCs w:val="21"/>
          <w:highlight w:val="none"/>
          <w:lang w:eastAsia="zh-CN"/>
        </w:rPr>
        <w:t>。</w:t>
      </w:r>
    </w:p>
    <w:p w14:paraId="78915684">
      <w:pPr>
        <w:pStyle w:val="7"/>
        <w:keepNext w:val="0"/>
        <w:keepLines w:val="0"/>
        <w:pageBreakBefore w:val="0"/>
        <w:kinsoku/>
        <w:wordWrap/>
        <w:overflowPunct/>
        <w:topLinePunct w:val="0"/>
        <w:bidi w:val="0"/>
        <w:adjustRightInd w:val="0"/>
        <w:snapToGrid/>
        <w:spacing w:line="360" w:lineRule="auto"/>
        <w:ind w:right="0" w:firstLine="420" w:firstLineChars="200"/>
        <w:jc w:val="both"/>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（2）在前述第1项款项支付</w:t>
      </w:r>
      <w:r>
        <w:rPr>
          <w:rFonts w:hint="eastAsia" w:ascii="宋体" w:hAnsi="宋体" w:eastAsia="宋体" w:cs="宋体"/>
          <w:b w:val="0"/>
          <w:bCs w:val="0"/>
          <w:sz w:val="21"/>
          <w:szCs w:val="21"/>
          <w:highlight w:val="none"/>
          <w:lang w:val="en-US" w:eastAsia="zh-CN"/>
        </w:rPr>
        <w:t>满3个月后</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乙方方可向甲方申请支付该请款月份污泥脱水减量处理费剩余的50%，待甲方审核通过后</w:t>
      </w:r>
      <w:r>
        <w:rPr>
          <w:rFonts w:hint="eastAsia" w:ascii="宋体" w:hAnsi="宋体" w:eastAsia="宋体" w:cs="宋体"/>
          <w:b w:val="0"/>
          <w:bCs w:val="0"/>
          <w:sz w:val="21"/>
          <w:szCs w:val="21"/>
          <w:highlight w:val="none"/>
          <w:lang w:eastAsia="zh-CN"/>
        </w:rPr>
        <w:t>，通过银行转账或汇款方式向供应方支付剩余款项。</w:t>
      </w:r>
    </w:p>
    <w:p w14:paraId="49789533">
      <w:pPr>
        <w:keepNext w:val="0"/>
        <w:keepLines w:val="0"/>
        <w:pageBreakBefore w:val="0"/>
        <w:numPr>
          <w:ilvl w:val="0"/>
          <w:numId w:val="1"/>
        </w:numPr>
        <w:kinsoku/>
        <w:wordWrap/>
        <w:overflowPunct/>
        <w:topLinePunct w:val="0"/>
        <w:bidi w:val="0"/>
        <w:adjustRightInd w:val="0"/>
        <w:snapToGrid/>
        <w:spacing w:line="360" w:lineRule="auto"/>
        <w:ind w:firstLine="422" w:firstLineChars="200"/>
        <w:outlineLvl w:val="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服务期届满</w:t>
      </w:r>
    </w:p>
    <w:p w14:paraId="6434D76D">
      <w:pPr>
        <w:pStyle w:val="7"/>
        <w:keepNext w:val="0"/>
        <w:keepLines w:val="0"/>
        <w:pageBreakBefore w:val="0"/>
        <w:numPr>
          <w:ilvl w:val="0"/>
          <w:numId w:val="0"/>
        </w:numPr>
        <w:kinsoku/>
        <w:wordWrap/>
        <w:overflowPunct/>
        <w:topLinePunct w:val="0"/>
        <w:autoSpaceDE/>
        <w:autoSpaceDN/>
        <w:bidi w:val="0"/>
        <w:adjustRightInd w:val="0"/>
        <w:snapToGrid/>
        <w:spacing w:line="360" w:lineRule="auto"/>
        <w:ind w:right="0" w:firstLine="420" w:firstLineChars="200"/>
        <w:jc w:val="both"/>
        <w:rPr>
          <w:rFonts w:hint="eastAsia" w:ascii="Times New Roman" w:hAnsi="Times New Roman" w:eastAsia="仿宋_GB2312" w:cs="宋体"/>
          <w:b w:val="0"/>
          <w:bCs w:val="0"/>
          <w:sz w:val="28"/>
          <w:szCs w:val="28"/>
          <w:highlight w:val="none"/>
          <w:lang w:eastAsia="zh-CN"/>
        </w:rPr>
      </w:pPr>
      <w:r>
        <w:rPr>
          <w:rFonts w:hint="eastAsia" w:ascii="宋体" w:hAnsi="宋体" w:eastAsia="宋体" w:cs="宋体"/>
          <w:b w:val="0"/>
          <w:bCs w:val="0"/>
          <w:sz w:val="21"/>
          <w:szCs w:val="21"/>
          <w:highlight w:val="none"/>
          <w:lang w:eastAsia="zh-CN"/>
        </w:rPr>
        <w:t>★除非双方另有合同约定，</w:t>
      </w:r>
      <w:r>
        <w:rPr>
          <w:rFonts w:hint="eastAsia" w:ascii="宋体" w:hAnsi="宋体" w:eastAsia="宋体" w:cs="宋体"/>
          <w:b w:val="0"/>
          <w:bCs w:val="0"/>
          <w:sz w:val="21"/>
          <w:szCs w:val="21"/>
          <w:highlight w:val="none"/>
          <w:lang w:val="en-US" w:eastAsia="zh-CN"/>
        </w:rPr>
        <w:t>服务期届满后供应方应拆除污泥脱水减量设备、设施及其相关的物品，与污泥脱水减量设备、设施运营和维护无关的属于供应方所有的一切物品迁出现场，相关</w:t>
      </w:r>
      <w:r>
        <w:rPr>
          <w:rFonts w:hint="eastAsia" w:ascii="宋体" w:hAnsi="宋体" w:eastAsia="宋体" w:cs="宋体"/>
          <w:b w:val="0"/>
          <w:bCs w:val="0"/>
          <w:kern w:val="0"/>
          <w:sz w:val="21"/>
          <w:szCs w:val="21"/>
          <w:highlight w:val="none"/>
          <w:u w:val="none"/>
          <w:lang w:val="en-US" w:eastAsia="zh-CN"/>
        </w:rPr>
        <w:t>场地恢复原貌。</w:t>
      </w:r>
    </w:p>
    <w:p w14:paraId="5D4A1893">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color w:val="auto"/>
          <w:sz w:val="24"/>
          <w:szCs w:val="24"/>
          <w:highlight w:val="none"/>
        </w:rPr>
      </w:pPr>
    </w:p>
    <w:p w14:paraId="50297306">
      <w:pPr>
        <w:bidi w:val="0"/>
        <w:jc w:val="left"/>
        <w:rPr>
          <w:rFonts w:hint="default"/>
          <w:color w:val="auto"/>
          <w:highlight w:val="none"/>
          <w:lang w:val="en-US" w:eastAsia="zh-CN"/>
        </w:rPr>
      </w:pPr>
    </w:p>
    <w:p w14:paraId="4CE908C9">
      <w:pPr>
        <w:spacing w:line="360" w:lineRule="auto"/>
        <w:ind w:firstLine="480" w:firstLineChars="200"/>
        <w:rPr>
          <w:rFonts w:ascii="Times New Roman"/>
          <w:color w:val="auto"/>
          <w:szCs w:val="21"/>
          <w:highlight w:val="none"/>
        </w:rPr>
      </w:pPr>
    </w:p>
    <w:p w14:paraId="3F0FA82A">
      <w:pPr>
        <w:spacing w:line="360" w:lineRule="auto"/>
        <w:ind w:firstLine="480" w:firstLineChars="200"/>
        <w:rPr>
          <w:rFonts w:ascii="Times New Roman"/>
          <w:color w:val="auto"/>
          <w:szCs w:val="21"/>
          <w:highlight w:val="none"/>
        </w:rPr>
      </w:pPr>
    </w:p>
    <w:p w14:paraId="5A41F2E7">
      <w:pPr>
        <w:spacing w:line="360" w:lineRule="auto"/>
        <w:ind w:firstLine="480" w:firstLineChars="200"/>
        <w:rPr>
          <w:rFonts w:ascii="Times New Roman"/>
          <w:color w:val="auto"/>
          <w:szCs w:val="21"/>
          <w:highlight w:val="none"/>
        </w:rPr>
      </w:pPr>
    </w:p>
    <w:p w14:paraId="30A75FCC">
      <w:pPr>
        <w:spacing w:line="360" w:lineRule="auto"/>
        <w:ind w:firstLine="480" w:firstLineChars="200"/>
        <w:rPr>
          <w:rFonts w:ascii="Times New Roman"/>
          <w:color w:val="auto"/>
          <w:szCs w:val="21"/>
          <w:highlight w:val="none"/>
        </w:rPr>
      </w:pPr>
    </w:p>
    <w:bookmarkEnd w:id="6"/>
    <w:bookmarkEnd w:id="7"/>
    <w:bookmarkEnd w:id="8"/>
    <w:p w14:paraId="32A89517">
      <w:pPr>
        <w:rPr>
          <w:rFonts w:hint="eastAsia" w:hAnsi="宋体" w:cs="宋体"/>
          <w:color w:val="auto"/>
          <w:szCs w:val="32"/>
          <w:highlight w:val="none"/>
        </w:rPr>
      </w:pPr>
      <w:bookmarkStart w:id="9" w:name="_Toc30244"/>
      <w:bookmarkStart w:id="10" w:name="_Toc27990830"/>
      <w:r>
        <w:rPr>
          <w:rFonts w:hint="eastAsia" w:hAnsi="宋体" w:cs="宋体"/>
          <w:color w:val="auto"/>
          <w:szCs w:val="32"/>
          <w:highlight w:val="none"/>
        </w:rPr>
        <w:br w:type="page"/>
      </w:r>
    </w:p>
    <w:p w14:paraId="17C457CD">
      <w:pPr>
        <w:pStyle w:val="2"/>
        <w:spacing w:before="0" w:after="0"/>
        <w:jc w:val="center"/>
        <w:rPr>
          <w:rFonts w:hAnsi="宋体" w:cs="宋体"/>
          <w:color w:val="auto"/>
          <w:szCs w:val="32"/>
          <w:highlight w:val="none"/>
        </w:rPr>
      </w:pPr>
      <w:r>
        <w:rPr>
          <w:rFonts w:hint="eastAsia" w:hAnsi="宋体" w:cs="宋体"/>
          <w:color w:val="auto"/>
          <w:szCs w:val="32"/>
          <w:highlight w:val="none"/>
        </w:rPr>
        <w:t>第三章 合同条款</w:t>
      </w:r>
      <w:bookmarkEnd w:id="9"/>
      <w:bookmarkEnd w:id="10"/>
    </w:p>
    <w:p w14:paraId="3FAF0DE2">
      <w:pPr>
        <w:spacing w:line="360" w:lineRule="auto"/>
        <w:jc w:val="center"/>
        <w:rPr>
          <w:b/>
          <w:color w:val="auto"/>
          <w:highlight w:val="none"/>
        </w:rPr>
      </w:pPr>
    </w:p>
    <w:p w14:paraId="076ECF86">
      <w:pPr>
        <w:jc w:val="center"/>
        <w:rPr>
          <w:rFonts w:ascii="宋体" w:hAnsi="宋体"/>
          <w:b/>
          <w:color w:val="auto"/>
          <w:szCs w:val="21"/>
          <w:highlight w:val="none"/>
        </w:rPr>
      </w:pPr>
      <w:r>
        <w:rPr>
          <w:rFonts w:hint="eastAsia"/>
          <w:color w:val="auto"/>
          <w:highlight w:val="none"/>
          <w:lang w:val="en-US" w:eastAsia="zh-CN"/>
        </w:rPr>
        <w:t xml:space="preserve">                                    </w:t>
      </w:r>
      <w:r>
        <w:rPr>
          <w:rFonts w:hint="eastAsia" w:ascii="宋体" w:hAnsi="宋体"/>
          <w:b/>
          <w:color w:val="auto"/>
          <w:szCs w:val="21"/>
          <w:highlight w:val="none"/>
          <w:lang w:val="en-US" w:eastAsia="zh-CN"/>
        </w:rPr>
        <w:t xml:space="preserve"> </w:t>
      </w:r>
    </w:p>
    <w:p w14:paraId="1E9EFE63">
      <w:pPr>
        <w:keepNext w:val="0"/>
        <w:keepLines w:val="0"/>
        <w:pageBreakBefore w:val="0"/>
        <w:widowControl w:val="0"/>
        <w:kinsoku/>
        <w:overflowPunct/>
        <w:topLinePunct w:val="0"/>
        <w:autoSpaceDE/>
        <w:autoSpaceDN/>
        <w:bidi w:val="0"/>
        <w:adjustRightInd/>
        <w:snapToGrid/>
        <w:spacing w:line="580" w:lineRule="exact"/>
        <w:ind w:firstLine="0" w:firstLineChars="0"/>
        <w:jc w:val="center"/>
        <w:textAlignment w:val="auto"/>
        <w:rPr>
          <w:rFonts w:hint="eastAsia" w:ascii="微软雅黑" w:hAnsi="微软雅黑" w:eastAsia="微软雅黑" w:cs="微软雅黑"/>
          <w:kern w:val="0"/>
          <w:sz w:val="44"/>
          <w:szCs w:val="44"/>
          <w:lang w:val="en-US" w:eastAsia="zh-CN"/>
        </w:rPr>
      </w:pPr>
      <w:r>
        <w:rPr>
          <w:rFonts w:hint="eastAsia" w:ascii="微软雅黑" w:hAnsi="微软雅黑" w:eastAsia="微软雅黑" w:cs="微软雅黑"/>
          <w:kern w:val="0"/>
          <w:sz w:val="44"/>
          <w:szCs w:val="44"/>
          <w:lang w:val="en-US" w:eastAsia="zh-CN"/>
        </w:rPr>
        <w:t>东莞市众源环境投资有限公司</w:t>
      </w:r>
    </w:p>
    <w:p w14:paraId="073D801D">
      <w:pPr>
        <w:keepNext w:val="0"/>
        <w:keepLines w:val="0"/>
        <w:pageBreakBefore w:val="0"/>
        <w:widowControl w:val="0"/>
        <w:kinsoku/>
        <w:overflowPunct/>
        <w:topLinePunct w:val="0"/>
        <w:autoSpaceDE/>
        <w:autoSpaceDN/>
        <w:bidi w:val="0"/>
        <w:adjustRightInd/>
        <w:snapToGrid/>
        <w:spacing w:line="580" w:lineRule="exact"/>
        <w:ind w:left="-240" w:leftChars="-100" w:right="-240" w:rightChars="-100" w:firstLine="0" w:firstLineChars="0"/>
        <w:jc w:val="center"/>
        <w:textAlignment w:val="auto"/>
        <w:rPr>
          <w:rFonts w:hint="eastAsia" w:ascii="微软雅黑" w:hAnsi="微软雅黑" w:eastAsia="微软雅黑" w:cs="微软雅黑"/>
          <w:spacing w:val="-20"/>
          <w:kern w:val="0"/>
          <w:sz w:val="44"/>
          <w:szCs w:val="44"/>
          <w:lang w:val="en-US" w:eastAsia="zh-CN"/>
        </w:rPr>
      </w:pPr>
      <w:r>
        <w:rPr>
          <w:rFonts w:hint="eastAsia" w:ascii="微软雅黑" w:hAnsi="微软雅黑" w:eastAsia="微软雅黑" w:cs="微软雅黑"/>
          <w:spacing w:val="-20"/>
          <w:kern w:val="0"/>
          <w:sz w:val="44"/>
          <w:szCs w:val="44"/>
          <w:lang w:val="en-US" w:eastAsia="zh-CN"/>
        </w:rPr>
        <w:t>BOT权属清溪长山头厂一二期等8家污水处理厂污泥脱水减量处理项目应急服务</w:t>
      </w:r>
    </w:p>
    <w:p w14:paraId="5A5279A5">
      <w:pPr>
        <w:pStyle w:val="8"/>
        <w:rPr>
          <w:rFonts w:hint="eastAsia" w:ascii="微软雅黑" w:hAnsi="微软雅黑" w:eastAsia="微软雅黑" w:cs="微软雅黑"/>
          <w:kern w:val="0"/>
          <w:sz w:val="44"/>
          <w:szCs w:val="44"/>
          <w:lang w:val="en-US" w:eastAsia="zh-CN"/>
        </w:rPr>
      </w:pPr>
    </w:p>
    <w:p w14:paraId="40BD3ED6">
      <w:pPr>
        <w:pStyle w:val="8"/>
        <w:rPr>
          <w:rFonts w:hint="eastAsia" w:ascii="微软雅黑" w:hAnsi="微软雅黑" w:eastAsia="微软雅黑" w:cs="微软雅黑"/>
          <w:kern w:val="0"/>
          <w:sz w:val="44"/>
          <w:szCs w:val="44"/>
          <w:lang w:val="en-US" w:eastAsia="zh-CN"/>
        </w:rPr>
      </w:pPr>
    </w:p>
    <w:p w14:paraId="23049A6E">
      <w:pPr>
        <w:pStyle w:val="8"/>
        <w:jc w:val="center"/>
        <w:rPr>
          <w:rFonts w:hint="eastAsia" w:ascii="微软雅黑" w:hAnsi="微软雅黑" w:eastAsia="微软雅黑" w:cs="微软雅黑"/>
          <w:kern w:val="0"/>
          <w:sz w:val="44"/>
          <w:szCs w:val="44"/>
          <w:lang w:val="en-US" w:eastAsia="zh-CN"/>
        </w:rPr>
      </w:pPr>
      <w:r>
        <w:rPr>
          <w:rFonts w:hint="eastAsia" w:ascii="微软雅黑" w:hAnsi="微软雅黑" w:eastAsia="微软雅黑" w:cs="微软雅黑"/>
          <w:kern w:val="0"/>
          <w:sz w:val="44"/>
          <w:szCs w:val="44"/>
          <w:lang w:val="en-US" w:eastAsia="zh-CN"/>
        </w:rPr>
        <w:t>采购合同</w:t>
      </w:r>
    </w:p>
    <w:p w14:paraId="35ECDCA3">
      <w:pPr>
        <w:pStyle w:val="8"/>
        <w:jc w:val="center"/>
        <w:rPr>
          <w:rFonts w:hint="eastAsia" w:ascii="微软雅黑" w:hAnsi="微软雅黑" w:eastAsia="微软雅黑" w:cs="微软雅黑"/>
          <w:kern w:val="0"/>
          <w:sz w:val="30"/>
          <w:szCs w:val="30"/>
          <w:lang w:val="en-US" w:eastAsia="zh-CN"/>
        </w:rPr>
      </w:pPr>
      <w:r>
        <w:rPr>
          <w:rFonts w:hint="eastAsia" w:ascii="微软雅黑" w:hAnsi="微软雅黑" w:eastAsia="微软雅黑" w:cs="微软雅黑"/>
          <w:kern w:val="0"/>
          <w:sz w:val="30"/>
          <w:szCs w:val="30"/>
          <w:lang w:val="en-US" w:eastAsia="zh-CN"/>
        </w:rPr>
        <w:t>（合同编号：                    ）</w:t>
      </w:r>
    </w:p>
    <w:p w14:paraId="5CBB1C1C">
      <w:pPr>
        <w:pStyle w:val="8"/>
        <w:jc w:val="center"/>
        <w:rPr>
          <w:rFonts w:hint="eastAsia" w:ascii="微软雅黑" w:hAnsi="微软雅黑" w:eastAsia="微软雅黑" w:cs="微软雅黑"/>
          <w:kern w:val="0"/>
          <w:sz w:val="30"/>
          <w:szCs w:val="30"/>
          <w:lang w:val="en-US" w:eastAsia="zh-CN"/>
        </w:rPr>
      </w:pPr>
    </w:p>
    <w:p w14:paraId="300E94B8">
      <w:pPr>
        <w:pStyle w:val="8"/>
        <w:jc w:val="center"/>
        <w:rPr>
          <w:rFonts w:hint="eastAsia" w:ascii="微软雅黑" w:hAnsi="微软雅黑" w:eastAsia="微软雅黑" w:cs="微软雅黑"/>
          <w:kern w:val="0"/>
          <w:sz w:val="30"/>
          <w:szCs w:val="30"/>
          <w:lang w:val="en-US" w:eastAsia="zh-CN"/>
        </w:rPr>
      </w:pPr>
    </w:p>
    <w:p w14:paraId="386F466A">
      <w:pPr>
        <w:pStyle w:val="8"/>
        <w:jc w:val="center"/>
        <w:rPr>
          <w:rFonts w:hint="eastAsia" w:ascii="微软雅黑" w:hAnsi="微软雅黑" w:eastAsia="微软雅黑" w:cs="微软雅黑"/>
          <w:kern w:val="0"/>
          <w:sz w:val="30"/>
          <w:szCs w:val="30"/>
          <w:lang w:val="en-US" w:eastAsia="zh-CN"/>
        </w:rPr>
      </w:pPr>
    </w:p>
    <w:p w14:paraId="52845358">
      <w:pPr>
        <w:pStyle w:val="8"/>
        <w:jc w:val="center"/>
        <w:rPr>
          <w:rFonts w:hint="eastAsia" w:ascii="微软雅黑" w:hAnsi="微软雅黑" w:eastAsia="微软雅黑" w:cs="微软雅黑"/>
          <w:kern w:val="0"/>
          <w:sz w:val="30"/>
          <w:szCs w:val="30"/>
          <w:lang w:val="en-US" w:eastAsia="zh-CN"/>
        </w:rPr>
      </w:pPr>
    </w:p>
    <w:p w14:paraId="2BD7EE00">
      <w:pPr>
        <w:pStyle w:val="8"/>
        <w:jc w:val="center"/>
        <w:rPr>
          <w:rFonts w:hint="eastAsia" w:ascii="微软雅黑" w:hAnsi="微软雅黑" w:eastAsia="微软雅黑" w:cs="微软雅黑"/>
          <w:kern w:val="0"/>
          <w:sz w:val="30"/>
          <w:szCs w:val="30"/>
          <w:lang w:val="en-US" w:eastAsia="zh-CN"/>
        </w:rPr>
      </w:pPr>
    </w:p>
    <w:p w14:paraId="09615958">
      <w:pPr>
        <w:pStyle w:val="8"/>
        <w:ind w:left="0" w:leftChars="0" w:firstLine="0" w:firstLineChars="0"/>
        <w:jc w:val="center"/>
        <w:rPr>
          <w:rFonts w:hint="eastAsia" w:ascii="微软雅黑" w:hAnsi="微软雅黑" w:eastAsia="微软雅黑" w:cs="微软雅黑"/>
          <w:kern w:val="0"/>
          <w:sz w:val="30"/>
          <w:szCs w:val="30"/>
          <w:u w:val="single"/>
          <w:lang w:val="en-US" w:eastAsia="zh-CN"/>
        </w:rPr>
      </w:pPr>
      <w:r>
        <w:rPr>
          <w:rFonts w:hint="eastAsia" w:ascii="微软雅黑" w:hAnsi="微软雅黑" w:eastAsia="微软雅黑" w:cs="微软雅黑"/>
          <w:kern w:val="0"/>
          <w:sz w:val="30"/>
          <w:szCs w:val="30"/>
          <w:lang w:val="en-US" w:eastAsia="zh-CN"/>
        </w:rPr>
        <w:t>甲方：</w:t>
      </w:r>
      <w:r>
        <w:rPr>
          <w:rFonts w:hint="eastAsia" w:ascii="微软雅黑" w:hAnsi="微软雅黑" w:eastAsia="微软雅黑" w:cs="微软雅黑"/>
          <w:kern w:val="0"/>
          <w:sz w:val="30"/>
          <w:szCs w:val="30"/>
          <w:u w:val="single"/>
          <w:lang w:val="en-US" w:eastAsia="zh-CN"/>
        </w:rPr>
        <w:t>东莞市众源环境投资有限公司</w:t>
      </w:r>
    </w:p>
    <w:p w14:paraId="5D9250CD">
      <w:pPr>
        <w:pStyle w:val="8"/>
        <w:ind w:left="0" w:leftChars="0" w:firstLine="1800" w:firstLineChars="600"/>
        <w:jc w:val="both"/>
        <w:rPr>
          <w:rFonts w:hint="eastAsia" w:ascii="微软雅黑" w:hAnsi="微软雅黑" w:eastAsia="微软雅黑" w:cs="微软雅黑"/>
          <w:kern w:val="0"/>
          <w:sz w:val="30"/>
          <w:szCs w:val="30"/>
          <w:u w:val="single"/>
          <w:lang w:val="en-US" w:eastAsia="zh-CN"/>
        </w:rPr>
      </w:pPr>
      <w:r>
        <w:rPr>
          <w:rFonts w:hint="eastAsia" w:ascii="微软雅黑" w:hAnsi="微软雅黑" w:eastAsia="微软雅黑" w:cs="微软雅黑"/>
          <w:kern w:val="0"/>
          <w:sz w:val="30"/>
          <w:szCs w:val="30"/>
          <w:lang w:val="en-US" w:eastAsia="zh-CN"/>
        </w:rPr>
        <w:t>乙方：</w:t>
      </w:r>
      <w:r>
        <w:rPr>
          <w:rFonts w:hint="eastAsia" w:ascii="微软雅黑" w:hAnsi="微软雅黑" w:eastAsia="微软雅黑" w:cs="微软雅黑"/>
          <w:kern w:val="0"/>
          <w:sz w:val="30"/>
          <w:szCs w:val="30"/>
          <w:u w:val="single"/>
          <w:lang w:val="en-US" w:eastAsia="zh-CN"/>
        </w:rPr>
        <w:t xml:space="preserve">                         </w:t>
      </w:r>
    </w:p>
    <w:p w14:paraId="11FC4F8A">
      <w:pPr>
        <w:pStyle w:val="8"/>
        <w:ind w:left="0" w:leftChars="0" w:firstLine="1800" w:firstLineChars="600"/>
        <w:jc w:val="both"/>
        <w:rPr>
          <w:rFonts w:hint="eastAsia" w:ascii="微软雅黑" w:hAnsi="微软雅黑" w:eastAsia="微软雅黑" w:cs="微软雅黑"/>
          <w:kern w:val="0"/>
          <w:sz w:val="30"/>
          <w:szCs w:val="30"/>
          <w:u w:val="none"/>
          <w:lang w:val="en-US" w:eastAsia="zh-CN"/>
        </w:rPr>
      </w:pPr>
      <w:r>
        <w:rPr>
          <w:rFonts w:hint="eastAsia" w:ascii="微软雅黑" w:hAnsi="微软雅黑" w:eastAsia="微软雅黑" w:cs="微软雅黑"/>
          <w:kern w:val="0"/>
          <w:sz w:val="30"/>
          <w:szCs w:val="30"/>
          <w:u w:val="none"/>
          <w:lang w:val="en-US" w:eastAsia="zh-CN"/>
        </w:rPr>
        <w:t>签订日期：    年     月     日</w:t>
      </w:r>
    </w:p>
    <w:p w14:paraId="275B94E0">
      <w:pPr>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br w:type="page"/>
      </w:r>
    </w:p>
    <w:p w14:paraId="3C02E561">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甲方：东莞市众源环境投资有限公司</w:t>
      </w:r>
    </w:p>
    <w:p w14:paraId="4E403E76">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乙方：</w:t>
      </w:r>
    </w:p>
    <w:p w14:paraId="0DA65F24">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eastAsia" w:ascii="宋体" w:hAnsi="宋体" w:eastAsia="宋体" w:cs="宋体"/>
          <w:kern w:val="0"/>
          <w:sz w:val="21"/>
          <w:szCs w:val="21"/>
          <w:u w:val="none"/>
          <w:lang w:val="en-US" w:eastAsia="zh-CN"/>
        </w:rPr>
      </w:pPr>
    </w:p>
    <w:p w14:paraId="0A2036B8">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基于双方通过应急采购方式确定乙方作为东莞市众源环境投资有限公司BOT权属清溪长山头厂一二期等8家污水处理厂污泥脱水减量处理项目应急采购项目的服务单位，就委托乙方实施对相应BOT污水处理厂（</w:t>
      </w:r>
      <w:r>
        <w:rPr>
          <w:rFonts w:hint="eastAsia" w:ascii="宋体" w:hAnsi="宋体" w:eastAsia="宋体" w:cs="宋体"/>
          <w:kern w:val="0"/>
          <w:sz w:val="21"/>
          <w:szCs w:val="21"/>
          <w:u w:val="single"/>
          <w:lang w:val="en-US" w:eastAsia="zh-CN"/>
        </w:rPr>
        <w:t xml:space="preserve">                      </w:t>
      </w:r>
      <w:r>
        <w:rPr>
          <w:rFonts w:hint="eastAsia" w:ascii="宋体" w:hAnsi="宋体" w:eastAsia="宋体" w:cs="宋体"/>
          <w:kern w:val="0"/>
          <w:sz w:val="21"/>
          <w:szCs w:val="21"/>
          <w:u w:val="none"/>
          <w:lang w:val="en-US" w:eastAsia="zh-CN"/>
        </w:rPr>
        <w:t>）开展污泥脱水减量处理服务，甲乙双方本着诚实守信、平等互利的原则，经平等协商，签订本合同。</w:t>
      </w:r>
    </w:p>
    <w:p w14:paraId="6FBF3F0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第一条 </w:t>
      </w:r>
      <w:r>
        <w:rPr>
          <w:rFonts w:hint="eastAsia" w:ascii="宋体" w:hAnsi="宋体" w:eastAsia="宋体" w:cs="宋体"/>
          <w:b/>
          <w:bCs/>
          <w:kern w:val="0"/>
          <w:sz w:val="21"/>
          <w:szCs w:val="21"/>
          <w:u w:val="none"/>
          <w:lang w:val="en-US" w:eastAsia="zh-CN"/>
        </w:rPr>
        <w:t>合同范围、服务内容及风险的特别约定</w:t>
      </w:r>
    </w:p>
    <w:p w14:paraId="2C71BC0B">
      <w:pPr>
        <w:pStyle w:val="8"/>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乙方负责在</w:t>
      </w:r>
      <w:r>
        <w:rPr>
          <w:rFonts w:hint="eastAsia" w:ascii="宋体" w:hAnsi="宋体" w:eastAsia="宋体" w:cs="宋体"/>
          <w:kern w:val="0"/>
          <w:sz w:val="21"/>
          <w:szCs w:val="21"/>
          <w:u w:val="single"/>
          <w:lang w:val="en-US" w:eastAsia="zh-CN"/>
        </w:rPr>
        <w:t xml:space="preserve">         污水处理厂（    吨/日）</w:t>
      </w:r>
      <w:r>
        <w:rPr>
          <w:rFonts w:hint="eastAsia" w:ascii="宋体" w:hAnsi="宋体" w:eastAsia="宋体" w:cs="宋体"/>
          <w:kern w:val="0"/>
          <w:sz w:val="21"/>
          <w:szCs w:val="21"/>
          <w:u w:val="none"/>
          <w:lang w:val="en-US" w:eastAsia="zh-CN"/>
        </w:rPr>
        <w:t>安装污泥脱水减量化处理设施，根据甲方书面正式通知的时间进场，在相应BOT污水处理厂</w:t>
      </w:r>
      <w:r>
        <w:rPr>
          <w:rFonts w:hint="eastAsia" w:ascii="宋体" w:hAnsi="宋体" w:eastAsia="宋体" w:cs="宋体"/>
          <w:kern w:val="0"/>
          <w:sz w:val="21"/>
          <w:szCs w:val="21"/>
          <w:highlight w:val="none"/>
          <w:lang w:val="en-US" w:eastAsia="zh-CN"/>
        </w:rPr>
        <w:t>重新选址提供的用地处</w:t>
      </w:r>
      <w:r>
        <w:rPr>
          <w:rFonts w:hint="eastAsia" w:ascii="宋体" w:hAnsi="宋体" w:eastAsia="宋体" w:cs="宋体"/>
          <w:kern w:val="0"/>
          <w:sz w:val="21"/>
          <w:szCs w:val="21"/>
          <w:u w:val="none"/>
          <w:lang w:val="en-US" w:eastAsia="zh-CN"/>
        </w:rPr>
        <w:t>安装污泥脱水减量化处理设施开展污泥脱水减量处理应急服务，主要</w:t>
      </w:r>
      <w:r>
        <w:rPr>
          <w:rFonts w:hint="eastAsia" w:ascii="宋体" w:hAnsi="宋体" w:eastAsia="宋体" w:cs="宋体"/>
          <w:kern w:val="0"/>
          <w:sz w:val="21"/>
          <w:szCs w:val="21"/>
          <w:highlight w:val="none"/>
          <w:lang w:val="en-US" w:eastAsia="zh-CN"/>
        </w:rPr>
        <w:t>需重新选址新增设备</w:t>
      </w:r>
      <w:r>
        <w:rPr>
          <w:rFonts w:hint="eastAsia" w:ascii="宋体" w:hAnsi="宋体" w:eastAsia="宋体" w:cs="宋体"/>
          <w:kern w:val="0"/>
          <w:sz w:val="21"/>
          <w:szCs w:val="21"/>
          <w:u w:val="none"/>
          <w:lang w:val="en-US" w:eastAsia="zh-CN"/>
        </w:rPr>
        <w:t>将从污水处理厂的储泥池或沉淀池抽取的污泥脱水减量至含水率不高于</w:t>
      </w:r>
      <w:r>
        <w:rPr>
          <w:rFonts w:hint="eastAsia" w:ascii="宋体" w:hAnsi="宋体" w:eastAsia="宋体" w:cs="宋体"/>
          <w:kern w:val="0"/>
          <w:sz w:val="21"/>
          <w:szCs w:val="21"/>
          <w:highlight w:val="none"/>
          <w:u w:val="none"/>
          <w:lang w:val="en-US" w:eastAsia="zh-CN"/>
        </w:rPr>
        <w:t>60%</w:t>
      </w:r>
      <w:r>
        <w:rPr>
          <w:rFonts w:hint="eastAsia" w:ascii="宋体" w:hAnsi="宋体" w:eastAsia="宋体" w:cs="宋体"/>
          <w:kern w:val="0"/>
          <w:sz w:val="21"/>
          <w:szCs w:val="21"/>
          <w:u w:val="none"/>
          <w:lang w:val="en-US" w:eastAsia="zh-CN"/>
        </w:rPr>
        <w:t>的半干化泥粉。</w:t>
      </w:r>
    </w:p>
    <w:p w14:paraId="49CC3DEA">
      <w:pPr>
        <w:pStyle w:val="8"/>
        <w:keepNext w:val="0"/>
        <w:keepLines w:val="0"/>
        <w:pageBreakBefore w:val="0"/>
        <w:widowControl w:val="0"/>
        <w:numPr>
          <w:ilvl w:val="0"/>
          <w:numId w:val="1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关于风险的特别约定。</w:t>
      </w:r>
    </w:p>
    <w:p w14:paraId="6F7DFED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jc w:val="both"/>
        <w:textAlignment w:val="auto"/>
        <w:rPr>
          <w:rFonts w:hint="eastAsia" w:ascii="宋体" w:hAnsi="宋体" w:eastAsia="宋体" w:cs="宋体"/>
          <w:b/>
          <w:bCs/>
          <w:kern w:val="0"/>
          <w:sz w:val="21"/>
          <w:szCs w:val="21"/>
          <w:u w:val="single"/>
          <w:lang w:val="en-US" w:eastAsia="zh-CN"/>
        </w:rPr>
      </w:pPr>
      <w:r>
        <w:rPr>
          <w:rFonts w:hint="eastAsia" w:ascii="宋体" w:hAnsi="宋体" w:eastAsia="宋体" w:cs="宋体"/>
          <w:b/>
          <w:bCs/>
          <w:kern w:val="0"/>
          <w:sz w:val="21"/>
          <w:szCs w:val="21"/>
          <w:u w:val="single"/>
          <w:lang w:val="en-US" w:eastAsia="zh-CN"/>
        </w:rPr>
        <w:t>本合同及签订合同过程中甲方提供的用户需求书等资料内介绍的污泥脱水减量化处理规模仅为便于乙方了解项目情况，并限定各减量点设备产能使用，不作为甲方最终委托减量化处理量的保证。最终按实际处理量结算，乙方不得因脱水减量化处理量的减少或增加要求任何形式的补偿或赔偿，或要求甲方按本合同及签订合同过程中甲方提供的用户需求书等资料内介绍的范围提供相应的处理量进行减量处理服务。</w:t>
      </w:r>
    </w:p>
    <w:p w14:paraId="22D47124">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2" w:firstLineChars="200"/>
        <w:jc w:val="both"/>
        <w:textAlignment w:val="auto"/>
        <w:rPr>
          <w:rFonts w:hint="eastAsia" w:ascii="宋体" w:hAnsi="宋体" w:eastAsia="宋体" w:cs="宋体"/>
          <w:b/>
          <w:bCs/>
          <w:kern w:val="0"/>
          <w:sz w:val="21"/>
          <w:szCs w:val="21"/>
          <w:highlight w:val="yellow"/>
          <w:u w:val="single"/>
          <w:lang w:val="en-US" w:eastAsia="zh-CN"/>
        </w:rPr>
      </w:pPr>
      <w:r>
        <w:rPr>
          <w:rFonts w:hint="eastAsia" w:ascii="宋体" w:hAnsi="宋体" w:eastAsia="宋体" w:cs="宋体"/>
          <w:b/>
          <w:bCs/>
          <w:kern w:val="0"/>
          <w:sz w:val="21"/>
          <w:szCs w:val="21"/>
          <w:u w:val="single"/>
          <w:lang w:val="en-US" w:eastAsia="zh-CN"/>
        </w:rPr>
        <w:t>乙方应清楚理解并同意接受本项目具有较大的不确定性，存在包括但不限于以下不确定性因素，因政策调整取消实施或终止需拆除已安装的污泥脱水减量化处理设施、因污水处理厂用地手续不完善等问题被相关行政主管部门叫停而导致需提前结束污泥脱水减量化处理服务合同、因提供给乙方脱水减量化处理的泥量严重不符、因政策或标准调整要求含水率的变化导致需提前解除污泥脱水减量化处理服务合同、因建设场地限制、因甲方或污水厂自主安装脱水设备等，因前述原因或同类因素导致已委托给乙方的项目无法实施或正在安装的或已安装的污泥脱水处理设施后项目取消的，乙方同意放弃向甲方追讨任何费用或主张任何权利</w:t>
      </w:r>
      <w:r>
        <w:rPr>
          <w:rFonts w:hint="eastAsia" w:ascii="宋体" w:hAnsi="宋体" w:eastAsia="宋体" w:cs="宋体"/>
          <w:b/>
          <w:bCs/>
          <w:kern w:val="0"/>
          <w:sz w:val="21"/>
          <w:szCs w:val="21"/>
          <w:highlight w:val="none"/>
          <w:u w:val="single"/>
          <w:lang w:val="en-US" w:eastAsia="zh-CN"/>
        </w:rPr>
        <w:t>和责任。</w:t>
      </w:r>
    </w:p>
    <w:p w14:paraId="5BA73664">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乙方与甲方签订本合同，即视为清楚了解和接受本项目的风险，并同意自行承担前述风险，乙方同意并承诺不因前述风险事项的发生而向甲方追究违约责任或主张损失赔偿。</w:t>
      </w:r>
    </w:p>
    <w:p w14:paraId="44550F18">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p>
    <w:p w14:paraId="1034C7B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第二条 </w:t>
      </w:r>
      <w:r>
        <w:rPr>
          <w:rFonts w:hint="eastAsia" w:ascii="宋体" w:hAnsi="宋体" w:eastAsia="宋体" w:cs="宋体"/>
          <w:b/>
          <w:bCs/>
          <w:kern w:val="0"/>
          <w:sz w:val="21"/>
          <w:szCs w:val="21"/>
          <w:u w:val="none"/>
          <w:lang w:val="en-US" w:eastAsia="zh-CN"/>
        </w:rPr>
        <w:t>服务期限、处理服务费用</w:t>
      </w:r>
    </w:p>
    <w:p w14:paraId="6AA6063C">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lang w:val="en-US" w:eastAsia="zh-CN" w:bidi="ar-SA"/>
        </w:rPr>
        <w:t>1、</w:t>
      </w:r>
      <w:r>
        <w:rPr>
          <w:rFonts w:hint="eastAsia" w:ascii="宋体" w:hAnsi="宋体" w:eastAsia="宋体" w:cs="宋体"/>
          <w:kern w:val="0"/>
          <w:sz w:val="21"/>
          <w:szCs w:val="21"/>
          <w:u w:val="none"/>
          <w:lang w:val="en-US" w:eastAsia="zh-CN"/>
        </w:rPr>
        <w:t>服务期限</w:t>
      </w:r>
    </w:p>
    <w:p w14:paraId="2294A16A">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污水处理厂污泥脱水减量处理项目具体开始日期以甲方发出《进场通知书》之日起为准。服务期，自设备进场投用之日起12个月，</w:t>
      </w:r>
      <w:r>
        <w:rPr>
          <w:rFonts w:hint="eastAsia" w:ascii="宋体" w:hAnsi="宋体" w:eastAsia="宋体" w:cs="宋体"/>
          <w:b/>
          <w:bCs/>
          <w:kern w:val="0"/>
          <w:sz w:val="21"/>
          <w:szCs w:val="21"/>
          <w:u w:val="single"/>
          <w:lang w:val="en-US" w:eastAsia="zh-CN"/>
        </w:rPr>
        <w:t>服务期内，甲方根据风险提示约定条件，有权根据实际情况发出《撤场通知书》并要求乙方无条件提前终止服务并</w:t>
      </w:r>
      <w:r>
        <w:rPr>
          <w:rFonts w:hint="eastAsia" w:ascii="宋体" w:hAnsi="宋体" w:eastAsia="宋体" w:cs="宋体"/>
          <w:b/>
          <w:bCs/>
          <w:kern w:val="0"/>
          <w:sz w:val="21"/>
          <w:szCs w:val="21"/>
          <w:u w:val="single"/>
        </w:rPr>
        <w:t>在</w:t>
      </w:r>
      <w:r>
        <w:rPr>
          <w:rFonts w:hint="eastAsia" w:ascii="宋体" w:hAnsi="宋体" w:eastAsia="宋体" w:cs="宋体"/>
          <w:b/>
          <w:bCs/>
          <w:kern w:val="0"/>
          <w:sz w:val="21"/>
          <w:szCs w:val="21"/>
          <w:u w:val="single"/>
          <w:lang w:eastAsia="zh-CN"/>
        </w:rPr>
        <w:t>甲方</w:t>
      </w:r>
      <w:r>
        <w:rPr>
          <w:rFonts w:hint="eastAsia" w:ascii="宋体" w:hAnsi="宋体" w:eastAsia="宋体" w:cs="宋体"/>
          <w:b/>
          <w:bCs/>
          <w:kern w:val="0"/>
          <w:sz w:val="21"/>
          <w:szCs w:val="21"/>
          <w:u w:val="single"/>
        </w:rPr>
        <w:t>发出《撤场通知书》后30</w:t>
      </w:r>
      <w:r>
        <w:rPr>
          <w:rFonts w:hint="eastAsia" w:ascii="宋体" w:hAnsi="宋体" w:eastAsia="宋体" w:cs="宋体"/>
          <w:b/>
          <w:bCs/>
          <w:kern w:val="0"/>
          <w:sz w:val="21"/>
          <w:szCs w:val="21"/>
          <w:u w:val="single"/>
          <w:lang w:val="en-US" w:eastAsia="zh-CN"/>
        </w:rPr>
        <w:t>日</w:t>
      </w:r>
      <w:r>
        <w:rPr>
          <w:rFonts w:hint="eastAsia" w:ascii="宋体" w:hAnsi="宋体" w:eastAsia="宋体" w:cs="宋体"/>
          <w:b/>
          <w:bCs/>
          <w:kern w:val="0"/>
          <w:sz w:val="21"/>
          <w:szCs w:val="21"/>
          <w:u w:val="single"/>
        </w:rPr>
        <w:t>内完成</w:t>
      </w:r>
      <w:r>
        <w:rPr>
          <w:rFonts w:hint="eastAsia" w:ascii="宋体" w:hAnsi="宋体" w:eastAsia="宋体" w:cs="宋体"/>
          <w:b/>
          <w:bCs/>
          <w:kern w:val="0"/>
          <w:sz w:val="21"/>
          <w:szCs w:val="21"/>
          <w:u w:val="single"/>
          <w:lang w:val="en-US" w:eastAsia="zh-CN"/>
        </w:rPr>
        <w:t>撤场。</w:t>
      </w:r>
      <w:r>
        <w:rPr>
          <w:rFonts w:hint="eastAsia" w:ascii="宋体" w:hAnsi="宋体" w:eastAsia="宋体" w:cs="宋体"/>
          <w:kern w:val="0"/>
          <w:sz w:val="21"/>
          <w:szCs w:val="21"/>
          <w:u w:val="none"/>
          <w:lang w:val="en-US" w:eastAsia="zh-CN"/>
        </w:rPr>
        <w:t>​</w:t>
      </w:r>
    </w:p>
    <w:p w14:paraId="138CE9AE">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2、乙方在收到甲方《进场通知书》之日起15日内在甲方指定位置或场所完成设备安装并具备正式投产条件。本合同内的“投产”是指污泥脱水减量服务产能连续三日稳定达到该处理点设计规模产能的80%或以上，减量化后的半干化泥粉含水率不高于60%（若由于污泥产出单位自身原因导致的污泥产量不足，则由甲方与污泥产生单位经现场确定其产能是否符合要求。）</w:t>
      </w:r>
    </w:p>
    <w:p w14:paraId="5213821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kern w:val="0"/>
          <w:sz w:val="21"/>
          <w:szCs w:val="21"/>
          <w:lang w:val="en-US" w:eastAsia="zh-CN" w:bidi="ar-SA"/>
        </w:rPr>
        <w:t>3、</w:t>
      </w:r>
      <w:r>
        <w:rPr>
          <w:rFonts w:hint="eastAsia" w:ascii="宋体" w:hAnsi="宋体" w:eastAsia="宋体" w:cs="宋体"/>
          <w:kern w:val="0"/>
          <w:sz w:val="21"/>
          <w:szCs w:val="21"/>
          <w:u w:val="none"/>
          <w:lang w:val="en-US" w:eastAsia="zh-CN"/>
        </w:rPr>
        <w:t>除非双方另有合同约定，乙方在以下情况应</w:t>
      </w:r>
      <w:r>
        <w:rPr>
          <w:rFonts w:hint="eastAsia" w:ascii="宋体" w:hAnsi="宋体" w:eastAsia="宋体" w:cs="宋体"/>
          <w:bCs/>
          <w:sz w:val="21"/>
          <w:szCs w:val="21"/>
          <w:lang w:val="en-US" w:eastAsia="zh-CN"/>
        </w:rPr>
        <w:t>自行</w:t>
      </w:r>
      <w:r>
        <w:rPr>
          <w:rFonts w:hint="eastAsia" w:ascii="宋体" w:hAnsi="宋体" w:eastAsia="宋体" w:cs="宋体"/>
          <w:sz w:val="21"/>
          <w:szCs w:val="21"/>
        </w:rPr>
        <w:t>拆除</w:t>
      </w:r>
      <w:r>
        <w:rPr>
          <w:rFonts w:hint="eastAsia" w:ascii="宋体" w:hAnsi="宋体" w:eastAsia="宋体" w:cs="宋体"/>
          <w:sz w:val="21"/>
          <w:szCs w:val="21"/>
          <w:lang w:eastAsia="zh-CN"/>
        </w:rPr>
        <w:t>甲方指定部分</w:t>
      </w:r>
      <w:r>
        <w:rPr>
          <w:rFonts w:hint="eastAsia" w:ascii="宋体" w:hAnsi="宋体" w:eastAsia="宋体" w:cs="宋体"/>
          <w:sz w:val="21"/>
          <w:szCs w:val="21"/>
        </w:rPr>
        <w:t>设备设施</w:t>
      </w:r>
      <w:r>
        <w:rPr>
          <w:rFonts w:hint="eastAsia" w:ascii="宋体" w:hAnsi="宋体" w:eastAsia="宋体" w:cs="宋体"/>
          <w:sz w:val="21"/>
          <w:szCs w:val="21"/>
          <w:lang w:eastAsia="zh-CN"/>
        </w:rPr>
        <w:t>、完成甲方指定</w:t>
      </w:r>
      <w:r>
        <w:rPr>
          <w:rFonts w:hint="eastAsia" w:ascii="宋体" w:hAnsi="宋体" w:eastAsia="宋体" w:cs="宋体"/>
          <w:sz w:val="21"/>
          <w:szCs w:val="21"/>
          <w:highlight w:val="none"/>
        </w:rPr>
        <w:t>场地原状</w:t>
      </w:r>
      <w:r>
        <w:rPr>
          <w:rFonts w:hint="eastAsia" w:ascii="宋体" w:hAnsi="宋体" w:eastAsia="宋体" w:cs="宋体"/>
          <w:sz w:val="21"/>
          <w:szCs w:val="21"/>
          <w:highlight w:val="none"/>
          <w:lang w:eastAsia="zh-CN"/>
        </w:rPr>
        <w:t>恢复</w:t>
      </w:r>
      <w:r>
        <w:rPr>
          <w:rFonts w:hint="eastAsia" w:ascii="宋体" w:hAnsi="宋体" w:eastAsia="宋体" w:cs="宋体"/>
          <w:kern w:val="0"/>
          <w:sz w:val="21"/>
          <w:szCs w:val="21"/>
          <w:u w:val="none"/>
          <w:lang w:val="en-US" w:eastAsia="zh-CN"/>
        </w:rPr>
        <w:t>：</w:t>
      </w:r>
      <w:r>
        <w:rPr>
          <w:rFonts w:hint="eastAsia" w:ascii="宋体" w:hAnsi="宋体" w:eastAsia="宋体" w:cs="宋体"/>
          <w:b/>
          <w:bCs/>
          <w:kern w:val="0"/>
          <w:sz w:val="21"/>
          <w:szCs w:val="21"/>
          <w:u w:val="single"/>
          <w:lang w:val="en-US" w:eastAsia="zh-CN"/>
        </w:rPr>
        <w:t>（1）服务期内，发生本合同第一条第2款风险特别约定情况，甲方要求乙方无条件提前终止服务并发出撤场通知之日起30日内；（2）服务期内，因乙方存在违约行为等，甲方根据本合同约定要求乙方提前终止服务并发出撤场通知之日起30日内。</w:t>
      </w:r>
      <w:r>
        <w:rPr>
          <w:rFonts w:hint="eastAsia" w:ascii="宋体" w:hAnsi="宋体" w:eastAsia="宋体" w:cs="宋体"/>
          <w:b w:val="0"/>
          <w:bCs w:val="0"/>
          <w:kern w:val="0"/>
          <w:sz w:val="21"/>
          <w:szCs w:val="21"/>
          <w:u w:val="none"/>
          <w:lang w:val="en-US" w:eastAsia="zh-CN"/>
        </w:rPr>
        <w:t>以上所导致的因拆除设备设施及场地复原产生的相应费用由乙方承担，在本项目的拆除过程中和拆除之后，甲方无须向乙方支付任何补偿或移交费用。</w:t>
      </w:r>
    </w:p>
    <w:p w14:paraId="2A3078AE">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lang w:val="en-US" w:eastAsia="zh-CN" w:bidi="ar-SA"/>
        </w:rPr>
        <w:t>4、</w:t>
      </w:r>
      <w:r>
        <w:rPr>
          <w:rFonts w:hint="eastAsia" w:ascii="宋体" w:hAnsi="宋体" w:eastAsia="宋体" w:cs="宋体"/>
          <w:kern w:val="0"/>
          <w:sz w:val="21"/>
          <w:szCs w:val="21"/>
          <w:u w:val="none"/>
          <w:lang w:val="en-US" w:eastAsia="zh-CN"/>
        </w:rPr>
        <w:t>污泥脱水减量服务费用：</w:t>
      </w:r>
    </w:p>
    <w:p w14:paraId="75177BED">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lang w:val="en-US" w:eastAsia="zh-CN" w:bidi="ar-SA"/>
        </w:rPr>
        <w:t>（1）</w:t>
      </w:r>
      <w:r>
        <w:rPr>
          <w:rFonts w:hint="eastAsia" w:ascii="宋体" w:hAnsi="宋体" w:eastAsia="宋体" w:cs="宋体"/>
          <w:kern w:val="0"/>
          <w:sz w:val="21"/>
          <w:szCs w:val="21"/>
          <w:u w:val="none"/>
          <w:lang w:val="en-US" w:eastAsia="zh-CN"/>
        </w:rPr>
        <w:t>减量化服务费单价按含水率80%的湿泥计价（元/吨）。将从污水厂储泥池或沉淀池抽取的污泥脱水减量至含水率不高于60%的半干化泥粉的不含税服务费单价（合同单价）为¥</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u w:val="none"/>
          <w:lang w:val="en-US" w:eastAsia="zh-CN"/>
        </w:rPr>
        <w:t>元/吨，大写人民币</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u w:val="none"/>
          <w:lang w:val="en-US" w:eastAsia="zh-CN"/>
        </w:rPr>
        <w:t>元/吨。在本合同履约过程中，合同单价（即销售额，不含乙方销项税额）不随法律法规政策、物价人工、服务期调整而进行调整，未经甲方书面确认，乙方无权增加任何费用。</w:t>
      </w:r>
    </w:p>
    <w:p w14:paraId="5770C8C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lang w:val="en-US" w:eastAsia="zh-CN" w:bidi="ar-SA"/>
        </w:rPr>
        <w:t>（2）</w:t>
      </w:r>
      <w:r>
        <w:rPr>
          <w:rFonts w:hint="eastAsia" w:ascii="宋体" w:hAnsi="宋体" w:eastAsia="宋体" w:cs="宋体"/>
          <w:b w:val="0"/>
          <w:bCs w:val="0"/>
          <w:kern w:val="0"/>
          <w:sz w:val="21"/>
          <w:szCs w:val="21"/>
          <w:u w:val="none"/>
          <w:lang w:val="en-US" w:eastAsia="zh-CN"/>
        </w:rPr>
        <w:t>依法计得并根据本合同约定确定的销项税额由甲方承担。根据《中华人民共和国增值税暂行条例》（国务院令第691号修订版）及当前税务部门的相关规定，本项目合同污泥处理服务费的增值税税率暂定为</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u w:val="none"/>
          <w:lang w:val="en-US" w:eastAsia="zh-CN"/>
        </w:rPr>
        <w:t>，乙方的增值税销项税额根据本合同约定按实结算。在本合同履约过程中，税收政策变动导致增值税税率调整，依法应调整销项税额的，依法调整；但因乙方未按合同约定提供服务、未根据合同约定提供合法、完整的请款资料等原因导致销项税额增加的，相应损失由乙方承担。</w:t>
      </w:r>
    </w:p>
    <w:p w14:paraId="739DA4E8">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5D56727A">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lang w:val="en-US" w:eastAsia="zh-CN" w:bidi="ar-SA"/>
        </w:rPr>
        <w:t>（3）</w:t>
      </w:r>
      <w:r>
        <w:rPr>
          <w:rFonts w:hint="eastAsia" w:ascii="宋体" w:hAnsi="宋体" w:eastAsia="宋体" w:cs="宋体"/>
          <w:b w:val="0"/>
          <w:bCs w:val="0"/>
          <w:kern w:val="0"/>
          <w:sz w:val="21"/>
          <w:szCs w:val="21"/>
          <w:u w:val="none"/>
          <w:lang w:val="en-US" w:eastAsia="zh-CN"/>
        </w:rPr>
        <w:t>合同单价价税合计暂定为¥</w:t>
      </w:r>
      <w:r>
        <w:rPr>
          <w:rFonts w:hint="eastAsia" w:ascii="宋体" w:hAnsi="宋体" w:eastAsia="宋体" w:cs="宋体"/>
          <w:b w:val="0"/>
          <w:bCs w:val="0"/>
          <w:kern w:val="0"/>
          <w:sz w:val="21"/>
          <w:szCs w:val="21"/>
          <w:u w:val="single"/>
          <w:lang w:val="en-US" w:eastAsia="zh-CN"/>
        </w:rPr>
        <w:t xml:space="preserve">       </w:t>
      </w:r>
      <w:r>
        <w:rPr>
          <w:rFonts w:hint="eastAsia" w:ascii="宋体" w:hAnsi="宋体" w:eastAsia="宋体" w:cs="宋体"/>
          <w:b w:val="0"/>
          <w:bCs w:val="0"/>
          <w:kern w:val="0"/>
          <w:sz w:val="21"/>
          <w:szCs w:val="21"/>
          <w:u w:val="none"/>
          <w:lang w:val="en-US" w:eastAsia="zh-CN"/>
        </w:rPr>
        <w:t>元/吨，大写人民币      元/吨，合同履约期间根据上述第（2）项规定调整销项税额的，结算合同单价价税合计对应调整。</w:t>
      </w:r>
    </w:p>
    <w:p w14:paraId="6FF574A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lang w:val="en-US" w:eastAsia="zh-CN" w:bidi="ar-SA"/>
        </w:rPr>
        <w:t>（4）</w:t>
      </w:r>
      <w:r>
        <w:rPr>
          <w:rFonts w:hint="eastAsia" w:ascii="宋体" w:hAnsi="宋体" w:eastAsia="宋体" w:cs="宋体"/>
          <w:b w:val="0"/>
          <w:bCs w:val="0"/>
          <w:kern w:val="0"/>
          <w:sz w:val="21"/>
          <w:szCs w:val="21"/>
          <w:u w:val="none"/>
          <w:lang w:val="en-US" w:eastAsia="zh-CN"/>
        </w:rPr>
        <w:t>本项目合同单价，包含了甲方污水处理厂现状条件下（其他污水处理厂运至该减量化集中处理点的污泥由甲方负责运输），乙方完成甲方污泥减量化达标处理服务所需的设备设施、物资、服务、人力成本、药剂费、电费、水费、维修（包括但不限于日常维修）、日常办公等管理费、设备增补、乙方销项税额以外的税费、保险费、合同实施过程中的所有费用，包括但不限于：</w:t>
      </w:r>
    </w:p>
    <w:p w14:paraId="49527902">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①在污水处理厂或污泥集中处理点进行污泥脱水减量化成套设备设施的设计、供应、运输（至项目现场）、保险、装卸、安装（含安全防护、文明施工措施、设备安装基础）、调试、验收及日常运营、维护和维修，以及服务期满后的拆除、场地恢复原貌的费用；</w:t>
      </w:r>
    </w:p>
    <w:p w14:paraId="1C8BFCA4">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②脱水减量化处理所需调理剂等药剂的供应、投加，以及加装符合国家及行业标准要求的计量装置的相关费用；</w:t>
      </w:r>
    </w:p>
    <w:p w14:paraId="21A86725">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③从污水处理厂储泥池或沉淀池将甲方污泥转运（或管道输送）、投加到脱水减量化设备的费用（含从其他污水处理厂运至该减量化集中处理点的污泥处理前的暂存储泥仓或稀释池费用），将脱水减量化处理后的污泥转运到污水处理厂（或处理后贮存点）内甲方指定暂存地点的费用；将脱水减量化以后的污泥进行破碎及外运装车的费用；</w:t>
      </w:r>
    </w:p>
    <w:p w14:paraId="547DE47D">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④乙方脱水减量化处理服务全过程的人工、住宿、餐饮、人员社会保险、人身意外保险、第三方责任险、项目投资、建设及运营风险等费用；</w:t>
      </w:r>
    </w:p>
    <w:p w14:paraId="069FE49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⑤室外脱水减量化处理服务所需的“三通一平”、临时设施建设（含保证脱水减量化设施正常运行所需的临时设施、设备基础，脱水后半干化泥粉临时暂存避雨防水的储泥仓等）；</w:t>
      </w:r>
    </w:p>
    <w:p w14:paraId="1569C34C">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⑥污泥减量化处理相关知识产权版税等使用费；</w:t>
      </w:r>
    </w:p>
    <w:p w14:paraId="5D75D35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⑦乙方销项税额以外的税费、利润等；</w:t>
      </w:r>
    </w:p>
    <w:p w14:paraId="416F9E22">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⑧实现污泥脱水减量化达标、废水、废气、噪声达标，以及完成脱水减量化处理服务相关的其他直接及间接费用。</w:t>
      </w:r>
    </w:p>
    <w:p w14:paraId="2BC0EA08">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lang w:val="en-US" w:eastAsia="zh-CN" w:bidi="ar-SA"/>
        </w:rPr>
        <w:t>（5）</w:t>
      </w:r>
      <w:r>
        <w:rPr>
          <w:rFonts w:hint="eastAsia" w:ascii="宋体" w:hAnsi="宋体" w:eastAsia="宋体" w:cs="宋体"/>
          <w:b w:val="0"/>
          <w:bCs w:val="0"/>
          <w:kern w:val="0"/>
          <w:sz w:val="21"/>
          <w:szCs w:val="21"/>
          <w:u w:val="none"/>
          <w:lang w:val="en-US" w:eastAsia="zh-CN"/>
        </w:rPr>
        <w:t>乙方污泥脱水减量化服务费的具体单价取值，根据本合同第三条约定确定。</w:t>
      </w:r>
    </w:p>
    <w:p w14:paraId="4BEC0FBD">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（6）甲方或甲方委托的第三方检测机构按车次检测脱水减量化后的泥粉含水率，费用由甲方承担，乙方无条件配合检测工作；因建立台账而产生自检的费用由乙方负责。</w:t>
      </w:r>
    </w:p>
    <w:p w14:paraId="008C775A">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第三条 </w:t>
      </w:r>
      <w:r>
        <w:rPr>
          <w:rFonts w:hint="eastAsia" w:ascii="宋体" w:hAnsi="宋体" w:eastAsia="宋体" w:cs="宋体"/>
          <w:b/>
          <w:bCs/>
          <w:kern w:val="0"/>
          <w:sz w:val="21"/>
          <w:szCs w:val="21"/>
          <w:u w:val="none"/>
          <w:lang w:val="en-US" w:eastAsia="zh-CN"/>
        </w:rPr>
        <w:t>污泥计量、脱水减量化处理后污泥的含水率及抽检、计费要求</w:t>
      </w:r>
    </w:p>
    <w:p w14:paraId="033FD06D">
      <w:pPr>
        <w:pStyle w:val="8"/>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污水处理厂污泥减量化项目减量化服务费单价按含水率80%的湿泥计价（元/吨）。</w:t>
      </w:r>
    </w:p>
    <w:p w14:paraId="54B47548">
      <w:pPr>
        <w:pStyle w:val="8"/>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污泥称重计量：污水处理厂出厂的半干化泥粉，通过甲方指定的地磅的称重数据（磅单）为计量计费依据，计量相关费用均由甲方承担。</w:t>
      </w:r>
    </w:p>
    <w:p w14:paraId="6BFCC22D">
      <w:pPr>
        <w:pStyle w:val="8"/>
        <w:keepNext w:val="0"/>
        <w:keepLines w:val="0"/>
        <w:pageBreakBefore w:val="0"/>
        <w:widowControl w:val="0"/>
        <w:numPr>
          <w:ilvl w:val="0"/>
          <w:numId w:val="1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当车结算泥量，当车结算泥量=称重数据（磅单）×（1-60%）/（1-80%）。</w:t>
      </w:r>
    </w:p>
    <w:p w14:paraId="35D6A1A4">
      <w:pPr>
        <w:pStyle w:val="8"/>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含水率</w:t>
      </w:r>
    </w:p>
    <w:p w14:paraId="37900C79">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乙方应严格遵照合同及甲方要求将污泥脱水减量化至含水率不高于60%，合同统一按含水率60%统计污泥减量化处理量，并折算为含水率80%的湿泥计价，按合同单价（将从污水厂储泥池或沉淀池抽取的污泥脱水减量至含水率不高于60%的半干化污泥服务费单价）计取。</w:t>
      </w:r>
    </w:p>
    <w:p w14:paraId="5FDA2024">
      <w:pPr>
        <w:pStyle w:val="8"/>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含水率检测</w:t>
      </w:r>
    </w:p>
    <w:p w14:paraId="49595D92">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含水率检测包括由污水处理厂化验室（或甲方委托的第三方检测机构、或污泥产生单位委托的第三方检测机构）检测及甲方抽检两部分。</w:t>
      </w:r>
    </w:p>
    <w:p w14:paraId="1CFFD13C">
      <w:pPr>
        <w:pStyle w:val="8"/>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检测采样方式：</w:t>
      </w:r>
    </w:p>
    <w:p w14:paraId="6157FD93">
      <w:pPr>
        <w:pStyle w:val="8"/>
        <w:keepNext w:val="0"/>
        <w:keepLines w:val="0"/>
        <w:pageBreakBefore w:val="0"/>
        <w:widowControl w:val="0"/>
        <w:numPr>
          <w:ilvl w:val="0"/>
          <w:numId w:val="1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污水处理厂化验室（或甲方委托的第三方检测机构、或污泥产生单位委托的第三方检测机构）检测：</w:t>
      </w:r>
    </w:p>
    <w:p w14:paraId="47D653F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在本项目半干化泥粉外运装车时采集半干化泥粉样品，采样点为甲方指定采样位置，采样方法执行《城镇污水处理厂污染物排放标准》（GB18918-2002）的规定，多点取样，即在甲方指定3个不同的地方，用不锈钢采样器采集泥样后，现场混合碾碎为一个均匀样。前述采集的均匀样分为4份,并对4份样品进行编码以便记录和区分。1份交由污水处理厂化验室（或污泥产生单位委托的第三方检测机构）检测；1份放至污水处理厂化验室（或污泥产生单位委托的第三方检测机构），以备甲方委托的第三方检测机构复检（有异议时）或抽检（每月4次）；1份交由乙方自行保留或自检；1份交由甲方自行检测。若乙方对污水处理厂化验室（或污泥产生单位委托的第三方检测机构）检测的含水率有异议（24小时内提出），则由甲方委托的第三方有资质的检测公司对污水处理厂留底的样品进行检测（48小时内），并以该含水率作为最终计费依据。</w:t>
      </w:r>
    </w:p>
    <w:p w14:paraId="08F5A3D7">
      <w:pPr>
        <w:pStyle w:val="8"/>
        <w:keepNext w:val="0"/>
        <w:keepLines w:val="0"/>
        <w:pageBreakBefore w:val="0"/>
        <w:widowControl w:val="0"/>
        <w:numPr>
          <w:ilvl w:val="0"/>
          <w:numId w:val="1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甲方抽检：</w:t>
      </w:r>
    </w:p>
    <w:p w14:paraId="75E64C69">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由甲方或甲方委托的第三方检测机构进行采样，样本采集后分4份，其中1份由甲方或甲方委托的第三方检测机构检验；2份交由污泥减量化项目所在污水处理厂化验室检测（1份由化验室检测，1份由化验室留存以备复检）；1份由乙方自行保留或自检。</w:t>
      </w:r>
    </w:p>
    <w:p w14:paraId="2E6E2C83">
      <w:pPr>
        <w:pStyle w:val="8"/>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采样时乙方需用水印相机拍摄采样过程视频，并由乙方负责建立《采样台账》（具体格式由乙方自定，应至少含样品编码、抽检位置、抽检时间及双方签字记录等信息），由污水处理厂（或甲方委托的第三方检测机构、或</w:t>
      </w:r>
      <w:bookmarkStart w:id="11" w:name="OLE_LINK1"/>
      <w:r>
        <w:rPr>
          <w:rFonts w:hint="eastAsia" w:ascii="宋体" w:hAnsi="宋体" w:eastAsia="宋体" w:cs="宋体"/>
          <w:kern w:val="0"/>
          <w:sz w:val="21"/>
          <w:szCs w:val="21"/>
          <w:u w:val="none"/>
          <w:lang w:val="en-US" w:eastAsia="zh-CN"/>
        </w:rPr>
        <w:t>污泥产生单位</w:t>
      </w:r>
      <w:bookmarkEnd w:id="11"/>
      <w:r>
        <w:rPr>
          <w:rFonts w:hint="eastAsia" w:ascii="宋体" w:hAnsi="宋体" w:eastAsia="宋体" w:cs="宋体"/>
          <w:kern w:val="0"/>
          <w:sz w:val="21"/>
          <w:szCs w:val="21"/>
          <w:u w:val="none"/>
          <w:lang w:val="en-US" w:eastAsia="zh-CN"/>
        </w:rPr>
        <w:t>委托的第三方检测机构）和乙方共同在《采样台账》上签名确认污泥样品，采样视频及《采样台账》于每月请款时交甲方留底。</w:t>
      </w:r>
    </w:p>
    <w:p w14:paraId="25FDDE49">
      <w:pPr>
        <w:pStyle w:val="8"/>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sz w:val="21"/>
          <w:szCs w:val="21"/>
        </w:rPr>
        <w:t>污水处理厂化验室（</w:t>
      </w:r>
      <w:r>
        <w:rPr>
          <w:rFonts w:hint="eastAsia" w:ascii="宋体" w:hAnsi="宋体" w:eastAsia="宋体" w:cs="宋体"/>
          <w:sz w:val="21"/>
          <w:szCs w:val="21"/>
          <w:lang w:val="en-US" w:eastAsia="zh-CN"/>
        </w:rPr>
        <w:t>或污水处理厂委托的第三方检测机构</w:t>
      </w:r>
      <w:r>
        <w:rPr>
          <w:rFonts w:hint="eastAsia" w:ascii="宋体" w:hAnsi="宋体" w:eastAsia="宋体" w:cs="宋体"/>
          <w:sz w:val="21"/>
          <w:szCs w:val="21"/>
        </w:rPr>
        <w:t>）检测。污水处理厂化验室（</w:t>
      </w:r>
      <w:r>
        <w:rPr>
          <w:rFonts w:hint="eastAsia" w:ascii="宋体" w:hAnsi="宋体" w:eastAsia="宋体" w:cs="宋体"/>
          <w:sz w:val="21"/>
          <w:szCs w:val="21"/>
          <w:lang w:val="en-US" w:eastAsia="zh-CN"/>
        </w:rPr>
        <w:t>或污水处理厂委托的第三方检测机构</w:t>
      </w:r>
      <w:r>
        <w:rPr>
          <w:rFonts w:hint="eastAsia" w:ascii="宋体" w:hAnsi="宋体" w:eastAsia="宋体" w:cs="宋体"/>
          <w:sz w:val="21"/>
          <w:szCs w:val="21"/>
        </w:rPr>
        <w:t>）</w:t>
      </w:r>
      <w:r>
        <w:rPr>
          <w:rFonts w:hint="eastAsia" w:ascii="宋体" w:hAnsi="宋体" w:eastAsia="宋体" w:cs="宋体"/>
          <w:sz w:val="21"/>
          <w:szCs w:val="21"/>
          <w:lang w:eastAsia="zh-CN"/>
        </w:rPr>
        <w:t>在</w:t>
      </w:r>
      <w:r>
        <w:rPr>
          <w:rFonts w:hint="eastAsia" w:ascii="宋体" w:hAnsi="宋体" w:eastAsia="宋体" w:cs="宋体"/>
          <w:sz w:val="21"/>
          <w:szCs w:val="21"/>
        </w:rPr>
        <w:t>每车半干化泥粉</w:t>
      </w:r>
      <w:r>
        <w:rPr>
          <w:rFonts w:hint="eastAsia" w:ascii="宋体" w:hAnsi="宋体" w:eastAsia="宋体" w:cs="宋体"/>
          <w:sz w:val="21"/>
          <w:szCs w:val="21"/>
          <w:lang w:val="en-US" w:eastAsia="zh-CN"/>
        </w:rPr>
        <w:t>出厂前（过第2次地磅前）完成采样工作</w:t>
      </w:r>
      <w:r>
        <w:rPr>
          <w:rFonts w:hint="eastAsia" w:ascii="宋体" w:hAnsi="宋体" w:eastAsia="宋体" w:cs="宋体"/>
          <w:sz w:val="21"/>
          <w:szCs w:val="21"/>
        </w:rPr>
        <w:t>。污水处理厂、</w:t>
      </w:r>
      <w:r>
        <w:rPr>
          <w:rFonts w:hint="eastAsia" w:ascii="宋体" w:hAnsi="宋体" w:eastAsia="宋体" w:cs="宋体"/>
          <w:sz w:val="21"/>
          <w:szCs w:val="21"/>
          <w:lang w:eastAsia="zh-CN"/>
        </w:rPr>
        <w:t>甲方</w:t>
      </w:r>
      <w:r>
        <w:rPr>
          <w:rFonts w:hint="eastAsia" w:ascii="宋体" w:hAnsi="宋体" w:eastAsia="宋体" w:cs="宋体"/>
          <w:sz w:val="21"/>
          <w:szCs w:val="21"/>
        </w:rPr>
        <w:t>及</w:t>
      </w:r>
      <w:r>
        <w:rPr>
          <w:rFonts w:hint="eastAsia" w:ascii="宋体" w:hAnsi="宋体" w:eastAsia="宋体" w:cs="宋体"/>
          <w:sz w:val="21"/>
          <w:szCs w:val="21"/>
          <w:lang w:eastAsia="zh-CN"/>
        </w:rPr>
        <w:t>乙方</w:t>
      </w:r>
      <w:r>
        <w:rPr>
          <w:rFonts w:hint="eastAsia" w:ascii="宋体" w:hAnsi="宋体" w:eastAsia="宋体" w:cs="宋体"/>
          <w:sz w:val="21"/>
          <w:szCs w:val="21"/>
        </w:rPr>
        <w:t>三方对脱水减量化后的半干化泥粉出厂含水率进行共同确认，形成《统计台账》，于每月请款时交甲方留底。</w:t>
      </w:r>
    </w:p>
    <w:p w14:paraId="568CC130">
      <w:pPr>
        <w:pStyle w:val="8"/>
        <w:keepNext w:val="0"/>
        <w:keepLines w:val="0"/>
        <w:pageBreakBefore w:val="0"/>
        <w:widowControl w:val="0"/>
        <w:numPr>
          <w:ilvl w:val="0"/>
          <w:numId w:val="1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甲方或甲方委托的第三方检测机构每月随机从采集的样品中选取不小于4个进行检测（如污泥产生单位产生污泥量不足4车，以具体车次为准），并最终以甲方或甲方委托的第三方检测机构的检测数据作为当车污泥脱水减量化处理服务费计费依据，当月其余车次含水率以《统计台账》为准，形成《XXX年XX月XXX厂污泥脱水减量服务费结算台账》（下称“《结算台账》”），作为甲方向乙方支付当月污泥脱水减量化处理服务费的结算依据。</w:t>
      </w:r>
    </w:p>
    <w:p w14:paraId="4F862A90">
      <w:pPr>
        <w:pStyle w:val="8"/>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污泥脱水减量化处理服务费计费（按</w:t>
      </w:r>
      <w:r>
        <w:rPr>
          <w:rFonts w:hint="eastAsia" w:ascii="宋体" w:hAnsi="宋体" w:eastAsia="宋体" w:cs="宋体"/>
          <w:sz w:val="21"/>
          <w:szCs w:val="21"/>
          <w:u w:val="none"/>
          <w:lang w:eastAsia="zh-CN" w:bidi="ar-SA"/>
        </w:rPr>
        <w:t>同一污泥产生单位</w:t>
      </w:r>
      <w:r>
        <w:rPr>
          <w:rFonts w:hint="eastAsia" w:ascii="宋体" w:hAnsi="宋体" w:eastAsia="宋体" w:cs="宋体"/>
          <w:sz w:val="21"/>
          <w:szCs w:val="21"/>
          <w:u w:val="none"/>
          <w:lang w:val="en-US" w:eastAsia="zh-CN" w:bidi="ar-SA"/>
        </w:rPr>
        <w:t>进行计费</w:t>
      </w:r>
      <w:r>
        <w:rPr>
          <w:rFonts w:hint="eastAsia" w:ascii="宋体" w:hAnsi="宋体" w:eastAsia="宋体" w:cs="宋体"/>
          <w:kern w:val="0"/>
          <w:sz w:val="21"/>
          <w:szCs w:val="21"/>
          <w:u w:val="none"/>
          <w:lang w:val="en-US" w:eastAsia="zh-CN"/>
        </w:rPr>
        <w:t>）</w:t>
      </w:r>
    </w:p>
    <w:p w14:paraId="72579C19">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当车含水率小于等于60%时，当车污泥脱水减量化处理服务费=当车结算泥量×合同单价（从污水厂储泥池或沉淀池抽取的污泥减量至含水率不高于60%的半干化污泥服务费单价）。</w:t>
      </w:r>
    </w:p>
    <w:p w14:paraId="19C9CE30">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当车含水率大于60%小于等于65%时，当车污泥脱水减量化处理服务费=当车结算泥量×合同单价（从污水厂储泥池或沉淀池抽取的污泥减量至含水率不高于60%的半干化污泥服务费单价）×0.5。</w:t>
      </w:r>
    </w:p>
    <w:p w14:paraId="7CA4CA73">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当车含水率大于65%时，甲方无需支付当车污泥脱水减量化处理服务费。</w:t>
      </w:r>
    </w:p>
    <w:p w14:paraId="7281FDC9">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rPr>
      </w:pPr>
      <w:r>
        <w:rPr>
          <w:rFonts w:hint="eastAsia" w:ascii="宋体" w:hAnsi="宋体" w:eastAsia="宋体" w:cs="宋体"/>
          <w:sz w:val="21"/>
          <w:szCs w:val="21"/>
          <w:u w:val="none"/>
          <w:lang w:eastAsia="zh-CN" w:bidi="ar-SA"/>
        </w:rPr>
        <w:t>同一污泥产生单位</w:t>
      </w:r>
      <w:r>
        <w:rPr>
          <w:rFonts w:hint="eastAsia" w:ascii="宋体" w:hAnsi="宋体" w:eastAsia="宋体" w:cs="宋体"/>
          <w:sz w:val="21"/>
          <w:szCs w:val="21"/>
          <w:u w:val="none"/>
          <w:lang w:val="en-US" w:eastAsia="zh-CN" w:bidi="ar-SA"/>
        </w:rPr>
        <w:t>的</w:t>
      </w:r>
      <w:r>
        <w:rPr>
          <w:rFonts w:hint="eastAsia" w:ascii="宋体" w:hAnsi="宋体" w:eastAsia="宋体" w:cs="宋体"/>
          <w:kern w:val="0"/>
          <w:sz w:val="21"/>
          <w:szCs w:val="21"/>
          <w:u w:val="none"/>
        </w:rPr>
        <w:t>当月平均含水率小于等于60%时，当月污泥脱水减量化处理服务费为当月每车污泥脱水减量化处理服务费之和；</w:t>
      </w:r>
    </w:p>
    <w:p w14:paraId="6BF8EF33">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sz w:val="21"/>
          <w:szCs w:val="21"/>
          <w:u w:val="none"/>
          <w:lang w:eastAsia="zh-CN" w:bidi="ar-SA"/>
        </w:rPr>
        <w:t>同一污泥产生单位</w:t>
      </w:r>
      <w:r>
        <w:rPr>
          <w:rFonts w:hint="eastAsia" w:ascii="宋体" w:hAnsi="宋体" w:eastAsia="宋体" w:cs="宋体"/>
          <w:sz w:val="21"/>
          <w:szCs w:val="21"/>
          <w:u w:val="none"/>
          <w:lang w:val="en-US" w:eastAsia="zh-CN" w:bidi="ar-SA"/>
        </w:rPr>
        <w:t>的</w:t>
      </w:r>
      <w:r>
        <w:rPr>
          <w:rFonts w:hint="eastAsia" w:ascii="宋体" w:hAnsi="宋体" w:eastAsia="宋体" w:cs="宋体"/>
          <w:kern w:val="0"/>
          <w:sz w:val="21"/>
          <w:szCs w:val="21"/>
          <w:u w:val="none"/>
        </w:rPr>
        <w:t>当月平均含水率大于60%小于</w:t>
      </w:r>
      <w:r>
        <w:rPr>
          <w:rFonts w:hint="eastAsia" w:ascii="宋体" w:hAnsi="宋体" w:eastAsia="宋体" w:cs="宋体"/>
          <w:kern w:val="0"/>
          <w:sz w:val="21"/>
          <w:szCs w:val="21"/>
          <w:u w:val="none"/>
          <w:lang w:val="en-US" w:eastAsia="zh-CN"/>
        </w:rPr>
        <w:t>等于</w:t>
      </w:r>
      <w:r>
        <w:rPr>
          <w:rFonts w:hint="eastAsia" w:ascii="宋体" w:hAnsi="宋体" w:eastAsia="宋体" w:cs="宋体"/>
          <w:kern w:val="0"/>
          <w:sz w:val="21"/>
          <w:szCs w:val="21"/>
          <w:u w:val="none"/>
        </w:rPr>
        <w:t>65%时，当月污泥脱水减量化处理服务费=</w:t>
      </w:r>
      <w:r>
        <w:rPr>
          <w:rFonts w:hint="eastAsia" w:ascii="宋体" w:hAnsi="宋体" w:eastAsia="宋体" w:cs="宋体"/>
          <w:kern w:val="0"/>
          <w:sz w:val="21"/>
          <w:szCs w:val="21"/>
          <w:u w:val="none"/>
          <w:lang w:val="en-US" w:eastAsia="zh-CN"/>
        </w:rPr>
        <w:t>当月应收取每车污泥脱水减量化处理服务费之和</w:t>
      </w:r>
      <w:r>
        <w:rPr>
          <w:rFonts w:hint="eastAsia" w:ascii="宋体" w:hAnsi="宋体" w:eastAsia="宋体" w:cs="宋体"/>
          <w:kern w:val="0"/>
          <w:sz w:val="21"/>
          <w:szCs w:val="21"/>
          <w:u w:val="none"/>
        </w:rPr>
        <w:t>×0.5；</w:t>
      </w:r>
    </w:p>
    <w:p w14:paraId="1ECC740C">
      <w:pPr>
        <w:pStyle w:val="8"/>
        <w:keepNext w:val="0"/>
        <w:keepLines w:val="0"/>
        <w:pageBreakBefore w:val="0"/>
        <w:widowControl w:val="0"/>
        <w:numPr>
          <w:ilvl w:val="0"/>
          <w:numId w:val="1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kern w:val="0"/>
          <w:sz w:val="21"/>
          <w:szCs w:val="21"/>
          <w:u w:val="none"/>
          <w:lang w:val="en-US" w:eastAsia="zh-CN"/>
        </w:rPr>
      </w:pPr>
      <w:r>
        <w:rPr>
          <w:rFonts w:hint="eastAsia" w:ascii="宋体" w:hAnsi="宋体" w:eastAsia="宋体" w:cs="宋体"/>
          <w:sz w:val="21"/>
          <w:szCs w:val="21"/>
          <w:u w:val="none"/>
          <w:lang w:eastAsia="zh-CN" w:bidi="ar-SA"/>
        </w:rPr>
        <w:t>同一污泥产生单位</w:t>
      </w:r>
      <w:r>
        <w:rPr>
          <w:rFonts w:hint="eastAsia" w:ascii="宋体" w:hAnsi="宋体" w:eastAsia="宋体" w:cs="宋体"/>
          <w:sz w:val="21"/>
          <w:szCs w:val="21"/>
          <w:u w:val="none"/>
          <w:lang w:val="en-US" w:eastAsia="zh-CN" w:bidi="ar-SA"/>
        </w:rPr>
        <w:t>的</w:t>
      </w:r>
      <w:r>
        <w:rPr>
          <w:rFonts w:hint="eastAsia" w:ascii="宋体" w:hAnsi="宋体" w:eastAsia="宋体" w:cs="宋体"/>
          <w:kern w:val="0"/>
          <w:sz w:val="21"/>
          <w:szCs w:val="21"/>
          <w:u w:val="none"/>
          <w:lang w:val="en-US" w:eastAsia="zh-CN"/>
        </w:rPr>
        <w:t>当月平均含水率大于65%时，甲方无需支付当月应收取污泥脱水减量化处理服务费。</w:t>
      </w:r>
    </w:p>
    <w:p w14:paraId="77EB0302">
      <w:pPr>
        <w:pStyle w:val="8"/>
        <w:keepNext w:val="0"/>
        <w:keepLines w:val="0"/>
        <w:pageBreakBefore w:val="0"/>
        <w:widowControl w:val="0"/>
        <w:numPr>
          <w:ilvl w:val="0"/>
          <w:numId w:val="15"/>
        </w:numPr>
        <w:kinsoku/>
        <w:wordWrap/>
        <w:overflowPunct/>
        <w:topLinePunct w:val="0"/>
        <w:autoSpaceDE/>
        <w:autoSpaceDN/>
        <w:bidi w:val="0"/>
        <w:adjustRightInd/>
        <w:snapToGrid/>
        <w:spacing w:after="0" w:line="360" w:lineRule="auto"/>
        <w:ind w:firstLineChars="200"/>
        <w:jc w:val="left"/>
        <w:textAlignment w:val="auto"/>
        <w:rPr>
          <w:rFonts w:hint="eastAsia" w:ascii="宋体" w:hAnsi="宋体" w:eastAsia="宋体" w:cs="宋体"/>
          <w:kern w:val="0"/>
          <w:sz w:val="21"/>
          <w:szCs w:val="21"/>
          <w:u w:val="none"/>
          <w:lang w:val="en-US" w:eastAsia="zh-CN"/>
        </w:rPr>
      </w:pPr>
      <w:r>
        <w:rPr>
          <w:rFonts w:hint="eastAsia" w:ascii="宋体" w:hAnsi="宋体" w:eastAsia="宋体" w:cs="宋体"/>
          <w:kern w:val="0"/>
          <w:sz w:val="21"/>
          <w:szCs w:val="21"/>
          <w:u w:val="none"/>
          <w:lang w:val="en-US" w:eastAsia="zh-CN"/>
        </w:rPr>
        <w:t>甲方按照本条的约定的方式与乙方进行服务费结算，并不影响甲方追究乙方的有关违约责任，两者可以并行执行。</w:t>
      </w:r>
    </w:p>
    <w:p w14:paraId="4E408FD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0" w:firstLineChars="0"/>
        <w:jc w:val="left"/>
        <w:textAlignment w:val="auto"/>
        <w:rPr>
          <w:rFonts w:hint="eastAsia" w:ascii="宋体" w:hAnsi="宋体" w:eastAsia="宋体" w:cs="宋体"/>
          <w:kern w:val="0"/>
          <w:sz w:val="21"/>
          <w:szCs w:val="21"/>
          <w:u w:val="none"/>
          <w:lang w:val="en-US" w:eastAsia="zh-CN"/>
        </w:rPr>
      </w:pPr>
    </w:p>
    <w:p w14:paraId="4A59E94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highlight w:val="none"/>
          <w:u w:val="none"/>
          <w:lang w:val="en-US" w:eastAsia="zh-CN"/>
        </w:rPr>
      </w:pPr>
      <w:r>
        <w:rPr>
          <w:rFonts w:hint="eastAsia" w:ascii="宋体" w:hAnsi="宋体" w:eastAsia="宋体" w:cs="宋体"/>
          <w:b/>
          <w:bCs/>
          <w:kern w:val="0"/>
          <w:sz w:val="21"/>
          <w:szCs w:val="21"/>
          <w:highlight w:val="none"/>
          <w:lang w:val="en-US" w:eastAsia="zh-CN" w:bidi="ar-SA"/>
        </w:rPr>
        <w:t xml:space="preserve">第四条 </w:t>
      </w:r>
      <w:r>
        <w:rPr>
          <w:rFonts w:hint="eastAsia" w:ascii="宋体" w:hAnsi="宋体" w:eastAsia="宋体" w:cs="宋体"/>
          <w:b/>
          <w:bCs/>
          <w:kern w:val="0"/>
          <w:sz w:val="21"/>
          <w:szCs w:val="21"/>
          <w:highlight w:val="none"/>
          <w:u w:val="none"/>
          <w:lang w:val="en-US" w:eastAsia="zh-CN"/>
        </w:rPr>
        <w:t>费用核算与支付</w:t>
      </w:r>
    </w:p>
    <w:p w14:paraId="4698F434">
      <w:pPr>
        <w:pStyle w:val="8"/>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kern w:val="0"/>
          <w:sz w:val="21"/>
          <w:szCs w:val="21"/>
          <w:u w:val="none"/>
          <w:lang w:val="en-US" w:eastAsia="zh-CN"/>
        </w:rPr>
        <w:t>合同的履约过程中，乙方根据本合同约定需向甲方支付违约金、赔偿金、或其他应付费用等款项的，乙方必须向甲方支付完相关款项后，甲方才根据本合同向乙方支付服务费，且不视为甲方违约，同时乙方必须按照</w:t>
      </w:r>
      <w:r>
        <w:rPr>
          <w:rFonts w:hint="eastAsia" w:ascii="宋体" w:hAnsi="宋体" w:eastAsia="宋体" w:cs="宋体"/>
          <w:b/>
          <w:bCs/>
          <w:kern w:val="0"/>
          <w:sz w:val="21"/>
          <w:szCs w:val="21"/>
          <w:u w:val="single"/>
          <w:lang w:val="en-US" w:eastAsia="zh-CN"/>
        </w:rPr>
        <w:t>扣除前述费用前的污泥脱水减量处理费</w:t>
      </w:r>
      <w:r>
        <w:rPr>
          <w:rFonts w:hint="eastAsia" w:ascii="宋体" w:hAnsi="宋体" w:eastAsia="宋体" w:cs="宋体"/>
          <w:b w:val="0"/>
          <w:bCs w:val="0"/>
          <w:kern w:val="0"/>
          <w:sz w:val="21"/>
          <w:szCs w:val="21"/>
          <w:u w:val="none"/>
          <w:lang w:val="en-US" w:eastAsia="zh-CN"/>
        </w:rPr>
        <w:t>（销售额）开具等额、合法、有效的增值税专用发票。</w:t>
      </w:r>
    </w:p>
    <w:p w14:paraId="4CBFED7E">
      <w:pPr>
        <w:pStyle w:val="8"/>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支付方式</w:t>
      </w:r>
    </w:p>
    <w:p w14:paraId="60A69875">
      <w:pPr>
        <w:pStyle w:val="8"/>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kern w:val="0"/>
          <w:sz w:val="21"/>
          <w:szCs w:val="21"/>
          <w:u w:val="none"/>
        </w:rPr>
        <w:t>甲方通过银行承兑汇票或银行转账或银行汇款方式向乙方支付处理服务费。乙方应每月15日前，向甲方提交以下文件及单据等有效的请款凭证（所有资料需加盖乙方公章），申请支付上月污泥脱水减量化服务费</w:t>
      </w:r>
      <w:r>
        <w:rPr>
          <w:rFonts w:hint="eastAsia" w:ascii="宋体" w:hAnsi="宋体" w:eastAsia="宋体" w:cs="宋体"/>
          <w:kern w:val="0"/>
          <w:sz w:val="21"/>
          <w:szCs w:val="21"/>
          <w:u w:val="none"/>
          <w:lang w:val="en-US" w:eastAsia="zh-CN"/>
        </w:rPr>
        <w:t>的50%</w:t>
      </w:r>
      <w:r>
        <w:rPr>
          <w:rFonts w:hint="eastAsia" w:ascii="宋体" w:hAnsi="宋体" w:eastAsia="宋体" w:cs="宋体"/>
          <w:kern w:val="0"/>
          <w:sz w:val="21"/>
          <w:szCs w:val="21"/>
          <w:u w:val="none"/>
        </w:rPr>
        <w:t>，</w:t>
      </w:r>
      <w:r>
        <w:rPr>
          <w:rFonts w:hint="eastAsia" w:ascii="宋体" w:hAnsi="宋体" w:eastAsia="宋体" w:cs="宋体"/>
          <w:kern w:val="0"/>
          <w:sz w:val="21"/>
          <w:szCs w:val="21"/>
          <w:u w:val="none"/>
          <w:lang w:val="en-US" w:eastAsia="zh-CN"/>
        </w:rPr>
        <w:t>待</w:t>
      </w:r>
      <w:r>
        <w:rPr>
          <w:rFonts w:hint="eastAsia" w:ascii="宋体" w:hAnsi="宋体" w:eastAsia="宋体" w:cs="宋体"/>
          <w:kern w:val="0"/>
          <w:sz w:val="21"/>
          <w:szCs w:val="21"/>
          <w:u w:val="none"/>
        </w:rPr>
        <w:t>甲方</w:t>
      </w:r>
      <w:r>
        <w:rPr>
          <w:rFonts w:hint="eastAsia" w:ascii="宋体" w:hAnsi="宋体" w:eastAsia="宋体" w:cs="宋体"/>
          <w:kern w:val="0"/>
          <w:sz w:val="21"/>
          <w:szCs w:val="21"/>
          <w:u w:val="none"/>
          <w:lang w:val="en-US" w:eastAsia="zh-CN"/>
        </w:rPr>
        <w:t>审核通过并确认收到违约金、赔偿金等相关款项</w:t>
      </w:r>
      <w:r>
        <w:rPr>
          <w:rFonts w:hint="eastAsia" w:ascii="宋体" w:hAnsi="宋体" w:eastAsia="宋体" w:cs="宋体"/>
          <w:kern w:val="0"/>
          <w:sz w:val="21"/>
          <w:szCs w:val="21"/>
          <w:u w:val="none"/>
        </w:rPr>
        <w:t>后向乙方支付请款金额</w:t>
      </w:r>
      <w:r>
        <w:rPr>
          <w:rFonts w:hint="eastAsia" w:ascii="宋体" w:hAnsi="宋体" w:eastAsia="宋体" w:cs="宋体"/>
          <w:kern w:val="0"/>
          <w:sz w:val="21"/>
          <w:szCs w:val="21"/>
          <w:u w:val="none"/>
          <w:lang w:eastAsia="zh-CN"/>
        </w:rPr>
        <w:t>（</w:t>
      </w:r>
      <w:r>
        <w:rPr>
          <w:rFonts w:hint="eastAsia" w:ascii="宋体" w:hAnsi="宋体" w:eastAsia="宋体" w:cs="宋体"/>
          <w:kern w:val="0"/>
          <w:sz w:val="21"/>
          <w:szCs w:val="21"/>
          <w:u w:val="none"/>
          <w:lang w:val="en-US" w:eastAsia="zh-CN"/>
        </w:rPr>
        <w:t>即请款月份</w:t>
      </w:r>
      <w:r>
        <w:rPr>
          <w:rFonts w:hint="eastAsia" w:ascii="宋体" w:hAnsi="宋体" w:eastAsia="宋体" w:cs="宋体"/>
          <w:kern w:val="0"/>
          <w:sz w:val="21"/>
          <w:szCs w:val="21"/>
          <w:u w:val="none"/>
        </w:rPr>
        <w:t>污泥脱水减量化服务费</w:t>
      </w:r>
      <w:r>
        <w:rPr>
          <w:rFonts w:hint="eastAsia" w:ascii="宋体" w:hAnsi="宋体" w:eastAsia="宋体" w:cs="宋体"/>
          <w:kern w:val="0"/>
          <w:sz w:val="21"/>
          <w:szCs w:val="21"/>
          <w:u w:val="none"/>
          <w:lang w:val="en-US" w:eastAsia="zh-CN"/>
        </w:rPr>
        <w:t>的50%</w:t>
      </w:r>
      <w:r>
        <w:rPr>
          <w:rFonts w:hint="eastAsia" w:ascii="宋体" w:hAnsi="宋体" w:eastAsia="宋体" w:cs="宋体"/>
          <w:kern w:val="0"/>
          <w:sz w:val="21"/>
          <w:szCs w:val="21"/>
          <w:u w:val="none"/>
          <w:lang w:eastAsia="zh-CN"/>
        </w:rPr>
        <w:t>）</w:t>
      </w:r>
      <w:r>
        <w:rPr>
          <w:rFonts w:hint="eastAsia" w:ascii="宋体" w:hAnsi="宋体" w:eastAsia="宋体" w:cs="宋体"/>
          <w:kern w:val="0"/>
          <w:sz w:val="21"/>
          <w:szCs w:val="21"/>
          <w:u w:val="none"/>
        </w:rPr>
        <w:t>。若采用银行承兑汇票方式支付，该笔费用按元位取整，且汇票期限不超过3个月。款项支付方式由甲方决定</w:t>
      </w:r>
      <w:r>
        <w:rPr>
          <w:rFonts w:hint="eastAsia" w:ascii="宋体" w:hAnsi="宋体" w:eastAsia="宋体" w:cs="宋体"/>
          <w:b w:val="0"/>
          <w:bCs w:val="0"/>
          <w:kern w:val="0"/>
          <w:sz w:val="21"/>
          <w:szCs w:val="21"/>
          <w:u w:val="none"/>
          <w:lang w:val="en-US" w:eastAsia="zh-CN"/>
        </w:rPr>
        <w:t>。</w:t>
      </w:r>
    </w:p>
    <w:p w14:paraId="7E52FE34">
      <w:pPr>
        <w:pStyle w:val="8"/>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请款报告；</w:t>
      </w:r>
    </w:p>
    <w:p w14:paraId="3494A5FB">
      <w:pPr>
        <w:pStyle w:val="8"/>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请款金额100%的等额、合法、有效的增值税专用发票（收款方、出具票据方、合同受托方均需与乙方名称一致，付款方为东莞市众源环境投资有限公司）；</w:t>
      </w:r>
    </w:p>
    <w:p w14:paraId="00478F17">
      <w:pPr>
        <w:pStyle w:val="8"/>
        <w:keepNext w:val="0"/>
        <w:keepLines w:val="0"/>
        <w:pageBreakBefore w:val="0"/>
        <w:widowControl w:val="0"/>
        <w:numPr>
          <w:ilvl w:val="0"/>
          <w:numId w:val="2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《结算台账》。</w:t>
      </w:r>
    </w:p>
    <w:p w14:paraId="76C5D62B">
      <w:pPr>
        <w:pStyle w:val="8"/>
        <w:keepNext w:val="0"/>
        <w:keepLines w:val="0"/>
        <w:pageBreakBefore w:val="0"/>
        <w:widowControl w:val="0"/>
        <w:numPr>
          <w:ilvl w:val="0"/>
          <w:numId w:val="2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在前述第1项款项支付满3个月后，乙方方可向甲方申请支付该请款月份污泥脱水减量处理费剩余的50%，</w:t>
      </w:r>
      <w:r>
        <w:rPr>
          <w:rFonts w:hint="eastAsia" w:ascii="宋体" w:hAnsi="宋体" w:eastAsia="宋体" w:cs="宋体"/>
          <w:kern w:val="0"/>
          <w:sz w:val="21"/>
          <w:szCs w:val="21"/>
          <w:u w:val="none"/>
          <w:lang w:val="en-US" w:eastAsia="zh-CN"/>
        </w:rPr>
        <w:t>待</w:t>
      </w:r>
      <w:r>
        <w:rPr>
          <w:rFonts w:hint="eastAsia" w:ascii="宋体" w:hAnsi="宋体" w:eastAsia="宋体" w:cs="宋体"/>
          <w:kern w:val="0"/>
          <w:sz w:val="21"/>
          <w:szCs w:val="21"/>
          <w:u w:val="none"/>
        </w:rPr>
        <w:t>甲方</w:t>
      </w:r>
      <w:r>
        <w:rPr>
          <w:rFonts w:hint="eastAsia" w:ascii="宋体" w:hAnsi="宋体" w:eastAsia="宋体" w:cs="宋体"/>
          <w:kern w:val="0"/>
          <w:sz w:val="21"/>
          <w:szCs w:val="21"/>
          <w:u w:val="none"/>
          <w:lang w:val="en-US" w:eastAsia="zh-CN"/>
        </w:rPr>
        <w:t>审核通过后，</w:t>
      </w:r>
      <w:r>
        <w:rPr>
          <w:rFonts w:hint="eastAsia" w:ascii="宋体" w:hAnsi="宋体" w:eastAsia="宋体" w:cs="宋体"/>
          <w:b w:val="0"/>
          <w:bCs w:val="0"/>
          <w:kern w:val="0"/>
          <w:sz w:val="21"/>
          <w:szCs w:val="21"/>
          <w:u w:val="none"/>
          <w:lang w:val="en-US" w:eastAsia="zh-CN"/>
        </w:rPr>
        <w:t>通过银行转账或汇款方式向乙方支付剩余款项。</w:t>
      </w:r>
    </w:p>
    <w:p w14:paraId="5ACC2F72">
      <w:pPr>
        <w:pStyle w:val="8"/>
        <w:keepNext w:val="0"/>
        <w:keepLines w:val="0"/>
        <w:pageBreakBefore w:val="0"/>
        <w:widowControl w:val="0"/>
        <w:numPr>
          <w:ilvl w:val="0"/>
          <w:numId w:val="2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乙方收款账号信息</w:t>
      </w:r>
    </w:p>
    <w:p w14:paraId="0CDC649A">
      <w:pPr>
        <w:pStyle w:val="8"/>
        <w:keepNext w:val="0"/>
        <w:keepLines w:val="0"/>
        <w:pageBreakBefore w:val="0"/>
        <w:widowControl w:val="0"/>
        <w:numPr>
          <w:ilvl w:val="0"/>
          <w:numId w:val="2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乙方转账或汇款收款账户：</w:t>
      </w:r>
    </w:p>
    <w:p w14:paraId="6524C8F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账号户名：</w:t>
      </w:r>
    </w:p>
    <w:p w14:paraId="4EC505AF">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开户银行名称：</w:t>
      </w:r>
    </w:p>
    <w:p w14:paraId="7280FA6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银行账号：</w:t>
      </w:r>
    </w:p>
    <w:p w14:paraId="33B684F3">
      <w:pPr>
        <w:pStyle w:val="8"/>
        <w:keepNext w:val="0"/>
        <w:keepLines w:val="0"/>
        <w:pageBreakBefore w:val="0"/>
        <w:widowControl w:val="0"/>
        <w:numPr>
          <w:ilvl w:val="0"/>
          <w:numId w:val="2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乙方汇票账号</w:t>
      </w:r>
    </w:p>
    <w:p w14:paraId="0B2D690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账号户名：</w:t>
      </w:r>
    </w:p>
    <w:p w14:paraId="12EA2585">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开户银行名称：</w:t>
      </w:r>
    </w:p>
    <w:p w14:paraId="70282D0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银行账号：</w:t>
      </w:r>
    </w:p>
    <w:p w14:paraId="1889E47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第五条 </w:t>
      </w:r>
      <w:r>
        <w:rPr>
          <w:rFonts w:hint="eastAsia" w:ascii="宋体" w:hAnsi="宋体" w:eastAsia="宋体" w:cs="宋体"/>
          <w:b/>
          <w:bCs/>
          <w:kern w:val="0"/>
          <w:sz w:val="21"/>
          <w:szCs w:val="21"/>
          <w:u w:val="none"/>
          <w:lang w:val="en-US" w:eastAsia="zh-CN"/>
        </w:rPr>
        <w:t>技术服务标准</w:t>
      </w:r>
    </w:p>
    <w:p w14:paraId="372841AD">
      <w:pPr>
        <w:pStyle w:val="8"/>
        <w:keepNext w:val="0"/>
        <w:keepLines w:val="0"/>
        <w:pageBreakBefore w:val="0"/>
        <w:widowControl w:val="0"/>
        <w:numPr>
          <w:ilvl w:val="0"/>
          <w:numId w:val="2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污泥处理标准</w:t>
      </w:r>
    </w:p>
    <w:p w14:paraId="04C43B54">
      <w:pPr>
        <w:pStyle w:val="8"/>
        <w:keepNext w:val="0"/>
        <w:keepLines w:val="0"/>
        <w:pageBreakBefore w:val="0"/>
        <w:widowControl w:val="0"/>
        <w:numPr>
          <w:ilvl w:val="0"/>
          <w:numId w:val="2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脱水减量化处理后的半干化泥粉含水率应≤60%。考虑到脱水减量化的半干化泥粉后端送砖厂、纸厂、电厂处置的要求，乙方需采取措施将半干化泥粉进行适当破碎。</w:t>
      </w:r>
    </w:p>
    <w:p w14:paraId="634F36AC">
      <w:pPr>
        <w:pStyle w:val="8"/>
        <w:keepNext w:val="0"/>
        <w:keepLines w:val="0"/>
        <w:pageBreakBefore w:val="0"/>
        <w:widowControl w:val="0"/>
        <w:numPr>
          <w:ilvl w:val="0"/>
          <w:numId w:val="2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为保证污泥减量效果，不允许添加石灰以及含石灰的调理剂。</w:t>
      </w:r>
    </w:p>
    <w:p w14:paraId="27C4F099">
      <w:pPr>
        <w:pStyle w:val="8"/>
        <w:keepNext w:val="0"/>
        <w:keepLines w:val="0"/>
        <w:pageBreakBefore w:val="0"/>
        <w:widowControl w:val="0"/>
        <w:numPr>
          <w:ilvl w:val="0"/>
          <w:numId w:val="2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乙方需做好调理剂等添加药剂的出入库单（或进出场记录）或用量记录，定期提供给甲方，以备各级政府主管部门检查、核查。</w:t>
      </w:r>
    </w:p>
    <w:p w14:paraId="05743A83">
      <w:pPr>
        <w:pStyle w:val="8"/>
        <w:keepNext w:val="0"/>
        <w:keepLines w:val="0"/>
        <w:pageBreakBefore w:val="0"/>
        <w:widowControl w:val="0"/>
        <w:numPr>
          <w:ilvl w:val="0"/>
          <w:numId w:val="2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配套设施排放要求</w:t>
      </w:r>
    </w:p>
    <w:p w14:paraId="0CAA8127">
      <w:pPr>
        <w:pStyle w:val="8"/>
        <w:keepNext w:val="0"/>
        <w:keepLines w:val="0"/>
        <w:pageBreakBefore w:val="0"/>
        <w:widowControl w:val="0"/>
        <w:numPr>
          <w:ilvl w:val="0"/>
          <w:numId w:val="2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乙方减量化设备设施一般建设在污水处理厂污泥脱水车间或附近可利用空地，具体根据各处理点实际情况及污泥产生单位意见确定。</w:t>
      </w:r>
    </w:p>
    <w:p w14:paraId="3A44BF3F">
      <w:pPr>
        <w:pStyle w:val="8"/>
        <w:keepNext w:val="0"/>
        <w:keepLines w:val="0"/>
        <w:pageBreakBefore w:val="0"/>
        <w:widowControl w:val="0"/>
        <w:numPr>
          <w:ilvl w:val="0"/>
          <w:numId w:val="2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减量化处理过程中产生的废水须回流至污水处理厂指定地方，不得直接外排。</w:t>
      </w:r>
    </w:p>
    <w:p w14:paraId="44BED268">
      <w:pPr>
        <w:pStyle w:val="8"/>
        <w:keepNext w:val="0"/>
        <w:keepLines w:val="0"/>
        <w:pageBreakBefore w:val="0"/>
        <w:widowControl w:val="0"/>
        <w:numPr>
          <w:ilvl w:val="0"/>
          <w:numId w:val="2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乙方应确保减量处理项目产生的臭气、噪声不得引起投诉。如出现相关投诉或被行政主管部门通知整改时，由乙方负责制定整改方案并限期完成整改工作，产生的相关费用由乙方自行承担。</w:t>
      </w:r>
    </w:p>
    <w:p w14:paraId="60D70330">
      <w:pPr>
        <w:pStyle w:val="8"/>
        <w:keepNext w:val="0"/>
        <w:keepLines w:val="0"/>
        <w:pageBreakBefore w:val="0"/>
        <w:widowControl w:val="0"/>
        <w:numPr>
          <w:ilvl w:val="0"/>
          <w:numId w:val="26"/>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在国家、广东省以及东莞市的相关环保标准调整时，本合同下项目执行的排放标准相应进行调整。</w:t>
      </w:r>
    </w:p>
    <w:p w14:paraId="746BB3D7">
      <w:pPr>
        <w:pStyle w:val="8"/>
        <w:keepNext w:val="0"/>
        <w:keepLines w:val="0"/>
        <w:pageBreakBefore w:val="0"/>
        <w:widowControl w:val="0"/>
        <w:numPr>
          <w:ilvl w:val="0"/>
          <w:numId w:val="2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服务要求</w:t>
      </w:r>
    </w:p>
    <w:p w14:paraId="0EAD42DC">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合同履约期间，合同对应的用户需求书所提及或甲方要求的相关法律、法规、规章、标准、规范等有修订、修正、更新，或被新的法律、法规、规章、标准、规范等取代，或在相关领域内有新的法律、法规、规章、标准、规范等出台，乙方应无条件按新的法律、法规、规章、标准、规范等执行。</w:t>
      </w:r>
    </w:p>
    <w:p w14:paraId="50556AAE">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kern w:val="0"/>
          <w:sz w:val="21"/>
          <w:szCs w:val="21"/>
          <w:u w:val="none"/>
          <w:lang w:eastAsia="zh-CN"/>
        </w:rPr>
        <w:t>乙方</w:t>
      </w:r>
      <w:r>
        <w:rPr>
          <w:rFonts w:hint="eastAsia" w:ascii="宋体" w:hAnsi="宋体" w:eastAsia="宋体" w:cs="宋体"/>
          <w:kern w:val="0"/>
          <w:sz w:val="21"/>
          <w:szCs w:val="21"/>
          <w:u w:val="none"/>
        </w:rPr>
        <w:t>自行承担承包项目运行维护管理所需配备的管理人员、技术人员及相关工作人员所有的工资和税费、通讯费等费用，污泥减量化服务过程中用水、用电、产生的废水处理等费用和风险，管理、运营和维护污泥脱水减量设施、设备。</w:t>
      </w:r>
    </w:p>
    <w:p w14:paraId="41EAE7C9">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甲方按现状提供指定范围内的空地。项目用地的“三通一平”由乙方自主负责，若涉及总配电系统、供水管网、供气管网等设施设备改造或加装，所有费用亦由乙方承担，乙方自行与水、电、气等供应方协商确定费用的计量方式、计价标准以及费用结算时的票据处理流程。</w:t>
      </w:r>
    </w:p>
    <w:p w14:paraId="18B5B31D">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乙方对各污水处理厂原有道路、绿化等造成损坏，需在甲方限期内恢复原状并承担一切费用。</w:t>
      </w:r>
    </w:p>
    <w:p w14:paraId="35F198F4">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在服务期间，乙方需保证项目设施的外立面简洁美观，设备外观整洁，无明显的破损及渗漏，周边环境整洁，无污泥、污水、泥饼等跑、冒、滴、漏的现象。</w:t>
      </w:r>
    </w:p>
    <w:p w14:paraId="77778EBF">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完成合同下项目前置或准备工作后，进入试运行需通知甲方，由甲方对设备设施或项目临时组件成果进行全面考核。乙方应积极配合甲方对项目建设费用、项目运营成果，设备运行效果、设备稳定性、环境影响进行评估。</w:t>
      </w:r>
    </w:p>
    <w:p w14:paraId="40B15E3B">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由乙方负责半干化泥粉的外运装车工作，装车费用由乙方承担，乙方视现场情况考量是否配备铲车、叉车等机械。</w:t>
      </w:r>
    </w:p>
    <w:p w14:paraId="62CF93D1">
      <w:pPr>
        <w:pStyle w:val="8"/>
        <w:keepNext w:val="0"/>
        <w:keepLines w:val="0"/>
        <w:pageBreakBefore w:val="0"/>
        <w:widowControl w:val="0"/>
        <w:numPr>
          <w:ilvl w:val="0"/>
          <w:numId w:val="27"/>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脱水减量化设备设施布置在污水处理厂脱水机房附近，乙方应与甲方充分做好沟通协调，降低对现有脱水车间运行影响。若需要调整现有脱水车间设备运行情况，应提交专项方案，由甲方和污泥产生单位审核同意后实施。</w:t>
      </w:r>
    </w:p>
    <w:p w14:paraId="3C5A3599">
      <w:pPr>
        <w:pStyle w:val="8"/>
        <w:keepNext w:val="0"/>
        <w:keepLines w:val="0"/>
        <w:pageBreakBefore w:val="0"/>
        <w:widowControl w:val="0"/>
        <w:numPr>
          <w:ilvl w:val="0"/>
          <w:numId w:val="2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项目管理要求</w:t>
      </w:r>
    </w:p>
    <w:p w14:paraId="63EB93EB">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乙方应严格执行《中华人民共和国安全生产法》、《中华人民共和国固体废物污染环境防治法》、《广东省住房和城乡建设厅广东省生态环境厅城镇生活污水处理厂污泥处理处置管理办法》、</w:t>
      </w:r>
      <w:r>
        <w:rPr>
          <w:rFonts w:hint="eastAsia" w:ascii="宋体" w:hAnsi="宋体" w:eastAsia="宋体" w:cs="宋体"/>
          <w:sz w:val="21"/>
          <w:szCs w:val="21"/>
          <w:lang w:val="en-US" w:eastAsia="zh-CN"/>
        </w:rPr>
        <w:t>《大中型企业安全生产标准化管理体系要求》(</w:t>
      </w:r>
      <w:r>
        <w:rPr>
          <w:rFonts w:hint="eastAsia" w:ascii="宋体" w:hAnsi="宋体" w:eastAsia="宋体" w:cs="宋体"/>
          <w:i w:val="0"/>
          <w:iCs w:val="0"/>
          <w:caps w:val="0"/>
          <w:color w:val="333333"/>
          <w:spacing w:val="0"/>
          <w:sz w:val="21"/>
          <w:szCs w:val="21"/>
          <w:shd w:val="clear" w:color="auto" w:fill="FFFFFF"/>
        </w:rPr>
        <w:t>GB/T 33000-2025</w:t>
      </w:r>
      <w:r>
        <w:rPr>
          <w:rFonts w:hint="eastAsia" w:ascii="宋体" w:hAnsi="宋体" w:eastAsia="宋体" w:cs="宋体"/>
          <w:sz w:val="21"/>
          <w:szCs w:val="21"/>
          <w:lang w:val="en-US" w:eastAsia="zh-CN"/>
        </w:rPr>
        <w:t>)</w:t>
      </w:r>
      <w:r>
        <w:rPr>
          <w:rFonts w:hint="eastAsia" w:ascii="宋体" w:hAnsi="宋体" w:eastAsia="宋体" w:cs="宋体"/>
          <w:b w:val="0"/>
          <w:bCs w:val="0"/>
          <w:kern w:val="0"/>
          <w:sz w:val="21"/>
          <w:szCs w:val="21"/>
          <w:u w:val="none"/>
          <w:lang w:val="en-US" w:eastAsia="zh-CN"/>
        </w:rPr>
        <w:t>等国家、地方有关污泥脱水减量、安全生产和劳动保护等的现行法律法规、规范和标准，并遵守甲方及污水处理厂的安全生产管理制度以及《安全生产管理协议》，建立完善的安全生产和劳动保护体系，制定与污泥安全处理有关的规章制度、污泥安全监督管理实施方案和突发事故等安全生产应急预防方案，并向甲方报备。乙方须在合同履行期间保证安全与卫生设施随项目主体同时投入使用，并制定相应的操作规程。</w:t>
      </w:r>
    </w:p>
    <w:p w14:paraId="58B6B2BC">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如因</w:t>
      </w:r>
      <w:r>
        <w:rPr>
          <w:rFonts w:hint="eastAsia" w:ascii="宋体" w:hAnsi="宋体" w:eastAsia="宋体" w:cs="宋体"/>
          <w:sz w:val="21"/>
          <w:szCs w:val="21"/>
        </w:rPr>
        <w:t>乙方安全生产设备、措施、操作规程、环保设备设施、劳动保护条件等不符合规范要求或标准，导致安全生产事故/造成人身损害或财产损失的，由乙方自行承担全部责任和后果，如因此给甲方造成损失的，乙方承担全部赔偿责任。</w:t>
      </w:r>
    </w:p>
    <w:p w14:paraId="4F3C59AA">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合同期内，乙方的一切活动均须服从甲方的管理要求，接受甲方对本项目实施过程中的监督管理，甲方及其上级主管部门有权随时检查乙方的贮存和处理情况。</w:t>
      </w:r>
    </w:p>
    <w:p w14:paraId="7CD0E0D1">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乙方应建立项目《生产台账》(具体格式由乙方自定)，《生产台账》内容应包括但不限于：如实记录日常运营中的污泥进料量、主要设备工艺及配套设备的运行参数、药剂使用量和进出场记录、能源使用量、污泥脱水产生量及含水率等。为便利甲方监管，乙方需及时向甲方提交项目《生产台账》并持续更新内容。</w:t>
      </w:r>
    </w:p>
    <w:p w14:paraId="6808B950">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合同期内，乙方应对本项目所含各项设施设备进行日常养护、维修、更新改造或重置，以满足项目运营目标之需要，并承担相应费用。</w:t>
      </w:r>
    </w:p>
    <w:p w14:paraId="0817B1F8">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乙方在各污水处理厂内的一切活动均须服从甲方的管理要求，乙方的所有工作人员须遵守甲方、污泥产生单位及相关污水处理厂的安全生产管理制度，未经甲方、污泥产生单位同意，不能进入与运营无关的区域，不得影响甲方、污泥产生单位的办公、生产、生活等。乙方管理人员、车辆、机械等进出甲方、污泥产生单位相关污水处理厂须服从甲方的管理规定，并佩戴乙方的工作牌，对不服从管理的人员，甲方有权拒绝其进入。</w:t>
      </w:r>
    </w:p>
    <w:p w14:paraId="1A836C1F">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如是可预见性的计划外停产，乙方应至少提前3日书面通知甲方并经甲方同意。如是不可预见性的任何计划外停产时，乙方应立即通知甲方并采取有效的补救措施，且须在停产后的2日内向甲方提交书面的情况说明，如停产时间超过3日，需经甲方同意方可停产，甲方有权追究相关责任。</w:t>
      </w:r>
    </w:p>
    <w:p w14:paraId="1BD829E5">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乙方自行负责合同履行期间人员食宿、职业卫生体检等的办公生活保障，每年至少进行一次相关的职业病体检，并根据甲方需要，按甲方要求将结果留一份给甲方保存。</w:t>
      </w:r>
    </w:p>
    <w:p w14:paraId="0B9510FC">
      <w:pPr>
        <w:pStyle w:val="8"/>
        <w:keepNext w:val="0"/>
        <w:keepLines w:val="0"/>
        <w:pageBreakBefore w:val="0"/>
        <w:widowControl w:val="0"/>
        <w:numPr>
          <w:ilvl w:val="0"/>
          <w:numId w:val="28"/>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kern w:val="0"/>
          <w:sz w:val="21"/>
          <w:szCs w:val="21"/>
          <w:u w:val="none"/>
        </w:rPr>
        <w:t>除本需求和合同约定的</w:t>
      </w:r>
      <w:r>
        <w:rPr>
          <w:rFonts w:hint="eastAsia" w:ascii="宋体" w:hAnsi="宋体" w:eastAsia="宋体" w:cs="宋体"/>
          <w:kern w:val="0"/>
          <w:sz w:val="21"/>
          <w:szCs w:val="21"/>
          <w:u w:val="none"/>
          <w:lang w:eastAsia="zh-CN"/>
        </w:rPr>
        <w:t>乙方</w:t>
      </w:r>
      <w:r>
        <w:rPr>
          <w:rFonts w:hint="eastAsia" w:ascii="宋体" w:hAnsi="宋体" w:eastAsia="宋体" w:cs="宋体"/>
          <w:kern w:val="0"/>
          <w:sz w:val="21"/>
          <w:szCs w:val="21"/>
          <w:u w:val="none"/>
        </w:rPr>
        <w:t>的具体工作和义务外，</w:t>
      </w:r>
      <w:r>
        <w:rPr>
          <w:rFonts w:hint="eastAsia" w:ascii="宋体" w:hAnsi="宋体" w:eastAsia="宋体" w:cs="宋体"/>
          <w:kern w:val="0"/>
          <w:sz w:val="21"/>
          <w:szCs w:val="21"/>
          <w:u w:val="none"/>
          <w:lang w:eastAsia="zh-CN"/>
        </w:rPr>
        <w:t>乙方</w:t>
      </w:r>
      <w:r>
        <w:rPr>
          <w:rFonts w:hint="eastAsia" w:ascii="宋体" w:hAnsi="宋体" w:eastAsia="宋体" w:cs="宋体"/>
          <w:kern w:val="0"/>
          <w:sz w:val="21"/>
          <w:szCs w:val="21"/>
          <w:u w:val="none"/>
        </w:rPr>
        <w:t>必须执行相关职能部门、行政管理部门对污泥脱水减量设备、设施运行维护管理的相关规定，保障</w:t>
      </w:r>
      <w:r>
        <w:rPr>
          <w:rFonts w:hint="eastAsia" w:ascii="宋体" w:hAnsi="宋体" w:eastAsia="宋体" w:cs="宋体"/>
          <w:kern w:val="0"/>
          <w:sz w:val="21"/>
          <w:szCs w:val="21"/>
          <w:u w:val="none"/>
          <w:lang w:val="en-US" w:eastAsia="zh-CN"/>
        </w:rPr>
        <w:t>服务</w:t>
      </w:r>
      <w:r>
        <w:rPr>
          <w:rFonts w:hint="eastAsia" w:ascii="宋体" w:hAnsi="宋体" w:eastAsia="宋体" w:cs="宋体"/>
          <w:kern w:val="0"/>
          <w:sz w:val="21"/>
          <w:szCs w:val="21"/>
          <w:u w:val="none"/>
        </w:rPr>
        <w:t>范围内的污泥脱水减量设备、设施运行维护管理符合相关规定。</w:t>
      </w:r>
    </w:p>
    <w:p w14:paraId="606B2AC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eastAsia" w:ascii="宋体" w:hAnsi="宋体" w:eastAsia="宋体" w:cs="宋体"/>
          <w:b w:val="0"/>
          <w:bCs w:val="0"/>
          <w:kern w:val="0"/>
          <w:sz w:val="21"/>
          <w:szCs w:val="21"/>
          <w:u w:val="none"/>
          <w:lang w:val="en-US" w:eastAsia="zh-CN"/>
        </w:rPr>
      </w:pPr>
    </w:p>
    <w:p w14:paraId="47B6B1D9">
      <w:pPr>
        <w:pStyle w:val="8"/>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420" w:firstLineChars="0"/>
        <w:jc w:val="left"/>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第六条 </w:t>
      </w:r>
      <w:r>
        <w:rPr>
          <w:rFonts w:hint="eastAsia" w:ascii="宋体" w:hAnsi="宋体" w:eastAsia="宋体" w:cs="宋体"/>
          <w:b/>
          <w:bCs/>
          <w:kern w:val="0"/>
          <w:sz w:val="21"/>
          <w:szCs w:val="21"/>
          <w:u w:val="none"/>
          <w:lang w:val="en-US" w:eastAsia="zh-CN"/>
        </w:rPr>
        <w:t>双方的权利与义务</w:t>
      </w:r>
    </w:p>
    <w:p w14:paraId="14A84608">
      <w:pPr>
        <w:pStyle w:val="8"/>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甲方权利和义务</w:t>
      </w:r>
    </w:p>
    <w:p w14:paraId="60289379">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审核乙方提交的污泥脱水减量化服务方案进行备案（但不免除乙方应当承担的合同责任）。</w:t>
      </w:r>
    </w:p>
    <w:p w14:paraId="4920671B">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与乙方共同确认污泥减量化实际产量。</w:t>
      </w:r>
    </w:p>
    <w:p w14:paraId="785FC138">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有权不定期地对各处理系统进行检查、巡查、巡视等，有权对各种泥样、水样进行取样检测、分析。如发现乙方存在未按合同及附件相关文件规定执行，或执行内容不符合设计和规范要求行为的（包括但不限于系统操作不当，采购运用于本项目的材料、设备不符合质量要求等），甲方有权要求乙方限期改正等，由此产生的费用由乙方全部承担。</w:t>
      </w:r>
    </w:p>
    <w:p w14:paraId="58FC19A2">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监督、指导乙方进行运营管理工作，及时纠正乙方出现问题，甲方有权要求乙方对不符合要求的问题提出书面整改意见，乙方应在甲方规定的时间内完成整改。</w:t>
      </w:r>
    </w:p>
    <w:p w14:paraId="5E5C3CCF">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合同履约期间，甲方有权依据国家、行业有关规范标准，调整完善服务技术要求，乙方同意遵照执行。如合同履行期内相关行政管理部门出台相关执行标准，则执行新的标准，当新的标准与用户需求书中的执行标准要求不一致时，以要求最高的规范标准作为本项目的执行标准。在合同履约期间，乙方同意不因相关执行标准的调整而要求甲方增加费用或要求补偿。</w:t>
      </w:r>
    </w:p>
    <w:p w14:paraId="620B5882">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甲方按照既定的审批支付程序，及时办理服务费的支付手续。</w:t>
      </w:r>
    </w:p>
    <w:p w14:paraId="49E87CB5">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甲方有权根据其他污水处理厂处理需求或水环境、水污染治理、通沟、自来水厂排泥水处理等其他项目污泥运输至本合同下项目由乙方减量化处理。</w:t>
      </w:r>
    </w:p>
    <w:p w14:paraId="04B73209">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若乙方污泥减量化处理能力不能满足甲方污泥脱水减量化处理需求或乙方未能根据承诺按时投产或达标处理的，甲方有权要求乙方通过增加脱水减量化设备、技术升级或改造等措施以满足污泥脱水减量化处理需求，且甲方有权另行委托其他单位实施脱水减量化处理，甲方不承担任何违约责任。</w:t>
      </w:r>
    </w:p>
    <w:p w14:paraId="1FF90C06">
      <w:pPr>
        <w:pStyle w:val="8"/>
        <w:keepNext w:val="0"/>
        <w:keepLines w:val="0"/>
        <w:pageBreakBefore w:val="0"/>
        <w:widowControl w:val="0"/>
        <w:numPr>
          <w:ilvl w:val="0"/>
          <w:numId w:val="30"/>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合同文件及附件内容约定的甲方其他权利义务。</w:t>
      </w:r>
    </w:p>
    <w:p w14:paraId="4CD7C976">
      <w:pPr>
        <w:pStyle w:val="8"/>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乙方权利和义务</w:t>
      </w:r>
    </w:p>
    <w:p w14:paraId="174B66B7">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应按甲方的要求连续不间断的接受处理污泥，确保污水处理厂污泥脱水减量化处理服务项目能按设计规模满负荷运行或满足污泥处理量增加、泥质变化等情况下的污水处理厂污泥脱水减量化处理服务需求，若乙方污泥减量化处理能力不能满足甲方污泥脱水减量化处理需求时，乙方有义务通过增加脱水减量化设备、技术升级或改造等措施提高产能，以满足污泥脱水减量化处理需求。污泥减量化处理过程中，乙方应同步操作和运行新增的除臭、污水处理等环境保护设施，确保污泥处理系统满足国家相关法律、法规、技术标准的要求。</w:t>
      </w:r>
    </w:p>
    <w:p w14:paraId="69A7FD42">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项目实施前乙方向甲方提交服务方案，严格按照其服务方案（包括实施计划、设备、人员、文明、安全等）执行。根据项目实际情况，如需调整服务的，应按甲方要求无条件调整服务方案等，并以经甲方同意并调整后的方案执行，乙方无权要求增加任何费用。未经甲方书面同意，乙方不得更换项目负责人员、技术服务人员，否则视为违约。</w:t>
      </w:r>
    </w:p>
    <w:p w14:paraId="11F0C83B">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应严格执行本合同服务范围内甲方、污泥产生单位及污水处理厂的管理规章制度，并根据甲方的生产调度安排，进行本合同项目的污泥脱水的生产运营，不能对项目服务方位内的污水处理厂的正常生产运营、出水达标造成影响。</w:t>
      </w:r>
    </w:p>
    <w:p w14:paraId="28D564A4">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合同履约期间，遵守有关安全生产管理规定，建立完善安全管理制度，安全生产事故报告制度，采取必要的安全防护措施，定期进行安全隐患排查，消除事故隐患。由于乙方的不尽职、操作不当、安全措施不力、人为疏忽等原因造成双方及第三方的财产毁损、人身伤害（含各方雇员及临时聘用人员）及安全事故的责任和因此发生的费用，全部由乙方承担。若造成甲方其他损失，乙方仍需全额赔偿。若产生劳动纠纷或仲裁或诉讼，均由乙方自行处理并承担损害赔偿，甲方不承担任何责任；由此导致甲方需要支出相关律师费、诉讼费等相关费用的，由乙方全额向甲方赔偿。</w:t>
      </w:r>
    </w:p>
    <w:p w14:paraId="649D0A4A">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建立及完善符合本项目实施所要求的内部管理制度，如因质量问题、操作不当或乙方自身管理原因而造成的一切责任及经济损失由乙方承担。</w:t>
      </w:r>
    </w:p>
    <w:p w14:paraId="667A802C">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在服务范围内按规范操作运行各处理系统，并做好各处理系统及配套设施的保护工作。若因乙方防护不力而造成损失，一切责任及经济损失由乙方承担。</w:t>
      </w:r>
    </w:p>
    <w:p w14:paraId="261D4367">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本合同履约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服务过程中发生工伤事件或意外事故的，由乙方依法妥善处理，承担全部责任并支付全部费用，并应确保不影响本项目的正常运行。如因此导致甲方损失的，乙方应承担全部赔偿责任。</w:t>
      </w:r>
    </w:p>
    <w:p w14:paraId="1D8D8775">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严格遵守国家法律、法规，协助甲方做好社会治安综合管理工作等工作。乙方员工有违法乱纪的行为，乙方应承担一切经济责任和法律责任。</w:t>
      </w:r>
    </w:p>
    <w:p w14:paraId="568C5392">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甲方上级单位或市有关单位进行监督检查时，乙方应无条件配合甲方及有关部门组织的突击性任务及迎检活动，按时、按标准、按要求完成甲方所分配的工作。积极响应并接受甲方或市、镇街相关主管部门及其他上级部门的监督检查并接受广大市民监督。</w:t>
      </w:r>
    </w:p>
    <w:p w14:paraId="01305AAA">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乙方应在每月结束后5个工作日内根据每月工作实况向甲方提供按本合同要求建立的项目《生产台账》，并协助甲方做好各级政府主管部门的参观检查工作。</w:t>
      </w:r>
    </w:p>
    <w:p w14:paraId="33564ADC">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在</w:t>
      </w:r>
      <w:r>
        <w:rPr>
          <w:rFonts w:hint="eastAsia" w:ascii="宋体" w:hAnsi="宋体" w:eastAsia="宋体" w:cs="宋体"/>
          <w:sz w:val="21"/>
          <w:szCs w:val="21"/>
        </w:rPr>
        <w:t>合同期限内保存好全部与运营管理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2112AD62">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禁止乙方将全部的权利义务转让给第三人；未经甲方书面同意，乙方不得将本合同项下乙方的部分权利义务分包给第三人。</w:t>
      </w:r>
    </w:p>
    <w:p w14:paraId="35937805">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在污泥接收及处理过程中，因乙方自身原因引起以及乙方在甲方厂区内外造成污泥二次污染事故，均由乙方承担相应的责任，如给甲方造成损失的，还应当承担全部赔偿责任。</w:t>
      </w:r>
    </w:p>
    <w:p w14:paraId="2E05BE1C">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严格按照符合国家、省及东莞市有关规定的污泥处理方式、工艺及甲方的要求按时、保质完成污泥的减量化处理工作。</w:t>
      </w:r>
    </w:p>
    <w:p w14:paraId="4F43C4B8">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乙方施工进场前应与甲方签订《安全生产管理协议》，明确双方安全工作职责，乙方需配合甲方的安全生产检查以及应急演练等。</w:t>
      </w:r>
    </w:p>
    <w:p w14:paraId="2128D640">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乙方在污泥减量化处理过程中不允许添加石灰以及含石灰的调理剂。</w:t>
      </w:r>
    </w:p>
    <w:p w14:paraId="71605813">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sz w:val="21"/>
          <w:szCs w:val="21"/>
        </w:rPr>
        <w:t>甲方通过银行承兑汇票或商业承兑汇票支付处理服务费时，乙方还应根据相关法律法规的规定履行以下义务：</w:t>
      </w:r>
    </w:p>
    <w:p w14:paraId="518F696F">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乙方不得更改票据金额、日期、收款人名称，更改的票据无效。对票据上的其他记载事项，甲方可以更改，更改时应当由甲方签章证明。</w:t>
      </w:r>
    </w:p>
    <w:p w14:paraId="1EEAC322">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乙方应自汇票到期前十日内持汇票向汇票指定银行提示付款。乙方向银行申请汇票贴现的，贴现利息以及相关手续费用等均由乙方自行承担，甲方无需承担因此产生的利息、手续费等任何费用。</w:t>
      </w:r>
    </w:p>
    <w:p w14:paraId="4961C6A8">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乙方获得付款的，应当在汇票上签收，并将汇票交给银行。乙方委托银行收款的，受委托的银行将代收的汇票金额转账收入乙方账户的，视同签收。</w:t>
      </w:r>
    </w:p>
    <w:p w14:paraId="46F59B48">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汇票到期被拒绝付款的，自被银行拒绝付款之日起六个月内，乙方可以对甲方行使追索权。乙方行使追索权时，应当提供被拒绝承兑或者被拒绝付款的有关证明。乙方不能出示拒绝证明、退票理由书或者未按照规定期限提供其他合法证明的，丧失对甲方的追索权。</w:t>
      </w:r>
    </w:p>
    <w:p w14:paraId="01C972F0">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本合同项下的汇票以本合同的真实合法交易关系为基础，乙方不履行合同约定义务的，甲方有权拒绝向乙方付款。</w:t>
      </w:r>
    </w:p>
    <w:p w14:paraId="6F0C7F9C">
      <w:pPr>
        <w:pStyle w:val="8"/>
        <w:keepNext w:val="0"/>
        <w:keepLines w:val="0"/>
        <w:pageBreakBefore w:val="0"/>
        <w:widowControl w:val="0"/>
        <w:numPr>
          <w:ilvl w:val="0"/>
          <w:numId w:val="32"/>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乙方不得提供伪造或变造的票据向银行提示付款。</w:t>
      </w:r>
    </w:p>
    <w:p w14:paraId="3F906CF5">
      <w:pPr>
        <w:pStyle w:val="8"/>
        <w:keepNext w:val="0"/>
        <w:keepLines w:val="0"/>
        <w:pageBreakBefore w:val="0"/>
        <w:widowControl w:val="0"/>
        <w:numPr>
          <w:ilvl w:val="0"/>
          <w:numId w:val="31"/>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 w:val="0"/>
          <w:bCs w:val="0"/>
          <w:kern w:val="0"/>
          <w:sz w:val="21"/>
          <w:szCs w:val="21"/>
          <w:u w:val="none"/>
          <w:lang w:val="en-US" w:eastAsia="zh-CN"/>
        </w:rPr>
      </w:pPr>
      <w:r>
        <w:rPr>
          <w:rFonts w:hint="eastAsia" w:ascii="宋体" w:hAnsi="宋体" w:eastAsia="宋体" w:cs="宋体"/>
          <w:b w:val="0"/>
          <w:bCs w:val="0"/>
          <w:kern w:val="0"/>
          <w:sz w:val="21"/>
          <w:szCs w:val="21"/>
          <w:u w:val="none"/>
          <w:lang w:val="en-US" w:eastAsia="zh-CN"/>
        </w:rPr>
        <w:t>合同履行期间，若污水处理厂要求支付污泥减量化服务过程中的用水、用电、生产过程中产生的废水处理费的，费用由乙方承担，并按照污水处理厂的要求支付，甲方无需向乙方补偿该部分费用，乙方同意放弃向甲方追讨任何费用或主张任何权利。</w:t>
      </w:r>
    </w:p>
    <w:p w14:paraId="6C33E75B">
      <w:pPr>
        <w:pStyle w:val="8"/>
        <w:keepNext w:val="0"/>
        <w:keepLines w:val="0"/>
        <w:pageBreakBefore w:val="0"/>
        <w:numPr>
          <w:ilvl w:val="0"/>
          <w:numId w:val="31"/>
        </w:numPr>
        <w:kinsoku/>
        <w:wordWrap/>
        <w:overflowPunct/>
        <w:topLinePunct w:val="0"/>
        <w:bidi w:val="0"/>
        <w:spacing w:line="360" w:lineRule="auto"/>
        <w:ind w:firstLine="420" w:firstLineChars="200"/>
        <w:textAlignment w:val="auto"/>
        <w:rPr>
          <w:rFonts w:hint="eastAsia" w:ascii="宋体" w:hAnsi="宋体" w:eastAsia="宋体" w:cs="宋体"/>
          <w:b/>
          <w:bCs/>
          <w:color w:val="000000"/>
          <w:sz w:val="21"/>
          <w:szCs w:val="21"/>
          <w:u w:val="none"/>
          <w:lang w:val="en-US" w:eastAsia="zh-CN"/>
        </w:rPr>
      </w:pPr>
      <w:r>
        <w:rPr>
          <w:rFonts w:hint="eastAsia" w:ascii="宋体" w:hAnsi="宋体" w:eastAsia="宋体" w:cs="宋体"/>
          <w:sz w:val="21"/>
          <w:szCs w:val="21"/>
        </w:rPr>
        <w:t>合同文件及附件内容约定的乙方其他权利义务。</w:t>
      </w:r>
    </w:p>
    <w:p w14:paraId="6B3391BD">
      <w:pPr>
        <w:pStyle w:val="7"/>
        <w:keepNext w:val="0"/>
        <w:keepLines w:val="0"/>
        <w:pageBreakBefore w:val="0"/>
        <w:kinsoku/>
        <w:wordWrap/>
        <w:overflowPunct/>
        <w:topLinePunct w:val="0"/>
        <w:bidi w:val="0"/>
        <w:spacing w:line="360" w:lineRule="auto"/>
        <w:ind w:left="840" w:leftChars="350"/>
        <w:textAlignment w:val="auto"/>
        <w:rPr>
          <w:rFonts w:hint="eastAsia" w:ascii="宋体" w:hAnsi="宋体" w:eastAsia="宋体" w:cs="宋体"/>
          <w:b w:val="0"/>
          <w:bCs w:val="0"/>
          <w:kern w:val="2"/>
          <w:sz w:val="21"/>
          <w:szCs w:val="21"/>
          <w:lang w:val="en-US" w:eastAsia="zh-CN" w:bidi="ar-SA"/>
        </w:rPr>
      </w:pPr>
    </w:p>
    <w:p w14:paraId="2B4B1DA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color w:val="000000"/>
          <w:sz w:val="21"/>
          <w:szCs w:val="21"/>
          <w:u w:val="none"/>
          <w:lang w:val="en-US" w:eastAsia="zh-CN"/>
        </w:rPr>
      </w:pPr>
      <w:r>
        <w:rPr>
          <w:rFonts w:hint="eastAsia" w:ascii="宋体" w:hAnsi="宋体" w:eastAsia="宋体" w:cs="宋体"/>
          <w:b/>
          <w:bCs/>
          <w:color w:val="000000"/>
          <w:kern w:val="2"/>
          <w:sz w:val="21"/>
          <w:szCs w:val="21"/>
          <w:lang w:val="en-US" w:eastAsia="zh-CN" w:bidi="ar-SA"/>
        </w:rPr>
        <w:t xml:space="preserve">第七条 </w:t>
      </w:r>
      <w:r>
        <w:rPr>
          <w:rFonts w:hint="eastAsia" w:ascii="宋体" w:hAnsi="宋体" w:eastAsia="宋体" w:cs="宋体"/>
          <w:b/>
          <w:bCs/>
          <w:kern w:val="0"/>
          <w:sz w:val="21"/>
          <w:szCs w:val="21"/>
          <w:u w:val="none"/>
          <w:lang w:val="en-US" w:eastAsia="zh-CN"/>
        </w:rPr>
        <w:t>履约担保</w:t>
      </w:r>
    </w:p>
    <w:p w14:paraId="330CFAD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1、乙方应当在签订本合同</w:t>
      </w:r>
      <w:r>
        <w:rPr>
          <w:rFonts w:hint="eastAsia" w:ascii="宋体" w:hAnsi="宋体" w:cs="宋体"/>
          <w:color w:val="auto"/>
          <w:sz w:val="21"/>
          <w:szCs w:val="21"/>
          <w:highlight w:val="none"/>
          <w:lang w:val="en-US" w:eastAsia="zh-CN"/>
        </w:rPr>
        <w:t>后</w:t>
      </w:r>
      <w:r>
        <w:rPr>
          <w:rFonts w:hint="eastAsia" w:ascii="宋体" w:hAnsi="宋体" w:eastAsia="宋体" w:cs="宋体"/>
          <w:color w:val="auto"/>
          <w:sz w:val="21"/>
          <w:szCs w:val="21"/>
          <w:highlight w:val="none"/>
        </w:rPr>
        <w:t>向甲方提供履约担保，履约担保形式及金额由乙方从以下方式中任选一种：</w:t>
      </w:r>
    </w:p>
    <w:p w14:paraId="4F2BC973">
      <w:pPr>
        <w:adjustRightInd/>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履约保证金（银行转账形式）金额为暂定合同价税金额的</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lang w:val="en-US"/>
        </w:rPr>
        <w:t>¥     元，大写人民币      。</w:t>
      </w:r>
    </w:p>
    <w:p w14:paraId="275A3389">
      <w:pPr>
        <w:adjustRightInd/>
        <w:spacing w:line="360" w:lineRule="auto"/>
        <w:ind w:firstLine="371" w:firstLineChars="177"/>
        <w:rPr>
          <w:rFonts w:hint="eastAsia" w:ascii="宋体" w:hAnsi="宋体" w:eastAsia="宋体" w:cs="宋体"/>
          <w:color w:val="auto"/>
          <w:sz w:val="21"/>
          <w:szCs w:val="21"/>
          <w:highlight w:val="none"/>
          <w:u w:val="single"/>
        </w:rPr>
      </w:pPr>
      <w:bookmarkStart w:id="12" w:name="_Hlk32915973"/>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不可撤销银行履约保函金额为暂定合同价税金额的</w:t>
      </w:r>
      <w:r>
        <w:rPr>
          <w:rFonts w:hint="eastAsia" w:ascii="宋体" w:hAnsi="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w:t>
      </w:r>
      <w:bookmarkEnd w:id="12"/>
      <w:r>
        <w:rPr>
          <w:rFonts w:hint="eastAsia" w:ascii="宋体" w:hAnsi="宋体" w:eastAsia="宋体" w:cs="宋体"/>
          <w:color w:val="auto"/>
          <w:sz w:val="21"/>
          <w:szCs w:val="21"/>
          <w:highlight w:val="none"/>
          <w:u w:val="single"/>
        </w:rPr>
        <w:t>；</w:t>
      </w:r>
      <w:r>
        <w:rPr>
          <w:rFonts w:hint="eastAsia" w:ascii="宋体" w:hAnsi="宋体" w:eastAsia="宋体" w:cs="宋体"/>
          <w:b w:val="0"/>
          <w:bCs w:val="0"/>
          <w:color w:val="auto"/>
          <w:sz w:val="21"/>
          <w:szCs w:val="21"/>
          <w:highlight w:val="none"/>
          <w:u w:val="single"/>
          <w:lang w:val="en-US"/>
        </w:rPr>
        <w:t>¥     元，大写人民币      。</w:t>
      </w:r>
    </w:p>
    <w:p w14:paraId="4CA54DCF">
      <w:pPr>
        <w:pStyle w:val="7"/>
        <w:spacing w:line="360" w:lineRule="auto"/>
        <w:ind w:firstLine="371" w:firstLineChars="177"/>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履约保证保险金额为暂定合同价税金额的</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single"/>
          <w:lang w:val="en-US"/>
        </w:rPr>
        <w:t>%</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rPr>
        <w:t>¥     元，大写人民币      。</w:t>
      </w:r>
    </w:p>
    <w:p w14:paraId="6B7703C3">
      <w:pPr>
        <w:pStyle w:val="7"/>
        <w:keepNext w:val="0"/>
        <w:keepLines w:val="0"/>
        <w:pageBreakBefore w:val="0"/>
        <w:kinsoku/>
        <w:wordWrap/>
        <w:overflowPunct/>
        <w:topLinePunct w:val="0"/>
        <w:bidi w:val="0"/>
        <w:spacing w:line="360" w:lineRule="auto"/>
        <w:ind w:firstLine="371" w:firstLineChars="177"/>
        <w:jc w:val="left"/>
        <w:textAlignment w:val="auto"/>
        <w:rPr>
          <w:rFonts w:hint="eastAsia"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u w:val="single"/>
          <w:lang w:val="en-US"/>
        </w:rPr>
        <w:t>担保公司履约担保书金额为暂定合同价税金额的</w:t>
      </w:r>
      <w:r>
        <w:rPr>
          <w:rFonts w:hint="eastAsia" w:ascii="宋体" w:hAnsi="宋体" w:cs="宋体"/>
          <w:b w:val="0"/>
          <w:bCs w:val="0"/>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u w:val="single"/>
          <w:lang w:val="en-US"/>
        </w:rPr>
        <w:t>%</w:t>
      </w:r>
      <w:r>
        <w:rPr>
          <w:rFonts w:hint="eastAsia" w:ascii="宋体" w:hAnsi="宋体" w:eastAsia="宋体" w:cs="宋体"/>
          <w:b w:val="0"/>
          <w:bCs w:val="0"/>
          <w:color w:val="auto"/>
          <w:sz w:val="21"/>
          <w:szCs w:val="21"/>
          <w:highlight w:val="none"/>
          <w:u w:val="single"/>
          <w:lang w:val="en-US" w:eastAsia="zh-CN"/>
        </w:rPr>
        <w:t>；</w:t>
      </w:r>
      <w:r>
        <w:rPr>
          <w:rFonts w:hint="eastAsia" w:ascii="宋体" w:hAnsi="宋体" w:eastAsia="宋体" w:cs="宋体"/>
          <w:b w:val="0"/>
          <w:bCs w:val="0"/>
          <w:color w:val="auto"/>
          <w:sz w:val="21"/>
          <w:szCs w:val="21"/>
          <w:highlight w:val="none"/>
          <w:u w:val="single"/>
          <w:lang w:val="en-US"/>
        </w:rPr>
        <w:t>¥     元，大写人民币      。</w:t>
      </w:r>
    </w:p>
    <w:p w14:paraId="01194923">
      <w:pPr>
        <w:keepNext w:val="0"/>
        <w:keepLines w:val="0"/>
        <w:pageBreakBefore w:val="0"/>
        <w:kinsoku/>
        <w:wordWrap/>
        <w:overflowPunct/>
        <w:topLinePunct w:val="0"/>
        <w:bidi w:val="0"/>
        <w:snapToGrid w:val="0"/>
        <w:spacing w:line="360" w:lineRule="auto"/>
        <w:ind w:firstLine="371" w:firstLineChars="17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合同履行过程中，乙方给甲方造成的损失超过履约担保数额的，乙方还应当对超过部分予以赔偿，甲方并依法追究乙方的相应责任</w:t>
      </w:r>
      <w:r>
        <w:rPr>
          <w:rFonts w:hint="eastAsia" w:ascii="宋体" w:hAnsi="宋体" w:eastAsia="宋体" w:cs="宋体"/>
          <w:color w:val="auto"/>
          <w:sz w:val="21"/>
          <w:szCs w:val="21"/>
          <w:highlight w:val="none"/>
          <w:lang w:eastAsia="zh-CN"/>
        </w:rPr>
        <w:t>。</w:t>
      </w:r>
    </w:p>
    <w:p w14:paraId="33C7B2B9">
      <w:pPr>
        <w:keepNext w:val="0"/>
        <w:keepLines w:val="0"/>
        <w:pageBreakBefore w:val="0"/>
        <w:kinsoku/>
        <w:wordWrap/>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、履约担保用于补偿甲方因乙方不能完成其合同义务而蒙受的损失或其他合同约定的事项。如发生下列任一情况时，甲方有权依合同追究违约责任外，同时有权提取履约担保并进行相应处理：</w:t>
      </w:r>
    </w:p>
    <w:p w14:paraId="28E3996C">
      <w:pPr>
        <w:keepNext w:val="0"/>
        <w:keepLines w:val="0"/>
        <w:pageBreakBefore w:val="0"/>
        <w:kinsoku/>
        <w:wordWrap/>
        <w:overflowPunct/>
        <w:topLinePunct w:val="0"/>
        <w:bidi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在合同履行期间，因乙方服务质量问题造成损害、侵权损失（包括但不限于甲方经济损失、甲方人员人身财产损失、第三人人身财产损失等）、与其所雇用员工发生劳资纠纷、上访、闹事或其他影响甲方生产经营等情况而其未及时妥善处理的，甲方有权使用履约担保予以支付或作出相应处理，由此产生的一切法律后果由乙方承担。</w:t>
      </w:r>
    </w:p>
    <w:p w14:paraId="2A95FE52">
      <w:pPr>
        <w:keepNext w:val="0"/>
        <w:keepLines w:val="0"/>
        <w:pageBreakBefore w:val="0"/>
        <w:kinsoku/>
        <w:wordWrap/>
        <w:overflowPunct/>
        <w:topLinePunct w:val="0"/>
        <w:bidi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）在合同履行期间，乙方违约产生的违约金、赔偿、罚款或其他应付费用等款项，甲方有权直接从未付款项中直接扣除或启用履约担保予以支付。</w:t>
      </w:r>
    </w:p>
    <w:p w14:paraId="4126E341">
      <w:pPr>
        <w:keepNext w:val="0"/>
        <w:keepLines w:val="0"/>
        <w:pageBreakBefore w:val="0"/>
        <w:kinsoku/>
        <w:wordWrap/>
        <w:overflowPunct/>
        <w:topLinePunct w:val="0"/>
        <w:bidi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）合同期内，乙方不能及时完成某项合同义务的，甲方有权提取履约担保用于处理该项工作。</w:t>
      </w:r>
    </w:p>
    <w:p w14:paraId="7F625B95">
      <w:pPr>
        <w:keepNext w:val="0"/>
        <w:keepLines w:val="0"/>
        <w:pageBreakBefore w:val="0"/>
        <w:kinsoku/>
        <w:wordWrap/>
        <w:overflowPunct/>
        <w:topLinePunct w:val="0"/>
        <w:bidi w:val="0"/>
        <w:snapToGrid w:val="0"/>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）其他根据本合同约定或法律规定，甲方可启用履约担保的情形。</w:t>
      </w:r>
    </w:p>
    <w:p w14:paraId="17247743">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以履约保证金（银行转账形式）提供履约担保的，在合同期限届满并且乙方完成本合同及本合同下所有补充协议的全部服务义务，甲方向乙方支付全部款项二十八（28）日后，经甲方确认，乙方可向甲方提交退回履约担保的申请</w:t>
      </w:r>
      <w:r>
        <w:rPr>
          <w:rFonts w:hint="eastAsia" w:ascii="宋体" w:hAnsi="宋体" w:eastAsia="宋体" w:cs="宋体"/>
          <w:color w:val="auto"/>
          <w:sz w:val="21"/>
          <w:szCs w:val="21"/>
          <w:highlight w:val="none"/>
        </w:rPr>
        <w:t>。甲方审核并在扣除相应的费用（若有）后，办理履约担保退还手续，退回时一律以银行转账的形式无息退回到乙方的账号。</w:t>
      </w:r>
    </w:p>
    <w:p w14:paraId="298CC0C8">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完成合同及补充协议项下全部服务义务，甲方向乙方支付全部款项后二十八(28)日内保持有效。如不可撤销银行履约保函（或履约保证保险或担保公司履约担保书）到期时乙方尚未完成合同及补充协议项下全部服务义务或甲方未支付全部款项,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w:t>
      </w:r>
      <w:r>
        <w:rPr>
          <w:rFonts w:hint="eastAsia" w:ascii="宋体" w:hAnsi="宋体" w:eastAsia="宋体" w:cs="宋体"/>
          <w:bCs/>
          <w:sz w:val="21"/>
          <w:szCs w:val="21"/>
          <w:highlight w:val="none"/>
          <w:lang w:val="en-US" w:eastAsia="zh-CN"/>
        </w:rPr>
        <w:t>乙方应向甲方支付【5】万元违约金，该违约金甲方有权从未付款项中扣除。</w:t>
      </w:r>
      <w:r>
        <w:rPr>
          <w:rFonts w:hint="eastAsia" w:ascii="宋体" w:hAnsi="宋体" w:eastAsia="宋体" w:cs="宋体"/>
          <w:color w:val="auto"/>
          <w:sz w:val="21"/>
          <w:szCs w:val="21"/>
          <w:highlight w:val="none"/>
        </w:rPr>
        <w:t>在乙方重新提供前甲方无需向乙方支付合同款项，且不视为甲方违约。</w:t>
      </w:r>
    </w:p>
    <w:p w14:paraId="6B632428">
      <w:pPr>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6、在合同履行过程中，不论何种原因导致履约担保数额不符合</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文件要求的，乙方应当在5日内予以补足。逾期不予补足的，甲方有权按需补足的金额要求乙方承担违约金，并要求乙方限期补足，在乙方补足前甲方无需向乙方支付合同款项，且不视为甲方违约。</w:t>
      </w:r>
    </w:p>
    <w:p w14:paraId="5D230228">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7、履约保证金存入以下指定银行账户：</w:t>
      </w:r>
    </w:p>
    <w:p w14:paraId="26C0981E">
      <w:pPr>
        <w:pStyle w:val="7"/>
        <w:keepNext w:val="0"/>
        <w:keepLines w:val="0"/>
        <w:pageBreakBefore w:val="0"/>
        <w:kinsoku/>
        <w:wordWrap/>
        <w:overflowPunct/>
        <w:topLinePunct w:val="0"/>
        <w:bidi w:val="0"/>
        <w:spacing w:after="0" w:line="360" w:lineRule="auto"/>
        <w:ind w:left="840" w:leftChars="3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开户名称：东莞市众源环境投资有限公司；</w:t>
      </w:r>
    </w:p>
    <w:p w14:paraId="06AF3FED">
      <w:pPr>
        <w:pStyle w:val="7"/>
        <w:keepNext w:val="0"/>
        <w:keepLines w:val="0"/>
        <w:pageBreakBefore w:val="0"/>
        <w:kinsoku/>
        <w:wordWrap/>
        <w:overflowPunct/>
        <w:topLinePunct w:val="0"/>
        <w:bidi w:val="0"/>
        <w:spacing w:after="0" w:line="360" w:lineRule="auto"/>
        <w:ind w:left="840" w:leftChars="3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开户银行：招商银行股份有限公司东莞分行；</w:t>
      </w:r>
    </w:p>
    <w:p w14:paraId="10F8AC90">
      <w:pPr>
        <w:pStyle w:val="7"/>
        <w:keepNext w:val="0"/>
        <w:keepLines w:val="0"/>
        <w:pageBreakBefore w:val="0"/>
        <w:kinsoku/>
        <w:wordWrap/>
        <w:overflowPunct/>
        <w:topLinePunct w:val="0"/>
        <w:bidi w:val="0"/>
        <w:spacing w:after="0" w:line="360" w:lineRule="auto"/>
        <w:ind w:left="840" w:leftChars="35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银行账号：769908269610828</w:t>
      </w:r>
    </w:p>
    <w:p w14:paraId="12F88A74">
      <w:pPr>
        <w:pStyle w:val="7"/>
        <w:keepNext w:val="0"/>
        <w:keepLines w:val="0"/>
        <w:pageBreakBefore w:val="0"/>
        <w:kinsoku/>
        <w:wordWrap/>
        <w:overflowPunct/>
        <w:topLinePunct w:val="0"/>
        <w:bidi w:val="0"/>
        <w:spacing w:line="360" w:lineRule="auto"/>
        <w:ind w:left="840" w:leftChars="350"/>
        <w:textAlignment w:val="auto"/>
        <w:rPr>
          <w:rFonts w:hint="eastAsia" w:ascii="宋体" w:hAnsi="宋体" w:eastAsia="宋体" w:cs="宋体"/>
          <w:sz w:val="21"/>
          <w:szCs w:val="21"/>
          <w:lang w:val="en-US" w:eastAsia="zh-CN"/>
        </w:rPr>
      </w:pPr>
    </w:p>
    <w:p w14:paraId="1D54692E">
      <w:pPr>
        <w:keepNext w:val="0"/>
        <w:keepLines w:val="0"/>
        <w:pageBreakBefore w:val="0"/>
        <w:kinsoku/>
        <w:wordWrap/>
        <w:overflowPunct/>
        <w:topLinePunct w:val="0"/>
        <w:bidi w:val="0"/>
        <w:spacing w:line="360" w:lineRule="auto"/>
        <w:ind w:firstLine="422" w:firstLineChars="200"/>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第八条 </w:t>
      </w:r>
      <w:r>
        <w:rPr>
          <w:rFonts w:hint="eastAsia" w:ascii="宋体" w:hAnsi="宋体" w:eastAsia="宋体" w:cs="宋体"/>
          <w:b/>
          <w:bCs/>
          <w:kern w:val="0"/>
          <w:sz w:val="21"/>
          <w:szCs w:val="21"/>
          <w:u w:val="none"/>
          <w:lang w:val="en-US" w:eastAsia="zh-CN"/>
        </w:rPr>
        <w:t>违约责任</w:t>
      </w:r>
    </w:p>
    <w:p w14:paraId="3B5C9FA8">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rPr>
      </w:pPr>
      <w:r>
        <w:rPr>
          <w:rFonts w:hint="eastAsia" w:ascii="宋体" w:hAnsi="宋体" w:eastAsia="宋体" w:cs="宋体"/>
          <w:bCs/>
          <w:sz w:val="21"/>
          <w:szCs w:val="21"/>
        </w:rPr>
        <w:t>乙方履约过程中，若乙方</w:t>
      </w:r>
      <w:r>
        <w:rPr>
          <w:rFonts w:hint="eastAsia" w:ascii="宋体" w:hAnsi="宋体" w:eastAsia="宋体" w:cs="宋体"/>
          <w:bCs/>
          <w:sz w:val="21"/>
          <w:szCs w:val="21"/>
          <w:lang w:val="en-US" w:eastAsia="zh-CN"/>
        </w:rPr>
        <w:t>逾期</w:t>
      </w:r>
      <w:r>
        <w:rPr>
          <w:rFonts w:hint="eastAsia" w:ascii="宋体" w:hAnsi="宋体" w:eastAsia="宋体" w:cs="宋体"/>
          <w:bCs/>
          <w:sz w:val="21"/>
          <w:szCs w:val="21"/>
        </w:rPr>
        <w:t>正式投产的，乙方需向甲方支付违约金，每</w:t>
      </w:r>
      <w:r>
        <w:rPr>
          <w:rFonts w:hint="eastAsia" w:ascii="宋体" w:hAnsi="宋体" w:eastAsia="宋体" w:cs="宋体"/>
          <w:bCs/>
          <w:sz w:val="21"/>
          <w:szCs w:val="21"/>
          <w:lang w:val="en-US" w:eastAsia="zh-CN"/>
        </w:rPr>
        <w:t>日</w:t>
      </w:r>
      <w:r>
        <w:rPr>
          <w:rFonts w:hint="eastAsia" w:ascii="宋体" w:hAnsi="宋体" w:eastAsia="宋体" w:cs="宋体"/>
          <w:bCs/>
          <w:sz w:val="21"/>
          <w:szCs w:val="21"/>
        </w:rPr>
        <w:t>违约金为该单项污水处理厂项目污泥脱水减量化设计规模1</w:t>
      </w:r>
      <w:r>
        <w:rPr>
          <w:rFonts w:hint="eastAsia" w:ascii="宋体" w:hAnsi="宋体" w:eastAsia="宋体" w:cs="宋体"/>
          <w:bCs/>
          <w:sz w:val="21"/>
          <w:szCs w:val="21"/>
          <w:lang w:val="en-US" w:eastAsia="zh-CN"/>
        </w:rPr>
        <w:t>日</w:t>
      </w:r>
      <w:r>
        <w:rPr>
          <w:rFonts w:hint="eastAsia" w:ascii="宋体" w:hAnsi="宋体" w:eastAsia="宋体" w:cs="宋体"/>
          <w:bCs/>
          <w:sz w:val="21"/>
          <w:szCs w:val="21"/>
        </w:rPr>
        <w:t>处理量服务费，即按该单项污水处理厂脱水减量化设施含水率80%污泥设计规模乘以合同含税单价。</w:t>
      </w:r>
      <w:r>
        <w:rPr>
          <w:rFonts w:hint="eastAsia" w:ascii="宋体" w:hAnsi="宋体" w:eastAsia="宋体" w:cs="宋体"/>
          <w:bCs/>
          <w:sz w:val="21"/>
          <w:szCs w:val="21"/>
          <w:lang w:val="en-US" w:eastAsia="zh-CN"/>
        </w:rPr>
        <w:t>上述违约金总额最高不超</w:t>
      </w:r>
      <w:r>
        <w:rPr>
          <w:rFonts w:hint="eastAsia" w:ascii="宋体" w:hAnsi="宋体" w:eastAsia="宋体" w:cs="宋体"/>
          <w:bCs/>
          <w:sz w:val="21"/>
          <w:szCs w:val="21"/>
        </w:rPr>
        <w:t>单项污水处理厂项目污泥脱水减量化设计规模1</w:t>
      </w:r>
      <w:r>
        <w:rPr>
          <w:rFonts w:hint="eastAsia" w:ascii="宋体" w:hAnsi="宋体" w:eastAsia="宋体" w:cs="宋体"/>
          <w:bCs/>
          <w:sz w:val="21"/>
          <w:szCs w:val="21"/>
          <w:lang w:val="en-US" w:eastAsia="zh-CN"/>
        </w:rPr>
        <w:t>日</w:t>
      </w:r>
      <w:r>
        <w:rPr>
          <w:rFonts w:hint="eastAsia" w:ascii="宋体" w:hAnsi="宋体" w:eastAsia="宋体" w:cs="宋体"/>
          <w:bCs/>
          <w:sz w:val="21"/>
          <w:szCs w:val="21"/>
        </w:rPr>
        <w:t>处理量服务费的</w:t>
      </w:r>
      <w:r>
        <w:rPr>
          <w:rFonts w:hint="eastAsia" w:ascii="宋体" w:hAnsi="宋体" w:eastAsia="宋体" w:cs="宋体"/>
          <w:bCs/>
          <w:sz w:val="21"/>
          <w:szCs w:val="21"/>
          <w:lang w:val="en-US" w:eastAsia="zh-CN"/>
        </w:rPr>
        <w:t>15</w:t>
      </w:r>
      <w:r>
        <w:rPr>
          <w:rFonts w:hint="eastAsia" w:ascii="宋体" w:hAnsi="宋体" w:eastAsia="宋体" w:cs="宋体"/>
          <w:bCs/>
          <w:sz w:val="21"/>
          <w:szCs w:val="21"/>
        </w:rPr>
        <w:t>倍</w:t>
      </w:r>
      <w:r>
        <w:rPr>
          <w:rFonts w:hint="eastAsia" w:ascii="宋体" w:hAnsi="宋体" w:eastAsia="宋体" w:cs="宋体"/>
          <w:bCs/>
          <w:sz w:val="21"/>
          <w:szCs w:val="21"/>
          <w:lang w:val="en-US" w:eastAsia="zh-CN"/>
        </w:rPr>
        <w:t>。</w:t>
      </w:r>
      <w:r>
        <w:rPr>
          <w:rFonts w:hint="eastAsia" w:ascii="宋体" w:hAnsi="宋体" w:eastAsia="宋体" w:cs="宋体"/>
          <w:sz w:val="21"/>
          <w:szCs w:val="21"/>
        </w:rPr>
        <w:t>乙方逾期15日未能</w:t>
      </w:r>
      <w:r>
        <w:rPr>
          <w:rFonts w:hint="eastAsia" w:ascii="宋体" w:hAnsi="宋体" w:eastAsia="宋体" w:cs="宋体"/>
          <w:bCs/>
          <w:sz w:val="21"/>
          <w:szCs w:val="21"/>
        </w:rPr>
        <w:t>具备正式投产条件的</w:t>
      </w:r>
      <w:r>
        <w:rPr>
          <w:rFonts w:hint="eastAsia" w:ascii="宋体" w:hAnsi="宋体" w:eastAsia="宋体" w:cs="宋体"/>
          <w:sz w:val="21"/>
          <w:szCs w:val="21"/>
        </w:rPr>
        <w:t>，在乙方根据前述约定支付违约金外，甲方有权单方解除合同。</w:t>
      </w:r>
      <w:r>
        <w:rPr>
          <w:rFonts w:hint="eastAsia" w:ascii="宋体" w:hAnsi="宋体" w:eastAsia="宋体" w:cs="宋体"/>
          <w:bCs/>
          <w:sz w:val="21"/>
          <w:szCs w:val="21"/>
        </w:rPr>
        <w:t>若由此给甲方造成损失的，乙方还应当承担全部赔偿责任。</w:t>
      </w:r>
    </w:p>
    <w:p w14:paraId="2F784CB0">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乙方在合同约定正式投产之日起7日内，非甲方原因（或非甲方接受的正当理由），乙方未能达到污泥脱水减量化处理点污泥处理规模产能（吨/日，按含水率80%污泥计）的100%（含服务期未经甲方书面同意减产、停产导致的产能不足。不含未能正式投产，未能正式投产的违约金金额按本合同第八条第1款的约定执行），进行污泥减量化处理，甲方有权要求乙方自第8日开始支付3万元/日的违约金，上述违约金总额最高不超【45】万元。乙方应积极采取措施在甲方限期内提高产能至合同约定量，并承担因此造成甲方损失的全部赔偿责任。乙方在合同约定的投产日期之日起15日内未能达到污泥脱水减量化处理点污泥处理规模产能（且含水率不高于60%），在乙方根据前述约定支付违约金外，甲方有权单方解除合同。若由此给甲方造成损失的，乙方还应当承担全部赔偿责任。</w:t>
      </w:r>
    </w:p>
    <w:p w14:paraId="3A5A706E">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乙方脱水减量化处理后的半干化泥粉</w:t>
      </w:r>
      <w:r>
        <w:rPr>
          <w:rFonts w:hint="eastAsia" w:ascii="宋体" w:hAnsi="宋体" w:eastAsia="宋体" w:cs="宋体"/>
          <w:kern w:val="0"/>
          <w:sz w:val="21"/>
          <w:szCs w:val="21"/>
          <w:u w:val="none"/>
        </w:rPr>
        <w:t>当月平均含水率大于60%，</w:t>
      </w:r>
      <w:r>
        <w:rPr>
          <w:rFonts w:hint="eastAsia" w:ascii="宋体" w:hAnsi="宋体" w:eastAsia="宋体" w:cs="宋体"/>
          <w:kern w:val="0"/>
          <w:sz w:val="21"/>
          <w:szCs w:val="21"/>
          <w:u w:val="none"/>
          <w:lang w:val="en-US" w:eastAsia="zh-CN"/>
        </w:rPr>
        <w:t>处以5万</w:t>
      </w:r>
      <w:r>
        <w:rPr>
          <w:rFonts w:hint="eastAsia" w:ascii="宋体" w:hAnsi="宋体" w:eastAsia="宋体" w:cs="宋体"/>
          <w:kern w:val="0"/>
          <w:sz w:val="21"/>
          <w:szCs w:val="21"/>
          <w:u w:val="none"/>
        </w:rPr>
        <w:t>元（</w:t>
      </w:r>
      <w:r>
        <w:rPr>
          <w:rFonts w:hint="eastAsia" w:ascii="宋体" w:hAnsi="宋体" w:eastAsia="宋体" w:cs="宋体"/>
          <w:kern w:val="0"/>
          <w:sz w:val="21"/>
          <w:szCs w:val="21"/>
          <w:u w:val="none"/>
          <w:lang w:val="en-US" w:eastAsia="zh-CN"/>
        </w:rPr>
        <w:t>伍</w:t>
      </w:r>
      <w:r>
        <w:rPr>
          <w:rFonts w:hint="eastAsia" w:ascii="宋体" w:hAnsi="宋体" w:eastAsia="宋体" w:cs="宋体"/>
          <w:kern w:val="0"/>
          <w:sz w:val="21"/>
          <w:szCs w:val="21"/>
          <w:u w:val="none"/>
        </w:rPr>
        <w:t>万元整）</w:t>
      </w:r>
      <w:r>
        <w:rPr>
          <w:rFonts w:hint="eastAsia" w:ascii="宋体" w:hAnsi="宋体" w:eastAsia="宋体" w:cs="宋体"/>
          <w:kern w:val="0"/>
          <w:sz w:val="21"/>
          <w:szCs w:val="21"/>
          <w:u w:val="none"/>
          <w:lang w:val="en-US" w:eastAsia="zh-CN"/>
        </w:rPr>
        <w:t>罚款</w:t>
      </w:r>
      <w:r>
        <w:rPr>
          <w:rFonts w:hint="eastAsia" w:ascii="宋体" w:hAnsi="宋体" w:eastAsia="宋体" w:cs="宋体"/>
          <w:kern w:val="0"/>
          <w:sz w:val="21"/>
          <w:szCs w:val="21"/>
          <w:u w:val="none"/>
        </w:rPr>
        <w:t>作为违约金</w:t>
      </w:r>
      <w:r>
        <w:rPr>
          <w:rFonts w:hint="eastAsia" w:ascii="宋体" w:hAnsi="宋体" w:eastAsia="宋体" w:cs="宋体"/>
          <w:kern w:val="0"/>
          <w:sz w:val="21"/>
          <w:szCs w:val="21"/>
          <w:u w:val="none"/>
          <w:lang w:val="en-US" w:eastAsia="zh-CN"/>
        </w:rPr>
        <w:t>。</w:t>
      </w:r>
      <w:r>
        <w:rPr>
          <w:rFonts w:hint="eastAsia" w:ascii="宋体" w:hAnsi="宋体" w:eastAsia="宋体" w:cs="宋体"/>
          <w:bCs/>
          <w:sz w:val="21"/>
          <w:szCs w:val="21"/>
          <w:lang w:val="en-US" w:eastAsia="zh-CN"/>
        </w:rPr>
        <w:t>甲方按前述标准扣减乙方服务费，不代表甲方对乙方服务工作的认可，若由此给甲方造成损失的，乙方仍应当承担全部赔偿责任。在本合同履行期间，甲方有权要求乙方采取措施保证减量化处理后的半干化泥粉含水率达标。如单个减量化项目点单个月份内乙方脱水减量化处理后的半干化泥粉含水率不合格次数达到四次以上（含四次）时，甲方按前述标准扣减乙方服务费后，还有权在乙方对应单个减量化项目点当月应收取的服务费中扣减10%作为违约金。</w:t>
      </w:r>
    </w:p>
    <w:p w14:paraId="72B3F855">
      <w:pPr>
        <w:pStyle w:val="8"/>
        <w:keepNext w:val="0"/>
        <w:keepLines w:val="0"/>
        <w:pageBreakBefore w:val="0"/>
        <w:widowControl w:val="0"/>
        <w:numPr>
          <w:ilvl w:val="0"/>
          <w:numId w:val="33"/>
        </w:numPr>
        <w:kinsoku/>
        <w:wordWrap/>
        <w:overflowPunct/>
        <w:topLinePunct w:val="0"/>
        <w:bidi w:val="0"/>
        <w:spacing w:after="0" w:line="360" w:lineRule="auto"/>
        <w:ind w:firstLineChars="200"/>
        <w:textAlignment w:val="auto"/>
        <w:rPr>
          <w:rFonts w:hint="eastAsia" w:ascii="宋体" w:hAnsi="宋体" w:eastAsia="宋体" w:cs="宋体"/>
          <w:kern w:val="0"/>
          <w:sz w:val="21"/>
          <w:szCs w:val="21"/>
          <w:u w:val="none"/>
        </w:rPr>
      </w:pPr>
      <w:r>
        <w:rPr>
          <w:rFonts w:hint="eastAsia" w:ascii="宋体" w:hAnsi="宋体" w:eastAsia="宋体" w:cs="宋体"/>
          <w:sz w:val="21"/>
          <w:szCs w:val="21"/>
        </w:rPr>
        <w:t>因乙方减量化处理后的污泥含水率高于</w:t>
      </w:r>
      <w:r>
        <w:rPr>
          <w:rFonts w:hint="eastAsia" w:ascii="宋体" w:hAnsi="宋体" w:eastAsia="宋体" w:cs="宋体"/>
          <w:sz w:val="21"/>
          <w:szCs w:val="21"/>
          <w:lang w:val="en-US" w:eastAsia="zh-CN"/>
        </w:rPr>
        <w:t>60</w:t>
      </w:r>
      <w:r>
        <w:rPr>
          <w:rFonts w:hint="eastAsia" w:ascii="宋体" w:hAnsi="宋体" w:eastAsia="宋体" w:cs="宋体"/>
          <w:sz w:val="21"/>
          <w:szCs w:val="21"/>
        </w:rPr>
        <w:t>%，导致甲方委外的污泥处置单位拒收</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退车，主管部门扣款等情况</w:t>
      </w:r>
      <w:r>
        <w:rPr>
          <w:rFonts w:hint="eastAsia" w:ascii="宋体" w:hAnsi="宋体" w:eastAsia="宋体" w:cs="宋体"/>
          <w:sz w:val="21"/>
          <w:szCs w:val="21"/>
        </w:rPr>
        <w:t>，因此发生的往返运输、称重、装车、重新减量化处理等相关费用由乙方承担。</w:t>
      </w:r>
      <w:r>
        <w:rPr>
          <w:rFonts w:hint="eastAsia" w:ascii="宋体" w:hAnsi="宋体" w:eastAsia="宋体" w:cs="宋体"/>
          <w:bCs/>
          <w:sz w:val="21"/>
          <w:szCs w:val="21"/>
        </w:rPr>
        <w:t>若由此给甲方造成损失的，乙方还应当承担全部赔偿责任。</w:t>
      </w:r>
    </w:p>
    <w:p w14:paraId="0EA53C0B">
      <w:pPr>
        <w:pStyle w:val="8"/>
        <w:keepNext w:val="0"/>
        <w:keepLines w:val="0"/>
        <w:pageBreakBefore w:val="0"/>
        <w:widowControl w:val="0"/>
        <w:numPr>
          <w:ilvl w:val="0"/>
          <w:numId w:val="33"/>
        </w:numPr>
        <w:kinsoku/>
        <w:wordWrap/>
        <w:overflowPunct/>
        <w:topLinePunct w:val="0"/>
        <w:bidi w:val="0"/>
        <w:spacing w:after="0" w:line="360" w:lineRule="auto"/>
        <w:ind w:firstLineChars="200"/>
        <w:textAlignment w:val="auto"/>
        <w:rPr>
          <w:rFonts w:hint="eastAsia" w:ascii="宋体" w:hAnsi="宋体" w:eastAsia="宋体" w:cs="宋体"/>
          <w:kern w:val="0"/>
          <w:sz w:val="21"/>
          <w:szCs w:val="21"/>
          <w:u w:val="none"/>
        </w:rPr>
      </w:pPr>
      <w:r>
        <w:rPr>
          <w:rFonts w:hint="eastAsia" w:ascii="宋体" w:hAnsi="宋体" w:eastAsia="宋体" w:cs="宋体"/>
          <w:kern w:val="0"/>
          <w:sz w:val="21"/>
          <w:szCs w:val="21"/>
          <w:u w:val="none"/>
        </w:rPr>
        <w:t>以甲方</w:t>
      </w:r>
      <w:r>
        <w:rPr>
          <w:rFonts w:hint="eastAsia" w:ascii="宋体" w:hAnsi="宋体" w:eastAsia="宋体" w:cs="宋体"/>
          <w:kern w:val="0"/>
          <w:sz w:val="21"/>
          <w:szCs w:val="21"/>
          <w:u w:val="none"/>
          <w:lang w:eastAsia="zh-CN"/>
        </w:rPr>
        <w:t>或</w:t>
      </w:r>
      <w:r>
        <w:rPr>
          <w:rFonts w:hint="eastAsia" w:ascii="宋体" w:hAnsi="宋体" w:eastAsia="宋体" w:cs="宋体"/>
          <w:kern w:val="0"/>
          <w:sz w:val="21"/>
          <w:szCs w:val="21"/>
          <w:u w:val="none"/>
          <w:lang w:val="en-US" w:eastAsia="zh-CN"/>
        </w:rPr>
        <w:t>主管部门</w:t>
      </w:r>
      <w:r>
        <w:rPr>
          <w:rFonts w:hint="eastAsia" w:ascii="宋体" w:hAnsi="宋体" w:eastAsia="宋体" w:cs="宋体"/>
          <w:kern w:val="0"/>
          <w:sz w:val="21"/>
          <w:szCs w:val="21"/>
          <w:u w:val="none"/>
        </w:rPr>
        <w:t>抽检的含水率检测结果作为日常监督过程数据和对乙方作出违约处罚的依据：</w:t>
      </w:r>
    </w:p>
    <w:p w14:paraId="31EB69E3">
      <w:pPr>
        <w:pStyle w:val="65"/>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sz w:val="21"/>
          <w:szCs w:val="21"/>
          <w:u w:val="none"/>
          <w:lang w:eastAsia="zh-CN" w:bidi="ar-SA"/>
        </w:rPr>
      </w:pPr>
      <w:r>
        <w:rPr>
          <w:rFonts w:hint="eastAsia" w:ascii="宋体" w:hAnsi="宋体" w:eastAsia="宋体" w:cs="宋体"/>
          <w:sz w:val="21"/>
          <w:szCs w:val="21"/>
          <w:u w:val="none"/>
          <w:lang w:eastAsia="zh-CN" w:bidi="ar-SA"/>
        </w:rPr>
        <w:t>（1）当抽检半干化污泥含水率检测结果大于</w:t>
      </w:r>
      <w:r>
        <w:rPr>
          <w:rFonts w:hint="eastAsia" w:ascii="宋体" w:hAnsi="宋体" w:eastAsia="宋体" w:cs="宋体"/>
          <w:sz w:val="21"/>
          <w:szCs w:val="21"/>
          <w:u w:val="none"/>
          <w:lang w:val="en-US" w:eastAsia="zh-CN" w:bidi="ar-SA"/>
        </w:rPr>
        <w:t>60</w:t>
      </w:r>
      <w:r>
        <w:rPr>
          <w:rFonts w:hint="eastAsia" w:ascii="宋体" w:hAnsi="宋体" w:eastAsia="宋体" w:cs="宋体"/>
          <w:sz w:val="21"/>
          <w:szCs w:val="21"/>
          <w:u w:val="none"/>
          <w:lang w:eastAsia="zh-CN" w:bidi="ar-SA"/>
        </w:rPr>
        <w:t>%小于或等于65%的，每发现一次甲方有权在乙方的污泥处理服务费中扣减</w:t>
      </w:r>
      <w:r>
        <w:rPr>
          <w:rFonts w:hint="eastAsia" w:ascii="宋体" w:hAnsi="宋体" w:eastAsia="宋体" w:cs="宋体"/>
          <w:sz w:val="21"/>
          <w:szCs w:val="21"/>
          <w:u w:val="none"/>
          <w:lang w:val="en-US" w:eastAsia="zh-CN" w:bidi="ar-SA"/>
        </w:rPr>
        <w:t>1万</w:t>
      </w:r>
      <w:r>
        <w:rPr>
          <w:rFonts w:hint="eastAsia" w:ascii="宋体" w:hAnsi="宋体" w:eastAsia="宋体" w:cs="宋体"/>
          <w:sz w:val="21"/>
          <w:szCs w:val="21"/>
          <w:u w:val="none"/>
          <w:lang w:eastAsia="zh-CN" w:bidi="ar-SA"/>
        </w:rPr>
        <w:t>元（</w:t>
      </w:r>
      <w:r>
        <w:rPr>
          <w:rFonts w:hint="eastAsia" w:ascii="宋体" w:hAnsi="宋体" w:eastAsia="宋体" w:cs="宋体"/>
          <w:sz w:val="21"/>
          <w:szCs w:val="21"/>
          <w:u w:val="none"/>
          <w:lang w:val="en-US" w:eastAsia="zh-CN" w:bidi="ar-SA"/>
        </w:rPr>
        <w:t>壹</w:t>
      </w:r>
      <w:r>
        <w:rPr>
          <w:rFonts w:hint="eastAsia" w:ascii="宋体" w:hAnsi="宋体" w:eastAsia="宋体" w:cs="宋体"/>
          <w:sz w:val="21"/>
          <w:szCs w:val="21"/>
          <w:u w:val="none"/>
          <w:lang w:eastAsia="zh-CN" w:bidi="ar-SA"/>
        </w:rPr>
        <w:t>万元整）作为违约金。</w:t>
      </w:r>
    </w:p>
    <w:p w14:paraId="49B4C252">
      <w:pPr>
        <w:pStyle w:val="65"/>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sz w:val="21"/>
          <w:szCs w:val="21"/>
          <w:u w:val="none"/>
          <w:lang w:eastAsia="zh-CN" w:bidi="ar-SA"/>
        </w:rPr>
      </w:pPr>
      <w:r>
        <w:rPr>
          <w:rFonts w:hint="eastAsia" w:ascii="宋体" w:hAnsi="宋体" w:eastAsia="宋体" w:cs="宋体"/>
          <w:sz w:val="21"/>
          <w:szCs w:val="21"/>
          <w:u w:val="none"/>
          <w:lang w:eastAsia="zh-CN" w:bidi="ar-SA"/>
        </w:rPr>
        <w:t>（2）当抽检半干化污泥含水率检测结果大于65%的，每发现一次甲方有权在乙方的污泥处理服务费中扣减</w:t>
      </w:r>
      <w:r>
        <w:rPr>
          <w:rFonts w:hint="eastAsia" w:ascii="宋体" w:hAnsi="宋体" w:eastAsia="宋体" w:cs="宋体"/>
          <w:sz w:val="21"/>
          <w:szCs w:val="21"/>
          <w:u w:val="none"/>
          <w:lang w:val="en-US" w:eastAsia="zh-CN" w:bidi="ar-SA"/>
        </w:rPr>
        <w:t>2万</w:t>
      </w:r>
      <w:r>
        <w:rPr>
          <w:rFonts w:hint="eastAsia" w:ascii="宋体" w:hAnsi="宋体" w:eastAsia="宋体" w:cs="宋体"/>
          <w:sz w:val="21"/>
          <w:szCs w:val="21"/>
          <w:u w:val="none"/>
          <w:lang w:eastAsia="zh-CN" w:bidi="ar-SA"/>
        </w:rPr>
        <w:t>元（</w:t>
      </w:r>
      <w:r>
        <w:rPr>
          <w:rFonts w:hint="eastAsia" w:ascii="宋体" w:hAnsi="宋体" w:eastAsia="宋体" w:cs="宋体"/>
          <w:sz w:val="21"/>
          <w:szCs w:val="21"/>
          <w:u w:val="none"/>
          <w:lang w:val="en-US" w:eastAsia="zh-CN" w:bidi="ar-SA"/>
        </w:rPr>
        <w:t>贰</w:t>
      </w:r>
      <w:r>
        <w:rPr>
          <w:rFonts w:hint="eastAsia" w:ascii="宋体" w:hAnsi="宋体" w:eastAsia="宋体" w:cs="宋体"/>
          <w:sz w:val="21"/>
          <w:szCs w:val="21"/>
          <w:u w:val="none"/>
          <w:lang w:eastAsia="zh-CN" w:bidi="ar-SA"/>
        </w:rPr>
        <w:t>万元整）作为违约金。</w:t>
      </w:r>
    </w:p>
    <w:p w14:paraId="40F218A7">
      <w:pPr>
        <w:pStyle w:val="65"/>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sz w:val="21"/>
          <w:szCs w:val="21"/>
          <w:u w:val="none"/>
          <w:lang w:eastAsia="zh-CN" w:bidi="ar-SA"/>
        </w:rPr>
      </w:pPr>
      <w:r>
        <w:rPr>
          <w:rFonts w:hint="eastAsia" w:ascii="宋体" w:hAnsi="宋体" w:eastAsia="宋体" w:cs="宋体"/>
          <w:sz w:val="21"/>
          <w:szCs w:val="21"/>
          <w:u w:val="none"/>
          <w:lang w:eastAsia="zh-CN" w:bidi="ar-SA"/>
        </w:rPr>
        <w:t>（3）同一月份抽检发现同一污泥产生单位的半干化污泥含水率检测结果存在三次及以上大于</w:t>
      </w:r>
      <w:r>
        <w:rPr>
          <w:rFonts w:hint="eastAsia" w:ascii="宋体" w:hAnsi="宋体" w:eastAsia="宋体" w:cs="宋体"/>
          <w:sz w:val="21"/>
          <w:szCs w:val="21"/>
          <w:u w:val="none"/>
          <w:lang w:val="en-US" w:eastAsia="zh-CN" w:bidi="ar-SA"/>
        </w:rPr>
        <w:t>60</w:t>
      </w:r>
      <w:r>
        <w:rPr>
          <w:rFonts w:hint="eastAsia" w:ascii="宋体" w:hAnsi="宋体" w:eastAsia="宋体" w:cs="宋体"/>
          <w:sz w:val="21"/>
          <w:szCs w:val="21"/>
          <w:u w:val="none"/>
          <w:lang w:eastAsia="zh-CN" w:bidi="ar-SA"/>
        </w:rPr>
        <w:t>%的，甲方有权不予支付乙方当月对该污泥产生单位的全部污泥处理服务费，并按上述情形扣减违约金。</w:t>
      </w:r>
    </w:p>
    <w:p w14:paraId="642E322B">
      <w:pPr>
        <w:pStyle w:val="65"/>
        <w:keepNext w:val="0"/>
        <w:keepLines w:val="0"/>
        <w:pageBreakBefore w:val="0"/>
        <w:kinsoku/>
        <w:wordWrap/>
        <w:overflowPunct/>
        <w:topLinePunct w:val="0"/>
        <w:bidi w:val="0"/>
        <w:spacing w:line="360" w:lineRule="auto"/>
        <w:ind w:firstLine="420"/>
        <w:jc w:val="both"/>
        <w:textAlignment w:val="auto"/>
        <w:rPr>
          <w:rFonts w:hint="eastAsia" w:ascii="宋体" w:hAnsi="宋体" w:eastAsia="宋体" w:cs="宋体"/>
          <w:sz w:val="21"/>
          <w:szCs w:val="21"/>
          <w:u w:val="none"/>
          <w:lang w:eastAsia="zh-CN" w:bidi="ar-SA"/>
        </w:rPr>
      </w:pPr>
      <w:r>
        <w:rPr>
          <w:rFonts w:hint="eastAsia" w:ascii="宋体" w:hAnsi="宋体" w:eastAsia="宋体" w:cs="宋体"/>
          <w:sz w:val="21"/>
          <w:szCs w:val="21"/>
          <w:u w:val="none"/>
          <w:lang w:eastAsia="zh-CN" w:bidi="ar-SA"/>
        </w:rPr>
        <w:t>（</w:t>
      </w:r>
      <w:r>
        <w:rPr>
          <w:rFonts w:hint="eastAsia" w:ascii="宋体" w:hAnsi="宋体" w:eastAsia="宋体" w:cs="宋体"/>
          <w:sz w:val="21"/>
          <w:szCs w:val="21"/>
          <w:u w:val="none"/>
          <w:lang w:val="en-US" w:eastAsia="zh-CN" w:bidi="ar-SA"/>
        </w:rPr>
        <w:t>4</w:t>
      </w:r>
      <w:r>
        <w:rPr>
          <w:rFonts w:hint="eastAsia" w:ascii="宋体" w:hAnsi="宋体" w:eastAsia="宋体" w:cs="宋体"/>
          <w:sz w:val="21"/>
          <w:szCs w:val="21"/>
          <w:u w:val="none"/>
          <w:lang w:eastAsia="zh-CN" w:bidi="ar-SA"/>
        </w:rPr>
        <w:t>）上述违约金总额最高不超【</w:t>
      </w:r>
      <w:r>
        <w:rPr>
          <w:rFonts w:hint="eastAsia" w:ascii="宋体" w:hAnsi="宋体" w:eastAsia="宋体" w:cs="宋体"/>
          <w:sz w:val="21"/>
          <w:szCs w:val="21"/>
          <w:u w:val="none"/>
          <w:lang w:val="en-US" w:eastAsia="zh-CN" w:bidi="ar-SA"/>
        </w:rPr>
        <w:t>25</w:t>
      </w:r>
      <w:r>
        <w:rPr>
          <w:rFonts w:hint="eastAsia" w:ascii="宋体" w:hAnsi="宋体" w:eastAsia="宋体" w:cs="宋体"/>
          <w:sz w:val="21"/>
          <w:szCs w:val="21"/>
          <w:u w:val="none"/>
          <w:lang w:eastAsia="zh-CN" w:bidi="ar-SA"/>
        </w:rPr>
        <w:t>】万元。</w:t>
      </w:r>
    </w:p>
    <w:p w14:paraId="7EED3881">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若乙方在污泥减量化处理过程中添加石灰以及含石灰的调理剂，甲方有权要求乙方立即更换符合本合同约定的调理剂，并有权在乙方当月应收取的服务费中扣减10%作为违约金。</w:t>
      </w:r>
    </w:p>
    <w:p w14:paraId="6976FAA1">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若乙方正式投产后无故停产或未达到本合同约定产能（除本条第2款约定的情形外）或未及时对本合同项下的污泥进行脱水减量化处理，甲方有权要求乙方限期整改，并扣减对应项目上月应收取服务费的5%作为违约金。若逾期未完成整改并达到甲方要求，或无故停工累计达5日，甲方有权单方解除合同，并要求乙方</w:t>
      </w:r>
      <w:r>
        <w:rPr>
          <w:rFonts w:hint="eastAsia" w:ascii="宋体" w:hAnsi="宋体" w:eastAsia="宋体" w:cs="宋体"/>
          <w:bCs/>
          <w:sz w:val="21"/>
          <w:szCs w:val="21"/>
          <w:lang w:val="en-US" w:eastAsia="zh-CN"/>
        </w:rPr>
        <w:t>一次性</w:t>
      </w:r>
      <w:r>
        <w:rPr>
          <w:rFonts w:hint="eastAsia" w:ascii="宋体" w:hAnsi="宋体" w:eastAsia="宋体" w:cs="宋体"/>
          <w:bCs/>
          <w:sz w:val="21"/>
          <w:szCs w:val="21"/>
        </w:rPr>
        <w:t>支付</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50</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万元</w:t>
      </w:r>
      <w:r>
        <w:rPr>
          <w:rFonts w:hint="eastAsia" w:ascii="宋体" w:hAnsi="宋体" w:eastAsia="宋体" w:cs="宋体"/>
          <w:bCs/>
          <w:sz w:val="21"/>
          <w:szCs w:val="21"/>
        </w:rPr>
        <w:t>违约金。给甲方造成损失的，乙方还应承担全部赔偿责任。</w:t>
      </w:r>
    </w:p>
    <w:p w14:paraId="5D5D6F7C">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sz w:val="21"/>
          <w:szCs w:val="21"/>
        </w:rPr>
        <w:t>若乙方在污泥脱水减量化处理过程中排放的</w:t>
      </w:r>
      <w:r>
        <w:rPr>
          <w:rFonts w:hint="eastAsia" w:ascii="宋体" w:hAnsi="宋体" w:eastAsia="宋体" w:cs="宋体"/>
          <w:bCs/>
          <w:sz w:val="21"/>
          <w:szCs w:val="21"/>
        </w:rPr>
        <w:t>污染物</w:t>
      </w:r>
      <w:r>
        <w:rPr>
          <w:rFonts w:hint="eastAsia" w:ascii="宋体" w:hAnsi="宋体" w:eastAsia="宋体" w:cs="宋体"/>
          <w:sz w:val="21"/>
          <w:szCs w:val="21"/>
        </w:rPr>
        <w:t>未达到本合同第五条第二款约定的相关标准，乙方应在3日内进行整改直至达标排放；因未达标排放造成环境污染的，乙方应妥善处理环境污染事故，承担相应法律责任，同时甲方有权扣除乙方对应项目</w:t>
      </w:r>
      <w:r>
        <w:rPr>
          <w:rFonts w:hint="eastAsia" w:ascii="宋体" w:hAnsi="宋体" w:eastAsia="宋体" w:cs="宋体"/>
          <w:bCs/>
          <w:sz w:val="21"/>
          <w:szCs w:val="21"/>
        </w:rPr>
        <w:t>上月应收取服务费的20%作为违约金</w:t>
      </w:r>
      <w:r>
        <w:rPr>
          <w:rFonts w:hint="eastAsia" w:ascii="宋体" w:hAnsi="宋体" w:eastAsia="宋体" w:cs="宋体"/>
          <w:sz w:val="21"/>
          <w:szCs w:val="21"/>
        </w:rPr>
        <w:t>，并有权单方解除合同。若给甲方造成损失的，乙方应承担全部赔偿责任。</w:t>
      </w:r>
    </w:p>
    <w:p w14:paraId="37ADC401">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sz w:val="21"/>
          <w:szCs w:val="21"/>
        </w:rPr>
        <w:t>当政府主管部门或其委托的有资质的第三方检测机构或甲方委托的第三方有资质的检测机构对本项目排放的污染物进行检测，检测/监测报告中任何一项不达标，则扣除</w:t>
      </w:r>
      <w:r>
        <w:rPr>
          <w:rFonts w:hint="eastAsia" w:ascii="宋体" w:hAnsi="宋体" w:eastAsia="宋体" w:cs="宋体"/>
          <w:bCs/>
          <w:sz w:val="21"/>
          <w:szCs w:val="21"/>
        </w:rPr>
        <w:t>对应项目</w:t>
      </w:r>
      <w:r>
        <w:rPr>
          <w:rFonts w:hint="eastAsia" w:ascii="宋体" w:hAnsi="宋体" w:eastAsia="宋体" w:cs="宋体"/>
          <w:sz w:val="21"/>
          <w:szCs w:val="21"/>
        </w:rPr>
        <w:t>当天的服务费，且乙方需按相关部门要求限期整改。服务期内相关检测/监测不合格次数达到三次以上（含三次），甲方有权单方解除</w:t>
      </w:r>
      <w:r>
        <w:rPr>
          <w:rFonts w:hint="eastAsia" w:ascii="宋体" w:hAnsi="宋体" w:eastAsia="宋体" w:cs="宋体"/>
          <w:bCs/>
          <w:sz w:val="21"/>
          <w:szCs w:val="21"/>
        </w:rPr>
        <w:t>本</w:t>
      </w:r>
      <w:r>
        <w:rPr>
          <w:rFonts w:hint="eastAsia" w:ascii="宋体" w:hAnsi="宋体" w:eastAsia="宋体" w:cs="宋体"/>
          <w:sz w:val="21"/>
          <w:szCs w:val="21"/>
        </w:rPr>
        <w:t>合同，并要求乙方承担5万元违约金。若甲方未单方解除合同，在乙方整改期，甲方有权临时采用其他方式处理（如委托第三方处理），由此产生的一切费用及损失由乙方承担。</w:t>
      </w:r>
    </w:p>
    <w:p w14:paraId="2B469BE5">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乙方在本合同项目施工、运营期间应严格按照本合同附件</w:t>
      </w:r>
      <w:r>
        <w:rPr>
          <w:rFonts w:hint="eastAsia" w:ascii="宋体" w:hAnsi="宋体" w:eastAsia="宋体" w:cs="宋体"/>
          <w:bCs/>
          <w:sz w:val="21"/>
          <w:szCs w:val="21"/>
          <w:lang w:val="en-US"/>
        </w:rPr>
        <w:t>2</w:t>
      </w:r>
      <w:r>
        <w:rPr>
          <w:rFonts w:hint="eastAsia" w:ascii="宋体" w:hAnsi="宋体" w:eastAsia="宋体" w:cs="宋体"/>
          <w:bCs/>
          <w:sz w:val="21"/>
          <w:szCs w:val="21"/>
        </w:rPr>
        <w:t>《安全生产管理协议》执行。甲方有权监督该项目的建设、运营行为，因乙方原因致使该项目造成甲方损失或乙方有违反《安全生产管理协议》安全管理规定、限期内未对隐患进行整改等行为，甲方有权从未付款项或履约担保中直接扣除甲方的损失，具体扣除事由及标准以《安全生产管理协议》约定为准。</w:t>
      </w:r>
      <w:r>
        <w:rPr>
          <w:rFonts w:hint="eastAsia" w:ascii="宋体" w:hAnsi="宋体" w:eastAsia="宋体" w:cs="宋体"/>
          <w:bCs/>
          <w:sz w:val="21"/>
          <w:szCs w:val="21"/>
          <w:lang w:val="en-US"/>
        </w:rPr>
        <w:t>未付款项或履约担保</w:t>
      </w:r>
      <w:r>
        <w:rPr>
          <w:rFonts w:hint="eastAsia" w:ascii="宋体" w:hAnsi="宋体" w:eastAsia="宋体" w:cs="宋体"/>
          <w:bCs/>
          <w:sz w:val="21"/>
          <w:szCs w:val="21"/>
        </w:rPr>
        <w:t>不足以抵扣甲方损失</w:t>
      </w:r>
      <w:r>
        <w:rPr>
          <w:rFonts w:hint="eastAsia" w:ascii="宋体" w:hAnsi="宋体" w:eastAsia="宋体" w:cs="宋体"/>
          <w:bCs/>
          <w:sz w:val="21"/>
          <w:szCs w:val="21"/>
          <w:lang w:val="en-US" w:eastAsia="zh-CN"/>
        </w:rPr>
        <w:t>的</w:t>
      </w:r>
      <w:r>
        <w:rPr>
          <w:rFonts w:hint="eastAsia" w:ascii="宋体" w:hAnsi="宋体" w:eastAsia="宋体" w:cs="宋体"/>
          <w:bCs/>
          <w:sz w:val="21"/>
          <w:szCs w:val="21"/>
        </w:rPr>
        <w:t>，乙方还应另行支付。</w:t>
      </w:r>
    </w:p>
    <w:p w14:paraId="3936ECB2">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若乙方未按合同约定制定相关应急预案并向甲方备案的，构成违约，甲方有权要求乙方支付1万元违约金。</w:t>
      </w:r>
    </w:p>
    <w:p w14:paraId="2C850836">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乙方必须积极响应并接受相关部门的监督检查，若受到相关部门的批评，经调查认定情况属实的，承担相应违约金</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5000</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元</w:t>
      </w:r>
      <w:r>
        <w:rPr>
          <w:rFonts w:hint="eastAsia" w:ascii="宋体" w:hAnsi="宋体" w:eastAsia="宋体" w:cs="宋体"/>
          <w:bCs/>
          <w:sz w:val="21"/>
          <w:szCs w:val="21"/>
        </w:rPr>
        <w:t>；若</w:t>
      </w:r>
      <w:r>
        <w:rPr>
          <w:rFonts w:hint="eastAsia" w:ascii="宋体" w:hAnsi="宋体" w:eastAsia="宋体" w:cs="宋体"/>
          <w:bCs/>
          <w:sz w:val="21"/>
          <w:szCs w:val="21"/>
          <w:lang w:val="en-US" w:eastAsia="zh-CN"/>
        </w:rPr>
        <w:t>收</w:t>
      </w:r>
      <w:r>
        <w:rPr>
          <w:rFonts w:hint="eastAsia" w:ascii="宋体" w:hAnsi="宋体" w:eastAsia="宋体" w:cs="宋体"/>
          <w:bCs/>
          <w:sz w:val="21"/>
          <w:szCs w:val="21"/>
        </w:rPr>
        <w:t>到相关部门行政处罚或违法处罚的，甲方扣减乙方本月应收服务费的10%作为违约金，并有权单方解除合同，若由此给甲方造成损失的，乙方还应当承担全部赔偿责任。</w:t>
      </w:r>
    </w:p>
    <w:p w14:paraId="6884FAC0">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本合同服务期满或提前解除后，</w:t>
      </w:r>
      <w:r>
        <w:rPr>
          <w:rFonts w:hint="eastAsia" w:ascii="宋体" w:hAnsi="宋体" w:eastAsia="宋体" w:cs="宋体"/>
          <w:bCs/>
          <w:sz w:val="21"/>
          <w:szCs w:val="21"/>
          <w:lang w:val="en-US" w:eastAsia="zh-CN"/>
        </w:rPr>
        <w:t>乙方必须在合同服务期届满或甲方解除合同之日起30日内自</w:t>
      </w:r>
      <w:r>
        <w:rPr>
          <w:rFonts w:hint="eastAsia" w:ascii="宋体" w:hAnsi="宋体" w:eastAsia="宋体" w:cs="宋体"/>
          <w:sz w:val="21"/>
          <w:szCs w:val="21"/>
          <w:lang w:eastAsia="zh-CN"/>
        </w:rPr>
        <w:t>行</w:t>
      </w:r>
      <w:r>
        <w:rPr>
          <w:rFonts w:hint="eastAsia" w:ascii="宋体" w:hAnsi="宋体" w:eastAsia="宋体" w:cs="宋体"/>
          <w:sz w:val="21"/>
          <w:szCs w:val="21"/>
        </w:rPr>
        <w:t>拆除</w:t>
      </w:r>
      <w:r>
        <w:rPr>
          <w:rFonts w:hint="eastAsia" w:ascii="宋体" w:hAnsi="宋体" w:eastAsia="宋体" w:cs="宋体"/>
          <w:sz w:val="21"/>
          <w:szCs w:val="21"/>
          <w:lang w:eastAsia="zh-CN"/>
        </w:rPr>
        <w:t>甲方指定部分</w:t>
      </w:r>
      <w:r>
        <w:rPr>
          <w:rFonts w:hint="eastAsia" w:ascii="宋体" w:hAnsi="宋体" w:eastAsia="宋体" w:cs="宋体"/>
          <w:sz w:val="21"/>
          <w:szCs w:val="21"/>
        </w:rPr>
        <w:t>设备设施</w:t>
      </w:r>
      <w:r>
        <w:rPr>
          <w:rFonts w:hint="eastAsia" w:ascii="宋体" w:hAnsi="宋体" w:eastAsia="宋体" w:cs="宋体"/>
          <w:sz w:val="21"/>
          <w:szCs w:val="21"/>
          <w:lang w:eastAsia="zh-CN"/>
        </w:rPr>
        <w:t>、完成甲方指定</w:t>
      </w:r>
      <w:r>
        <w:rPr>
          <w:rFonts w:hint="eastAsia" w:ascii="宋体" w:hAnsi="宋体" w:eastAsia="宋体" w:cs="宋体"/>
          <w:sz w:val="21"/>
          <w:szCs w:val="21"/>
          <w:highlight w:val="none"/>
        </w:rPr>
        <w:t>场地原状</w:t>
      </w:r>
      <w:r>
        <w:rPr>
          <w:rFonts w:hint="eastAsia" w:ascii="宋体" w:hAnsi="宋体" w:eastAsia="宋体" w:cs="宋体"/>
          <w:sz w:val="21"/>
          <w:szCs w:val="21"/>
          <w:highlight w:val="none"/>
          <w:lang w:eastAsia="zh-CN"/>
        </w:rPr>
        <w:t>恢复</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乙方未能在前述期限内退场、恢复原状的，</w:t>
      </w:r>
      <w:r>
        <w:rPr>
          <w:rFonts w:hint="eastAsia" w:ascii="宋体" w:hAnsi="宋体" w:eastAsia="宋体" w:cs="宋体"/>
          <w:sz w:val="21"/>
          <w:szCs w:val="21"/>
        </w:rPr>
        <w:t>甲方有权要求乙方支付10万元违约金。乙方逾期10日未完成前述工作的，甲方有权委托第三方进行设备设施拆除和地貌恢复，相关费用由乙方承担，因此造成乙方设备、设施损坏或遗失等后果由乙方自行承担，甲方（含污泥产生单位、污水处理厂）无需承担任何责任，也无需承担任何补偿或赔偿。因乙方未及时拆除设备设施造成甲方损失的，乙方应承担全部赔偿责任。。</w:t>
      </w:r>
    </w:p>
    <w:p w14:paraId="2E6FCA08">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乙方违反本合同约定将合同项下乙方的权利义务全部转让给第三方，或未经甲方书面同意将部分权利义务分包给第三方的，甲方有权单方解除合同，若由此给甲方造成损失的，乙方还应当承担全部赔偿责任。如因乙方将乙方本合同项下全部/部分权利义务分别给第三方导致安全事故或人身损害事故的，造成甲方其他损失或甲方被认定承担赔偿责任，</w:t>
      </w:r>
      <w:r>
        <w:rPr>
          <w:rFonts w:hint="eastAsia" w:ascii="宋体" w:hAnsi="宋体" w:eastAsia="宋体" w:cs="宋体"/>
          <w:bCs/>
          <w:sz w:val="21"/>
          <w:szCs w:val="21"/>
          <w:lang w:val="en-US" w:eastAsia="zh-CN"/>
        </w:rPr>
        <w:t>乙方应全额向甲方进行赔偿，且</w:t>
      </w:r>
      <w:r>
        <w:rPr>
          <w:rFonts w:hint="eastAsia" w:ascii="宋体" w:hAnsi="宋体" w:eastAsia="宋体" w:cs="宋体"/>
          <w:bCs/>
          <w:sz w:val="21"/>
          <w:szCs w:val="21"/>
        </w:rPr>
        <w:t>甲方有权扣减乙方本月应收服务费的20%作为违约金。</w:t>
      </w:r>
    </w:p>
    <w:p w14:paraId="45E9775B">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若乙方发生本合同规定之外的任何违法行为，不得解除其在本合同下的任何责任或义务</w:t>
      </w:r>
      <w:r>
        <w:rPr>
          <w:rFonts w:hint="eastAsia" w:ascii="宋体" w:hAnsi="宋体" w:eastAsia="宋体" w:cs="宋体"/>
          <w:bCs/>
          <w:sz w:val="21"/>
          <w:szCs w:val="21"/>
          <w:lang w:eastAsia="zh-CN"/>
        </w:rPr>
        <w:t>。</w:t>
      </w:r>
    </w:p>
    <w:p w14:paraId="6F2CE879">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t>在合同履行期间，乙方违约产生的违约金、赔偿或其他应付费用等款项，</w:t>
      </w:r>
      <w:r>
        <w:rPr>
          <w:rFonts w:hint="eastAsia" w:ascii="宋体" w:hAnsi="宋体" w:eastAsia="宋体" w:cs="宋体"/>
          <w:bCs/>
          <w:sz w:val="21"/>
          <w:szCs w:val="21"/>
          <w:lang w:val="en-US" w:eastAsia="zh-CN"/>
        </w:rPr>
        <w:t>若乙方未按甲方要求支付违约金，</w:t>
      </w:r>
      <w:r>
        <w:rPr>
          <w:rFonts w:hint="eastAsia" w:ascii="宋体" w:hAnsi="宋体" w:eastAsia="宋体" w:cs="宋体"/>
          <w:bCs/>
          <w:sz w:val="21"/>
          <w:szCs w:val="21"/>
        </w:rPr>
        <w:t>甲方有权直接从未付款项中直接扣除。若乙方违反《生产安全管理协议》相关约定的，甲方有权从履约担保中扣除甲方的损失及违约金。</w:t>
      </w:r>
    </w:p>
    <w:p w14:paraId="5C180EC9">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如乙方违反本合同第十条约定，甲方有权要求乙方支付5万元违约金。</w:t>
      </w:r>
    </w:p>
    <w:p w14:paraId="7A724135">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乙方保证本合同第二条</w:t>
      </w:r>
      <w:r>
        <w:rPr>
          <w:rFonts w:hint="eastAsia" w:ascii="宋体" w:hAnsi="宋体" w:eastAsia="宋体" w:cs="宋体"/>
          <w:sz w:val="21"/>
          <w:szCs w:val="21"/>
          <w:lang w:val="en-US" w:eastAsia="zh-CN"/>
        </w:rPr>
        <w:t>第4条</w:t>
      </w:r>
      <w:r>
        <w:rPr>
          <w:rFonts w:hint="eastAsia" w:ascii="宋体" w:hAnsi="宋体" w:eastAsia="宋体" w:cs="宋体"/>
          <w:bCs/>
          <w:sz w:val="21"/>
          <w:szCs w:val="21"/>
          <w:lang w:val="en-US" w:eastAsia="zh-CN"/>
        </w:rPr>
        <w:t>约定的合同价款已包含污泥减量化处理相关知识产权版税等使用费，如乙方未依法向第三方支付应缴版税的，造成甲方任何经济损失的，由乙方承担全部赔偿责任。</w:t>
      </w:r>
    </w:p>
    <w:p w14:paraId="7CD08EB1">
      <w:pPr>
        <w:pStyle w:val="8"/>
        <w:keepNext w:val="0"/>
        <w:keepLines w:val="0"/>
        <w:pageBreakBefore w:val="0"/>
        <w:widowControl w:val="0"/>
        <w:numPr>
          <w:ilvl w:val="0"/>
          <w:numId w:val="33"/>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若</w:t>
      </w:r>
      <w:r>
        <w:rPr>
          <w:rFonts w:hint="eastAsia" w:ascii="宋体" w:hAnsi="宋体" w:eastAsia="宋体" w:cs="宋体"/>
          <w:sz w:val="21"/>
          <w:szCs w:val="21"/>
        </w:rPr>
        <w:t>乙方提供伪造或变造的票据向银行提示付款除需依法承担相应的法律责任外，甲方有权追究乙方违约责任，并要求乙方支付1万元违约金，如甲方因此遭受损失的，乙方还应予全额赔偿。</w:t>
      </w:r>
    </w:p>
    <w:p w14:paraId="78DE803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当月应收取污泥处理服务费【10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1A2FC985">
      <w:pPr>
        <w:keepNext w:val="0"/>
        <w:keepLines w:val="0"/>
        <w:pageBreakBefore w:val="0"/>
        <w:kinsoku/>
        <w:wordWrap/>
        <w:overflowPunct/>
        <w:topLinePunct w:val="0"/>
        <w:bidi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u w:val="none"/>
          <w:lang w:val="en-US" w:eastAsia="zh-CN"/>
        </w:rPr>
        <w:t>23、乙方违反本合同约定，合同对违约责任有特别约定的，适用该特别约定；无特别约定的，甲方有权要求乙方支付当月应收取污泥处理服务费的【10】%作为违约金。违约金不足以弥补甲方因此所受损失的，乙方应予以补足。</w:t>
      </w:r>
    </w:p>
    <w:p w14:paraId="0797AEE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lang w:val="en-US" w:eastAsia="zh-CN" w:bidi="ar-SA"/>
        </w:rPr>
      </w:pPr>
    </w:p>
    <w:p w14:paraId="10CBDD57">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第九条 </w:t>
      </w:r>
      <w:r>
        <w:rPr>
          <w:rFonts w:hint="eastAsia" w:ascii="宋体" w:hAnsi="宋体" w:eastAsia="宋体" w:cs="宋体"/>
          <w:b/>
          <w:bCs/>
          <w:kern w:val="0"/>
          <w:sz w:val="21"/>
          <w:szCs w:val="21"/>
          <w:u w:val="none"/>
          <w:lang w:val="en-US" w:eastAsia="zh-CN"/>
        </w:rPr>
        <w:t>廉政保证</w:t>
      </w:r>
    </w:p>
    <w:p w14:paraId="2E86C20C">
      <w:pPr>
        <w:pStyle w:val="8"/>
        <w:keepNext w:val="0"/>
        <w:keepLines w:val="0"/>
        <w:pageBreakBefore w:val="0"/>
        <w:widowControl w:val="0"/>
        <w:numPr>
          <w:ilvl w:val="0"/>
          <w:numId w:val="3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乙方以及其指定的第三方及其所有雇员在本合同履行期间，应遵守甲方的各项政策和制度。甲方应当控制乙方代表和雇员在甲方办公区域进出，甲方对于现场的人员进出及员工管理方面的要求也应始终被遵守。</w:t>
      </w:r>
    </w:p>
    <w:p w14:paraId="70A39D75">
      <w:pPr>
        <w:pStyle w:val="8"/>
        <w:keepNext w:val="0"/>
        <w:keepLines w:val="0"/>
        <w:pageBreakBefore w:val="0"/>
        <w:widowControl w:val="0"/>
        <w:numPr>
          <w:ilvl w:val="0"/>
          <w:numId w:val="3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乙方同意在本协议履行期间，遵守各项法律，特别是任何及所有反贿赂反腐败方面的法律。未经甲方事先授权，乙方以及其指定的第三方及其所有雇员均不得向与本项目相关的任何个人、政府或单位支付任何款项，也不得提供任何形式的便利、利益。</w:t>
      </w:r>
    </w:p>
    <w:p w14:paraId="5478EC87">
      <w:pPr>
        <w:pStyle w:val="8"/>
        <w:keepNext w:val="0"/>
        <w:keepLines w:val="0"/>
        <w:pageBreakBefore w:val="0"/>
        <w:widowControl w:val="0"/>
        <w:numPr>
          <w:ilvl w:val="0"/>
          <w:numId w:val="34"/>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为规范甲乙双方在订立、履行合同及经济业务往来过程中的行为，保持廉洁自律的工作作风,防止各种违法及不正当行为的发生,确保甲乙双方及其工作人员自觉遵守国家法律、法规及廉洁从业各项规定，甲乙双方自愿按附件3格式签订</w:t>
      </w:r>
      <w:r>
        <w:rPr>
          <w:rFonts w:hint="eastAsia" w:ascii="宋体" w:hAnsi="宋体" w:eastAsia="宋体" w:cs="宋体"/>
          <w:b w:val="0"/>
          <w:bCs w:val="0"/>
          <w:kern w:val="0"/>
          <w:sz w:val="21"/>
          <w:szCs w:val="21"/>
          <w:u w:val="none"/>
          <w:lang w:val="en-US" w:eastAsia="zh-CN"/>
        </w:rPr>
        <w:t>《阳光合作告知函》</w:t>
      </w:r>
      <w:r>
        <w:rPr>
          <w:rFonts w:hint="eastAsia" w:ascii="宋体" w:hAnsi="宋体" w:eastAsia="宋体" w:cs="宋体"/>
          <w:sz w:val="21"/>
          <w:szCs w:val="21"/>
          <w:lang w:val="en-US" w:eastAsia="zh-CN"/>
        </w:rPr>
        <w:t>。</w:t>
      </w:r>
    </w:p>
    <w:p w14:paraId="0D05B972">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lang w:val="en-US" w:eastAsia="zh-CN" w:bidi="ar-SA"/>
        </w:rPr>
      </w:pPr>
    </w:p>
    <w:p w14:paraId="439EEA18">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b/>
          <w:bCs/>
          <w:kern w:val="0"/>
          <w:sz w:val="21"/>
          <w:szCs w:val="21"/>
          <w:lang w:val="en-US" w:eastAsia="zh-CN" w:bidi="ar-SA"/>
        </w:rPr>
        <w:t>第十条 权利保证</w:t>
      </w:r>
    </w:p>
    <w:p w14:paraId="090ED88C">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乙方应保证提供服务不侵犯第三方的合法权益，如第三方以本合同服务所涉的任何事宜为由提起侵权主张，乙方须与第三方交涉并承担由此发生的一切责任、费用和经济赔偿。由于乙方提供的服务的任何一部分不符合知识产权规定，由乙方承担因此给甲方造成的全部损失（包括但不限于甲方为维护自身权益所支付的律师费、诉讼费、鉴定费、差旅费以及甲方依法向第三方支付的赔偿款等全部费用）。</w:t>
      </w:r>
    </w:p>
    <w:p w14:paraId="27AA6296">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0"/>
        <w:jc w:val="both"/>
        <w:textAlignment w:val="auto"/>
        <w:rPr>
          <w:rFonts w:hint="eastAsia" w:ascii="宋体" w:hAnsi="宋体" w:eastAsia="宋体" w:cs="宋体"/>
          <w:b/>
          <w:bCs/>
          <w:kern w:val="2"/>
          <w:sz w:val="21"/>
          <w:szCs w:val="21"/>
          <w:lang w:val="en-US" w:eastAsia="zh-CN" w:bidi="ar-SA"/>
        </w:rPr>
      </w:pPr>
    </w:p>
    <w:p w14:paraId="1108EDD3">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0"/>
        <w:jc w:val="both"/>
        <w:textAlignment w:val="auto"/>
        <w:rPr>
          <w:rFonts w:hint="eastAsia" w:ascii="宋体" w:hAnsi="宋体" w:eastAsia="宋体" w:cs="宋体"/>
          <w:b/>
          <w:bCs/>
          <w:sz w:val="21"/>
          <w:szCs w:val="21"/>
          <w:lang w:val="en-US" w:eastAsia="zh-CN"/>
        </w:rPr>
      </w:pPr>
      <w:r>
        <w:rPr>
          <w:rFonts w:hint="eastAsia" w:ascii="宋体" w:hAnsi="宋体" w:eastAsia="宋体" w:cs="宋体"/>
          <w:b/>
          <w:bCs/>
          <w:kern w:val="2"/>
          <w:sz w:val="21"/>
          <w:szCs w:val="21"/>
          <w:lang w:val="en-US" w:eastAsia="zh-CN" w:bidi="ar-SA"/>
        </w:rPr>
        <w:t xml:space="preserve">第十一条 </w:t>
      </w:r>
      <w:r>
        <w:rPr>
          <w:rFonts w:hint="eastAsia" w:ascii="宋体" w:hAnsi="宋体" w:eastAsia="宋体" w:cs="宋体"/>
          <w:b/>
          <w:bCs/>
          <w:sz w:val="21"/>
          <w:szCs w:val="21"/>
          <w:lang w:val="en-US" w:eastAsia="zh-CN"/>
        </w:rPr>
        <w:t>不可抗力</w:t>
      </w:r>
    </w:p>
    <w:p w14:paraId="618D71EB">
      <w:pPr>
        <w:pStyle w:val="8"/>
        <w:keepNext w:val="0"/>
        <w:keepLines w:val="0"/>
        <w:pageBreakBefore w:val="0"/>
        <w:numPr>
          <w:ilvl w:val="0"/>
          <w:numId w:val="0"/>
        </w:numPr>
        <w:kinsoku/>
        <w:wordWrap/>
        <w:overflowPunct/>
        <w:topLinePunct w:val="0"/>
        <w:bidi w:val="0"/>
        <w:spacing w:line="360" w:lineRule="auto"/>
        <w:ind w:firstLine="420" w:firstLineChars="0"/>
        <w:textAlignment w:val="auto"/>
        <w:rPr>
          <w:rFonts w:hint="eastAsia" w:ascii="宋体" w:hAnsi="宋体" w:eastAsia="宋体" w:cs="宋体"/>
          <w:kern w:val="0"/>
          <w:sz w:val="21"/>
          <w:szCs w:val="21"/>
          <w:lang w:val="en-US" w:eastAsia="zh-CN"/>
        </w:rPr>
      </w:pPr>
      <w:r>
        <w:rPr>
          <w:rFonts w:hint="eastAsia" w:ascii="宋体" w:hAnsi="宋体" w:eastAsia="宋体" w:cs="宋体"/>
          <w:b w:val="0"/>
          <w:bCs w:val="0"/>
          <w:kern w:val="0"/>
          <w:sz w:val="21"/>
          <w:szCs w:val="21"/>
          <w:lang w:val="en-US" w:eastAsia="zh-CN"/>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15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14F211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lang w:val="en-US" w:eastAsia="zh-CN" w:bidi="ar-SA"/>
        </w:rPr>
      </w:pPr>
    </w:p>
    <w:p w14:paraId="18D7050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第十二条 </w:t>
      </w:r>
      <w:r>
        <w:rPr>
          <w:rFonts w:hint="eastAsia" w:ascii="宋体" w:hAnsi="宋体" w:eastAsia="宋体" w:cs="宋体"/>
          <w:b/>
          <w:bCs/>
          <w:kern w:val="0"/>
          <w:sz w:val="21"/>
          <w:szCs w:val="21"/>
          <w:u w:val="none"/>
          <w:lang w:val="en-US" w:eastAsia="zh-CN"/>
        </w:rPr>
        <w:t>争议解决</w:t>
      </w:r>
    </w:p>
    <w:p w14:paraId="2F6C5AE1">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ascii="宋体" w:hAnsi="宋体" w:eastAsia="宋体" w:cs="宋体"/>
          <w:b/>
          <w:bCs/>
          <w:kern w:val="0"/>
          <w:sz w:val="21"/>
          <w:szCs w:val="21"/>
          <w:lang w:val="en-US" w:eastAsia="zh-CN" w:bidi="ar-SA"/>
        </w:rPr>
      </w:pPr>
      <w:r>
        <w:rPr>
          <w:rFonts w:hint="eastAsia" w:ascii="宋体" w:hAnsi="宋体" w:eastAsia="宋体" w:cs="宋体"/>
          <w:sz w:val="21"/>
          <w:szCs w:val="21"/>
        </w:rPr>
        <w:t>本合同在履行过程中若发生争议，甲、乙双方应首先通过友好协商的方式解决，协商不成的，双方同意将争议提交到甲方所在地有管辖权的人民法院通过诉讼的方式解决。</w:t>
      </w:r>
    </w:p>
    <w:p w14:paraId="3137D93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2" w:firstLineChars="200"/>
        <w:jc w:val="both"/>
        <w:textAlignment w:val="auto"/>
        <w:rPr>
          <w:rFonts w:hint="eastAsia" w:ascii="宋体" w:hAnsi="宋体" w:eastAsia="宋体" w:cs="宋体"/>
          <w:b/>
          <w:bCs/>
          <w:kern w:val="0"/>
          <w:sz w:val="21"/>
          <w:szCs w:val="21"/>
          <w:lang w:val="en-US" w:eastAsia="zh-CN" w:bidi="ar-SA"/>
        </w:rPr>
      </w:pPr>
    </w:p>
    <w:p w14:paraId="661B3E0B">
      <w:pPr>
        <w:pStyle w:val="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22" w:firstLineChars="200"/>
        <w:jc w:val="both"/>
        <w:textAlignment w:val="auto"/>
        <w:rPr>
          <w:rFonts w:hint="eastAsia" w:ascii="宋体" w:hAnsi="宋体" w:eastAsia="宋体" w:cs="宋体"/>
          <w:b/>
          <w:bCs/>
          <w:kern w:val="0"/>
          <w:sz w:val="21"/>
          <w:szCs w:val="21"/>
          <w:u w:val="none"/>
          <w:lang w:val="en-US" w:eastAsia="zh-CN"/>
        </w:rPr>
      </w:pPr>
      <w:r>
        <w:rPr>
          <w:rFonts w:hint="eastAsia" w:ascii="宋体" w:hAnsi="宋体" w:eastAsia="宋体" w:cs="宋体"/>
          <w:b/>
          <w:bCs/>
          <w:kern w:val="0"/>
          <w:sz w:val="21"/>
          <w:szCs w:val="21"/>
          <w:lang w:val="en-US" w:eastAsia="zh-CN" w:bidi="ar-SA"/>
        </w:rPr>
        <w:t xml:space="preserve">第十三条 </w:t>
      </w:r>
      <w:r>
        <w:rPr>
          <w:rFonts w:hint="eastAsia" w:ascii="宋体" w:hAnsi="宋体" w:eastAsia="宋体" w:cs="宋体"/>
          <w:b/>
          <w:bCs/>
          <w:kern w:val="0"/>
          <w:sz w:val="21"/>
          <w:szCs w:val="21"/>
          <w:u w:val="none"/>
          <w:lang w:val="en-US" w:eastAsia="zh-CN"/>
        </w:rPr>
        <w:t>其他</w:t>
      </w:r>
    </w:p>
    <w:p w14:paraId="3593BBE1">
      <w:pPr>
        <w:pStyle w:val="8"/>
        <w:keepNext w:val="0"/>
        <w:keepLines w:val="0"/>
        <w:pageBreakBefore w:val="0"/>
        <w:widowControl w:val="0"/>
        <w:numPr>
          <w:ilvl w:val="0"/>
          <w:numId w:val="3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本合同未尽事宜，由甲、乙双方协商解决并签订书面补充协议，补充协议与本合同同具法律效力，补充协议与本合同内容不一致时，以补充协议为准。</w:t>
      </w:r>
    </w:p>
    <w:p w14:paraId="14C7F7D9">
      <w:pPr>
        <w:pStyle w:val="8"/>
        <w:keepNext w:val="0"/>
        <w:keepLines w:val="0"/>
        <w:pageBreakBefore w:val="0"/>
        <w:widowControl w:val="0"/>
        <w:numPr>
          <w:ilvl w:val="0"/>
          <w:numId w:val="35"/>
        </w:numPr>
        <w:kinsoku/>
        <w:wordWrap/>
        <w:overflowPunct/>
        <w:topLinePunct w:val="0"/>
        <w:autoSpaceDE/>
        <w:autoSpaceDN/>
        <w:bidi w:val="0"/>
        <w:adjustRightInd/>
        <w:snapToGrid/>
        <w:spacing w:after="0" w:line="360" w:lineRule="auto"/>
        <w:ind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本合同原件一式【    】份，甲方执【 伍 】份、乙方执【    】份，各份具有同等的法律效力。合同自甲乙双方盖章、法定代表人签字之日起生效。</w:t>
      </w:r>
    </w:p>
    <w:p w14:paraId="1A09DF47">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p>
    <w:p w14:paraId="1A4F8057">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附件1</w:t>
      </w:r>
      <w:r>
        <w:rPr>
          <w:rFonts w:hint="eastAsia" w:ascii="宋体" w:hAnsi="宋体" w:eastAsia="宋体" w:cs="宋体"/>
          <w:sz w:val="21"/>
          <w:szCs w:val="21"/>
          <w:lang w:val="en-US" w:eastAsia="zh-CN"/>
        </w:rPr>
        <w:t>.用户需求书</w:t>
      </w:r>
    </w:p>
    <w:p w14:paraId="7577099F">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附件2.</w:t>
      </w:r>
      <w:r>
        <w:rPr>
          <w:rFonts w:hint="eastAsia" w:ascii="宋体" w:hAnsi="宋体" w:eastAsia="宋体" w:cs="宋体"/>
          <w:sz w:val="21"/>
          <w:szCs w:val="21"/>
        </w:rPr>
        <w:t>安全生产管理协议</w:t>
      </w:r>
    </w:p>
    <w:p w14:paraId="7753ACFF">
      <w:pPr>
        <w:keepNext w:val="0"/>
        <w:keepLines w:val="0"/>
        <w:pageBreakBefore w:val="0"/>
        <w:widowControl/>
        <w:kinsoku/>
        <w:wordWrap/>
        <w:overflowPunct/>
        <w:topLinePunct w:val="0"/>
        <w:bidi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eastAsia="宋体" w:cs="宋体"/>
          <w:sz w:val="21"/>
          <w:szCs w:val="21"/>
          <w:lang w:val="en-US" w:eastAsia="zh-CN"/>
        </w:rPr>
        <w:t>3.阳光合作告知函</w:t>
      </w:r>
    </w:p>
    <w:p w14:paraId="7B688751">
      <w:pPr>
        <w:pStyle w:val="8"/>
        <w:widowControl w:val="0"/>
        <w:numPr>
          <w:ilvl w:val="0"/>
          <w:numId w:val="0"/>
        </w:numPr>
        <w:snapToGrid/>
        <w:ind w:firstLine="420" w:firstLineChars="200"/>
        <w:rPr>
          <w:rFonts w:hint="eastAsia" w:ascii="宋体" w:hAnsi="宋体" w:eastAsia="宋体" w:cs="宋体"/>
          <w:szCs w:val="21"/>
        </w:rPr>
      </w:pPr>
      <w:r>
        <w:rPr>
          <w:rFonts w:hint="eastAsia" w:ascii="宋体" w:hAnsi="宋体" w:eastAsia="宋体" w:cs="宋体"/>
          <w:szCs w:val="21"/>
        </w:rPr>
        <w:t>（以下无正文，转合同签署页）</w:t>
      </w:r>
    </w:p>
    <w:p w14:paraId="6826545D">
      <w:pPr>
        <w:pStyle w:val="8"/>
        <w:widowControl w:val="0"/>
        <w:numPr>
          <w:ilvl w:val="0"/>
          <w:numId w:val="0"/>
        </w:numPr>
        <w:snapToGrid/>
        <w:ind w:firstLine="420" w:firstLineChars="200"/>
        <w:rPr>
          <w:rFonts w:hint="eastAsia" w:ascii="宋体" w:hAnsi="宋体" w:eastAsia="宋体" w:cs="宋体"/>
          <w:szCs w:val="21"/>
        </w:rPr>
      </w:pPr>
    </w:p>
    <w:tbl>
      <w:tblPr>
        <w:tblStyle w:val="21"/>
        <w:tblW w:w="8960" w:type="dxa"/>
        <w:jc w:val="center"/>
        <w:tblLayout w:type="fixed"/>
        <w:tblCellMar>
          <w:top w:w="0" w:type="dxa"/>
          <w:left w:w="108" w:type="dxa"/>
          <w:bottom w:w="0" w:type="dxa"/>
          <w:right w:w="108" w:type="dxa"/>
        </w:tblCellMar>
      </w:tblPr>
      <w:tblGrid>
        <w:gridCol w:w="4346"/>
        <w:gridCol w:w="361"/>
        <w:gridCol w:w="4253"/>
      </w:tblGrid>
      <w:tr w14:paraId="72DFFA35">
        <w:tblPrEx>
          <w:tblCellMar>
            <w:top w:w="0" w:type="dxa"/>
            <w:left w:w="108" w:type="dxa"/>
            <w:bottom w:w="0" w:type="dxa"/>
            <w:right w:w="108" w:type="dxa"/>
          </w:tblCellMar>
        </w:tblPrEx>
        <w:trPr>
          <w:trHeight w:val="1727" w:hRule="atLeast"/>
          <w:jc w:val="center"/>
        </w:trPr>
        <w:tc>
          <w:tcPr>
            <w:tcW w:w="4346" w:type="dxa"/>
            <w:noWrap w:val="0"/>
            <w:vAlign w:val="top"/>
          </w:tcPr>
          <w:p w14:paraId="7EF78255">
            <w:pPr>
              <w:spacing w:line="360" w:lineRule="auto"/>
              <w:rPr>
                <w:rFonts w:ascii="宋体" w:hAnsi="宋体" w:eastAsia="宋体" w:cs="宋体"/>
                <w:szCs w:val="21"/>
              </w:rPr>
            </w:pPr>
            <w:r>
              <w:rPr>
                <w:rFonts w:hint="eastAsia" w:ascii="宋体" w:hAnsi="宋体" w:eastAsia="宋体" w:cs="宋体"/>
                <w:szCs w:val="21"/>
              </w:rPr>
              <w:t>甲方（盖章）：东莞市众源环境投资有限公司</w:t>
            </w:r>
          </w:p>
          <w:p w14:paraId="7FA5D088">
            <w:pPr>
              <w:spacing w:line="360" w:lineRule="auto"/>
              <w:rPr>
                <w:rFonts w:hint="eastAsia" w:ascii="宋体" w:hAnsi="宋体" w:eastAsia="宋体" w:cs="宋体"/>
                <w:szCs w:val="21"/>
              </w:rPr>
            </w:pPr>
          </w:p>
          <w:p w14:paraId="0FC77DBC">
            <w:pPr>
              <w:spacing w:line="360" w:lineRule="auto"/>
              <w:rPr>
                <w:rFonts w:ascii="宋体" w:hAnsi="宋体" w:eastAsia="宋体" w:cs="宋体"/>
                <w:szCs w:val="21"/>
              </w:rPr>
            </w:pPr>
            <w:r>
              <w:rPr>
                <w:rFonts w:hint="eastAsia" w:ascii="宋体" w:hAnsi="宋体" w:eastAsia="宋体" w:cs="宋体"/>
                <w:szCs w:val="21"/>
              </w:rPr>
              <w:t>法定代表人：</w:t>
            </w:r>
          </w:p>
        </w:tc>
        <w:tc>
          <w:tcPr>
            <w:tcW w:w="361" w:type="dxa"/>
            <w:noWrap w:val="0"/>
            <w:vAlign w:val="top"/>
          </w:tcPr>
          <w:p w14:paraId="7030654D">
            <w:pPr>
              <w:spacing w:line="360" w:lineRule="auto"/>
              <w:rPr>
                <w:rFonts w:ascii="宋体" w:hAnsi="宋体" w:eastAsia="宋体" w:cs="宋体"/>
                <w:szCs w:val="21"/>
              </w:rPr>
            </w:pPr>
          </w:p>
        </w:tc>
        <w:tc>
          <w:tcPr>
            <w:tcW w:w="4253" w:type="dxa"/>
            <w:noWrap w:val="0"/>
            <w:vAlign w:val="top"/>
          </w:tcPr>
          <w:p w14:paraId="5A7664F3">
            <w:pPr>
              <w:spacing w:line="360" w:lineRule="auto"/>
              <w:rPr>
                <w:rFonts w:hint="eastAsia" w:ascii="宋体" w:hAnsi="宋体" w:eastAsia="宋体" w:cs="宋体"/>
                <w:szCs w:val="21"/>
              </w:rPr>
            </w:pPr>
            <w:r>
              <w:rPr>
                <w:rFonts w:hint="eastAsia" w:ascii="宋体" w:hAnsi="宋体" w:eastAsia="宋体" w:cs="宋体"/>
                <w:szCs w:val="21"/>
              </w:rPr>
              <w:t xml:space="preserve">乙方（盖章）： </w:t>
            </w:r>
          </w:p>
          <w:p w14:paraId="146D479E">
            <w:pPr>
              <w:spacing w:line="360" w:lineRule="auto"/>
              <w:rPr>
                <w:rFonts w:hint="eastAsia" w:ascii="宋体" w:hAnsi="宋体" w:eastAsia="宋体" w:cs="宋体"/>
                <w:szCs w:val="21"/>
              </w:rPr>
            </w:pPr>
          </w:p>
          <w:p w14:paraId="6A7738DA">
            <w:pPr>
              <w:spacing w:line="360" w:lineRule="auto"/>
              <w:rPr>
                <w:rFonts w:ascii="宋体" w:hAnsi="宋体" w:eastAsia="宋体" w:cs="宋体"/>
                <w:szCs w:val="21"/>
              </w:rPr>
            </w:pPr>
            <w:r>
              <w:rPr>
                <w:rFonts w:hint="eastAsia" w:ascii="宋体" w:hAnsi="宋体" w:eastAsia="宋体" w:cs="宋体"/>
                <w:szCs w:val="21"/>
              </w:rPr>
              <w:t>法定代表人：</w:t>
            </w:r>
          </w:p>
        </w:tc>
      </w:tr>
      <w:tr w14:paraId="566F1A66">
        <w:tblPrEx>
          <w:tblCellMar>
            <w:top w:w="0" w:type="dxa"/>
            <w:left w:w="108" w:type="dxa"/>
            <w:bottom w:w="0" w:type="dxa"/>
            <w:right w:w="108" w:type="dxa"/>
          </w:tblCellMar>
        </w:tblPrEx>
        <w:trPr>
          <w:jc w:val="center"/>
        </w:trPr>
        <w:tc>
          <w:tcPr>
            <w:tcW w:w="4346" w:type="dxa"/>
            <w:noWrap w:val="0"/>
            <w:vAlign w:val="top"/>
          </w:tcPr>
          <w:p w14:paraId="24945367">
            <w:pPr>
              <w:spacing w:line="360" w:lineRule="auto"/>
              <w:rPr>
                <w:rFonts w:ascii="宋体" w:hAnsi="宋体" w:eastAsia="宋体" w:cs="宋体"/>
                <w:szCs w:val="21"/>
              </w:rPr>
            </w:pPr>
            <w:r>
              <w:rPr>
                <w:rFonts w:hint="eastAsia" w:ascii="宋体" w:hAnsi="宋体" w:eastAsia="宋体" w:cs="宋体"/>
                <w:szCs w:val="21"/>
              </w:rPr>
              <w:t>电话：</w:t>
            </w:r>
          </w:p>
        </w:tc>
        <w:tc>
          <w:tcPr>
            <w:tcW w:w="361" w:type="dxa"/>
            <w:noWrap w:val="0"/>
            <w:vAlign w:val="top"/>
          </w:tcPr>
          <w:p w14:paraId="077219C4">
            <w:pPr>
              <w:spacing w:line="360" w:lineRule="auto"/>
              <w:rPr>
                <w:rFonts w:ascii="宋体" w:hAnsi="宋体" w:eastAsia="宋体" w:cs="宋体"/>
                <w:szCs w:val="21"/>
              </w:rPr>
            </w:pPr>
          </w:p>
        </w:tc>
        <w:tc>
          <w:tcPr>
            <w:tcW w:w="4253" w:type="dxa"/>
            <w:noWrap w:val="0"/>
            <w:vAlign w:val="top"/>
          </w:tcPr>
          <w:p w14:paraId="675D2569">
            <w:pPr>
              <w:spacing w:line="360" w:lineRule="auto"/>
              <w:rPr>
                <w:rFonts w:ascii="宋体" w:hAnsi="宋体" w:eastAsia="宋体" w:cs="宋体"/>
                <w:szCs w:val="21"/>
              </w:rPr>
            </w:pPr>
            <w:r>
              <w:rPr>
                <w:rFonts w:hint="eastAsia" w:ascii="宋体" w:hAnsi="宋体" w:eastAsia="宋体" w:cs="宋体"/>
                <w:szCs w:val="21"/>
              </w:rPr>
              <w:t>电话：</w:t>
            </w:r>
          </w:p>
        </w:tc>
      </w:tr>
      <w:tr w14:paraId="49D1A0A4">
        <w:tblPrEx>
          <w:tblCellMar>
            <w:top w:w="0" w:type="dxa"/>
            <w:left w:w="108" w:type="dxa"/>
            <w:bottom w:w="0" w:type="dxa"/>
            <w:right w:w="108" w:type="dxa"/>
          </w:tblCellMar>
        </w:tblPrEx>
        <w:trPr>
          <w:jc w:val="center"/>
        </w:trPr>
        <w:tc>
          <w:tcPr>
            <w:tcW w:w="4346" w:type="dxa"/>
            <w:noWrap w:val="0"/>
            <w:vAlign w:val="top"/>
          </w:tcPr>
          <w:p w14:paraId="10977163">
            <w:pPr>
              <w:spacing w:line="240" w:lineRule="auto"/>
              <w:rPr>
                <w:rFonts w:ascii="宋体" w:hAnsi="宋体" w:eastAsia="宋体" w:cs="宋体"/>
                <w:szCs w:val="21"/>
              </w:rPr>
            </w:pPr>
            <w:r>
              <w:rPr>
                <w:rFonts w:hint="eastAsia" w:ascii="宋体" w:hAnsi="宋体" w:eastAsia="宋体" w:cs="宋体"/>
                <w:szCs w:val="21"/>
              </w:rPr>
              <w:t>地址：广东省东莞市东城街道火炼树红棉路40号302室</w:t>
            </w:r>
          </w:p>
          <w:p w14:paraId="0E04DB75">
            <w:pPr>
              <w:spacing w:line="360" w:lineRule="auto"/>
              <w:rPr>
                <w:rFonts w:ascii="宋体" w:hAnsi="宋体" w:eastAsia="宋体" w:cs="宋体"/>
                <w:szCs w:val="21"/>
              </w:rPr>
            </w:pPr>
            <w:r>
              <w:rPr>
                <w:rFonts w:hint="eastAsia" w:ascii="宋体" w:hAnsi="宋体" w:eastAsia="宋体" w:cs="宋体"/>
                <w:szCs w:val="21"/>
              </w:rPr>
              <w:t>开户名称：东莞市众源环境投资有限公司</w:t>
            </w:r>
          </w:p>
        </w:tc>
        <w:tc>
          <w:tcPr>
            <w:tcW w:w="361" w:type="dxa"/>
            <w:noWrap w:val="0"/>
            <w:vAlign w:val="top"/>
          </w:tcPr>
          <w:p w14:paraId="056544A5">
            <w:pPr>
              <w:spacing w:line="360" w:lineRule="auto"/>
              <w:rPr>
                <w:rFonts w:ascii="宋体" w:hAnsi="宋体" w:eastAsia="宋体" w:cs="宋体"/>
                <w:szCs w:val="21"/>
              </w:rPr>
            </w:pPr>
          </w:p>
        </w:tc>
        <w:tc>
          <w:tcPr>
            <w:tcW w:w="4253" w:type="dxa"/>
            <w:noWrap w:val="0"/>
            <w:vAlign w:val="top"/>
          </w:tcPr>
          <w:p w14:paraId="6C0A4EFA">
            <w:pPr>
              <w:spacing w:line="360" w:lineRule="auto"/>
              <w:rPr>
                <w:rFonts w:ascii="宋体" w:hAnsi="宋体" w:eastAsia="宋体" w:cs="宋体"/>
              </w:rPr>
            </w:pPr>
            <w:r>
              <w:rPr>
                <w:rFonts w:hint="eastAsia" w:ascii="宋体" w:hAnsi="宋体" w:eastAsia="宋体" w:cs="宋体"/>
                <w:szCs w:val="21"/>
              </w:rPr>
              <w:t>地址：</w:t>
            </w:r>
          </w:p>
          <w:p w14:paraId="6DD6A029">
            <w:pPr>
              <w:spacing w:line="360" w:lineRule="auto"/>
              <w:rPr>
                <w:rFonts w:ascii="宋体" w:hAnsi="宋体" w:eastAsia="宋体" w:cs="宋体"/>
                <w:szCs w:val="21"/>
              </w:rPr>
            </w:pPr>
            <w:r>
              <w:rPr>
                <w:rFonts w:hint="eastAsia" w:ascii="宋体" w:hAnsi="宋体" w:eastAsia="宋体" w:cs="宋体"/>
                <w:szCs w:val="21"/>
              </w:rPr>
              <w:t>开户名称：</w:t>
            </w:r>
          </w:p>
        </w:tc>
      </w:tr>
      <w:tr w14:paraId="7E397E6F">
        <w:tblPrEx>
          <w:tblCellMar>
            <w:top w:w="0" w:type="dxa"/>
            <w:left w:w="108" w:type="dxa"/>
            <w:bottom w:w="0" w:type="dxa"/>
            <w:right w:w="108" w:type="dxa"/>
          </w:tblCellMar>
        </w:tblPrEx>
        <w:trPr>
          <w:jc w:val="center"/>
        </w:trPr>
        <w:tc>
          <w:tcPr>
            <w:tcW w:w="4346" w:type="dxa"/>
            <w:noWrap w:val="0"/>
            <w:vAlign w:val="top"/>
          </w:tcPr>
          <w:p w14:paraId="4A5B832E">
            <w:pPr>
              <w:spacing w:line="360" w:lineRule="auto"/>
              <w:rPr>
                <w:rFonts w:ascii="宋体" w:hAnsi="宋体" w:eastAsia="宋体" w:cs="宋体"/>
                <w:szCs w:val="21"/>
              </w:rPr>
            </w:pPr>
            <w:r>
              <w:rPr>
                <w:rFonts w:hint="eastAsia" w:ascii="宋体" w:hAnsi="宋体" w:eastAsia="宋体" w:cs="宋体"/>
                <w:szCs w:val="21"/>
              </w:rPr>
              <w:t>开户银行：</w:t>
            </w:r>
            <w:r>
              <w:rPr>
                <w:rFonts w:hint="eastAsia" w:ascii="宋体" w:hAnsi="宋体" w:eastAsia="宋体" w:cs="宋体"/>
                <w:bCs/>
                <w:szCs w:val="21"/>
                <w:lang w:val="zh-CN"/>
              </w:rPr>
              <w:t>中国工商银行东莞市分行 </w:t>
            </w:r>
          </w:p>
        </w:tc>
        <w:tc>
          <w:tcPr>
            <w:tcW w:w="361" w:type="dxa"/>
            <w:noWrap w:val="0"/>
            <w:vAlign w:val="top"/>
          </w:tcPr>
          <w:p w14:paraId="717CCC9C">
            <w:pPr>
              <w:spacing w:line="360" w:lineRule="auto"/>
              <w:rPr>
                <w:rFonts w:ascii="宋体" w:hAnsi="宋体" w:eastAsia="宋体" w:cs="宋体"/>
                <w:szCs w:val="21"/>
              </w:rPr>
            </w:pPr>
          </w:p>
        </w:tc>
        <w:tc>
          <w:tcPr>
            <w:tcW w:w="4253" w:type="dxa"/>
            <w:noWrap w:val="0"/>
            <w:vAlign w:val="top"/>
          </w:tcPr>
          <w:p w14:paraId="61A7EF6B">
            <w:pPr>
              <w:spacing w:line="360" w:lineRule="auto"/>
              <w:rPr>
                <w:rFonts w:ascii="宋体" w:hAnsi="宋体" w:eastAsia="宋体" w:cs="宋体"/>
                <w:szCs w:val="21"/>
              </w:rPr>
            </w:pPr>
            <w:r>
              <w:rPr>
                <w:rFonts w:hint="eastAsia" w:ascii="宋体" w:hAnsi="宋体" w:eastAsia="宋体" w:cs="宋体"/>
                <w:szCs w:val="21"/>
              </w:rPr>
              <w:t>开户银行：</w:t>
            </w:r>
          </w:p>
        </w:tc>
      </w:tr>
      <w:tr w14:paraId="07D4E0AC">
        <w:tblPrEx>
          <w:tblCellMar>
            <w:top w:w="0" w:type="dxa"/>
            <w:left w:w="108" w:type="dxa"/>
            <w:bottom w:w="0" w:type="dxa"/>
            <w:right w:w="108" w:type="dxa"/>
          </w:tblCellMar>
        </w:tblPrEx>
        <w:trPr>
          <w:jc w:val="center"/>
        </w:trPr>
        <w:tc>
          <w:tcPr>
            <w:tcW w:w="4346" w:type="dxa"/>
            <w:noWrap w:val="0"/>
            <w:vAlign w:val="top"/>
          </w:tcPr>
          <w:p w14:paraId="7A0EF41A">
            <w:pPr>
              <w:spacing w:line="360" w:lineRule="auto"/>
              <w:rPr>
                <w:rFonts w:ascii="宋体" w:hAnsi="宋体" w:eastAsia="宋体" w:cs="宋体"/>
                <w:szCs w:val="21"/>
              </w:rPr>
            </w:pPr>
            <w:r>
              <w:rPr>
                <w:rFonts w:hint="eastAsia" w:ascii="宋体" w:hAnsi="宋体" w:cs="宋体"/>
                <w:szCs w:val="21"/>
                <w:lang w:val="en-US" w:eastAsia="zh-CN"/>
              </w:rPr>
              <w:t>银行</w:t>
            </w:r>
            <w:r>
              <w:rPr>
                <w:rFonts w:hint="eastAsia" w:ascii="宋体" w:hAnsi="宋体" w:eastAsia="宋体" w:cs="宋体"/>
                <w:szCs w:val="21"/>
              </w:rPr>
              <w:t>账号：</w:t>
            </w:r>
            <w:r>
              <w:rPr>
                <w:rFonts w:hint="eastAsia" w:ascii="宋体" w:hAnsi="宋体" w:eastAsia="宋体" w:cs="宋体"/>
                <w:bCs/>
                <w:szCs w:val="21"/>
                <w:lang w:val="zh-CN"/>
              </w:rPr>
              <w:t>2010021309200098448</w:t>
            </w:r>
          </w:p>
        </w:tc>
        <w:tc>
          <w:tcPr>
            <w:tcW w:w="361" w:type="dxa"/>
            <w:noWrap w:val="0"/>
            <w:vAlign w:val="top"/>
          </w:tcPr>
          <w:p w14:paraId="0E789BD3">
            <w:pPr>
              <w:spacing w:line="360" w:lineRule="auto"/>
              <w:rPr>
                <w:rFonts w:ascii="宋体" w:hAnsi="宋体" w:eastAsia="宋体" w:cs="宋体"/>
                <w:szCs w:val="21"/>
              </w:rPr>
            </w:pPr>
          </w:p>
        </w:tc>
        <w:tc>
          <w:tcPr>
            <w:tcW w:w="4253" w:type="dxa"/>
            <w:noWrap w:val="0"/>
            <w:vAlign w:val="top"/>
          </w:tcPr>
          <w:p w14:paraId="6C5F90D7">
            <w:pPr>
              <w:spacing w:line="360" w:lineRule="auto"/>
              <w:rPr>
                <w:rFonts w:ascii="宋体" w:hAnsi="宋体" w:eastAsia="宋体" w:cs="宋体"/>
                <w:szCs w:val="21"/>
              </w:rPr>
            </w:pPr>
            <w:r>
              <w:rPr>
                <w:rFonts w:hint="eastAsia" w:ascii="宋体" w:hAnsi="宋体" w:cs="宋体"/>
                <w:szCs w:val="21"/>
                <w:lang w:val="en-US" w:eastAsia="zh-CN"/>
              </w:rPr>
              <w:t>银行</w:t>
            </w:r>
            <w:r>
              <w:rPr>
                <w:rFonts w:hint="eastAsia" w:ascii="宋体" w:hAnsi="宋体" w:eastAsia="宋体" w:cs="宋体"/>
                <w:szCs w:val="21"/>
              </w:rPr>
              <w:t>账号：</w:t>
            </w:r>
          </w:p>
        </w:tc>
      </w:tr>
    </w:tbl>
    <w:p w14:paraId="40ACB18A">
      <w:pPr>
        <w:widowControl/>
        <w:snapToGrid w:val="0"/>
        <w:spacing w:before="157" w:beforeLines="50"/>
        <w:jc w:val="left"/>
        <w:rPr>
          <w:rFonts w:hint="eastAsia" w:ascii="宋体" w:hAnsi="宋体" w:eastAsia="宋体" w:cs="宋体"/>
          <w:szCs w:val="21"/>
        </w:rPr>
      </w:pPr>
      <w:r>
        <w:rPr>
          <w:rFonts w:hint="eastAsia" w:ascii="宋体" w:hAnsi="宋体" w:eastAsia="宋体" w:cs="宋体"/>
          <w:szCs w:val="21"/>
        </w:rPr>
        <w:t xml:space="preserve">签订日期：   </w:t>
      </w:r>
      <w:r>
        <w:rPr>
          <w:rFonts w:hint="eastAsia" w:ascii="宋体" w:hAnsi="宋体" w:cs="宋体"/>
          <w:szCs w:val="21"/>
          <w:lang w:val="en-US" w:eastAsia="zh-CN"/>
        </w:rPr>
        <w:t xml:space="preserve"> </w:t>
      </w:r>
      <w:r>
        <w:rPr>
          <w:rFonts w:hint="eastAsia" w:ascii="宋体" w:hAnsi="宋体" w:eastAsia="宋体" w:cs="宋体"/>
          <w:szCs w:val="21"/>
        </w:rPr>
        <w:t xml:space="preserve">  年  </w:t>
      </w:r>
      <w:r>
        <w:rPr>
          <w:rFonts w:hint="eastAsia" w:ascii="宋体" w:hAnsi="宋体" w:cs="宋体"/>
          <w:szCs w:val="21"/>
          <w:lang w:val="en-US" w:eastAsia="zh-CN"/>
        </w:rPr>
        <w:t xml:space="preserve">  </w:t>
      </w:r>
      <w:r>
        <w:rPr>
          <w:rFonts w:hint="eastAsia" w:ascii="宋体" w:hAnsi="宋体" w:eastAsia="宋体" w:cs="宋体"/>
          <w:szCs w:val="21"/>
        </w:rPr>
        <w:t>月</w:t>
      </w:r>
      <w:r>
        <w:rPr>
          <w:rFonts w:hint="eastAsia" w:ascii="宋体" w:hAnsi="宋体" w:cs="宋体"/>
          <w:szCs w:val="21"/>
          <w:lang w:val="en-US" w:eastAsia="zh-CN"/>
        </w:rPr>
        <w:t xml:space="preserve">   </w:t>
      </w:r>
      <w:r>
        <w:rPr>
          <w:rFonts w:hint="eastAsia" w:ascii="宋体" w:hAnsi="宋体" w:eastAsia="宋体" w:cs="宋体"/>
          <w:szCs w:val="21"/>
        </w:rPr>
        <w:t xml:space="preserve"> 日</w:t>
      </w:r>
    </w:p>
    <w:p w14:paraId="421F5F82">
      <w:pPr>
        <w:widowControl/>
        <w:snapToGrid/>
        <w:spacing w:before="0" w:beforeLines="0"/>
        <w:jc w:val="left"/>
        <w:rPr>
          <w:rFonts w:hint="eastAsia" w:ascii="宋体" w:hAnsi="宋体" w:eastAsia="宋体" w:cs="宋体"/>
          <w:szCs w:val="21"/>
        </w:rPr>
      </w:pPr>
      <w:r>
        <w:rPr>
          <w:rFonts w:hint="eastAsia" w:ascii="宋体" w:hAnsi="宋体" w:eastAsia="宋体" w:cs="宋体"/>
          <w:szCs w:val="21"/>
        </w:rPr>
        <w:br w:type="page"/>
      </w:r>
    </w:p>
    <w:p w14:paraId="6A9E7D65">
      <w:pPr>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附件2.安全生产管理协议</w:t>
      </w:r>
    </w:p>
    <w:p w14:paraId="574CE58B">
      <w:pPr>
        <w:jc w:val="center"/>
        <w:rPr>
          <w:rFonts w:hint="default" w:ascii="仿宋_GB2312" w:hAnsi="仿宋" w:eastAsia="仿宋_GB2312" w:cs="仿宋"/>
          <w:b w:val="0"/>
          <w:bCs w:val="0"/>
          <w:color w:val="000000"/>
          <w:sz w:val="28"/>
          <w:szCs w:val="28"/>
          <w:lang w:val="en-US" w:eastAsia="zh-CN"/>
        </w:rPr>
      </w:pPr>
      <w:r>
        <w:rPr>
          <w:rFonts w:hint="eastAsia" w:ascii="仿宋_GB2312" w:hAnsi="仿宋" w:eastAsia="仿宋_GB2312" w:cs="仿宋"/>
          <w:b w:val="0"/>
          <w:bCs w:val="0"/>
          <w:color w:val="000000"/>
          <w:sz w:val="28"/>
          <w:szCs w:val="28"/>
          <w:lang w:val="en-US" w:eastAsia="zh-CN"/>
        </w:rPr>
        <w:t xml:space="preserve">                         合同编号：</w:t>
      </w:r>
    </w:p>
    <w:p w14:paraId="57341D65">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rPr>
        <w:t>安全生产管理协议</w:t>
      </w:r>
      <w:r>
        <w:rPr>
          <w:rFonts w:hint="eastAsia" w:ascii="宋体" w:hAnsi="宋体" w:eastAsia="宋体" w:cs="宋体"/>
          <w:b/>
          <w:bCs/>
          <w:color w:val="000000"/>
          <w:sz w:val="21"/>
          <w:szCs w:val="21"/>
          <w:lang w:eastAsia="zh-CN"/>
        </w:rPr>
        <w:t>》</w:t>
      </w:r>
    </w:p>
    <w:p w14:paraId="416B301A">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bCs/>
          <w:color w:val="000000"/>
          <w:sz w:val="21"/>
          <w:szCs w:val="21"/>
        </w:rPr>
      </w:pPr>
      <w:r>
        <w:rPr>
          <w:rFonts w:hint="eastAsia" w:ascii="宋体" w:hAnsi="宋体" w:eastAsia="宋体" w:cs="宋体"/>
          <w:b/>
          <w:bCs/>
          <w:color w:val="000000"/>
          <w:sz w:val="21"/>
          <w:szCs w:val="21"/>
        </w:rPr>
        <w:t xml:space="preserve">         </w:t>
      </w:r>
      <w:r>
        <w:rPr>
          <w:rFonts w:hint="eastAsia" w:ascii="宋体" w:hAnsi="宋体" w:eastAsia="宋体" w:cs="宋体"/>
          <w:bCs/>
          <w:color w:val="000000"/>
          <w:sz w:val="21"/>
          <w:szCs w:val="21"/>
        </w:rPr>
        <w:t xml:space="preserve">                     </w:t>
      </w:r>
    </w:p>
    <w:p w14:paraId="7323053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甲方：</w:t>
      </w:r>
      <w:r>
        <w:rPr>
          <w:rFonts w:hint="eastAsia" w:ascii="宋体" w:hAnsi="宋体" w:eastAsia="宋体" w:cs="宋体"/>
          <w:color w:val="000000"/>
          <w:sz w:val="21"/>
          <w:szCs w:val="21"/>
          <w:u w:val="single"/>
        </w:rPr>
        <w:t xml:space="preserve">                                   </w:t>
      </w:r>
    </w:p>
    <w:p w14:paraId="2C04529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 xml:space="preserve">地址: </w:t>
      </w:r>
      <w:r>
        <w:rPr>
          <w:rFonts w:hint="eastAsia" w:ascii="宋体" w:hAnsi="宋体" w:eastAsia="宋体" w:cs="宋体"/>
          <w:color w:val="000000"/>
          <w:sz w:val="21"/>
          <w:szCs w:val="21"/>
          <w:u w:val="single"/>
        </w:rPr>
        <w:t xml:space="preserve">                                   </w:t>
      </w:r>
    </w:p>
    <w:p w14:paraId="1638E80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sz w:val="21"/>
          <w:szCs w:val="21"/>
          <w:u w:val="single"/>
        </w:rPr>
        <w:t xml:space="preserve">                                   </w:t>
      </w:r>
    </w:p>
    <w:p w14:paraId="40041EEF">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lang w:val="en-US" w:eastAsia="zh-CN"/>
        </w:rPr>
      </w:pPr>
    </w:p>
    <w:p w14:paraId="1BB0664A">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乙方：</w:t>
      </w:r>
      <w:r>
        <w:rPr>
          <w:rFonts w:hint="eastAsia" w:ascii="宋体" w:hAnsi="宋体" w:eastAsia="宋体" w:cs="宋体"/>
          <w:color w:val="000000"/>
          <w:sz w:val="21"/>
          <w:szCs w:val="21"/>
          <w:u w:val="single"/>
        </w:rPr>
        <w:t xml:space="preserve">                                   </w:t>
      </w:r>
    </w:p>
    <w:p w14:paraId="5D273D66">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地址:</w:t>
      </w:r>
      <w:r>
        <w:rPr>
          <w:rFonts w:hint="eastAsia" w:ascii="宋体" w:hAnsi="宋体" w:eastAsia="宋体" w:cs="宋体"/>
          <w:color w:val="000000"/>
          <w:sz w:val="21"/>
          <w:szCs w:val="21"/>
          <w:u w:val="single"/>
        </w:rPr>
        <w:t xml:space="preserve">                                    </w:t>
      </w:r>
    </w:p>
    <w:p w14:paraId="2BFC344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电话：</w:t>
      </w:r>
      <w:r>
        <w:rPr>
          <w:rFonts w:hint="eastAsia" w:ascii="宋体" w:hAnsi="宋体" w:eastAsia="宋体" w:cs="宋体"/>
          <w:color w:val="000000"/>
          <w:sz w:val="21"/>
          <w:szCs w:val="21"/>
          <w:u w:val="single"/>
        </w:rPr>
        <w:t xml:space="preserve">                                   </w:t>
      </w:r>
    </w:p>
    <w:p w14:paraId="54552158">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p>
    <w:p w14:paraId="0B0D22A2">
      <w:pPr>
        <w:pStyle w:val="9"/>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kern w:val="0"/>
          <w:sz w:val="21"/>
          <w:szCs w:val="21"/>
        </w:rPr>
        <w:t>根据《中华人民共和国安全生产法》和《建设工程安全生产管理条例》等法规要求，为加强作业现场的安全管理，落实各自</w:t>
      </w:r>
      <w:r>
        <w:rPr>
          <w:rFonts w:hint="eastAsia" w:ascii="宋体" w:hAnsi="宋体" w:eastAsia="宋体" w:cs="宋体"/>
          <w:color w:val="000000"/>
          <w:sz w:val="21"/>
          <w:szCs w:val="21"/>
        </w:rPr>
        <w:t>的安全生产职责，进一步加强作业的安全管理，杜绝作业人员因安全管理不善而引发的各类安全事故，保证甲、乙双方的财产和员工的人身安全不受侵害，经甲乙双方协商一致，签订协议如下：</w:t>
      </w:r>
    </w:p>
    <w:p w14:paraId="40A10BD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项目名称：</w:t>
      </w:r>
      <w:r>
        <w:rPr>
          <w:rFonts w:hint="eastAsia" w:ascii="宋体" w:hAnsi="宋体" w:eastAsia="宋体" w:cs="宋体"/>
          <w:color w:val="000000"/>
          <w:sz w:val="21"/>
          <w:szCs w:val="21"/>
          <w:u w:val="single"/>
        </w:rPr>
        <w:t xml:space="preserve">                                   </w:t>
      </w:r>
    </w:p>
    <w:p w14:paraId="0AB114B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项目地点：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w:t>
      </w:r>
    </w:p>
    <w:p w14:paraId="2D46681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项目时间：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日  至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月</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日</w:t>
      </w:r>
    </w:p>
    <w:p w14:paraId="3857AF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一、污水处理厂风险辨识</w:t>
      </w:r>
    </w:p>
    <w:p w14:paraId="569DA91F">
      <w:pPr>
        <w:keepNext w:val="0"/>
        <w:keepLines w:val="0"/>
        <w:pageBreakBefore w:val="0"/>
        <w:widowControl w:val="0"/>
        <w:kinsoku/>
        <w:wordWrap/>
        <w:overflowPunct/>
        <w:topLinePunct w:val="0"/>
        <w:bidi w:val="0"/>
        <w:snapToGrid/>
        <w:spacing w:before="181" w:line="360" w:lineRule="auto"/>
        <w:ind w:left="100" w:right="99"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1、污水处理厂有限空间辨识，如:集水间、粗格栅间、提升泵坑、细格栅间、沉沙池、配水井、生化池、储泥池、送水泵坑、各类封闭或通风不良的井（≥1.5 米，含阀门井、污水井、雨水井、吸水井、旋流沉砂池、生化池（带封盖）、回流污泥泵房（带封盖）、剩余污泥泵房（带封盖）、储泥池、储粪池、密闭配水渠等，可能存在有毒有害、易燃易爆介质的井，不受深度限制）、封闭的管道、污水池、地下管道、自然通风不良的设备间、压力容器、密闭储药池、加药储罐等。</w:t>
      </w:r>
    </w:p>
    <w:p w14:paraId="343C511F">
      <w:pPr>
        <w:keepNext w:val="0"/>
        <w:keepLines w:val="0"/>
        <w:pageBreakBefore w:val="0"/>
        <w:widowControl w:val="0"/>
        <w:kinsoku/>
        <w:wordWrap/>
        <w:overflowPunct/>
        <w:topLinePunct w:val="0"/>
        <w:bidi w:val="0"/>
        <w:snapToGrid/>
        <w:spacing w:before="181" w:line="360" w:lineRule="auto"/>
        <w:ind w:left="100" w:right="99" w:firstLine="420" w:firstLineChars="200"/>
        <w:jc w:val="both"/>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2、其他有限空间辨识，如:建筑施工未完工的地下暗室、管道及管道井等封闭、半封闭的设施及场所（地下隐蔽工程、密闭容器、长期不用的设施或通风不畅的场所等）等。</w:t>
      </w:r>
    </w:p>
    <w:p w14:paraId="1A4B8CBD">
      <w:pPr>
        <w:keepNext w:val="0"/>
        <w:keepLines w:val="0"/>
        <w:pageBreakBefore w:val="0"/>
        <w:widowControl w:val="0"/>
        <w:kinsoku/>
        <w:wordWrap/>
        <w:overflowPunct/>
        <w:topLinePunct w:val="0"/>
        <w:bidi w:val="0"/>
        <w:snapToGrid/>
        <w:spacing w:before="44" w:line="360" w:lineRule="auto"/>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二、危害因素分析</w:t>
      </w:r>
    </w:p>
    <w:p w14:paraId="7EFB6D7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实施作业前，乙方应当对作业环境进行评估，分析存在的危险有害因素，列出危害因素清单，乙方不能消除的危险因素、安全隐患有权拒绝作业，同时及时上报甲方，由甲方消除隐患，确认符合安全作业条件后，乙方方可作业。存在以下伤害类别的危害因素应包括但不限于以下方面：中毒和窒息；高处坠落；淹溺；火灾；爆炸；物体打击；机械伤害；其它，如触电、坍塌、起重伤害、其它伤害等</w:t>
      </w:r>
      <w:r>
        <w:rPr>
          <w:rFonts w:hint="eastAsia" w:ascii="宋体" w:hAnsi="宋体" w:eastAsia="宋体" w:cs="宋体"/>
          <w:color w:val="000000"/>
          <w:sz w:val="21"/>
          <w:szCs w:val="21"/>
          <w:lang w:eastAsia="zh-CN"/>
        </w:rPr>
        <w:t>。</w:t>
      </w:r>
    </w:p>
    <w:p w14:paraId="7A4816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三、协议实施条款</w:t>
      </w:r>
    </w:p>
    <w:p w14:paraId="3B63C2A6">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“相关方”是指：在公司从事与公司生产经营活动有关的、在公司内从事各种公务活动和进行业务往来的外部单位和个人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以下简称“相关方”</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。主要包括： </w:t>
      </w:r>
    </w:p>
    <w:p w14:paraId="346409E0">
      <w:pPr>
        <w:keepNext w:val="0"/>
        <w:keepLines w:val="0"/>
        <w:pageBreakBefore w:val="0"/>
        <w:widowControl w:val="0"/>
        <w:numPr>
          <w:ilvl w:val="0"/>
          <w:numId w:val="0"/>
        </w:numPr>
        <w:kinsoku/>
        <w:wordWrap/>
        <w:overflowPunct/>
        <w:topLinePunct w:val="0"/>
        <w:bidi w:val="0"/>
        <w:snapToGrid/>
        <w:spacing w:line="360" w:lineRule="auto"/>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（1）依照与公司订立的有关合同，在公司内从事基建、设</w:t>
      </w:r>
    </w:p>
    <w:p w14:paraId="33AEE781">
      <w:pPr>
        <w:keepNext w:val="0"/>
        <w:keepLines w:val="0"/>
        <w:pageBreakBefore w:val="0"/>
        <w:widowControl w:val="0"/>
        <w:numPr>
          <w:ilvl w:val="0"/>
          <w:numId w:val="0"/>
        </w:numPr>
        <w:kinsoku/>
        <w:wordWrap/>
        <w:overflowPunct/>
        <w:topLinePunct w:val="0"/>
        <w:bidi w:val="0"/>
        <w:snapToGrid/>
        <w:spacing w:line="360" w:lineRule="auto"/>
        <w:ind w:lef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备安装、维修保养、运输、后勤服务、劳务输出以及其他承包各种项目的外来单位或个人。 </w:t>
      </w:r>
    </w:p>
    <w:p w14:paraId="6427D80A">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进入单位内进行商务洽谈、参观访问、工作检查、学习交流及其他各类公务活动的外来单位或个人。</w:t>
      </w:r>
    </w:p>
    <w:p w14:paraId="1D3F726D">
      <w:pPr>
        <w:keepNext w:val="0"/>
        <w:keepLines w:val="0"/>
        <w:pageBreakBefore w:val="0"/>
        <w:widowControl w:val="0"/>
        <w:numPr>
          <w:ilvl w:val="0"/>
          <w:numId w:val="37"/>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目前我司相关方包括但不限于保安人员、绿化环卫人员、安装施工人员、配送人员、参观人员等。</w:t>
      </w:r>
    </w:p>
    <w:p w14:paraId="4E657000">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危险作业包括但不限于以下内容：临水作业、进入受限空间作业、临时用电作业、高处作业、断路作业、破土作业、吊装作业、盲板抽堵作业。（以下简称：危险作业）</w:t>
      </w:r>
    </w:p>
    <w:p w14:paraId="5407CE29">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进场前乙方应将本企业的营业执照、企业资质等级证书、安全生产许可证、进场人员花名册、携带进场的机具一览表、特种作业人员及特种作业操作证的复印件报甲方。进场职工必须办好作业所在地所需办理的各种证件，不得使用未成年工、童工、超龄工和安排女工从事禁忌劳动。</w:t>
      </w:r>
    </w:p>
    <w:p w14:paraId="339D14BE">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安全交底。每次进行危险作业等其他可能存在危险的作业前需由乙方的带班人员对作业人员进行安全交底。</w:t>
      </w:r>
    </w:p>
    <w:p w14:paraId="6A38C9A6">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乙方需完善并加强对</w:t>
      </w:r>
      <w:r>
        <w:rPr>
          <w:rFonts w:hint="eastAsia" w:ascii="宋体" w:hAnsi="宋体" w:eastAsia="宋体" w:cs="宋体"/>
          <w:color w:val="000000"/>
          <w:sz w:val="21"/>
          <w:szCs w:val="21"/>
          <w:lang w:val="en-US" w:eastAsia="zh-CN"/>
        </w:rPr>
        <w:t>相关方的的日常考勤管理，严格遵守厂区对进出人员的管理要求。</w:t>
      </w:r>
    </w:p>
    <w:p w14:paraId="428E4794">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w:t>
      </w:r>
      <w:r>
        <w:rPr>
          <w:rFonts w:hint="eastAsia" w:ascii="宋体" w:hAnsi="宋体" w:eastAsia="宋体" w:cs="宋体"/>
          <w:color w:val="000000"/>
          <w:sz w:val="21"/>
          <w:szCs w:val="21"/>
          <w:lang w:val="en-US" w:eastAsia="zh-CN"/>
        </w:rPr>
        <w:t>在</w:t>
      </w:r>
      <w:r>
        <w:rPr>
          <w:rFonts w:hint="eastAsia" w:ascii="宋体" w:hAnsi="宋体" w:eastAsia="宋体" w:cs="宋体"/>
          <w:color w:val="000000"/>
          <w:sz w:val="21"/>
          <w:szCs w:val="21"/>
        </w:rPr>
        <w:t>作业场所配备</w:t>
      </w:r>
      <w:r>
        <w:rPr>
          <w:rFonts w:hint="eastAsia" w:ascii="宋体" w:hAnsi="宋体" w:eastAsia="宋体" w:cs="宋体"/>
          <w:color w:val="000000"/>
          <w:sz w:val="21"/>
          <w:szCs w:val="21"/>
          <w:lang w:val="en-US" w:eastAsia="zh-CN"/>
        </w:rPr>
        <w:t>专职或兼职</w:t>
      </w:r>
      <w:r>
        <w:rPr>
          <w:rFonts w:hint="eastAsia" w:ascii="宋体" w:hAnsi="宋体" w:eastAsia="宋体" w:cs="宋体"/>
          <w:color w:val="000000"/>
          <w:sz w:val="21"/>
          <w:szCs w:val="21"/>
        </w:rPr>
        <w:t>安全管理员，并持有《安全管理员证》、《安全员证》等相关安全资质证书，对作业进行安全管理，并每月对所属员工进行安全教育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每次</w:t>
      </w:r>
      <w:r>
        <w:rPr>
          <w:rFonts w:hint="eastAsia" w:ascii="宋体" w:hAnsi="宋体" w:eastAsia="宋体" w:cs="宋体"/>
          <w:color w:val="000000"/>
          <w:sz w:val="21"/>
          <w:szCs w:val="21"/>
          <w:lang w:val="en-US" w:eastAsia="zh-CN"/>
        </w:rPr>
        <w:t>进行维修作业</w:t>
      </w:r>
      <w:r>
        <w:rPr>
          <w:rFonts w:hint="eastAsia" w:ascii="宋体" w:hAnsi="宋体" w:eastAsia="宋体" w:cs="宋体"/>
          <w:color w:val="000000"/>
          <w:sz w:val="21"/>
          <w:szCs w:val="21"/>
        </w:rPr>
        <w:t>等其他可能存在危险的作业前需由</w:t>
      </w:r>
      <w:r>
        <w:rPr>
          <w:rFonts w:hint="eastAsia" w:ascii="宋体" w:hAnsi="宋体" w:eastAsia="宋体" w:cs="宋体"/>
          <w:color w:val="000000"/>
          <w:sz w:val="21"/>
          <w:szCs w:val="21"/>
          <w:lang w:val="en-US" w:eastAsia="zh-CN"/>
        </w:rPr>
        <w:t>乙方的</w:t>
      </w:r>
      <w:r>
        <w:rPr>
          <w:rFonts w:hint="eastAsia" w:ascii="宋体" w:hAnsi="宋体" w:eastAsia="宋体" w:cs="宋体"/>
          <w:color w:val="000000"/>
          <w:sz w:val="21"/>
          <w:szCs w:val="21"/>
        </w:rPr>
        <w:t>带班</w:t>
      </w:r>
      <w:r>
        <w:rPr>
          <w:rFonts w:hint="eastAsia" w:ascii="宋体" w:hAnsi="宋体" w:eastAsia="宋体" w:cs="宋体"/>
          <w:color w:val="000000"/>
          <w:sz w:val="21"/>
          <w:szCs w:val="21"/>
          <w:lang w:val="en-US" w:eastAsia="zh-CN"/>
        </w:rPr>
        <w:t>人员</w:t>
      </w:r>
      <w:r>
        <w:rPr>
          <w:rFonts w:hint="eastAsia" w:ascii="宋体" w:hAnsi="宋体" w:eastAsia="宋体" w:cs="宋体"/>
          <w:color w:val="000000"/>
          <w:sz w:val="21"/>
          <w:szCs w:val="21"/>
        </w:rPr>
        <w:t>对作业人员进行安全交底。</w:t>
      </w:r>
    </w:p>
    <w:p w14:paraId="7FAAB84C">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乙方使用被派遣劳动者的，应当将被派遣劳动者纳入本单位从业人员统一管理，对被派遣劳动者进行岗位安全操作规程和安全操作技能的教育和培训。</w:t>
      </w:r>
    </w:p>
    <w:p w14:paraId="2D82335E">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乙方应制定与作业范围相适应的应急处置预案，并定期组织演练或者参加甲方组织的演练。</w:t>
      </w:r>
    </w:p>
    <w:p w14:paraId="15E8CD24">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应当在有较大危险因素的场所和有关设施、设备上，设置明显的安全警示标志、安全告知牌及安全操作规程。乙方应当对安全设备进行经常性维护、保养，并定期检测，保证正常运转。维护、保养、检测应当做好记录，并由乙方安全员或代表签字。</w:t>
      </w:r>
    </w:p>
    <w:p w14:paraId="4DDD6B1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乙方应当教育和督促从业人员严格执行本单位的安全生产规章制度和安全操作规程；并向从业人员如实告知作业场所和工作岗位存在的危险因素、防范措施以及事故应急措施。</w:t>
      </w:r>
    </w:p>
    <w:p w14:paraId="2A6B0AA7">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乙方依法参加工伤保险，为从业人员缴纳保险费，并应当为从事危险作业的人员办理意外伤害保险。</w:t>
      </w:r>
    </w:p>
    <w:p w14:paraId="692F1F5C">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乙方应严格遵守国家、地方政府有关安全生产及劳动保护的法律法规、标准、规定，贯彻执行甲方的各项安全管理规章制度，严格按照生产场所操作规程制度。</w:t>
      </w:r>
    </w:p>
    <w:p w14:paraId="426991B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当服从甲方的安全管理，保证作业区域的现场文明安全管理达标，现场临时用电、机器设备、安全防护齐全、完好。接受和配合甲方的安全监督检查，乙方现场的所有安全装置、防护设施必须依据经甲方审批后的安全技术方案进行搭设、安装，乙方必须无条件保证安全防护设施使用的搭设材料的质量，在用于安全防护的物资进场前将有关物资的材质证明报甲方，经甲方确认后方可使用。</w:t>
      </w:r>
    </w:p>
    <w:p w14:paraId="2C4A7750">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39AF48CA">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甲方有权对整个作业现场的安全管理工作进行协调和监督管理。指导、监督、检查乙方的执业健康安全管理工作，对乙方作业中的违章指挥、违章作业和安全隐患提出整改意见，督促、检查乙方的隐患整改落实情况。</w:t>
      </w:r>
    </w:p>
    <w:p w14:paraId="16A1EADA">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作业过程中违反有关安全管理规定、有违章现象发生、安全问题整改不到位或拒不接受甲方的正常安全管理的，依据有关法律法规规定进行处理。乙方作业中存在重大隐患或险情时，甲方有权要求乙方立即整改直至隐患消除，若乙方整改后仍达不到甲方要求的，甲方有权</w:t>
      </w:r>
      <w:r>
        <w:rPr>
          <w:rFonts w:hint="eastAsia" w:ascii="宋体" w:hAnsi="宋体" w:eastAsia="宋体" w:cs="宋体"/>
          <w:color w:val="000000"/>
          <w:sz w:val="21"/>
          <w:szCs w:val="21"/>
          <w:lang w:val="en-US" w:eastAsia="zh-CN"/>
        </w:rPr>
        <w:t>单方</w:t>
      </w:r>
      <w:r>
        <w:rPr>
          <w:rFonts w:hint="eastAsia" w:ascii="宋体" w:hAnsi="宋体" w:eastAsia="宋体" w:cs="宋体"/>
          <w:color w:val="000000"/>
          <w:sz w:val="21"/>
          <w:szCs w:val="21"/>
        </w:rPr>
        <w:t>解除合同，并要求乙方清退出场。</w:t>
      </w:r>
    </w:p>
    <w:p w14:paraId="12DE43A6">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作业区域以外的其它工作场所活动，乙方作业人员擅自到作业区域以外的其它工作场所活动，出现人身损伤或伤亡的，由乙方自行负责一切责任。乙方作业人员需动用或作业涉及到甲方所属设备、电器、管线及其他设施等，必须事先征得甲方代表的同意，并采取安全防护措施。</w:t>
      </w:r>
    </w:p>
    <w:p w14:paraId="4D6D2BD3">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w:t>
      </w:r>
      <w:r>
        <w:rPr>
          <w:rFonts w:hint="eastAsia" w:ascii="宋体" w:hAnsi="宋体" w:eastAsia="宋体" w:cs="宋体"/>
          <w:color w:val="000000"/>
          <w:sz w:val="21"/>
          <w:szCs w:val="21"/>
          <w:lang w:val="en-US" w:eastAsia="zh-CN"/>
        </w:rPr>
        <w:t>作业人员在甲方区域内</w:t>
      </w:r>
      <w:r>
        <w:rPr>
          <w:rFonts w:hint="eastAsia" w:ascii="宋体" w:hAnsi="宋体" w:eastAsia="宋体" w:cs="宋体"/>
          <w:color w:val="000000"/>
          <w:sz w:val="21"/>
          <w:szCs w:val="21"/>
        </w:rPr>
        <w:t>存放工器具、危险的化学品或是易爆易燃物品等，并因此在甲方的区域内发生包括但不限于安全事故、治安事件等任何事故，造成乙方所属人员或第三人人身或财产损失的，由乙方承担事故的全部责任和善后事宜。</w:t>
      </w:r>
      <w:r>
        <w:rPr>
          <w:rFonts w:hint="eastAsia" w:ascii="宋体" w:hAnsi="宋体" w:eastAsia="宋体" w:cs="宋体"/>
          <w:sz w:val="21"/>
          <w:szCs w:val="21"/>
        </w:rPr>
        <w:t>若甲方代为承担相应责任的，有权全部向乙方追偿</w:t>
      </w:r>
      <w:r>
        <w:rPr>
          <w:rFonts w:hint="eastAsia" w:ascii="宋体" w:hAnsi="宋体" w:eastAsia="宋体" w:cs="宋体"/>
          <w:sz w:val="21"/>
          <w:szCs w:val="21"/>
          <w:lang w:val="en-US" w:eastAsia="zh-CN"/>
        </w:rPr>
        <w:t>并要求乙方承担违约责任</w:t>
      </w:r>
      <w:r>
        <w:rPr>
          <w:rFonts w:hint="eastAsia" w:ascii="宋体" w:hAnsi="宋体" w:eastAsia="宋体" w:cs="宋体"/>
          <w:sz w:val="21"/>
          <w:szCs w:val="21"/>
        </w:rPr>
        <w:t>。</w:t>
      </w:r>
    </w:p>
    <w:p w14:paraId="47F8B12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乙方作业人员未经许可不得随意到厂区区域以内的其它工作场所活动，活动内容包括不限于采摘水果、前往其他池体活动、攀爬构筑物等危险行为，出现人身损伤或伤亡的，由乙方自行负责一切责任。</w:t>
      </w:r>
    </w:p>
    <w:p w14:paraId="50BAB00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在作业过程中，需要进行动土、动火、登高、吊装、断路、进入限制性空间等危险性较高的作业时，乙方的作业负责人、专职或兼职安全员必须现场确认，作业前报甲方。根据甲方的关于危险作业安全要求执行。</w:t>
      </w:r>
    </w:p>
    <w:p w14:paraId="25ECEB0F">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因乙方原因，造成乙方损失，由乙方自负，给甲方造成财产损失和人员伤害，乙方要负全部责任，并全额赔偿甲方。</w:t>
      </w:r>
    </w:p>
    <w:p w14:paraId="6CBF1A0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非因甲方原因，造成乙方损失的，甲方不承担任何责任，由乙方自行承担全部责任。</w:t>
      </w:r>
    </w:p>
    <w:p w14:paraId="227FF304">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乙方应严格遵守法律法规以及甲方的安全管理要求，并接受甲方的安全生产工作协调和监督，积极消除安全隐患。安全管理的基本要求包括但不限于以下条款：</w:t>
      </w:r>
    </w:p>
    <w:p w14:paraId="1BA0975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①禁火区内严禁吸烟、动火。有火灾危险的作业区域，乙方必须配置足够的灭火设施。</w:t>
      </w:r>
    </w:p>
    <w:p w14:paraId="560D319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②焊接、气割作业时两瓶距离必须达到5M及以上，气瓶距可能产生火花的电器、设备和其它火源的间距必须达到10M及以上。</w:t>
      </w:r>
    </w:p>
    <w:p w14:paraId="44C73C3F">
      <w:pPr>
        <w:keepNext w:val="0"/>
        <w:keepLines w:val="0"/>
        <w:pageBreakBefore w:val="0"/>
        <w:widowControl w:val="0"/>
        <w:kinsoku/>
        <w:wordWrap/>
        <w:overflowPunct/>
        <w:topLinePunct w:val="0"/>
        <w:bidi w:val="0"/>
        <w:snapToGrid/>
        <w:spacing w:line="360" w:lineRule="auto"/>
        <w:ind w:left="600" w:leftChars="250" w:firstLine="0" w:firstLineChars="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③严禁</w:t>
      </w:r>
      <w:r>
        <w:rPr>
          <w:rFonts w:hint="eastAsia" w:ascii="宋体" w:hAnsi="宋体" w:eastAsia="宋体" w:cs="宋体"/>
          <w:color w:val="000000"/>
          <w:sz w:val="21"/>
          <w:szCs w:val="21"/>
          <w:lang w:val="en-US"/>
        </w:rPr>
        <w:t>在厂内道路、消防通道内搭建临时建筑或堆放物资</w:t>
      </w:r>
      <w:r>
        <w:rPr>
          <w:rFonts w:hint="eastAsia" w:ascii="宋体" w:hAnsi="宋体" w:eastAsia="宋体" w:cs="宋体"/>
          <w:color w:val="000000"/>
          <w:sz w:val="21"/>
          <w:szCs w:val="21"/>
          <w:lang w:val="en-US" w:eastAsia="zh-CN"/>
        </w:rPr>
        <w:t>；</w:t>
      </w:r>
    </w:p>
    <w:p w14:paraId="55F10B64">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严禁</w:t>
      </w:r>
      <w:r>
        <w:rPr>
          <w:rFonts w:hint="eastAsia" w:ascii="宋体" w:hAnsi="宋体" w:eastAsia="宋体" w:cs="宋体"/>
          <w:color w:val="000000"/>
          <w:sz w:val="21"/>
          <w:szCs w:val="21"/>
        </w:rPr>
        <w:t>占用、堵塞、遮掩、挪用、损毁、破坏</w:t>
      </w:r>
      <w:r>
        <w:rPr>
          <w:rFonts w:hint="eastAsia" w:ascii="宋体" w:hAnsi="宋体" w:eastAsia="宋体" w:cs="宋体"/>
          <w:color w:val="000000"/>
          <w:sz w:val="21"/>
          <w:szCs w:val="21"/>
          <w:lang w:val="en-US" w:eastAsia="zh-CN"/>
        </w:rPr>
        <w:t>或因装修作业等工作或其他原因导致消防设施设备损坏</w:t>
      </w:r>
      <w:r>
        <w:rPr>
          <w:rFonts w:hint="eastAsia" w:ascii="宋体" w:hAnsi="宋体" w:eastAsia="宋体" w:cs="宋体"/>
          <w:color w:val="000000"/>
          <w:sz w:val="21"/>
          <w:szCs w:val="21"/>
        </w:rPr>
        <w:t>。</w:t>
      </w:r>
    </w:p>
    <w:p w14:paraId="58D304C8">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④作业场所的电动工具、电焊机等须有漏电保护器和相应的安全防护装置。</w:t>
      </w:r>
    </w:p>
    <w:p w14:paraId="1001835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⑤作业现场及居住室、办公室内的用电设施必须符合要求，严禁电线乱接、乱拉，刀闸和开关无盖，在电器设施上堆放物品。</w:t>
      </w:r>
    </w:p>
    <w:p w14:paraId="66345FB5">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⑥防雷、防静电设施及用电设施要有良好接地。</w:t>
      </w:r>
    </w:p>
    <w:p w14:paraId="283A723B">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⑦作业现场的危险区域，如临边、深坑、土方堆填区等，必须设置围栏和危险标志，夜间要设信号灯。</w:t>
      </w:r>
    </w:p>
    <w:p w14:paraId="3239189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23E8CC4C">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作业指令后方可拆除，不得私自拆改任何安全防护设施。进行受限空间作业前，必须有作业票，先通风，检测氧气、有毒有害气体，确保符合作业条件，做好个人防护和专人监护后，方可进入。</w:t>
      </w:r>
    </w:p>
    <w:p w14:paraId="7EEA333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4D04804">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乙方应当定期排查并及时治理作业范围内的事故隐患，建立台账，做好相关记录，及时向甲方报告。乙方在发现重大事故隐患后不能立即治理的，应当采取必要的防范措施，并及时书面报告甲方，消除事故隐患。</w:t>
      </w:r>
    </w:p>
    <w:p w14:paraId="765468D1">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乙方必须接受甲方的检查与监督，并应主动配合，做好安全工作。乙方若有出现违反本协议</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第三条，</w:t>
      </w:r>
      <w:r>
        <w:rPr>
          <w:rFonts w:hint="eastAsia" w:ascii="宋体" w:hAnsi="宋体" w:eastAsia="宋体" w:cs="宋体"/>
          <w:color w:val="000000"/>
          <w:sz w:val="21"/>
          <w:szCs w:val="21"/>
        </w:rPr>
        <w:t>协议实施条款</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任一情形的，甲方有权要求乙方立即整改，且甲方有权视情况从工程结算款/服务价款中扣除（1000-2000）元/次作为违约金。</w:t>
      </w:r>
    </w:p>
    <w:p w14:paraId="7670F1B9">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若乙方有下列情形之一的或在整改后仍违反协议的，甲方有权单方解除合同，</w:t>
      </w:r>
      <w:r>
        <w:rPr>
          <w:rFonts w:hint="eastAsia" w:ascii="宋体" w:hAnsi="宋体" w:eastAsia="宋体" w:cs="宋体"/>
          <w:color w:val="000000"/>
          <w:sz w:val="21"/>
          <w:szCs w:val="21"/>
          <w:lang w:val="en-US" w:eastAsia="zh-CN"/>
        </w:rPr>
        <w:t>甲方有权要求</w:t>
      </w:r>
      <w:r>
        <w:rPr>
          <w:rFonts w:hint="eastAsia" w:ascii="宋体" w:hAnsi="宋体" w:eastAsia="宋体" w:cs="宋体"/>
          <w:color w:val="000000"/>
          <w:sz w:val="21"/>
          <w:szCs w:val="21"/>
        </w:rPr>
        <w:t>乙方向甲方支付</w:t>
      </w:r>
      <w:r>
        <w:rPr>
          <w:rFonts w:hint="eastAsia" w:ascii="宋体" w:hAnsi="宋体" w:eastAsia="宋体" w:cs="宋体"/>
          <w:color w:val="000000"/>
          <w:sz w:val="21"/>
          <w:szCs w:val="21"/>
          <w:lang w:val="en-US" w:eastAsia="zh-CN"/>
        </w:rPr>
        <w:t>本合同总金额的10%</w:t>
      </w:r>
      <w:r>
        <w:rPr>
          <w:rFonts w:hint="eastAsia" w:ascii="宋体" w:hAnsi="宋体" w:eastAsia="宋体" w:cs="宋体"/>
          <w:color w:val="000000"/>
          <w:sz w:val="21"/>
          <w:szCs w:val="21"/>
        </w:rPr>
        <w:t>作为违约金，同时甲方有权要求乙方承担第2</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条的违约金。造成甲方损失的，乙方需另行赔偿：</w:t>
      </w:r>
    </w:p>
    <w:p w14:paraId="0450376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①乙方不能提供与项目相匹配的营业执照、施工资质、安全生产许可证、技术人员、特种作业人员、安全员和设备设施的；</w:t>
      </w:r>
    </w:p>
    <w:p w14:paraId="61645CD6">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②乙方未对作业人员进行岗位安全操作规程和安全操作技能的教育和培训的；没有向作业人员提供劳动防护用品的；</w:t>
      </w:r>
    </w:p>
    <w:p w14:paraId="5379290F">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③乙方未对所属员工定期开展安全教育培训的；</w:t>
      </w:r>
    </w:p>
    <w:p w14:paraId="51E8207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④在开展涉及危险性较高的作业时，乙方未在作业前报甲方的；</w:t>
      </w:r>
    </w:p>
    <w:p w14:paraId="0FB6D28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⑤乙方违章作业或违章指挥作业的；</w:t>
      </w:r>
    </w:p>
    <w:p w14:paraId="3255F83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⑥乙方现场安全管理不到位或不服从甲方安全管理的；</w:t>
      </w:r>
    </w:p>
    <w:p w14:paraId="6CDD3BBA">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⑦发生事故后，乙方未及时开展应急救援工作的；</w:t>
      </w:r>
    </w:p>
    <w:p w14:paraId="0C150F4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⑨未制定与作业范围相适应的应急处置预案；</w:t>
      </w:r>
    </w:p>
    <w:p w14:paraId="768B4D14">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⑩乙方不履行协议义务或者未按协议约定履行义务的其他情况。</w:t>
      </w:r>
    </w:p>
    <w:p w14:paraId="51E30986">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乙方需</w:t>
      </w:r>
      <w:r>
        <w:rPr>
          <w:rFonts w:hint="eastAsia" w:ascii="宋体" w:hAnsi="宋体" w:eastAsia="宋体" w:cs="宋体"/>
          <w:color w:val="000000"/>
          <w:sz w:val="21"/>
          <w:szCs w:val="21"/>
        </w:rPr>
        <w:t>做好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作业安全保障工作，</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作业的范围包括但不限于：构筑物水面垃圾的打捞（含粗格栅、细格栅、生化池、沉淀池/二沉池；生化池、二沉池、滤布滤池、出水明渠、硝化池、反硝化池等构筑物）的池内清洗等。具体要求如下：</w:t>
      </w:r>
    </w:p>
    <w:p w14:paraId="59F8CEF7">
      <w:pPr>
        <w:keepNext w:val="0"/>
        <w:keepLines w:val="0"/>
        <w:pageBreakBefore w:val="0"/>
        <w:widowControl w:val="0"/>
        <w:numPr>
          <w:ilvl w:val="0"/>
          <w:numId w:val="38"/>
        </w:numPr>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乙方在实施</w:t>
      </w:r>
      <w:r>
        <w:rPr>
          <w:rFonts w:hint="eastAsia" w:ascii="宋体" w:hAnsi="宋体" w:eastAsia="宋体" w:cs="宋体"/>
          <w:color w:val="000000"/>
          <w:sz w:val="21"/>
          <w:szCs w:val="21"/>
          <w:lang w:val="en-US" w:eastAsia="zh-CN"/>
        </w:rPr>
        <w:t>临水</w:t>
      </w:r>
      <w:r>
        <w:rPr>
          <w:rFonts w:hint="eastAsia" w:ascii="宋体" w:hAnsi="宋体" w:eastAsia="宋体" w:cs="宋体"/>
          <w:color w:val="000000"/>
          <w:sz w:val="21"/>
          <w:szCs w:val="21"/>
        </w:rPr>
        <w:t>作业时，需设一名或以上监护人员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作业</w:t>
      </w:r>
      <w:r>
        <w:rPr>
          <w:rFonts w:hint="eastAsia" w:ascii="宋体" w:hAnsi="宋体" w:eastAsia="宋体" w:cs="宋体"/>
          <w:color w:val="000000"/>
          <w:sz w:val="21"/>
          <w:szCs w:val="21"/>
        </w:rPr>
        <w:t>存在</w:t>
      </w:r>
      <w:r>
        <w:rPr>
          <w:rFonts w:hint="eastAsia" w:ascii="宋体" w:hAnsi="宋体" w:eastAsia="宋体" w:cs="宋体"/>
          <w:color w:val="000000"/>
          <w:sz w:val="21"/>
          <w:szCs w:val="21"/>
          <w:lang w:val="en-US" w:eastAsia="zh-CN"/>
        </w:rPr>
        <w:t>多种</w:t>
      </w:r>
      <w:r>
        <w:rPr>
          <w:rFonts w:hint="eastAsia" w:ascii="宋体" w:hAnsi="宋体" w:eastAsia="宋体" w:cs="宋体"/>
          <w:color w:val="000000"/>
          <w:sz w:val="21"/>
          <w:szCs w:val="21"/>
        </w:rPr>
        <w:t>危险作业</w:t>
      </w:r>
      <w:r>
        <w:rPr>
          <w:rFonts w:hint="eastAsia" w:ascii="宋体" w:hAnsi="宋体" w:eastAsia="宋体" w:cs="宋体"/>
          <w:color w:val="000000"/>
          <w:sz w:val="21"/>
          <w:szCs w:val="21"/>
          <w:lang w:val="en-US" w:eastAsia="zh-CN"/>
        </w:rPr>
        <w:t>情况下，</w:t>
      </w:r>
      <w:r>
        <w:rPr>
          <w:rFonts w:hint="eastAsia" w:ascii="宋体" w:hAnsi="宋体" w:eastAsia="宋体" w:cs="宋体"/>
          <w:color w:val="000000"/>
          <w:sz w:val="21"/>
          <w:szCs w:val="21"/>
        </w:rPr>
        <w:t>需严格落实2人或2人以上为一组协同作业</w:t>
      </w:r>
      <w:r>
        <w:rPr>
          <w:rFonts w:hint="eastAsia" w:ascii="宋体" w:hAnsi="宋体" w:eastAsia="宋体" w:cs="宋体"/>
          <w:color w:val="000000"/>
          <w:sz w:val="21"/>
          <w:szCs w:val="21"/>
          <w:lang w:val="en-US" w:eastAsia="zh-CN"/>
        </w:rPr>
        <w:t>或交替作业</w:t>
      </w:r>
      <w:r>
        <w:rPr>
          <w:rFonts w:hint="eastAsia" w:ascii="宋体" w:hAnsi="宋体" w:eastAsia="宋体" w:cs="宋体"/>
          <w:color w:val="000000"/>
          <w:sz w:val="21"/>
          <w:szCs w:val="21"/>
        </w:rPr>
        <w:t>，不能单独作业。</w:t>
      </w:r>
    </w:p>
    <w:p w14:paraId="2E543198">
      <w:pPr>
        <w:keepNext w:val="0"/>
        <w:keepLines w:val="0"/>
        <w:pageBreakBefore w:val="0"/>
        <w:widowControl w:val="0"/>
        <w:numPr>
          <w:ilvl w:val="0"/>
          <w:numId w:val="38"/>
        </w:numPr>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危险作业前，必须检查作业工具是否完好，做好交底工作。</w:t>
      </w:r>
    </w:p>
    <w:p w14:paraId="578D1D50">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）危险作业时，必须做好安全防护措施（穿戴救生衣、安全绳（带）、水鞋、手套、不得穿拖鞋或凉鞋等），严格落实2人或2人以上为一组进行协同作业，不得单独作业。</w:t>
      </w:r>
    </w:p>
    <w:p w14:paraId="7D39D42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）如遇阴雨及大雾、雷暴雨、台风等恶劣天气，禁止危险作业。</w:t>
      </w:r>
    </w:p>
    <w:p w14:paraId="20C0445F">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乙方对作业过程中潜在的安全风险不明确的，不可盲目作业，否则，造成的后果由乙方独自承担。</w:t>
      </w:r>
    </w:p>
    <w:p w14:paraId="5B68D73D">
      <w:pPr>
        <w:keepNext w:val="0"/>
        <w:keepLines w:val="0"/>
        <w:pageBreakBefore w:val="0"/>
        <w:widowControl w:val="0"/>
        <w:numPr>
          <w:ilvl w:val="0"/>
          <w:numId w:val="36"/>
        </w:numPr>
        <w:kinsoku/>
        <w:wordWrap/>
        <w:overflowPunct/>
        <w:topLinePunct w:val="0"/>
        <w:bidi w:val="0"/>
        <w:snapToGrid/>
        <w:spacing w:line="360" w:lineRule="auto"/>
        <w:ind w:firstLine="400" w:firstLineChars="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本协议一式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份，甲、乙双方各执</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份，自双方</w:t>
      </w:r>
      <w:r>
        <w:rPr>
          <w:rFonts w:hint="eastAsia" w:ascii="宋体" w:hAnsi="宋体" w:eastAsia="宋体" w:cs="宋体"/>
          <w:color w:val="000000"/>
          <w:sz w:val="21"/>
          <w:szCs w:val="21"/>
          <w:lang w:val="en-US" w:eastAsia="zh-CN"/>
        </w:rPr>
        <w:t>盖章、并经双方</w:t>
      </w:r>
      <w:r>
        <w:rPr>
          <w:rFonts w:hint="eastAsia" w:ascii="宋体" w:hAnsi="宋体" w:eastAsia="宋体" w:cs="宋体"/>
          <w:color w:val="000000"/>
          <w:sz w:val="21"/>
          <w:szCs w:val="21"/>
        </w:rPr>
        <w:t>法定代表人签字后生效。</w:t>
      </w:r>
    </w:p>
    <w:p w14:paraId="78071801">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p>
    <w:p w14:paraId="34B104F9">
      <w:pPr>
        <w:keepNext w:val="0"/>
        <w:keepLines w:val="0"/>
        <w:pageBreakBefore w:val="0"/>
        <w:widowControl w:val="0"/>
        <w:kinsoku/>
        <w:wordWrap/>
        <w:overflowPunct/>
        <w:topLinePunct w:val="0"/>
        <w:bidi w:val="0"/>
        <w:snapToGrid/>
        <w:spacing w:line="360" w:lineRule="auto"/>
        <w:ind w:firstLine="426" w:firstLineChars="20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乙方声明：</w:t>
      </w:r>
    </w:p>
    <w:p w14:paraId="51734749">
      <w:pPr>
        <w:keepNext w:val="0"/>
        <w:keepLines w:val="0"/>
        <w:pageBreakBefore w:val="0"/>
        <w:widowControl w:val="0"/>
        <w:kinsoku/>
        <w:wordWrap/>
        <w:overflowPunct/>
        <w:topLinePunct w:val="0"/>
        <w:bidi w:val="0"/>
        <w:snapToGrid/>
        <w:spacing w:line="360" w:lineRule="auto"/>
        <w:ind w:firstLine="426" w:firstLineChars="20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乙方已认真阅读协议内容，对协议条款、现场的安全管理要求、安全风险充分理解，并自愿承担因违约造成的一切后果。</w:t>
      </w:r>
    </w:p>
    <w:p w14:paraId="40F1115E">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以下无正文</w:t>
      </w:r>
      <w:r>
        <w:rPr>
          <w:rFonts w:hint="eastAsia" w:ascii="宋体" w:hAnsi="宋体" w:eastAsia="宋体" w:cs="宋体"/>
          <w:color w:val="000000"/>
          <w:sz w:val="21"/>
          <w:szCs w:val="21"/>
          <w:lang w:eastAsia="zh-CN"/>
        </w:rPr>
        <w:t>）</w:t>
      </w:r>
    </w:p>
    <w:p w14:paraId="314CEFA3">
      <w:pPr>
        <w:keepNext w:val="0"/>
        <w:keepLines w:val="0"/>
        <w:pageBreakBefore w:val="0"/>
        <w:widowControl w:val="0"/>
        <w:kinsoku/>
        <w:wordWrap/>
        <w:overflowPunct/>
        <w:topLinePunct w:val="0"/>
        <w:bidi w:val="0"/>
        <w:snapToGrid/>
        <w:spacing w:line="360" w:lineRule="auto"/>
        <w:ind w:firstLine="420" w:firstLineChars="200"/>
        <w:textAlignment w:val="auto"/>
        <w:rPr>
          <w:rFonts w:hint="eastAsia" w:ascii="宋体" w:hAnsi="宋体" w:eastAsia="宋体" w:cs="宋体"/>
          <w:color w:val="000000"/>
          <w:sz w:val="21"/>
          <w:szCs w:val="21"/>
        </w:rPr>
      </w:pPr>
    </w:p>
    <w:p w14:paraId="6E983C25">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甲方（盖章）：                      乙方（盖章）： </w:t>
      </w:r>
    </w:p>
    <w:p w14:paraId="0641A5B3">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法定代表人</w:t>
      </w:r>
      <w:r>
        <w:rPr>
          <w:rFonts w:hint="eastAsia" w:ascii="宋体" w:hAnsi="宋体" w:eastAsia="宋体" w:cs="宋体"/>
          <w:color w:val="000000"/>
          <w:sz w:val="21"/>
          <w:szCs w:val="21"/>
        </w:rPr>
        <w:t xml:space="preserve">：                </w:t>
      </w:r>
      <w:r>
        <w:rPr>
          <w:rFonts w:hint="eastAsia" w:ascii="宋体" w:hAnsi="宋体" w:eastAsia="宋体" w:cs="宋体"/>
          <w:color w:val="000000"/>
          <w:sz w:val="21"/>
          <w:szCs w:val="21"/>
          <w:lang w:val="en-US" w:eastAsia="zh-CN"/>
        </w:rPr>
        <w:t>法定代表人</w:t>
      </w:r>
      <w:r>
        <w:rPr>
          <w:rFonts w:hint="eastAsia" w:ascii="宋体" w:hAnsi="宋体" w:eastAsia="宋体" w:cs="宋体"/>
          <w:color w:val="000000"/>
          <w:sz w:val="21"/>
          <w:szCs w:val="21"/>
        </w:rPr>
        <w:t>：</w:t>
      </w:r>
    </w:p>
    <w:p w14:paraId="273B9BD1">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p>
    <w:p w14:paraId="338334B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签订</w:t>
      </w:r>
      <w:r>
        <w:rPr>
          <w:rFonts w:hint="eastAsia" w:ascii="宋体" w:hAnsi="宋体" w:eastAsia="宋体" w:cs="宋体"/>
          <w:color w:val="000000"/>
          <w:sz w:val="21"/>
          <w:szCs w:val="21"/>
        </w:rPr>
        <w:t>日期：</w:t>
      </w:r>
    </w:p>
    <w:p w14:paraId="1BDD8C8F">
      <w:pPr>
        <w:keepNext w:val="0"/>
        <w:keepLines w:val="0"/>
        <w:pageBreakBefore w:val="0"/>
        <w:widowControl w:val="0"/>
        <w:kinsoku/>
        <w:wordWrap/>
        <w:overflowPunct/>
        <w:topLinePunct w:val="0"/>
        <w:bidi w:val="0"/>
        <w:snapToGrid/>
        <w:spacing w:line="360" w:lineRule="auto"/>
        <w:textAlignment w:val="auto"/>
        <w:rPr>
          <w:rFonts w:ascii="仿宋" w:hAnsi="仿宋" w:eastAsia="仿宋" w:cs="仿宋"/>
          <w:color w:val="000000"/>
          <w:sz w:val="28"/>
          <w:szCs w:val="28"/>
        </w:rPr>
      </w:pPr>
      <w:r>
        <w:rPr>
          <w:rFonts w:hint="eastAsia" w:ascii="宋体" w:hAnsi="宋体" w:eastAsia="宋体" w:cs="宋体"/>
          <w:color w:val="000000"/>
          <w:sz w:val="21"/>
          <w:szCs w:val="21"/>
          <w:lang w:val="en-US" w:eastAsia="zh-CN"/>
        </w:rPr>
        <w:t>签订地点：广东省东莞市</w:t>
      </w:r>
      <w:r>
        <w:rPr>
          <w:rFonts w:hint="eastAsia" w:ascii="宋体" w:hAnsi="宋体" w:eastAsia="宋体" w:cs="宋体"/>
          <w:color w:val="000000"/>
          <w:sz w:val="21"/>
          <w:szCs w:val="21"/>
        </w:rPr>
        <w:t xml:space="preserve">             </w:t>
      </w:r>
      <w:r>
        <w:rPr>
          <w:rFonts w:ascii="仿宋" w:hAnsi="仿宋" w:eastAsia="仿宋" w:cs="仿宋"/>
          <w:color w:val="000000"/>
          <w:sz w:val="28"/>
          <w:szCs w:val="28"/>
        </w:rPr>
        <w:t xml:space="preserve">            </w:t>
      </w:r>
    </w:p>
    <w:p w14:paraId="3F342FD8">
      <w:pPr>
        <w:spacing w:line="240" w:lineRule="auto"/>
        <w:rPr>
          <w:rFonts w:ascii="仿宋" w:hAnsi="仿宋" w:eastAsia="仿宋" w:cs="仿宋"/>
          <w:color w:val="000000"/>
          <w:sz w:val="28"/>
          <w:szCs w:val="28"/>
        </w:rPr>
      </w:pPr>
    </w:p>
    <w:p w14:paraId="468D0B60">
      <w:pPr>
        <w:spacing w:line="240" w:lineRule="auto"/>
        <w:rPr>
          <w:rFonts w:ascii="仿宋" w:hAnsi="仿宋" w:eastAsia="仿宋" w:cs="仿宋"/>
          <w:color w:val="000000"/>
          <w:sz w:val="28"/>
          <w:szCs w:val="28"/>
        </w:rPr>
      </w:pPr>
    </w:p>
    <w:p w14:paraId="651E0A70">
      <w:pPr>
        <w:spacing w:line="240" w:lineRule="auto"/>
        <w:rPr>
          <w:rFonts w:ascii="仿宋" w:hAnsi="仿宋" w:eastAsia="仿宋" w:cs="仿宋"/>
          <w:color w:val="000000"/>
          <w:sz w:val="28"/>
          <w:szCs w:val="28"/>
        </w:rPr>
      </w:pPr>
    </w:p>
    <w:p w14:paraId="3DB99876">
      <w:pPr>
        <w:spacing w:line="240" w:lineRule="auto"/>
        <w:rPr>
          <w:rFonts w:ascii="仿宋" w:hAnsi="仿宋" w:eastAsia="仿宋" w:cs="仿宋"/>
          <w:color w:val="000000"/>
          <w:sz w:val="28"/>
          <w:szCs w:val="28"/>
        </w:rPr>
      </w:pPr>
    </w:p>
    <w:p w14:paraId="3AD21CBD">
      <w:pPr>
        <w:spacing w:line="240" w:lineRule="auto"/>
        <w:rPr>
          <w:rFonts w:ascii="仿宋" w:hAnsi="仿宋" w:eastAsia="仿宋" w:cs="仿宋"/>
          <w:color w:val="000000"/>
          <w:sz w:val="28"/>
          <w:szCs w:val="28"/>
        </w:rPr>
      </w:pPr>
    </w:p>
    <w:p w14:paraId="015E76A0">
      <w:pPr>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val="en-US" w:eastAsia="zh-CN"/>
        </w:rPr>
        <w:br w:type="page"/>
      </w:r>
    </w:p>
    <w:p w14:paraId="2CBEC2E6">
      <w:pPr>
        <w:spacing w:line="580" w:lineRule="exact"/>
        <w:jc w:val="left"/>
        <w:rPr>
          <w:rFonts w:hint="eastAsia" w:ascii="宋体" w:hAnsi="宋体" w:eastAsia="宋体" w:cs="宋体"/>
          <w:b/>
          <w:bCs w:val="0"/>
          <w:color w:val="000000"/>
          <w:sz w:val="32"/>
          <w:szCs w:val="32"/>
          <w:lang w:val="en-US" w:eastAsia="zh-CN"/>
        </w:rPr>
      </w:pPr>
      <w:r>
        <w:rPr>
          <w:rFonts w:hint="eastAsia" w:ascii="宋体" w:hAnsi="宋体" w:eastAsia="宋体" w:cs="宋体"/>
          <w:b/>
          <w:bCs w:val="0"/>
          <w:color w:val="000000"/>
          <w:sz w:val="32"/>
          <w:szCs w:val="32"/>
          <w:lang w:val="en-US" w:eastAsia="zh-CN"/>
        </w:rPr>
        <w:t>附件</w:t>
      </w:r>
      <w:r>
        <w:rPr>
          <w:rFonts w:hint="eastAsia" w:ascii="宋体" w:hAnsi="宋体" w:cs="宋体"/>
          <w:b/>
          <w:bCs w:val="0"/>
          <w:color w:val="000000"/>
          <w:sz w:val="32"/>
          <w:szCs w:val="32"/>
          <w:lang w:val="en-US" w:eastAsia="zh-CN"/>
        </w:rPr>
        <w:t>3</w:t>
      </w:r>
      <w:r>
        <w:rPr>
          <w:rFonts w:hint="eastAsia" w:ascii="宋体" w:hAnsi="宋体" w:eastAsia="宋体" w:cs="宋体"/>
          <w:b/>
          <w:bCs w:val="0"/>
          <w:color w:val="000000"/>
          <w:sz w:val="32"/>
          <w:szCs w:val="32"/>
          <w:lang w:val="en-US" w:eastAsia="zh-CN"/>
        </w:rPr>
        <w:t>.</w:t>
      </w:r>
      <w:r>
        <w:rPr>
          <w:rFonts w:hint="eastAsia" w:ascii="宋体" w:hAnsi="宋体" w:eastAsia="宋体" w:cs="宋体"/>
          <w:b/>
          <w:bCs w:val="0"/>
          <w:color w:val="000000"/>
          <w:sz w:val="32"/>
          <w:szCs w:val="32"/>
        </w:rPr>
        <w:t>阳光合作告知函</w:t>
      </w:r>
    </w:p>
    <w:p w14:paraId="08D66C34">
      <w:pPr>
        <w:spacing w:line="580" w:lineRule="exact"/>
        <w:jc w:val="center"/>
        <w:rPr>
          <w:rFonts w:hint="eastAsia" w:ascii="宋体" w:hAnsi="宋体" w:eastAsia="宋体" w:cs="宋体"/>
          <w:bCs/>
          <w:color w:val="000000"/>
          <w:sz w:val="21"/>
          <w:szCs w:val="21"/>
        </w:rPr>
      </w:pPr>
      <w:r>
        <w:rPr>
          <w:rFonts w:hint="eastAsia" w:ascii="宋体" w:hAnsi="宋体" w:eastAsia="宋体" w:cs="宋体"/>
          <w:bCs/>
          <w:color w:val="000000"/>
          <w:sz w:val="21"/>
          <w:szCs w:val="21"/>
        </w:rPr>
        <w:t>阳光合作告知函</w:t>
      </w:r>
    </w:p>
    <w:p w14:paraId="2074D4A8">
      <w:pPr>
        <w:spacing w:line="560" w:lineRule="exact"/>
        <w:rPr>
          <w:rFonts w:hint="eastAsia" w:ascii="宋体" w:hAnsi="宋体" w:eastAsia="宋体" w:cs="宋体"/>
          <w:b/>
          <w:bCs/>
          <w:sz w:val="21"/>
          <w:szCs w:val="21"/>
        </w:rPr>
      </w:pPr>
    </w:p>
    <w:p w14:paraId="30D41C36">
      <w:pPr>
        <w:spacing w:line="560" w:lineRule="exact"/>
        <w:rPr>
          <w:rFonts w:hint="eastAsia" w:ascii="宋体" w:hAnsi="宋体" w:eastAsia="宋体" w:cs="宋体"/>
          <w:sz w:val="21"/>
          <w:szCs w:val="21"/>
        </w:rPr>
      </w:pPr>
      <w:r>
        <w:rPr>
          <w:rFonts w:hint="eastAsia" w:ascii="宋体" w:hAnsi="宋体" w:eastAsia="宋体" w:cs="宋体"/>
          <w:b/>
          <w:bCs/>
          <w:sz w:val="21"/>
          <w:szCs w:val="21"/>
        </w:rPr>
        <w:t>项目名称：</w:t>
      </w:r>
      <w:r>
        <w:rPr>
          <w:rFonts w:hint="eastAsia" w:ascii="宋体" w:hAnsi="宋体" w:eastAsia="宋体" w:cs="宋体"/>
          <w:b/>
          <w:bCs/>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合同</w:t>
      </w:r>
      <w:r>
        <w:rPr>
          <w:rFonts w:hint="eastAsia" w:ascii="宋体" w:hAnsi="宋体" w:eastAsia="宋体" w:cs="宋体"/>
          <w:sz w:val="21"/>
          <w:szCs w:val="21"/>
        </w:rPr>
        <w:t>编号：</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p>
    <w:p w14:paraId="32C8199B">
      <w:pPr>
        <w:pStyle w:val="56"/>
        <w:snapToGrid w:val="0"/>
        <w:spacing w:line="580" w:lineRule="exact"/>
        <w:ind w:firstLine="0"/>
        <w:rPr>
          <w:rFonts w:hint="eastAsia" w:ascii="宋体" w:hAnsi="宋体" w:eastAsia="宋体" w:cs="宋体"/>
          <w:color w:val="000000"/>
          <w:sz w:val="21"/>
          <w:szCs w:val="21"/>
          <w:u w:val="single"/>
        </w:rPr>
      </w:pPr>
      <w:r>
        <w:rPr>
          <w:rFonts w:hint="eastAsia" w:ascii="宋体" w:hAnsi="宋体" w:eastAsia="宋体" w:cs="宋体"/>
          <w:b/>
          <w:bCs/>
          <w:kern w:val="2"/>
          <w:sz w:val="21"/>
          <w:szCs w:val="21"/>
          <w:u w:val="single"/>
          <w:lang w:val="en-US" w:eastAsia="zh-CN" w:bidi="ar-SA"/>
        </w:rPr>
        <w:t xml:space="preserve">                   </w:t>
      </w:r>
      <w:r>
        <w:rPr>
          <w:rFonts w:hint="eastAsia" w:ascii="宋体" w:hAnsi="宋体" w:eastAsia="宋体" w:cs="宋体"/>
          <w:color w:val="000000"/>
          <w:sz w:val="21"/>
          <w:szCs w:val="21"/>
        </w:rPr>
        <w:t xml:space="preserve">：                          </w:t>
      </w:r>
    </w:p>
    <w:p w14:paraId="78FCC848">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为保证</w:t>
      </w:r>
      <w:r>
        <w:rPr>
          <w:rFonts w:hint="eastAsia" w:ascii="宋体" w:hAnsi="宋体" w:eastAsia="宋体" w:cs="宋体"/>
          <w:sz w:val="21"/>
          <w:szCs w:val="21"/>
          <w:lang w:val="en-US" w:eastAsia="zh-CN"/>
        </w:rPr>
        <w:t>我集团</w:t>
      </w:r>
      <w:r>
        <w:rPr>
          <w:rFonts w:hint="eastAsia" w:ascii="宋体" w:hAnsi="宋体" w:eastAsia="宋体" w:cs="宋体"/>
          <w:sz w:val="21"/>
          <w:szCs w:val="21"/>
        </w:rPr>
        <w:t>人员廉洁从业，规范和鼓励诚信交易行为，防止腐败和商业贿赂发生，推动双方建立阳光合作关系，现将我方推行阳光合作的相关管理规定函告如下：</w:t>
      </w:r>
    </w:p>
    <w:p w14:paraId="1C0D4077">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一、我方负责对本单位有关人员进行阳光合作教育和管理。</w:t>
      </w:r>
    </w:p>
    <w:p w14:paraId="19F1302D">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二、我方人员有责任向贵方介绍本单位有关阳光合作的相关规定。</w:t>
      </w:r>
    </w:p>
    <w:p w14:paraId="33E44312">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三、我方人员应本着诚实守信、公平公开、平等互利原则开展交易合作，遵守国家相关法律法规。</w:t>
      </w:r>
    </w:p>
    <w:p w14:paraId="52E38052">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四、我方人员应廉洁从业，自觉抵制商业贿赂及不正当交易行为，在交易业务中涉及本人、亲属或其他相关人员时，应主动提请回避。</w:t>
      </w:r>
    </w:p>
    <w:p w14:paraId="3030375A">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五、在业务合作过程中，我方人员不得有以下违法违规行为：</w:t>
      </w:r>
    </w:p>
    <w:p w14:paraId="50A3078F">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（一）合作过程中通过各种方式向贵方索贿、行贿，或为亲属、其他相关人员索取其他协助或服务； </w:t>
      </w:r>
    </w:p>
    <w:p w14:paraId="356FDC05">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（二）合作过程中通过各种方式收受贵方财物、服务，或为他人谋取不正当利益，包括但不限于：实物、现金、有价证券、礼券等有价物品（以下统称</w:t>
      </w:r>
      <w:r>
        <w:rPr>
          <w:rFonts w:hint="eastAsia" w:ascii="宋体" w:hAnsi="宋体" w:eastAsia="宋体" w:cs="宋体"/>
          <w:sz w:val="21"/>
          <w:szCs w:val="21"/>
          <w:lang w:eastAsia="zh-CN"/>
        </w:rPr>
        <w:t>“</w:t>
      </w:r>
      <w:r>
        <w:rPr>
          <w:rFonts w:hint="eastAsia" w:ascii="宋体" w:hAnsi="宋体" w:eastAsia="宋体" w:cs="宋体"/>
          <w:sz w:val="21"/>
          <w:szCs w:val="21"/>
        </w:rPr>
        <w:t>财物</w:t>
      </w:r>
      <w:r>
        <w:rPr>
          <w:rFonts w:hint="eastAsia" w:ascii="宋体" w:hAnsi="宋体" w:eastAsia="宋体" w:cs="宋体"/>
          <w:sz w:val="21"/>
          <w:szCs w:val="21"/>
          <w:lang w:eastAsia="zh-CN"/>
        </w:rPr>
        <w:t>”</w:t>
      </w:r>
      <w:r>
        <w:rPr>
          <w:rFonts w:hint="eastAsia" w:ascii="宋体" w:hAnsi="宋体" w:eastAsia="宋体" w:cs="宋体"/>
          <w:sz w:val="21"/>
          <w:szCs w:val="21"/>
        </w:rPr>
        <w:t>），不得参加贵方提供的旅游或其他可能影响职务廉洁的活动；</w:t>
      </w:r>
    </w:p>
    <w:p w14:paraId="2B570B96">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（三）擅自截留、挪用或侵占贵方财物； </w:t>
      </w:r>
    </w:p>
    <w:p w14:paraId="3863548F">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（四）以各种形式参与民间借贷，帮助贵方过桥借贷； </w:t>
      </w:r>
    </w:p>
    <w:p w14:paraId="64E768EA">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（五）参与黄、赌、毒等违法犯罪活动；</w:t>
      </w:r>
    </w:p>
    <w:p w14:paraId="11A1D5B6">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（六）其他违反国家法律法规和违反廉洁从业的行为。 </w:t>
      </w:r>
    </w:p>
    <w:p w14:paraId="135BB894">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六、在业务合作期间，我方有权通过回访等方式监督阳光合作执行情况。贵方及贵方人员发现我方任何人员任何形式的行贿、索贿、受贿或其他违反阳光合作的行为，可及时向我方举报。</w:t>
      </w:r>
    </w:p>
    <w:p w14:paraId="67329C79">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七、烦请贵方及贵方人员在投诉举报时，积极配合我方的相关调查工作，并提供联系方式等，便于我方纪检监察机构联系与调查核实。我方承诺对贵方的投诉举报人进行保密。</w:t>
      </w:r>
    </w:p>
    <w:p w14:paraId="7B4BA90C">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八、贵方投诉举报的情况，经查证属实，我方将视情节轻重和影响恶劣程度对相关人员进行内部处理</w:t>
      </w:r>
      <w:r>
        <w:rPr>
          <w:rFonts w:hint="eastAsia" w:ascii="宋体" w:hAnsi="宋体" w:eastAsia="宋体" w:cs="宋体"/>
          <w:sz w:val="21"/>
          <w:szCs w:val="21"/>
          <w:lang w:eastAsia="zh-CN"/>
        </w:rPr>
        <w:t>；</w:t>
      </w:r>
      <w:r>
        <w:rPr>
          <w:rFonts w:hint="eastAsia" w:ascii="宋体" w:hAnsi="宋体" w:eastAsia="宋体" w:cs="宋体"/>
          <w:sz w:val="21"/>
          <w:szCs w:val="21"/>
        </w:rPr>
        <w:t>构成犯罪的，依法移送司法机关处置，并将调查结果及时向贵方反馈。</w:t>
      </w:r>
    </w:p>
    <w:p w14:paraId="335D95C6">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九、如贵方经办人员或其他相关人员主动诱使我方人员作出本告知函第五点列明的违法违规行为的，我方有权终止双方的合作，由此造成的损失由贵方承担。</w:t>
      </w:r>
    </w:p>
    <w:p w14:paraId="21E9A136">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十、我方对如实举报和严格遵守阳光合作精神的合作方，在同等条件下给予后续合作的优先权。</w:t>
      </w:r>
    </w:p>
    <w:p w14:paraId="4D5889BD">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十一、其他</w:t>
      </w:r>
    </w:p>
    <w:p w14:paraId="179FD3D6">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（一）本告知函所言“其他相关人员”是指经办人以外的与合作项目有直接或间接利益关系的人员，包括但不仅限于项目经办人的亲友。</w:t>
      </w:r>
    </w:p>
    <w:p w14:paraId="1D41FEDC">
      <w:pPr>
        <w:pStyle w:val="56"/>
        <w:snapToGrid w:val="0"/>
        <w:spacing w:line="5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（二）我方常设投诉举报受理部门及联系方式： </w:t>
      </w:r>
    </w:p>
    <w:p w14:paraId="3E3E6D51">
      <w:pPr>
        <w:pStyle w:val="56"/>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1.投诉举报受理部门：</w:t>
      </w:r>
      <w:r>
        <w:rPr>
          <w:rFonts w:hint="eastAsia" w:ascii="宋体" w:hAnsi="宋体" w:eastAsia="宋体" w:cs="宋体"/>
          <w:sz w:val="21"/>
          <w:szCs w:val="21"/>
          <w:lang w:val="en-US" w:eastAsia="zh-CN"/>
        </w:rPr>
        <w:t>东莞市水务集团有限公司</w:t>
      </w:r>
      <w:r>
        <w:rPr>
          <w:rFonts w:hint="eastAsia" w:ascii="宋体" w:hAnsi="宋体" w:eastAsia="宋体" w:cs="宋体"/>
          <w:sz w:val="21"/>
          <w:szCs w:val="21"/>
        </w:rPr>
        <w:t>纪检监察部；</w:t>
      </w:r>
    </w:p>
    <w:p w14:paraId="3EDB0644">
      <w:pPr>
        <w:pStyle w:val="56"/>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.投诉举报电话：</w:t>
      </w:r>
      <w:r>
        <w:rPr>
          <w:rFonts w:hint="eastAsia" w:ascii="宋体" w:hAnsi="宋体" w:eastAsia="宋体" w:cs="宋体"/>
          <w:sz w:val="21"/>
          <w:szCs w:val="21"/>
        </w:rPr>
        <w:t>0769–28823293（</w:t>
      </w:r>
      <w:r>
        <w:rPr>
          <w:rFonts w:hint="eastAsia" w:ascii="宋体" w:hAnsi="宋体" w:eastAsia="宋体" w:cs="宋体"/>
          <w:sz w:val="21"/>
          <w:szCs w:val="21"/>
          <w:lang w:val="en-US" w:eastAsia="zh-CN"/>
        </w:rPr>
        <w:t>星期</w:t>
      </w:r>
      <w:r>
        <w:rPr>
          <w:rFonts w:hint="eastAsia" w:ascii="宋体" w:hAnsi="宋体" w:eastAsia="宋体" w:cs="宋体"/>
          <w:sz w:val="21"/>
          <w:szCs w:val="21"/>
        </w:rPr>
        <w:t>一至</w:t>
      </w:r>
      <w:r>
        <w:rPr>
          <w:rFonts w:hint="eastAsia" w:ascii="宋体" w:hAnsi="宋体" w:eastAsia="宋体" w:cs="宋体"/>
          <w:sz w:val="21"/>
          <w:szCs w:val="21"/>
          <w:lang w:val="en-US" w:eastAsia="zh-CN"/>
        </w:rPr>
        <w:t>星期</w:t>
      </w:r>
      <w:r>
        <w:rPr>
          <w:rFonts w:hint="eastAsia" w:ascii="宋体" w:hAnsi="宋体" w:eastAsia="宋体" w:cs="宋体"/>
          <w:sz w:val="21"/>
          <w:szCs w:val="21"/>
        </w:rPr>
        <w:t>五：</w:t>
      </w:r>
      <w:r>
        <w:rPr>
          <w:rFonts w:hint="eastAsia" w:ascii="宋体" w:hAnsi="宋体" w:eastAsia="宋体" w:cs="宋体"/>
          <w:sz w:val="21"/>
          <w:szCs w:val="21"/>
          <w:lang w:val="en-US" w:eastAsia="zh-CN"/>
        </w:rPr>
        <w:t>8</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1</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0）；</w:t>
      </w:r>
    </w:p>
    <w:p w14:paraId="6BF522FD">
      <w:pPr>
        <w:pStyle w:val="56"/>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3</w:t>
      </w:r>
      <w:r>
        <w:rPr>
          <w:rFonts w:hint="eastAsia" w:ascii="宋体" w:hAnsi="宋体" w:eastAsia="宋体" w:cs="宋体"/>
          <w:b/>
          <w:bCs/>
          <w:sz w:val="21"/>
          <w:szCs w:val="21"/>
        </w:rPr>
        <w:t>.联系地址：</w:t>
      </w:r>
      <w:r>
        <w:rPr>
          <w:rFonts w:hint="eastAsia" w:ascii="宋体" w:hAnsi="宋体" w:eastAsia="宋体" w:cs="宋体"/>
          <w:sz w:val="21"/>
          <w:szCs w:val="21"/>
        </w:rPr>
        <w:t>东莞市东城街道育华路1号；</w:t>
      </w:r>
    </w:p>
    <w:p w14:paraId="50F641A1">
      <w:pPr>
        <w:pStyle w:val="56"/>
        <w:snapToGrid w:val="0"/>
        <w:spacing w:line="58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.邮编：</w:t>
      </w:r>
      <w:r>
        <w:rPr>
          <w:rFonts w:hint="eastAsia" w:ascii="宋体" w:hAnsi="宋体" w:eastAsia="宋体" w:cs="宋体"/>
          <w:sz w:val="21"/>
          <w:szCs w:val="21"/>
        </w:rPr>
        <w:t>523000。</w:t>
      </w:r>
    </w:p>
    <w:p w14:paraId="44ACEFC1">
      <w:pPr>
        <w:pStyle w:val="56"/>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让我们共同为建立健康、公平的商业秩序和实现双赢而努力</w:t>
      </w:r>
      <w:r>
        <w:rPr>
          <w:rFonts w:hint="eastAsia" w:ascii="宋体" w:hAnsi="宋体" w:eastAsia="宋体" w:cs="宋体"/>
          <w:sz w:val="21"/>
          <w:szCs w:val="21"/>
          <w:lang w:val="en-US" w:eastAsia="zh-CN"/>
        </w:rPr>
        <w:t>。</w:t>
      </w:r>
    </w:p>
    <w:p w14:paraId="263C4192">
      <w:pPr>
        <w:pStyle w:val="56"/>
        <w:snapToGrid w:val="0"/>
        <w:spacing w:line="58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特此致函</w:t>
      </w:r>
      <w:r>
        <w:rPr>
          <w:rFonts w:hint="eastAsia" w:ascii="宋体" w:hAnsi="宋体" w:eastAsia="宋体" w:cs="宋体"/>
          <w:sz w:val="21"/>
          <w:szCs w:val="21"/>
          <w:lang w:eastAsia="zh-CN"/>
        </w:rPr>
        <w:t>。</w:t>
      </w:r>
    </w:p>
    <w:p w14:paraId="73EECFFC">
      <w:pPr>
        <w:pStyle w:val="56"/>
        <w:snapToGrid w:val="0"/>
        <w:spacing w:line="580" w:lineRule="exact"/>
        <w:ind w:firstLine="420" w:firstLineChars="200"/>
        <w:rPr>
          <w:rFonts w:hint="eastAsia" w:ascii="宋体" w:hAnsi="宋体" w:eastAsia="宋体" w:cs="宋体"/>
          <w:sz w:val="21"/>
          <w:szCs w:val="21"/>
        </w:rPr>
      </w:pPr>
    </w:p>
    <w:p w14:paraId="7F8861D0">
      <w:pPr>
        <w:pStyle w:val="56"/>
        <w:snapToGrid w:val="0"/>
        <w:spacing w:line="580" w:lineRule="exact"/>
        <w:ind w:firstLine="420" w:firstLineChars="200"/>
        <w:rPr>
          <w:rFonts w:hint="eastAsia" w:ascii="宋体" w:hAnsi="宋体" w:eastAsia="宋体" w:cs="宋体"/>
          <w:sz w:val="21"/>
          <w:szCs w:val="21"/>
        </w:rPr>
      </w:pPr>
    </w:p>
    <w:p w14:paraId="2E205F4A">
      <w:pPr>
        <w:pStyle w:val="56"/>
        <w:wordWrap w:val="0"/>
        <w:snapToGrid w:val="0"/>
        <w:spacing w:line="580" w:lineRule="exact"/>
        <w:ind w:firstLine="0"/>
        <w:jc w:val="righ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东莞市众源环境投资有限公司</w:t>
      </w:r>
    </w:p>
    <w:p w14:paraId="5D9C5584">
      <w:pPr>
        <w:pStyle w:val="56"/>
        <w:snapToGrid w:val="0"/>
        <w:spacing w:line="580" w:lineRule="exact"/>
        <w:ind w:firstLine="3990" w:firstLineChars="1900"/>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bookmarkStart w:id="13" w:name="现场签证通知单"/>
      <w:bookmarkEnd w:id="13"/>
      <w:bookmarkStart w:id="14" w:name="设计变更通知单"/>
      <w:bookmarkEnd w:id="14"/>
    </w:p>
    <w:p w14:paraId="08551FA6">
      <w:pPr>
        <w:pStyle w:val="56"/>
        <w:snapToGrid w:val="0"/>
        <w:spacing w:line="580" w:lineRule="exact"/>
        <w:ind w:firstLine="0"/>
        <w:jc w:val="center"/>
        <w:rPr>
          <w:rFonts w:ascii="仿宋_GB2312" w:hAnsi="Times New Roman" w:eastAsia="仿宋_GB2312"/>
          <w:sz w:val="32"/>
          <w:szCs w:val="32"/>
        </w:rPr>
      </w:pPr>
    </w:p>
    <w:p w14:paraId="291E1B6C">
      <w:pPr>
        <w:pStyle w:val="56"/>
        <w:snapToGrid w:val="0"/>
        <w:spacing w:line="580" w:lineRule="exact"/>
        <w:ind w:firstLine="0"/>
        <w:jc w:val="center"/>
        <w:rPr>
          <w:rFonts w:ascii="仿宋_GB2312" w:hAnsi="Times New Roman" w:eastAsia="仿宋_GB2312"/>
          <w:sz w:val="32"/>
          <w:szCs w:val="32"/>
        </w:rPr>
      </w:pPr>
    </w:p>
    <w:p w14:paraId="09E5E006">
      <w:pPr>
        <w:pStyle w:val="56"/>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14:paraId="32271DBE">
      <w:pPr>
        <w:pStyle w:val="56"/>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14:paraId="353EC907">
      <w:pPr>
        <w:pStyle w:val="56"/>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hint="eastAsia" w:ascii="Times New Roman" w:hAnsi="Times New Roman" w:eastAsia="楷体_GB2312"/>
          <w:sz w:val="28"/>
          <w:szCs w:val="28"/>
          <w:lang w:val="en-US" w:eastAsia="zh-CN"/>
        </w:rPr>
        <w:t xml:space="preserve">   </w:t>
      </w:r>
    </w:p>
    <w:p w14:paraId="0EFADE91">
      <w:pPr>
        <w:pStyle w:val="56"/>
        <w:snapToGrid w:val="0"/>
        <w:spacing w:line="580" w:lineRule="exact"/>
        <w:ind w:firstLine="0"/>
        <w:jc w:val="center"/>
        <w:rPr>
          <w:rFonts w:ascii="楷体_GB2312" w:hAnsi="Times New Roman" w:eastAsia="楷体_GB2312"/>
          <w:sz w:val="28"/>
          <w:szCs w:val="28"/>
          <w:lang w:val="zh-CN"/>
        </w:rPr>
      </w:pPr>
    </w:p>
    <w:p w14:paraId="6265C447">
      <w:pPr>
        <w:autoSpaceDE w:val="0"/>
        <w:autoSpaceDN w:val="0"/>
        <w:adjustRightInd w:val="0"/>
        <w:spacing w:line="580" w:lineRule="exact"/>
        <w:ind w:firstLine="600" w:firstLineChars="250"/>
        <w:jc w:val="left"/>
        <w:rPr>
          <w:rFonts w:cs="Times New Roman"/>
          <w:kern w:val="0"/>
          <w:lang w:val="zh-CN"/>
        </w:rPr>
      </w:pPr>
      <w:r>
        <w:rPr>
          <w:rFonts w:cs="Times New Roman"/>
          <w:lang w:val="zh-CN"/>
        </w:rPr>
        <w:t>我单位于</w:t>
      </w:r>
      <w:r>
        <w:rPr>
          <w:rFonts w:cs="Times New Roman"/>
          <w:u w:val="single"/>
          <w:lang w:val="zh-CN"/>
        </w:rPr>
        <w:t xml:space="preserve">       </w:t>
      </w:r>
      <w:r>
        <w:rPr>
          <w:rFonts w:cs="Times New Roman"/>
          <w:lang w:val="zh-CN"/>
        </w:rPr>
        <w:t>年</w:t>
      </w:r>
      <w:r>
        <w:rPr>
          <w:rFonts w:cs="Times New Roman"/>
          <w:u w:val="single"/>
          <w:lang w:val="zh-CN"/>
        </w:rPr>
        <w:t xml:space="preserve">    </w:t>
      </w:r>
      <w:r>
        <w:rPr>
          <w:rFonts w:cs="Times New Roman"/>
          <w:lang w:val="zh-CN"/>
        </w:rPr>
        <w:t>月</w:t>
      </w:r>
      <w:r>
        <w:rPr>
          <w:rFonts w:cs="Times New Roman"/>
          <w:u w:val="single"/>
          <w:lang w:val="zh-CN"/>
        </w:rPr>
        <w:t xml:space="preserve">    </w:t>
      </w:r>
      <w:r>
        <w:rPr>
          <w:rFonts w:cs="Times New Roman"/>
          <w:lang w:val="zh-CN"/>
        </w:rPr>
        <w:t>日收到</w:t>
      </w:r>
      <w:r>
        <w:rPr>
          <w:rFonts w:cs="Times New Roman"/>
          <w:u w:val="single"/>
        </w:rPr>
        <w:t xml:space="preserve">  </w:t>
      </w:r>
      <w:r>
        <w:rPr>
          <w:rFonts w:hint="eastAsia" w:cs="Times New Roman"/>
          <w:u w:val="single"/>
          <w:lang w:val="en-US" w:eastAsia="zh-CN"/>
        </w:rPr>
        <w:t xml:space="preserve">             </w:t>
      </w:r>
      <w:r>
        <w:rPr>
          <w:rFonts w:cs="Times New Roman"/>
          <w:u w:val="single"/>
        </w:rPr>
        <w:t xml:space="preserve">  </w:t>
      </w:r>
      <w:r>
        <w:rPr>
          <w:rFonts w:hint="eastAsia" w:cs="Times New Roman"/>
          <w:u w:val="none"/>
          <w:lang w:val="en-US" w:eastAsia="zh-CN"/>
        </w:rPr>
        <w:t>公司</w:t>
      </w:r>
      <w:r>
        <w:rPr>
          <w:rFonts w:cs="Times New Roman"/>
          <w:lang w:val="zh-CN"/>
        </w:rPr>
        <w:t>的《阳光合作告知</w:t>
      </w:r>
      <w:r>
        <w:rPr>
          <w:rFonts w:cs="Times New Roman"/>
          <w:kern w:val="0"/>
          <w:lang w:val="zh-CN"/>
        </w:rPr>
        <w:t>函</w:t>
      </w:r>
      <w:r>
        <w:rPr>
          <w:rFonts w:cs="Times New Roman"/>
          <w:lang w:val="zh-CN"/>
        </w:rPr>
        <w:t>》</w:t>
      </w:r>
      <w:r>
        <w:rPr>
          <w:rFonts w:cs="Times New Roman"/>
          <w:kern w:val="0"/>
          <w:lang w:val="zh-CN"/>
        </w:rPr>
        <w:t>，承诺理解函告内容并告知相关人员严格执行其中规定。</w:t>
      </w:r>
    </w:p>
    <w:p w14:paraId="1E41F7B4">
      <w:pPr>
        <w:autoSpaceDE w:val="0"/>
        <w:autoSpaceDN w:val="0"/>
        <w:adjustRightInd w:val="0"/>
        <w:snapToGrid w:val="0"/>
        <w:spacing w:line="580" w:lineRule="exact"/>
        <w:jc w:val="left"/>
        <w:rPr>
          <w:rFonts w:cs="Times New Roman"/>
          <w:lang w:val="zh-CN"/>
        </w:rPr>
      </w:pPr>
    </w:p>
    <w:p w14:paraId="2F67448B">
      <w:pPr>
        <w:autoSpaceDE w:val="0"/>
        <w:autoSpaceDN w:val="0"/>
        <w:adjustRightInd w:val="0"/>
        <w:snapToGrid w:val="0"/>
        <w:spacing w:line="580" w:lineRule="exact"/>
        <w:jc w:val="left"/>
        <w:rPr>
          <w:rFonts w:cs="Times New Roman"/>
          <w:lang w:val="zh-CN"/>
        </w:rPr>
      </w:pPr>
      <w:r>
        <w:rPr>
          <w:rFonts w:cs="Times New Roman"/>
          <w:lang w:val="zh-CN"/>
        </w:rPr>
        <w:t xml:space="preserve">                      </w:t>
      </w:r>
      <w:r>
        <w:rPr>
          <w:rFonts w:hint="eastAsia" w:ascii="仿宋_GB2312" w:hAnsi="仿宋" w:cs="仿宋"/>
          <w:bCs/>
          <w:szCs w:val="21"/>
          <w:lang w:val="en-US" w:eastAsia="zh-CN"/>
        </w:rPr>
        <w:t xml:space="preserve">          </w:t>
      </w:r>
      <w:r>
        <w:rPr>
          <w:rFonts w:hint="eastAsia" w:ascii="仿宋_GB2312" w:hAnsi="仿宋" w:cs="仿宋"/>
          <w:bCs/>
          <w:szCs w:val="21"/>
          <w:u w:val="single"/>
          <w:lang w:val="en-US" w:eastAsia="zh-CN"/>
        </w:rPr>
        <w:t xml:space="preserve">            公司</w:t>
      </w:r>
      <w:r>
        <w:rPr>
          <w:rFonts w:cs="Times New Roman"/>
          <w:lang w:val="zh-CN"/>
        </w:rPr>
        <w:t>（盖章）</w:t>
      </w:r>
    </w:p>
    <w:p w14:paraId="1B5F9DAE">
      <w:pPr>
        <w:autoSpaceDE w:val="0"/>
        <w:autoSpaceDN w:val="0"/>
        <w:adjustRightInd w:val="0"/>
        <w:snapToGrid w:val="0"/>
        <w:spacing w:line="580" w:lineRule="exact"/>
        <w:jc w:val="left"/>
        <w:rPr>
          <w:rFonts w:cs="Times New Roman"/>
          <w:lang w:val="zh-CN"/>
        </w:rPr>
      </w:pPr>
    </w:p>
    <w:p w14:paraId="7D0B5673">
      <w:pPr>
        <w:autoSpaceDE w:val="0"/>
        <w:autoSpaceDN w:val="0"/>
        <w:adjustRightInd w:val="0"/>
        <w:snapToGrid w:val="0"/>
        <w:spacing w:line="580" w:lineRule="exact"/>
        <w:ind w:right="1280" w:firstLine="3840" w:firstLineChars="1600"/>
        <w:rPr>
          <w:rFonts w:cs="Times New Roman"/>
        </w:rPr>
      </w:pPr>
      <w:r>
        <w:rPr>
          <w:rFonts w:hint="eastAsia" w:cs="Times New Roman"/>
        </w:rPr>
        <w:t xml:space="preserve"> </w:t>
      </w:r>
      <w:r>
        <w:rPr>
          <w:rFonts w:cs="Times New Roman"/>
        </w:rPr>
        <w:t xml:space="preserve">法定代表人：           </w:t>
      </w:r>
    </w:p>
    <w:p w14:paraId="77999799">
      <w:pPr>
        <w:wordWrap w:val="0"/>
        <w:autoSpaceDE w:val="0"/>
        <w:autoSpaceDN w:val="0"/>
        <w:adjustRightInd w:val="0"/>
        <w:snapToGrid w:val="0"/>
        <w:spacing w:line="580" w:lineRule="exact"/>
        <w:jc w:val="right"/>
        <w:rPr>
          <w:rFonts w:cs="Times New Roman"/>
        </w:rPr>
      </w:pPr>
      <w:r>
        <w:rPr>
          <w:rFonts w:hint="eastAsia" w:cs="Times New Roman"/>
        </w:rPr>
        <w:t xml:space="preserve"> </w:t>
      </w:r>
    </w:p>
    <w:p w14:paraId="3AFD494C">
      <w:pPr>
        <w:autoSpaceDE w:val="0"/>
        <w:autoSpaceDN w:val="0"/>
        <w:adjustRightInd w:val="0"/>
        <w:snapToGrid w:val="0"/>
        <w:spacing w:line="580" w:lineRule="exact"/>
        <w:jc w:val="right"/>
        <w:rPr>
          <w:rFonts w:cs="Times New Roman"/>
        </w:rPr>
      </w:pPr>
      <w:r>
        <w:rPr>
          <w:rFonts w:cs="Times New Roman"/>
        </w:rPr>
        <w:t>年    月    日</w:t>
      </w:r>
    </w:p>
    <w:p w14:paraId="7A7F04C7">
      <w:pPr>
        <w:pStyle w:val="56"/>
        <w:snapToGrid w:val="0"/>
        <w:spacing w:line="580" w:lineRule="exact"/>
        <w:ind w:firstLine="5932" w:firstLineChars="1854"/>
        <w:jc w:val="right"/>
        <w:rPr>
          <w:rFonts w:hint="eastAsia" w:ascii="仿宋_GB2312" w:hAnsi="Times New Roman" w:eastAsia="仿宋_GB2312"/>
          <w:sz w:val="32"/>
          <w:szCs w:val="32"/>
        </w:rPr>
      </w:pPr>
    </w:p>
    <w:p w14:paraId="0CC4246E">
      <w:pPr>
        <w:pStyle w:val="8"/>
        <w:ind w:firstLine="0" w:firstLineChars="0"/>
        <w:rPr>
          <w:rFonts w:hint="default"/>
          <w:lang w:val="en-US" w:eastAsia="zh-CN"/>
        </w:rPr>
      </w:pPr>
    </w:p>
    <w:p w14:paraId="0BBBBC25">
      <w:pPr>
        <w:pStyle w:val="8"/>
        <w:ind w:firstLine="0" w:firstLineChars="0"/>
        <w:rPr>
          <w:rFonts w:hint="default"/>
          <w:lang w:val="en-US" w:eastAsia="zh-CN"/>
        </w:rPr>
      </w:pPr>
    </w:p>
    <w:p w14:paraId="0D8E7960">
      <w:pPr>
        <w:pStyle w:val="8"/>
        <w:ind w:firstLine="0" w:firstLineChars="0"/>
        <w:rPr>
          <w:rFonts w:hint="default"/>
          <w:lang w:val="en-US" w:eastAsia="zh-CN"/>
        </w:rPr>
      </w:pPr>
    </w:p>
    <w:p w14:paraId="3862D6CC">
      <w:pPr>
        <w:jc w:val="center"/>
        <w:rPr>
          <w:rFonts w:hint="eastAsia" w:ascii="宋体" w:hAnsi="宋体"/>
          <w:b/>
          <w:color w:val="auto"/>
          <w:sz w:val="40"/>
          <w:highlight w:val="none"/>
        </w:rPr>
      </w:pPr>
    </w:p>
    <w:p w14:paraId="60A1133A">
      <w:pPr>
        <w:pStyle w:val="63"/>
        <w:spacing w:line="360" w:lineRule="auto"/>
        <w:ind w:firstLine="0" w:firstLineChars="0"/>
        <w:rPr>
          <w:rFonts w:hint="eastAsia" w:ascii="宋体" w:hAnsi="宋体" w:eastAsia="宋体" w:cs="宋体"/>
          <w:color w:val="auto"/>
          <w:sz w:val="21"/>
          <w:szCs w:val="21"/>
          <w:highlight w:val="none"/>
        </w:rPr>
      </w:pPr>
    </w:p>
    <w:p w14:paraId="190E5887">
      <w:pPr>
        <w:rPr>
          <w:rFonts w:hint="eastAsia"/>
          <w:color w:val="auto"/>
          <w:sz w:val="28"/>
          <w:szCs w:val="28"/>
          <w:highlight w:val="none"/>
          <w:lang w:val="en-US" w:eastAsia="zh-CN"/>
        </w:rPr>
      </w:pPr>
      <w:r>
        <w:rPr>
          <w:rFonts w:hint="eastAsia"/>
          <w:color w:val="auto"/>
          <w:sz w:val="28"/>
          <w:szCs w:val="28"/>
          <w:highlight w:val="none"/>
          <w:lang w:val="en-US" w:eastAsia="zh-CN"/>
        </w:rPr>
        <w:br w:type="page"/>
      </w:r>
    </w:p>
    <w:p w14:paraId="39B45ECF">
      <w:pPr>
        <w:pStyle w:val="2"/>
        <w:spacing w:before="0" w:after="0"/>
        <w:jc w:val="center"/>
        <w:rPr>
          <w:rFonts w:hAnsi="宋体" w:cs="宋体"/>
          <w:color w:val="auto"/>
          <w:szCs w:val="32"/>
          <w:highlight w:val="none"/>
        </w:rPr>
      </w:pPr>
      <w:bookmarkStart w:id="15" w:name="_Toc4686"/>
      <w:r>
        <w:rPr>
          <w:rFonts w:hint="eastAsia" w:hAnsi="宋体" w:cs="宋体"/>
          <w:color w:val="auto"/>
          <w:szCs w:val="32"/>
          <w:highlight w:val="none"/>
        </w:rPr>
        <w:t>第四章 报价须知</w:t>
      </w:r>
      <w:bookmarkEnd w:id="15"/>
    </w:p>
    <w:p w14:paraId="57A5FE85">
      <w:pPr>
        <w:spacing w:line="360" w:lineRule="auto"/>
        <w:rPr>
          <w:rFonts w:hAnsi="宋体" w:cs="宋体"/>
          <w:b/>
          <w:bCs/>
          <w:color w:val="auto"/>
          <w:highlight w:val="none"/>
        </w:rPr>
      </w:pPr>
      <w:r>
        <w:rPr>
          <w:rFonts w:hint="eastAsia" w:hAnsi="宋体" w:cs="宋体"/>
          <w:b/>
          <w:bCs/>
          <w:color w:val="auto"/>
          <w:highlight w:val="none"/>
        </w:rPr>
        <w:t>一、项目费用说明</w:t>
      </w:r>
    </w:p>
    <w:p w14:paraId="16220D8F">
      <w:pPr>
        <w:spacing w:line="360" w:lineRule="auto"/>
        <w:ind w:firstLine="424" w:firstLineChars="177"/>
        <w:rPr>
          <w:rFonts w:hAnsi="宋体" w:cs="宋体"/>
          <w:color w:val="auto"/>
          <w:highlight w:val="none"/>
        </w:rPr>
      </w:pPr>
      <w:r>
        <w:rPr>
          <w:rFonts w:hint="eastAsia" w:hAnsi="宋体" w:cs="宋体"/>
          <w:color w:val="auto"/>
          <w:highlight w:val="none"/>
        </w:rPr>
        <w:t>报价人应按询价文件要求及企业的自身情况进行报价。所报的价格包含完成询价文件规定的工作所需的全部费用（除了服务单位销项税额），并承担所有相应项目风险。</w:t>
      </w:r>
    </w:p>
    <w:p w14:paraId="336EE73D">
      <w:pPr>
        <w:spacing w:line="360" w:lineRule="auto"/>
        <w:rPr>
          <w:rFonts w:hAnsi="宋体" w:cs="宋体"/>
          <w:b/>
          <w:bCs/>
          <w:color w:val="auto"/>
          <w:highlight w:val="none"/>
        </w:rPr>
      </w:pPr>
    </w:p>
    <w:p w14:paraId="40A9E328">
      <w:pPr>
        <w:spacing w:line="360" w:lineRule="auto"/>
        <w:rPr>
          <w:rFonts w:hAnsi="宋体" w:cs="宋体"/>
          <w:b/>
          <w:bCs/>
          <w:color w:val="auto"/>
          <w:highlight w:val="none"/>
        </w:rPr>
      </w:pPr>
      <w:r>
        <w:rPr>
          <w:rFonts w:hint="eastAsia" w:hAnsi="宋体" w:cs="宋体"/>
          <w:b/>
          <w:bCs/>
          <w:color w:val="auto"/>
          <w:highlight w:val="none"/>
        </w:rPr>
        <w:t>二、报价文件的组成</w:t>
      </w:r>
    </w:p>
    <w:p w14:paraId="0CE912FF">
      <w:pPr>
        <w:spacing w:line="360" w:lineRule="auto"/>
        <w:ind w:firstLine="424" w:firstLineChars="177"/>
        <w:rPr>
          <w:rFonts w:hAnsi="宋体" w:cs="宋体"/>
          <w:color w:val="auto"/>
          <w:highlight w:val="none"/>
        </w:rPr>
      </w:pPr>
      <w:r>
        <w:rPr>
          <w:rFonts w:hint="eastAsia" w:hAnsi="宋体" w:cs="宋体"/>
          <w:color w:val="auto"/>
          <w:highlight w:val="none"/>
        </w:rPr>
        <w:t>1.报价表；</w:t>
      </w:r>
    </w:p>
    <w:p w14:paraId="14137B6D">
      <w:pPr>
        <w:spacing w:line="360" w:lineRule="auto"/>
        <w:ind w:firstLine="424" w:firstLineChars="177"/>
        <w:rPr>
          <w:rFonts w:hAnsi="宋体" w:cs="宋体"/>
          <w:color w:val="auto"/>
          <w:highlight w:val="none"/>
        </w:rPr>
      </w:pPr>
      <w:r>
        <w:rPr>
          <w:rFonts w:hint="eastAsia" w:hAnsi="宋体" w:cs="宋体"/>
          <w:color w:val="auto"/>
          <w:highlight w:val="none"/>
        </w:rPr>
        <w:t>2.项目响应声明；</w:t>
      </w:r>
    </w:p>
    <w:p w14:paraId="7DA91630">
      <w:pPr>
        <w:spacing w:line="360" w:lineRule="auto"/>
        <w:ind w:firstLine="424" w:firstLineChars="177"/>
        <w:rPr>
          <w:rFonts w:hAnsi="宋体" w:cs="宋体"/>
          <w:color w:val="auto"/>
          <w:highlight w:val="none"/>
        </w:rPr>
      </w:pPr>
      <w:r>
        <w:rPr>
          <w:rFonts w:hAnsi="宋体" w:cs="宋体"/>
          <w:color w:val="auto"/>
          <w:highlight w:val="none"/>
        </w:rPr>
        <w:t>3.</w:t>
      </w:r>
      <w:r>
        <w:rPr>
          <w:rFonts w:hint="eastAsia" w:hAnsi="宋体" w:cs="宋体"/>
          <w:color w:val="auto"/>
          <w:highlight w:val="none"/>
        </w:rPr>
        <w:t>营业执照；</w:t>
      </w:r>
    </w:p>
    <w:p w14:paraId="13B2C2F5">
      <w:pPr>
        <w:spacing w:line="360" w:lineRule="auto"/>
        <w:ind w:firstLine="424" w:firstLineChars="177"/>
        <w:rPr>
          <w:rFonts w:hAnsi="宋体" w:cs="宋体"/>
          <w:color w:val="auto"/>
          <w:highlight w:val="none"/>
        </w:rPr>
      </w:pPr>
      <w:r>
        <w:rPr>
          <w:rFonts w:hAnsi="宋体" w:cs="宋体"/>
          <w:color w:val="auto"/>
          <w:highlight w:val="none"/>
        </w:rPr>
        <w:t>4.</w:t>
      </w:r>
      <w:r>
        <w:rPr>
          <w:rFonts w:hint="eastAsia" w:hAnsi="宋体" w:cs="宋体"/>
          <w:color w:val="auto"/>
          <w:highlight w:val="none"/>
          <w:lang w:val="en-US" w:eastAsia="zh-CN"/>
        </w:rPr>
        <w:t>报价人</w:t>
      </w:r>
      <w:r>
        <w:rPr>
          <w:rFonts w:hint="eastAsia" w:ascii="Times New Roman"/>
          <w:color w:val="auto"/>
          <w:highlight w:val="none"/>
          <w:lang w:val="en-US" w:eastAsia="zh-CN"/>
        </w:rPr>
        <w:t>提供</w:t>
      </w:r>
      <w:r>
        <w:rPr>
          <w:rFonts w:ascii="Times New Roman"/>
          <w:color w:val="auto"/>
          <w:highlight w:val="none"/>
        </w:rPr>
        <w:t>一</w:t>
      </w:r>
      <w:r>
        <w:rPr>
          <w:rFonts w:hint="eastAsia" w:ascii="Times New Roman"/>
          <w:color w:val="auto"/>
          <w:highlight w:val="none"/>
          <w:lang w:val="en-US" w:eastAsia="zh-CN"/>
        </w:rPr>
        <w:t>份</w:t>
      </w:r>
      <w:r>
        <w:rPr>
          <w:rFonts w:hint="eastAsia" w:hAnsi="宋体" w:cs="宋体"/>
          <w:color w:val="auto"/>
          <w:highlight w:val="none"/>
          <w:u w:val="single"/>
          <w:lang w:val="en-US" w:eastAsia="zh-CN"/>
        </w:rPr>
        <w:t>污泥脱水减量服务</w:t>
      </w:r>
      <w:r>
        <w:rPr>
          <w:rFonts w:hint="eastAsia" w:hAnsi="宋体" w:cs="宋体"/>
          <w:color w:val="auto"/>
          <w:highlight w:val="none"/>
          <w:u w:val="none"/>
          <w:lang w:val="en-US" w:eastAsia="zh-CN"/>
        </w:rPr>
        <w:t>相关</w:t>
      </w:r>
      <w:r>
        <w:rPr>
          <w:rFonts w:ascii="Times New Roman"/>
          <w:color w:val="auto"/>
          <w:highlight w:val="none"/>
        </w:rPr>
        <w:t>业绩（合同签订日期为2022年1月1日或以后）</w:t>
      </w:r>
      <w:r>
        <w:rPr>
          <w:rFonts w:hint="eastAsia" w:hAnsi="宋体" w:cs="宋体"/>
          <w:color w:val="auto"/>
          <w:highlight w:val="none"/>
        </w:rPr>
        <w:t>；</w:t>
      </w:r>
    </w:p>
    <w:p w14:paraId="62C8E8EA">
      <w:pPr>
        <w:spacing w:line="360" w:lineRule="auto"/>
        <w:ind w:firstLine="424" w:firstLineChars="177"/>
        <w:rPr>
          <w:rFonts w:hAnsi="宋体" w:cs="宋体"/>
          <w:color w:val="auto"/>
          <w:highlight w:val="none"/>
        </w:rPr>
      </w:pPr>
      <w:r>
        <w:rPr>
          <w:rFonts w:hAnsi="宋体" w:cs="宋体"/>
          <w:color w:val="auto"/>
          <w:highlight w:val="none"/>
        </w:rPr>
        <w:t>5.</w:t>
      </w:r>
      <w:r>
        <w:rPr>
          <w:rFonts w:hint="eastAsia" w:hAnsi="宋体" w:cs="宋体"/>
          <w:color w:val="auto"/>
          <w:highlight w:val="none"/>
        </w:rPr>
        <w:t>承诺函。</w:t>
      </w:r>
    </w:p>
    <w:p w14:paraId="509C474D">
      <w:pPr>
        <w:spacing w:line="360" w:lineRule="auto"/>
        <w:rPr>
          <w:rFonts w:hAnsi="宋体" w:cs="宋体"/>
          <w:b/>
          <w:bCs/>
          <w:color w:val="auto"/>
          <w:highlight w:val="none"/>
        </w:rPr>
      </w:pPr>
    </w:p>
    <w:p w14:paraId="16683D33">
      <w:pPr>
        <w:spacing w:line="360" w:lineRule="auto"/>
        <w:rPr>
          <w:rFonts w:hAnsi="宋体" w:cs="宋体"/>
          <w:b/>
          <w:bCs/>
          <w:color w:val="auto"/>
          <w:highlight w:val="none"/>
        </w:rPr>
      </w:pPr>
      <w:r>
        <w:rPr>
          <w:rFonts w:hint="eastAsia" w:hAnsi="宋体" w:cs="宋体"/>
          <w:b/>
          <w:bCs/>
          <w:color w:val="auto"/>
          <w:highlight w:val="none"/>
        </w:rPr>
        <w:t>三、报价文件的封装和递交</w:t>
      </w:r>
    </w:p>
    <w:p w14:paraId="135AAD21">
      <w:pPr>
        <w:spacing w:line="360" w:lineRule="auto"/>
        <w:ind w:firstLine="424" w:firstLineChars="177"/>
        <w:rPr>
          <w:rFonts w:ascii="Times New Roman" w:cs="宋体"/>
          <w:color w:val="auto"/>
          <w:highlight w:val="none"/>
        </w:rPr>
      </w:pPr>
      <w:r>
        <w:rPr>
          <w:rFonts w:hint="eastAsia" w:ascii="Times New Roman" w:cs="宋体"/>
          <w:color w:val="auto"/>
          <w:highlight w:val="none"/>
        </w:rPr>
        <w:t>1.报价人应将报价文件一起密封在一个不透明的外层封装中。外层密封封装表面应正确标明项目名称、项目编号、报价人单位名称，封口位置盖章。</w:t>
      </w:r>
    </w:p>
    <w:p w14:paraId="2133BD16">
      <w:pPr>
        <w:spacing w:line="360" w:lineRule="auto"/>
        <w:ind w:firstLine="424" w:firstLineChars="177"/>
        <w:rPr>
          <w:rFonts w:ascii="Times New Roman" w:cs="宋体"/>
          <w:color w:val="auto"/>
          <w:highlight w:val="none"/>
        </w:rPr>
      </w:pPr>
      <w:r>
        <w:rPr>
          <w:rFonts w:hint="eastAsia" w:ascii="Times New Roman" w:cs="宋体"/>
          <w:color w:val="auto"/>
          <w:highlight w:val="none"/>
        </w:rPr>
        <w:t>2. 报价文件无须装订成册。若报价文件装订成册，需同时提供电子文件，内容包括：签字、盖章后的报价文件扫描版PDF格式电子文件。电子文件不可设置密码，用U盘或DVD或CD-R光盘储存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，并密封于“电子文件”内（电子文件的包装封面需注明项目名称、项目编号、报价人单位名称，并盖章）。</w:t>
      </w:r>
    </w:p>
    <w:p w14:paraId="7974CC97">
      <w:pPr>
        <w:spacing w:line="360" w:lineRule="auto"/>
        <w:ind w:firstLine="424" w:firstLineChars="177"/>
        <w:rPr>
          <w:rFonts w:hAnsi="宋体" w:cs="宋体"/>
          <w:color w:val="auto"/>
          <w:highlight w:val="none"/>
        </w:rPr>
      </w:pPr>
      <w:r>
        <w:rPr>
          <w:rFonts w:hint="eastAsia" w:ascii="Times New Roman" w:cs="宋体"/>
          <w:color w:val="auto"/>
          <w:highlight w:val="none"/>
        </w:rPr>
        <w:t>3</w:t>
      </w:r>
      <w:r>
        <w:rPr>
          <w:rFonts w:hint="eastAsia" w:hAnsi="宋体" w:cs="宋体"/>
          <w:color w:val="auto"/>
          <w:highlight w:val="none"/>
        </w:rPr>
        <w:t>.</w:t>
      </w:r>
      <w:r>
        <w:rPr>
          <w:rFonts w:hint="eastAsia" w:hAnsi="宋体" w:cs="宋体"/>
          <w:b/>
          <w:bCs/>
          <w:color w:val="auto"/>
          <w:highlight w:val="none"/>
        </w:rPr>
        <w:t>密封好的报价文件，应于询价邀请函中规定的截止时间前递交到采购人指定的递交地点，否则视为放弃参与本项目。</w:t>
      </w:r>
    </w:p>
    <w:p w14:paraId="10D9BD5C">
      <w:pPr>
        <w:spacing w:line="360" w:lineRule="auto"/>
        <w:rPr>
          <w:rFonts w:hAnsi="宋体" w:cs="宋体"/>
          <w:color w:val="auto"/>
          <w:highlight w:val="none"/>
        </w:rPr>
      </w:pPr>
    </w:p>
    <w:p w14:paraId="0C4239AF">
      <w:pPr>
        <w:spacing w:line="360" w:lineRule="auto"/>
        <w:rPr>
          <w:rFonts w:hAnsi="宋体" w:cs="宋体"/>
          <w:b/>
          <w:bCs/>
          <w:color w:val="auto"/>
          <w:highlight w:val="none"/>
        </w:rPr>
      </w:pPr>
      <w:r>
        <w:rPr>
          <w:rFonts w:hint="eastAsia" w:hAnsi="宋体" w:cs="宋体"/>
          <w:b/>
          <w:bCs/>
          <w:color w:val="auto"/>
          <w:highlight w:val="none"/>
        </w:rPr>
        <w:t>四、报价有效性说明</w:t>
      </w:r>
    </w:p>
    <w:p w14:paraId="310BA08D">
      <w:pPr>
        <w:spacing w:line="360" w:lineRule="auto"/>
        <w:ind w:firstLine="482" w:firstLineChars="200"/>
        <w:rPr>
          <w:rFonts w:ascii="Times New Roman"/>
          <w:b/>
          <w:bCs/>
          <w:color w:val="auto"/>
          <w:highlight w:val="none"/>
        </w:rPr>
      </w:pPr>
      <w:r>
        <w:rPr>
          <w:rFonts w:hint="eastAsia" w:ascii="Times New Roman"/>
          <w:b/>
          <w:bCs/>
          <w:color w:val="auto"/>
          <w:highlight w:val="none"/>
        </w:rPr>
        <w:t>1</w:t>
      </w:r>
      <w:r>
        <w:rPr>
          <w:rFonts w:ascii="Times New Roman"/>
          <w:b/>
          <w:bCs/>
          <w:color w:val="auto"/>
          <w:highlight w:val="none"/>
        </w:rPr>
        <w:t>.</w:t>
      </w:r>
      <w:r>
        <w:rPr>
          <w:rFonts w:hint="eastAsia" w:ascii="Times New Roman"/>
          <w:b/>
          <w:bCs/>
          <w:color w:val="auto"/>
          <w:highlight w:val="none"/>
        </w:rPr>
        <w:t>报价人不符合合格报价人的基本条件[报价人被列入“信用中国”网站（www.creditchina.gov.cn）失信被执行人、重大税收违法失信主体、政府采购严重违法失信行为记录名单（处罚期限届满的除外）]。</w:t>
      </w:r>
    </w:p>
    <w:p w14:paraId="28C22BB3">
      <w:pPr>
        <w:spacing w:line="360" w:lineRule="auto"/>
        <w:ind w:firstLine="482" w:firstLineChars="200"/>
        <w:rPr>
          <w:rFonts w:ascii="Times New Roman"/>
          <w:b/>
          <w:bCs/>
          <w:color w:val="auto"/>
          <w:highlight w:val="none"/>
        </w:rPr>
      </w:pPr>
      <w:r>
        <w:rPr>
          <w:rFonts w:hint="eastAsia" w:ascii="Times New Roman"/>
          <w:b/>
          <w:bCs/>
          <w:color w:val="auto"/>
          <w:highlight w:val="none"/>
        </w:rPr>
        <w:t>2.</w:t>
      </w:r>
      <w:r>
        <w:rPr>
          <w:rFonts w:ascii="Times New Roman"/>
          <w:b/>
          <w:bCs/>
          <w:color w:val="auto"/>
          <w:highlight w:val="none"/>
        </w:rPr>
        <w:t>不含税报价不得高于本项目不含税最高限价</w:t>
      </w:r>
      <w:r>
        <w:rPr>
          <w:rFonts w:hint="eastAsia" w:ascii="Times New Roman"/>
          <w:b/>
          <w:bCs/>
          <w:color w:val="auto"/>
          <w:highlight w:val="none"/>
        </w:rPr>
        <w:t>，</w:t>
      </w:r>
      <w:r>
        <w:rPr>
          <w:rFonts w:hint="eastAsia" w:ascii="Times New Roman"/>
          <w:b/>
          <w:bCs/>
          <w:color w:val="auto"/>
          <w:highlight w:val="none"/>
          <w:lang w:val="en-US" w:eastAsia="zh-CN"/>
        </w:rPr>
        <w:t>其中A包254</w:t>
      </w:r>
      <w:r>
        <w:rPr>
          <w:rFonts w:hint="eastAsia" w:ascii="Times New Roman"/>
          <w:b/>
          <w:bCs/>
          <w:color w:val="auto"/>
          <w:highlight w:val="none"/>
        </w:rPr>
        <w:t>元</w:t>
      </w:r>
      <w:r>
        <w:rPr>
          <w:rFonts w:hint="eastAsia" w:ascii="Times New Roman"/>
          <w:b/>
          <w:bCs/>
          <w:color w:val="auto"/>
          <w:highlight w:val="none"/>
          <w:lang w:val="en-US" w:eastAsia="zh-CN"/>
        </w:rPr>
        <w:t>/吨</w:t>
      </w:r>
      <w:r>
        <w:rPr>
          <w:rFonts w:hint="eastAsia" w:ascii="Times New Roman"/>
          <w:b/>
          <w:bCs/>
          <w:color w:val="auto"/>
          <w:highlight w:val="none"/>
          <w:lang w:eastAsia="zh-CN"/>
        </w:rPr>
        <w:t>、</w:t>
      </w:r>
      <w:r>
        <w:rPr>
          <w:rFonts w:hint="eastAsia" w:ascii="Times New Roman"/>
          <w:b/>
          <w:bCs/>
          <w:color w:val="auto"/>
          <w:highlight w:val="none"/>
          <w:lang w:val="en-US" w:eastAsia="zh-CN"/>
        </w:rPr>
        <w:t>B包260</w:t>
      </w:r>
      <w:r>
        <w:rPr>
          <w:rFonts w:hint="eastAsia" w:ascii="Times New Roman"/>
          <w:b/>
          <w:bCs/>
          <w:color w:val="auto"/>
          <w:highlight w:val="none"/>
        </w:rPr>
        <w:t>元</w:t>
      </w:r>
      <w:r>
        <w:rPr>
          <w:rFonts w:hint="eastAsia" w:ascii="Times New Roman"/>
          <w:b/>
          <w:bCs/>
          <w:color w:val="auto"/>
          <w:highlight w:val="none"/>
          <w:lang w:val="en-US" w:eastAsia="zh-CN"/>
        </w:rPr>
        <w:t>/吨</w:t>
      </w:r>
      <w:r>
        <w:rPr>
          <w:rFonts w:hint="eastAsia" w:ascii="Times New Roman"/>
          <w:b/>
          <w:bCs/>
          <w:color w:val="auto"/>
          <w:highlight w:val="none"/>
          <w:lang w:eastAsia="zh-CN"/>
        </w:rPr>
        <w:t>、</w:t>
      </w:r>
      <w:r>
        <w:rPr>
          <w:rFonts w:hint="eastAsia" w:ascii="Times New Roman"/>
          <w:b/>
          <w:bCs/>
          <w:color w:val="auto"/>
          <w:highlight w:val="none"/>
          <w:lang w:val="en-US" w:eastAsia="zh-CN"/>
        </w:rPr>
        <w:t>C包258.67</w:t>
      </w:r>
      <w:r>
        <w:rPr>
          <w:rFonts w:hint="eastAsia" w:ascii="Times New Roman"/>
          <w:b/>
          <w:bCs/>
          <w:color w:val="auto"/>
          <w:highlight w:val="none"/>
        </w:rPr>
        <w:t>元</w:t>
      </w:r>
      <w:r>
        <w:rPr>
          <w:rFonts w:hint="eastAsia" w:ascii="Times New Roman"/>
          <w:b/>
          <w:bCs/>
          <w:color w:val="auto"/>
          <w:highlight w:val="none"/>
          <w:lang w:val="en-US" w:eastAsia="zh-CN"/>
        </w:rPr>
        <w:t>/吨，</w:t>
      </w:r>
      <w:r>
        <w:rPr>
          <w:rFonts w:ascii="Times New Roman"/>
          <w:b/>
          <w:bCs/>
          <w:color w:val="auto"/>
          <w:highlight w:val="none"/>
        </w:rPr>
        <w:t>否则视为无效报价</w:t>
      </w:r>
      <w:r>
        <w:rPr>
          <w:rFonts w:hint="eastAsia" w:ascii="Times New Roman"/>
          <w:b/>
          <w:bCs/>
          <w:color w:val="auto"/>
          <w:highlight w:val="none"/>
        </w:rPr>
        <w:t>。</w:t>
      </w:r>
    </w:p>
    <w:p w14:paraId="7CCD6336">
      <w:pPr>
        <w:spacing w:line="360" w:lineRule="auto"/>
        <w:ind w:firstLine="482" w:firstLineChars="200"/>
        <w:rPr>
          <w:rFonts w:ascii="Times New Roman"/>
          <w:b/>
          <w:bCs/>
          <w:color w:val="auto"/>
          <w:highlight w:val="none"/>
        </w:rPr>
      </w:pPr>
      <w:r>
        <w:rPr>
          <w:rFonts w:ascii="Times New Roman"/>
          <w:b/>
          <w:bCs/>
          <w:color w:val="auto"/>
          <w:highlight w:val="none"/>
        </w:rPr>
        <w:t>3.</w:t>
      </w:r>
      <w:r>
        <w:rPr>
          <w:rFonts w:hint="eastAsia" w:ascii="Times New Roman"/>
          <w:b/>
          <w:bCs/>
          <w:color w:val="auto"/>
          <w:highlight w:val="none"/>
        </w:rPr>
        <w:t>报价人未按报价文件格式提供相应材料的，按无效报价处理。</w:t>
      </w:r>
    </w:p>
    <w:p w14:paraId="7A734568">
      <w:pPr>
        <w:spacing w:line="360" w:lineRule="auto"/>
        <w:ind w:firstLine="482" w:firstLineChars="200"/>
        <w:rPr>
          <w:rFonts w:ascii="Times New Roman"/>
          <w:b/>
          <w:bCs/>
          <w:color w:val="auto"/>
          <w:highlight w:val="none"/>
        </w:rPr>
      </w:pPr>
      <w:r>
        <w:rPr>
          <w:rFonts w:hint="eastAsia" w:ascii="Times New Roman"/>
          <w:b/>
          <w:bCs/>
          <w:color w:val="auto"/>
          <w:highlight w:val="none"/>
        </w:rPr>
        <w:t>4.</w:t>
      </w:r>
      <w:r>
        <w:rPr>
          <w:rFonts w:hint="eastAsia" w:ascii="Times New Roman"/>
          <w:b/>
          <w:bCs/>
          <w:color w:val="auto"/>
          <w:highlight w:val="none"/>
          <w:lang w:eastAsia="zh"/>
        </w:rPr>
        <w:t>各包组单独评审兼投不兼中，按A、B、C三个包组依次从实质性满足采购需求的供应商中，按不含税价最低成交原则确定成交供应商。若供应商数量不足无法确定所有包组时，采购人有权按供应商实际数量确定或重新组织采购</w:t>
      </w:r>
      <w:r>
        <w:rPr>
          <w:rFonts w:hint="eastAsia" w:ascii="Times New Roman"/>
          <w:b/>
          <w:bCs/>
          <w:color w:val="auto"/>
          <w:highlight w:val="none"/>
        </w:rPr>
        <w:t>。</w:t>
      </w:r>
    </w:p>
    <w:p w14:paraId="12F178DD">
      <w:pPr>
        <w:spacing w:line="360" w:lineRule="auto"/>
        <w:ind w:firstLine="482" w:firstLineChars="200"/>
        <w:rPr>
          <w:rFonts w:ascii="Times New Roman"/>
          <w:b/>
          <w:bCs/>
          <w:color w:val="auto"/>
          <w:highlight w:val="none"/>
        </w:rPr>
      </w:pPr>
      <w:r>
        <w:rPr>
          <w:rFonts w:ascii="Times New Roman"/>
          <w:b/>
          <w:bCs/>
          <w:color w:val="auto"/>
          <w:highlight w:val="none"/>
        </w:rPr>
        <w:t>5</w:t>
      </w:r>
      <w:r>
        <w:rPr>
          <w:rFonts w:hint="eastAsia" w:ascii="Times New Roman"/>
          <w:b/>
          <w:bCs/>
          <w:color w:val="auto"/>
          <w:highlight w:val="none"/>
        </w:rPr>
        <w:t>.</w:t>
      </w:r>
      <w:r>
        <w:rPr>
          <w:rFonts w:ascii="Times New Roman"/>
          <w:b/>
          <w:bCs/>
          <w:color w:val="auto"/>
          <w:highlight w:val="none"/>
        </w:rPr>
        <w:t>在实质性满足采购需求的情况下，若2家以上（含本数）供应商报价一致且同为最低价时，报价相同的供应商再进行一次报价，且再次报价不得高于前一次报价，以此类推，最终价低者得</w:t>
      </w:r>
      <w:r>
        <w:rPr>
          <w:rFonts w:hint="eastAsia" w:ascii="Times New Roman"/>
          <w:b/>
          <w:bCs/>
          <w:color w:val="auto"/>
          <w:highlight w:val="none"/>
        </w:rPr>
        <w:t>。</w:t>
      </w:r>
    </w:p>
    <w:p w14:paraId="63AB9815">
      <w:pPr>
        <w:spacing w:line="360" w:lineRule="auto"/>
        <w:ind w:firstLine="482" w:firstLineChars="200"/>
        <w:rPr>
          <w:rFonts w:hAnsi="宋体" w:cs="宋体"/>
          <w:b/>
          <w:bCs/>
          <w:color w:val="auto"/>
          <w:highlight w:val="none"/>
        </w:rPr>
      </w:pPr>
      <w:r>
        <w:rPr>
          <w:rFonts w:ascii="Times New Roman"/>
          <w:b/>
          <w:bCs/>
          <w:color w:val="auto"/>
          <w:highlight w:val="none"/>
        </w:rPr>
        <w:t>6</w:t>
      </w:r>
      <w:r>
        <w:rPr>
          <w:rFonts w:hint="eastAsia" w:ascii="Times New Roman"/>
          <w:b/>
          <w:bCs/>
          <w:color w:val="auto"/>
          <w:highlight w:val="none"/>
        </w:rPr>
        <w:t>.</w:t>
      </w:r>
      <w:r>
        <w:rPr>
          <w:rFonts w:ascii="Times New Roman"/>
          <w:b/>
          <w:bCs/>
          <w:color w:val="auto"/>
          <w:highlight w:val="none"/>
        </w:rPr>
        <w:t>当报价文件完全响应需求的最低价供应商放弃成交资格或经确认未实质性满足采购需求时，我公司有权确定实质性满足采购需求的第二低价供应商作为成交供应商，或重新进行采购</w:t>
      </w:r>
      <w:r>
        <w:rPr>
          <w:rFonts w:hint="eastAsia" w:hAnsi="宋体" w:cs="宋体"/>
          <w:b/>
          <w:bCs/>
          <w:color w:val="auto"/>
          <w:highlight w:val="none"/>
        </w:rPr>
        <w:t>。</w:t>
      </w:r>
    </w:p>
    <w:p w14:paraId="696A7996">
      <w:pPr>
        <w:spacing w:line="360" w:lineRule="auto"/>
        <w:rPr>
          <w:rFonts w:hAnsi="宋体" w:cs="宋体"/>
          <w:b/>
          <w:color w:val="auto"/>
          <w:highlight w:val="none"/>
        </w:rPr>
      </w:pPr>
    </w:p>
    <w:p w14:paraId="37E4073C">
      <w:pPr>
        <w:spacing w:line="360" w:lineRule="auto"/>
        <w:rPr>
          <w:rFonts w:hAnsi="宋体" w:cs="宋体"/>
          <w:b/>
          <w:color w:val="auto"/>
          <w:highlight w:val="none"/>
        </w:rPr>
      </w:pPr>
      <w:r>
        <w:rPr>
          <w:rFonts w:hint="eastAsia" w:hAnsi="宋体" w:cs="宋体"/>
          <w:b/>
          <w:color w:val="auto"/>
          <w:highlight w:val="none"/>
        </w:rPr>
        <w:t>五、合同签订说明</w:t>
      </w:r>
    </w:p>
    <w:p w14:paraId="41F65839">
      <w:pPr>
        <w:spacing w:line="360" w:lineRule="auto"/>
        <w:ind w:firstLine="481"/>
        <w:rPr>
          <w:rFonts w:hint="eastAsia" w:hAnsi="宋体" w:cs="宋体"/>
          <w:b/>
          <w:color w:val="auto"/>
          <w:highlight w:val="none"/>
        </w:rPr>
      </w:pPr>
      <w:r>
        <w:rPr>
          <w:rFonts w:hint="eastAsia" w:hAnsi="宋体" w:cs="宋体"/>
          <w:b/>
          <w:color w:val="auto"/>
          <w:highlight w:val="none"/>
        </w:rPr>
        <w:t>本项目成交单位会根据项目实际情况与</w:t>
      </w:r>
      <w:r>
        <w:rPr>
          <w:rFonts w:hint="eastAsia" w:hAnsi="宋体" w:cs="宋体"/>
          <w:b/>
          <w:color w:val="auto"/>
          <w:highlight w:val="none"/>
          <w:lang w:eastAsia="zh-CN"/>
        </w:rPr>
        <w:t>东莞市水务环境投资控股集团净水有限公司</w:t>
      </w:r>
      <w:r>
        <w:rPr>
          <w:rFonts w:hint="eastAsia" w:hAnsi="宋体" w:cs="宋体"/>
          <w:b/>
          <w:color w:val="auto"/>
          <w:highlight w:val="none"/>
        </w:rPr>
        <w:t>或东莞市石鼓净水有限公司或东莞市樟村水质净化有限公司或东莞市清源净水科技有限公司或东莞市莞水装备科技有限公司</w:t>
      </w:r>
      <w:r>
        <w:rPr>
          <w:rFonts w:hint="eastAsia" w:hAnsi="宋体" w:cs="宋体"/>
          <w:b/>
          <w:color w:val="auto"/>
          <w:highlight w:val="none"/>
          <w:lang w:val="en-US" w:eastAsia="zh-CN"/>
        </w:rPr>
        <w:t>或东莞市众源环境投资有限公司或</w:t>
      </w:r>
      <w:r>
        <w:rPr>
          <w:rFonts w:hint="eastAsia" w:hAnsi="宋体" w:cs="宋体"/>
          <w:b/>
          <w:color w:val="auto"/>
          <w:highlight w:val="none"/>
        </w:rPr>
        <w:t>东莞市尚源环能科技有限公司签署合同。</w:t>
      </w:r>
    </w:p>
    <w:p w14:paraId="73AE02F2">
      <w:pPr>
        <w:pStyle w:val="7"/>
        <w:ind w:firstLine="481"/>
      </w:pPr>
    </w:p>
    <w:p w14:paraId="0866030F">
      <w:pPr>
        <w:numPr>
          <w:ilvl w:val="0"/>
          <w:numId w:val="39"/>
        </w:numPr>
        <w:spacing w:line="360" w:lineRule="auto"/>
        <w:rPr>
          <w:rFonts w:hint="eastAsia" w:hAnsi="宋体" w:cs="宋体"/>
          <w:b/>
          <w:color w:val="auto"/>
          <w:highlight w:val="none"/>
          <w:lang w:val="en-US" w:eastAsia="zh-CN"/>
        </w:rPr>
      </w:pPr>
      <w:r>
        <w:rPr>
          <w:rFonts w:hint="eastAsia" w:hAnsi="宋体" w:cs="宋体"/>
          <w:b/>
          <w:color w:val="auto"/>
          <w:highlight w:val="none"/>
          <w:lang w:val="en-US" w:eastAsia="zh-CN"/>
        </w:rPr>
        <w:t>特别说明</w:t>
      </w:r>
    </w:p>
    <w:p w14:paraId="78B9CEBF">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1.与采购人存在利害关系可能影响采购公正性的法人、其他组织或者个人,不得参与报价;</w:t>
      </w:r>
    </w:p>
    <w:p w14:paraId="6DD9E8E6">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2.供应商负责人为同一人或者存在控股管理关系的不同供应商，不得参加同一项目报价。</w:t>
      </w:r>
    </w:p>
    <w:p w14:paraId="0603E568">
      <w:pPr>
        <w:spacing w:line="360" w:lineRule="auto"/>
        <w:ind w:firstLine="481"/>
        <w:rPr>
          <w:rFonts w:hint="default" w:hAnsi="宋体" w:cs="宋体"/>
          <w:b/>
          <w:color w:val="auto"/>
          <w:highlight w:val="none"/>
          <w:lang w:val="en-US" w:eastAsia="zh-CN"/>
        </w:rPr>
      </w:pPr>
      <w:r>
        <w:rPr>
          <w:rFonts w:hint="default" w:hAnsi="宋体" w:cs="宋体"/>
          <w:b/>
          <w:color w:val="auto"/>
          <w:highlight w:val="none"/>
          <w:lang w:val="en-US" w:eastAsia="zh-CN"/>
        </w:rPr>
        <w:t>上述情况一经发现，相关报价均无效。</w:t>
      </w:r>
    </w:p>
    <w:p w14:paraId="12CAA428">
      <w:pPr>
        <w:spacing w:line="360" w:lineRule="auto"/>
        <w:ind w:firstLine="480" w:firstLineChars="200"/>
        <w:rPr>
          <w:rFonts w:hAnsi="宋体" w:cs="宋体"/>
          <w:color w:val="auto"/>
          <w:highlight w:val="none"/>
        </w:rPr>
      </w:pPr>
    </w:p>
    <w:p w14:paraId="48F64F98">
      <w:pPr>
        <w:spacing w:line="360" w:lineRule="auto"/>
        <w:rPr>
          <w:rFonts w:hAnsi="宋体" w:cs="宋体"/>
          <w:color w:val="auto"/>
          <w:highlight w:val="none"/>
        </w:rPr>
      </w:pPr>
      <w:r>
        <w:rPr>
          <w:rFonts w:hint="eastAsia" w:hAnsi="宋体" w:cs="宋体"/>
          <w:color w:val="auto"/>
          <w:highlight w:val="none"/>
        </w:rPr>
        <w:br w:type="page"/>
      </w:r>
    </w:p>
    <w:p w14:paraId="2C585EA0">
      <w:pPr>
        <w:pStyle w:val="2"/>
        <w:spacing w:before="0" w:after="0"/>
        <w:jc w:val="center"/>
        <w:rPr>
          <w:rFonts w:hAnsi="宋体" w:cs="宋体"/>
          <w:color w:val="auto"/>
          <w:szCs w:val="32"/>
          <w:highlight w:val="none"/>
        </w:rPr>
      </w:pPr>
      <w:bookmarkStart w:id="16" w:name="_Toc16353"/>
      <w:r>
        <w:rPr>
          <w:rFonts w:hint="eastAsia" w:hAnsi="宋体" w:cs="宋体"/>
          <w:color w:val="auto"/>
          <w:szCs w:val="32"/>
          <w:highlight w:val="none"/>
        </w:rPr>
        <w:t>第五章 报价文件（格式）</w:t>
      </w:r>
      <w:bookmarkEnd w:id="16"/>
    </w:p>
    <w:p w14:paraId="5532E2E3">
      <w:pPr>
        <w:spacing w:line="360" w:lineRule="auto"/>
        <w:rPr>
          <w:rFonts w:ascii="Times New Roman"/>
          <w:b/>
          <w:color w:val="auto"/>
          <w:sz w:val="28"/>
          <w:szCs w:val="28"/>
          <w:highlight w:val="none"/>
        </w:rPr>
      </w:pPr>
      <w:r>
        <w:rPr>
          <w:rFonts w:ascii="Times New Roman"/>
          <w:b/>
          <w:color w:val="auto"/>
          <w:sz w:val="28"/>
          <w:szCs w:val="28"/>
          <w:highlight w:val="none"/>
        </w:rPr>
        <w:t>1. 报价表</w:t>
      </w:r>
    </w:p>
    <w:tbl>
      <w:tblPr>
        <w:tblStyle w:val="21"/>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7082"/>
      </w:tblGrid>
      <w:tr w14:paraId="76399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1C36F23D">
            <w:pPr>
              <w:pStyle w:val="11"/>
              <w:jc w:val="center"/>
              <w:rPr>
                <w:rFonts w:hAnsi="宋体" w:cs="宋体"/>
                <w:color w:val="auto"/>
                <w:sz w:val="24"/>
                <w:szCs w:val="28"/>
                <w:highlight w:val="none"/>
              </w:rPr>
            </w:pPr>
            <w:r>
              <w:rPr>
                <w:rFonts w:hint="eastAsia" w:hAnsi="宋体" w:cs="宋体"/>
                <w:color w:val="auto"/>
                <w:sz w:val="24"/>
                <w:szCs w:val="28"/>
                <w:highlight w:val="none"/>
              </w:rPr>
              <w:t>项目名称</w:t>
            </w:r>
          </w:p>
        </w:tc>
        <w:tc>
          <w:tcPr>
            <w:tcW w:w="7082" w:type="dxa"/>
            <w:shd w:val="clear" w:color="auto" w:fill="auto"/>
            <w:vAlign w:val="center"/>
          </w:tcPr>
          <w:p w14:paraId="02F7C47D">
            <w:pPr>
              <w:autoSpaceDE/>
              <w:autoSpaceDN/>
              <w:adjustRightInd/>
              <w:jc w:val="center"/>
              <w:rPr>
                <w:rFonts w:hint="eastAsia" w:hAnsi="宋体" w:eastAsia="宋体" w:cs="宋体"/>
                <w:color w:val="auto"/>
                <w:szCs w:val="28"/>
                <w:highlight w:val="none"/>
                <w:lang w:eastAsia="zh-CN"/>
              </w:rPr>
            </w:pPr>
            <w:r>
              <w:rPr>
                <w:rFonts w:hint="eastAsia" w:hAnsi="宋体"/>
                <w:bCs/>
                <w:color w:val="auto"/>
                <w:szCs w:val="21"/>
                <w:highlight w:val="none"/>
                <w:lang w:eastAsia="zh-CN"/>
              </w:rPr>
              <w:t>东莞市众源环境投资有限公司BOT权属清溪长山头厂一二期等8家污水处理厂污泥脱水减量处理应急采购项目</w:t>
            </w:r>
          </w:p>
        </w:tc>
      </w:tr>
      <w:tr w14:paraId="7AA11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2127" w:type="dxa"/>
            <w:shd w:val="clear" w:color="auto" w:fill="auto"/>
            <w:vAlign w:val="center"/>
          </w:tcPr>
          <w:p w14:paraId="1A61A4B4">
            <w:pPr>
              <w:pStyle w:val="11"/>
              <w:jc w:val="center"/>
              <w:rPr>
                <w:rFonts w:hint="eastAsia" w:hAnsi="宋体" w:eastAsia="宋体" w:cs="宋体"/>
                <w:color w:val="auto"/>
                <w:sz w:val="24"/>
                <w:szCs w:val="28"/>
                <w:highlight w:val="none"/>
                <w:lang w:eastAsia="zh-CN"/>
              </w:rPr>
            </w:pPr>
            <w:r>
              <w:rPr>
                <w:rFonts w:hint="eastAsia" w:hAnsi="宋体" w:cs="宋体"/>
                <w:color w:val="auto"/>
                <w:sz w:val="24"/>
                <w:szCs w:val="28"/>
                <w:highlight w:val="none"/>
              </w:rPr>
              <w:t>不含税</w:t>
            </w:r>
            <w:r>
              <w:rPr>
                <w:rFonts w:hint="eastAsia" w:hAnsi="宋体" w:cs="宋体"/>
                <w:color w:val="auto"/>
                <w:sz w:val="24"/>
                <w:szCs w:val="28"/>
                <w:highlight w:val="none"/>
                <w:lang w:val="en-US" w:eastAsia="zh-CN"/>
              </w:rPr>
              <w:t>单价</w:t>
            </w:r>
          </w:p>
          <w:p w14:paraId="2EF85A7E">
            <w:pPr>
              <w:pStyle w:val="11"/>
              <w:jc w:val="center"/>
              <w:rPr>
                <w:rFonts w:hAnsi="宋体" w:cs="宋体"/>
                <w:color w:val="auto"/>
                <w:sz w:val="24"/>
                <w:szCs w:val="28"/>
                <w:highlight w:val="none"/>
              </w:rPr>
            </w:pPr>
            <w:r>
              <w:rPr>
                <w:rFonts w:hint="eastAsia" w:hAnsi="宋体" w:cs="宋体"/>
                <w:color w:val="auto"/>
                <w:sz w:val="24"/>
                <w:szCs w:val="28"/>
                <w:highlight w:val="none"/>
              </w:rPr>
              <w:t>（单位：元</w:t>
            </w:r>
            <w:r>
              <w:rPr>
                <w:rFonts w:hint="eastAsia" w:hAnsi="宋体" w:cs="宋体"/>
                <w:color w:val="auto"/>
                <w:sz w:val="24"/>
                <w:szCs w:val="28"/>
                <w:highlight w:val="none"/>
                <w:lang w:val="en-US" w:eastAsia="zh-CN"/>
              </w:rPr>
              <w:t>/吨</w:t>
            </w:r>
            <w:r>
              <w:rPr>
                <w:rFonts w:hint="eastAsia" w:hAnsi="宋体" w:cs="宋体"/>
                <w:color w:val="auto"/>
                <w:sz w:val="24"/>
                <w:szCs w:val="28"/>
                <w:highlight w:val="none"/>
              </w:rPr>
              <w:t>）</w:t>
            </w:r>
          </w:p>
        </w:tc>
        <w:tc>
          <w:tcPr>
            <w:tcW w:w="7082" w:type="dxa"/>
            <w:shd w:val="clear" w:color="auto" w:fill="auto"/>
            <w:vAlign w:val="center"/>
          </w:tcPr>
          <w:p w14:paraId="61880269">
            <w:pPr>
              <w:pStyle w:val="11"/>
              <w:ind w:firstLine="720" w:firstLineChars="300"/>
              <w:rPr>
                <w:rFonts w:hint="eastAsia" w:hAnsi="宋体" w:cs="宋体"/>
                <w:color w:val="auto"/>
                <w:sz w:val="24"/>
                <w:szCs w:val="28"/>
                <w:highlight w:val="none"/>
                <w:u w:val="none"/>
                <w:lang w:val="en-US" w:eastAsia="zh-CN"/>
              </w:rPr>
            </w:pPr>
            <w:r>
              <w:rPr>
                <w:rFonts w:hint="eastAsia" w:hAnsi="宋体" w:cs="宋体"/>
                <w:color w:val="auto"/>
                <w:sz w:val="24"/>
                <w:szCs w:val="28"/>
                <w:highlight w:val="none"/>
                <w:u w:val="none"/>
                <w:lang w:val="en-US" w:eastAsia="zh-CN"/>
              </w:rPr>
              <w:t>A包：</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none"/>
                <w:lang w:val="en-US" w:eastAsia="zh-CN"/>
              </w:rPr>
              <w:t>元/吨</w:t>
            </w:r>
          </w:p>
          <w:p w14:paraId="28E4C9D8">
            <w:pPr>
              <w:pStyle w:val="11"/>
              <w:ind w:firstLine="720" w:firstLineChars="300"/>
              <w:rPr>
                <w:rFonts w:hint="eastAsia" w:hAnsi="宋体" w:cs="宋体"/>
                <w:color w:val="auto"/>
                <w:sz w:val="24"/>
                <w:szCs w:val="28"/>
                <w:highlight w:val="none"/>
                <w:u w:val="none"/>
                <w:lang w:val="en-US" w:eastAsia="zh-CN"/>
              </w:rPr>
            </w:pPr>
            <w:r>
              <w:rPr>
                <w:rFonts w:hint="eastAsia" w:hAnsi="宋体" w:cs="宋体"/>
                <w:color w:val="auto"/>
                <w:sz w:val="24"/>
                <w:szCs w:val="28"/>
                <w:highlight w:val="none"/>
                <w:u w:val="none"/>
                <w:lang w:val="en-US" w:eastAsia="zh-CN"/>
              </w:rPr>
              <w:t>B包：</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none"/>
                <w:lang w:val="en-US" w:eastAsia="zh-CN"/>
              </w:rPr>
              <w:t>元/吨</w:t>
            </w:r>
          </w:p>
          <w:p w14:paraId="1789F9A0">
            <w:pPr>
              <w:pStyle w:val="11"/>
              <w:ind w:firstLine="720" w:firstLineChars="300"/>
              <w:rPr>
                <w:rFonts w:hint="eastAsia" w:hAnsi="宋体" w:cs="宋体"/>
                <w:color w:val="auto"/>
                <w:sz w:val="24"/>
                <w:szCs w:val="28"/>
                <w:highlight w:val="none"/>
                <w:u w:val="none"/>
                <w:lang w:val="en-US" w:eastAsia="zh-CN"/>
              </w:rPr>
            </w:pPr>
            <w:r>
              <w:rPr>
                <w:rFonts w:hint="eastAsia" w:hAnsi="宋体" w:cs="宋体"/>
                <w:color w:val="auto"/>
                <w:sz w:val="24"/>
                <w:szCs w:val="28"/>
                <w:highlight w:val="none"/>
                <w:u w:val="none"/>
                <w:lang w:val="en-US" w:eastAsia="zh-CN"/>
              </w:rPr>
              <w:t>C包：</w:t>
            </w:r>
            <w:r>
              <w:rPr>
                <w:rFonts w:hint="eastAsia" w:hAnsi="宋体" w:cs="宋体"/>
                <w:color w:val="auto"/>
                <w:sz w:val="24"/>
                <w:szCs w:val="28"/>
                <w:highlight w:val="none"/>
                <w:u w:val="single"/>
              </w:rPr>
              <w:t xml:space="preserve">                   </w:t>
            </w:r>
            <w:r>
              <w:rPr>
                <w:rFonts w:hint="eastAsia" w:hAnsi="宋体" w:cs="宋体"/>
                <w:color w:val="auto"/>
                <w:sz w:val="24"/>
                <w:szCs w:val="28"/>
                <w:highlight w:val="none"/>
                <w:u w:val="none"/>
                <w:lang w:val="en-US" w:eastAsia="zh-CN"/>
              </w:rPr>
              <w:t>元/吨</w:t>
            </w:r>
          </w:p>
          <w:p w14:paraId="0C56D7CA">
            <w:pPr>
              <w:pStyle w:val="11"/>
              <w:ind w:firstLine="720" w:firstLineChars="300"/>
              <w:rPr>
                <w:rFonts w:hAnsi="宋体" w:cs="宋体"/>
                <w:color w:val="auto"/>
                <w:sz w:val="24"/>
                <w:szCs w:val="28"/>
                <w:highlight w:val="none"/>
                <w:u w:val="single"/>
              </w:rPr>
            </w:pPr>
          </w:p>
        </w:tc>
      </w:tr>
      <w:tr w14:paraId="7FD7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10BA4E24">
            <w:pPr>
              <w:pStyle w:val="11"/>
              <w:jc w:val="center"/>
              <w:rPr>
                <w:rFonts w:hint="default" w:hAnsi="宋体" w:eastAsia="宋体" w:cs="宋体"/>
                <w:color w:val="auto"/>
                <w:sz w:val="24"/>
                <w:szCs w:val="28"/>
                <w:highlight w:val="none"/>
                <w:u w:val="single"/>
                <w:lang w:val="en-US" w:eastAsia="zh-CN"/>
              </w:rPr>
            </w:pPr>
            <w:r>
              <w:rPr>
                <w:rFonts w:hint="eastAsia" w:hAnsi="宋体" w:cs="宋体"/>
                <w:color w:val="auto"/>
                <w:sz w:val="24"/>
                <w:szCs w:val="28"/>
                <w:highlight w:val="none"/>
                <w:lang w:val="en-US" w:eastAsia="zh-CN"/>
              </w:rPr>
              <w:t>租赁服务期</w:t>
            </w:r>
          </w:p>
        </w:tc>
        <w:tc>
          <w:tcPr>
            <w:tcW w:w="7082" w:type="dxa"/>
            <w:shd w:val="clear" w:color="auto" w:fill="auto"/>
            <w:vAlign w:val="center"/>
          </w:tcPr>
          <w:p w14:paraId="56546C9B">
            <w:pPr>
              <w:autoSpaceDE/>
              <w:autoSpaceDN/>
              <w:adjustRightInd/>
              <w:jc w:val="center"/>
              <w:rPr>
                <w:rFonts w:hAnsi="宋体"/>
                <w:bCs/>
                <w:color w:val="auto"/>
                <w:highlight w:val="none"/>
              </w:rPr>
            </w:pPr>
            <w:r>
              <w:rPr>
                <w:rFonts w:hint="eastAsia" w:hAnsi="宋体"/>
                <w:bCs/>
                <w:color w:val="auto"/>
                <w:highlight w:val="none"/>
              </w:rPr>
              <w:t>详见用户需求书。</w:t>
            </w:r>
          </w:p>
        </w:tc>
      </w:tr>
      <w:tr w14:paraId="111E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02896F36">
            <w:pPr>
              <w:pStyle w:val="11"/>
              <w:jc w:val="center"/>
              <w:rPr>
                <w:rFonts w:hAnsi="宋体" w:cs="宋体"/>
                <w:color w:val="auto"/>
                <w:sz w:val="24"/>
                <w:szCs w:val="28"/>
                <w:highlight w:val="none"/>
              </w:rPr>
            </w:pPr>
            <w:r>
              <w:rPr>
                <w:rFonts w:hint="eastAsia" w:hAnsi="宋体" w:cs="宋体"/>
                <w:color w:val="auto"/>
                <w:sz w:val="24"/>
                <w:szCs w:val="28"/>
                <w:highlight w:val="none"/>
              </w:rPr>
              <w:t>报价人纳税类型</w:t>
            </w:r>
          </w:p>
        </w:tc>
        <w:tc>
          <w:tcPr>
            <w:tcW w:w="7082" w:type="dxa"/>
            <w:shd w:val="clear" w:color="auto" w:fill="auto"/>
            <w:vAlign w:val="center"/>
          </w:tcPr>
          <w:p w14:paraId="6D7C2F2D">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一般纳税人</w:t>
            </w:r>
          </w:p>
          <w:p w14:paraId="502AB2E8">
            <w:pPr>
              <w:autoSpaceDE/>
              <w:autoSpaceDN/>
              <w:adjustRightInd/>
              <w:ind w:firstLine="1800" w:firstLineChars="750"/>
              <w:rPr>
                <w:rFonts w:hAnsi="宋体" w:cs="宋体"/>
                <w:color w:val="auto"/>
                <w:szCs w:val="28"/>
                <w:highlight w:val="none"/>
              </w:rPr>
            </w:pPr>
            <w:r>
              <w:rPr>
                <w:rFonts w:hint="eastAsia" w:hAnsi="宋体" w:cs="宋体"/>
                <w:color w:val="auto"/>
                <w:szCs w:val="28"/>
                <w:highlight w:val="none"/>
              </w:rPr>
              <w:t>□ 小规模纳税人</w:t>
            </w:r>
          </w:p>
        </w:tc>
      </w:tr>
      <w:tr w14:paraId="5E91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2515877">
            <w:pPr>
              <w:pStyle w:val="11"/>
              <w:jc w:val="center"/>
              <w:rPr>
                <w:rFonts w:hAnsi="宋体" w:cs="宋体"/>
                <w:color w:val="auto"/>
                <w:sz w:val="24"/>
                <w:szCs w:val="28"/>
                <w:highlight w:val="none"/>
              </w:rPr>
            </w:pPr>
            <w:r>
              <w:rPr>
                <w:rFonts w:hint="eastAsia" w:hAnsi="宋体" w:cs="宋体"/>
                <w:color w:val="auto"/>
                <w:sz w:val="24"/>
                <w:szCs w:val="28"/>
                <w:highlight w:val="none"/>
              </w:rPr>
              <w:t>报价人提供的增值税专用发票的税率</w:t>
            </w:r>
          </w:p>
        </w:tc>
        <w:tc>
          <w:tcPr>
            <w:tcW w:w="7082" w:type="dxa"/>
            <w:shd w:val="clear" w:color="auto" w:fill="auto"/>
            <w:vAlign w:val="center"/>
          </w:tcPr>
          <w:p w14:paraId="15BBBEC0">
            <w:pPr>
              <w:autoSpaceDE/>
              <w:autoSpaceDN/>
              <w:adjustRightInd/>
              <w:jc w:val="center"/>
              <w:rPr>
                <w:rFonts w:hAnsi="宋体" w:cs="宋体"/>
                <w:color w:val="auto"/>
                <w:szCs w:val="28"/>
                <w:highlight w:val="none"/>
              </w:rPr>
            </w:pPr>
            <w:r>
              <w:rPr>
                <w:rFonts w:hint="eastAsia" w:hAnsi="宋体" w:cs="宋体"/>
                <w:color w:val="auto"/>
                <w:szCs w:val="28"/>
                <w:highlight w:val="none"/>
                <w:u w:val="single"/>
              </w:rPr>
              <w:t xml:space="preserve">     </w:t>
            </w:r>
            <w:r>
              <w:rPr>
                <w:rFonts w:ascii="Times New Roman"/>
                <w:color w:val="auto"/>
                <w:szCs w:val="28"/>
                <w:highlight w:val="none"/>
              </w:rPr>
              <w:t>%</w:t>
            </w:r>
          </w:p>
        </w:tc>
      </w:tr>
      <w:tr w14:paraId="54DF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4" w:hRule="atLeast"/>
          <w:jc w:val="center"/>
        </w:trPr>
        <w:tc>
          <w:tcPr>
            <w:tcW w:w="2127" w:type="dxa"/>
            <w:shd w:val="clear" w:color="auto" w:fill="auto"/>
            <w:vAlign w:val="center"/>
          </w:tcPr>
          <w:p w14:paraId="0FDBB976">
            <w:pPr>
              <w:pStyle w:val="11"/>
              <w:jc w:val="center"/>
              <w:rPr>
                <w:rFonts w:hAnsi="宋体" w:cs="宋体"/>
                <w:color w:val="auto"/>
                <w:sz w:val="24"/>
                <w:szCs w:val="24"/>
                <w:highlight w:val="none"/>
              </w:rPr>
            </w:pPr>
            <w:r>
              <w:rPr>
                <w:rFonts w:hint="eastAsia" w:hAnsi="宋体" w:cs="宋体"/>
                <w:color w:val="auto"/>
                <w:sz w:val="24"/>
                <w:szCs w:val="24"/>
                <w:highlight w:val="none"/>
              </w:rPr>
              <w:t>备注</w:t>
            </w:r>
          </w:p>
        </w:tc>
        <w:tc>
          <w:tcPr>
            <w:tcW w:w="7082" w:type="dxa"/>
            <w:shd w:val="clear" w:color="auto" w:fill="auto"/>
            <w:vAlign w:val="center"/>
          </w:tcPr>
          <w:p w14:paraId="7B668F06">
            <w:pPr>
              <w:numPr>
                <w:ilvl w:val="0"/>
                <w:numId w:val="40"/>
              </w:numPr>
              <w:autoSpaceDE/>
              <w:autoSpaceDN/>
              <w:adjustRightInd/>
              <w:jc w:val="both"/>
              <w:rPr>
                <w:rFonts w:ascii="Times New Roman"/>
                <w:b/>
                <w:bCs/>
                <w:color w:val="auto"/>
                <w:highlight w:val="none"/>
              </w:rPr>
            </w:pPr>
            <w:r>
              <w:rPr>
                <w:rFonts w:ascii="Times New Roman"/>
                <w:b/>
                <w:bCs/>
                <w:color w:val="auto"/>
                <w:highlight w:val="none"/>
              </w:rPr>
              <w:t>本次所报价格为不含销项税额，包含</w:t>
            </w:r>
            <w:r>
              <w:rPr>
                <w:rFonts w:hint="eastAsia" w:ascii="Times New Roman"/>
                <w:b/>
                <w:bCs/>
                <w:color w:val="auto"/>
                <w:highlight w:val="none"/>
              </w:rPr>
              <w:t>供应</w:t>
            </w:r>
            <w:r>
              <w:rPr>
                <w:rFonts w:ascii="Times New Roman"/>
                <w:b/>
                <w:bCs/>
                <w:color w:val="auto"/>
                <w:highlight w:val="none"/>
              </w:rPr>
              <w:t>商销项税额以外的税费及完成本项目所需的全部费用。</w:t>
            </w:r>
          </w:p>
          <w:p w14:paraId="6930ABB6">
            <w:pPr>
              <w:numPr>
                <w:ilvl w:val="0"/>
                <w:numId w:val="40"/>
              </w:numPr>
              <w:autoSpaceDE/>
              <w:autoSpaceDN/>
              <w:adjustRightInd/>
              <w:jc w:val="both"/>
              <w:rPr>
                <w:rFonts w:ascii="Times New Roman"/>
                <w:b/>
                <w:bCs/>
                <w:color w:val="auto"/>
                <w:highlight w:val="none"/>
              </w:rPr>
            </w:pPr>
            <w:r>
              <w:rPr>
                <w:rFonts w:ascii="Times New Roman"/>
                <w:b/>
                <w:bCs/>
                <w:color w:val="auto"/>
                <w:highlight w:val="none"/>
              </w:rPr>
              <w:t>不含税报价不得高于本项目不含税最高限价</w:t>
            </w:r>
            <w:r>
              <w:rPr>
                <w:rFonts w:hint="eastAsia" w:ascii="Times New Roman"/>
                <w:b/>
                <w:bCs/>
                <w:color w:val="auto"/>
                <w:highlight w:val="none"/>
              </w:rPr>
              <w:t>（</w:t>
            </w:r>
            <w:r>
              <w:rPr>
                <w:rFonts w:hint="eastAsia" w:ascii="Times New Roman"/>
                <w:b/>
                <w:bCs/>
                <w:color w:val="auto"/>
                <w:highlight w:val="none"/>
                <w:lang w:val="en-US" w:eastAsia="zh-CN"/>
              </w:rPr>
              <w:t>A包254</w:t>
            </w:r>
            <w:r>
              <w:rPr>
                <w:rFonts w:hint="eastAsia" w:ascii="Times New Roman"/>
                <w:b/>
                <w:bCs/>
                <w:color w:val="auto"/>
                <w:highlight w:val="none"/>
              </w:rPr>
              <w:t>元</w:t>
            </w:r>
            <w:r>
              <w:rPr>
                <w:rFonts w:hint="eastAsia" w:ascii="Times New Roman"/>
                <w:b/>
                <w:bCs/>
                <w:color w:val="auto"/>
                <w:highlight w:val="none"/>
                <w:lang w:val="en-US" w:eastAsia="zh-CN"/>
              </w:rPr>
              <w:t>/吨</w:t>
            </w:r>
            <w:r>
              <w:rPr>
                <w:rFonts w:hint="eastAsia" w:ascii="Times New Roman"/>
                <w:b/>
                <w:bCs/>
                <w:color w:val="auto"/>
                <w:highlight w:val="none"/>
                <w:lang w:eastAsia="zh-CN"/>
              </w:rPr>
              <w:t>、</w:t>
            </w:r>
            <w:r>
              <w:rPr>
                <w:rFonts w:hint="eastAsia" w:ascii="Times New Roman"/>
                <w:b/>
                <w:bCs/>
                <w:color w:val="auto"/>
                <w:highlight w:val="none"/>
                <w:lang w:val="en-US" w:eastAsia="zh-CN"/>
              </w:rPr>
              <w:t>B包260</w:t>
            </w:r>
            <w:r>
              <w:rPr>
                <w:rFonts w:hint="eastAsia" w:ascii="Times New Roman"/>
                <w:b/>
                <w:bCs/>
                <w:color w:val="auto"/>
                <w:highlight w:val="none"/>
              </w:rPr>
              <w:t>元</w:t>
            </w:r>
            <w:r>
              <w:rPr>
                <w:rFonts w:hint="eastAsia" w:ascii="Times New Roman"/>
                <w:b/>
                <w:bCs/>
                <w:color w:val="auto"/>
                <w:highlight w:val="none"/>
                <w:lang w:val="en-US" w:eastAsia="zh-CN"/>
              </w:rPr>
              <w:t>/吨</w:t>
            </w:r>
            <w:r>
              <w:rPr>
                <w:rFonts w:hint="eastAsia" w:ascii="Times New Roman"/>
                <w:b/>
                <w:bCs/>
                <w:color w:val="auto"/>
                <w:highlight w:val="none"/>
                <w:lang w:eastAsia="zh-CN"/>
              </w:rPr>
              <w:t>、</w:t>
            </w:r>
            <w:r>
              <w:rPr>
                <w:rFonts w:hint="eastAsia" w:ascii="Times New Roman"/>
                <w:b/>
                <w:bCs/>
                <w:color w:val="auto"/>
                <w:highlight w:val="none"/>
                <w:lang w:val="en-US" w:eastAsia="zh-CN"/>
              </w:rPr>
              <w:t>C包258.67</w:t>
            </w:r>
            <w:r>
              <w:rPr>
                <w:rFonts w:hint="eastAsia" w:ascii="Times New Roman"/>
                <w:b/>
                <w:bCs/>
                <w:color w:val="auto"/>
                <w:highlight w:val="none"/>
              </w:rPr>
              <w:t>元</w:t>
            </w:r>
            <w:r>
              <w:rPr>
                <w:rFonts w:hint="eastAsia" w:ascii="Times New Roman"/>
                <w:b/>
                <w:bCs/>
                <w:color w:val="auto"/>
                <w:highlight w:val="none"/>
                <w:lang w:val="en-US" w:eastAsia="zh-CN"/>
              </w:rPr>
              <w:t>/吨</w:t>
            </w:r>
            <w:r>
              <w:rPr>
                <w:rFonts w:ascii="Times New Roman"/>
                <w:b/>
                <w:bCs/>
                <w:color w:val="auto"/>
                <w:highlight w:val="none"/>
              </w:rPr>
              <w:t>），否则视为无效报价。</w:t>
            </w:r>
          </w:p>
          <w:p w14:paraId="493D6F2E">
            <w:pPr>
              <w:numPr>
                <w:ilvl w:val="0"/>
                <w:numId w:val="40"/>
              </w:numPr>
              <w:autoSpaceDE/>
              <w:autoSpaceDN/>
              <w:adjustRightInd/>
              <w:jc w:val="both"/>
              <w:rPr>
                <w:rFonts w:ascii="Times New Roman"/>
                <w:b/>
                <w:bCs/>
                <w:color w:val="auto"/>
                <w:highlight w:val="none"/>
              </w:rPr>
            </w:pPr>
            <w:r>
              <w:rPr>
                <w:rFonts w:hint="eastAsia" w:ascii="Times New Roman"/>
                <w:b/>
                <w:bCs/>
                <w:color w:val="auto"/>
                <w:highlight w:val="none"/>
              </w:rPr>
              <w:t>上述报价数值如需保留小数点后2位，从小数点后第3位四舍五入。</w:t>
            </w:r>
          </w:p>
          <w:p w14:paraId="293503DC">
            <w:pPr>
              <w:numPr>
                <w:ilvl w:val="0"/>
                <w:numId w:val="40"/>
              </w:numPr>
              <w:autoSpaceDE/>
              <w:autoSpaceDN/>
              <w:adjustRightInd/>
              <w:jc w:val="both"/>
              <w:rPr>
                <w:rFonts w:ascii="Times New Roman"/>
                <w:b/>
                <w:bCs/>
                <w:color w:val="auto"/>
                <w:highlight w:val="none"/>
              </w:rPr>
            </w:pPr>
            <w:r>
              <w:rPr>
                <w:rFonts w:hint="eastAsia" w:ascii="Times New Roman"/>
                <w:b/>
                <w:bCs/>
                <w:color w:val="auto"/>
                <w:highlight w:val="none"/>
                <w:lang w:val="en-US" w:eastAsia="zh-CN"/>
              </w:rPr>
              <w:t>供应商可自主选择A、B、C三个包组报价，各包组单独评审，若同时选择多个包组，按兼投不兼中原则。</w:t>
            </w:r>
          </w:p>
        </w:tc>
      </w:tr>
    </w:tbl>
    <w:p w14:paraId="0B834D7A">
      <w:pPr>
        <w:pStyle w:val="11"/>
        <w:spacing w:line="360" w:lineRule="auto"/>
        <w:rPr>
          <w:rFonts w:hAnsi="宋体" w:cs="宋体"/>
          <w:color w:val="auto"/>
          <w:sz w:val="24"/>
          <w:szCs w:val="24"/>
          <w:highlight w:val="none"/>
        </w:rPr>
      </w:pPr>
    </w:p>
    <w:p w14:paraId="20D8941E">
      <w:pPr>
        <w:pStyle w:val="11"/>
        <w:spacing w:line="360" w:lineRule="auto"/>
        <w:rPr>
          <w:rFonts w:hAnsi="宋体" w:cs="宋体"/>
          <w:color w:val="auto"/>
          <w:sz w:val="24"/>
          <w:szCs w:val="28"/>
          <w:highlight w:val="none"/>
        </w:rPr>
      </w:pPr>
      <w:r>
        <w:rPr>
          <w:rFonts w:hint="eastAsia" w:hAnsi="宋体" w:cs="宋体"/>
          <w:color w:val="auto"/>
          <w:sz w:val="24"/>
          <w:szCs w:val="28"/>
          <w:highlight w:val="none"/>
        </w:rPr>
        <w:t>联系人：                          联系电话：</w:t>
      </w:r>
    </w:p>
    <w:p w14:paraId="3D4AADA4">
      <w:pPr>
        <w:wordWrap w:val="0"/>
        <w:spacing w:line="360" w:lineRule="auto"/>
        <w:jc w:val="right"/>
        <w:rPr>
          <w:rFonts w:hAnsi="宋体" w:cs="宋体"/>
          <w:color w:val="auto"/>
          <w:kern w:val="2"/>
          <w:szCs w:val="28"/>
          <w:highlight w:val="none"/>
          <w:lang w:val="zh-CN"/>
        </w:rPr>
      </w:pPr>
    </w:p>
    <w:p w14:paraId="434001F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lang w:val="zh-CN"/>
        </w:rPr>
        <w:t>报价人：（</w:t>
      </w:r>
      <w:r>
        <w:rPr>
          <w:rFonts w:hint="eastAsia" w:hAnsi="宋体" w:cs="宋体"/>
          <w:color w:val="auto"/>
          <w:kern w:val="2"/>
          <w:szCs w:val="28"/>
          <w:highlight w:val="none"/>
          <w:lang w:val="en-US" w:eastAsia="zh-CN"/>
        </w:rPr>
        <w:t>加盖公章</w:t>
      </w:r>
      <w:r>
        <w:rPr>
          <w:rFonts w:hint="eastAsia" w:hAnsi="宋体" w:cs="宋体"/>
          <w:color w:val="auto"/>
          <w:kern w:val="2"/>
          <w:szCs w:val="28"/>
          <w:highlight w:val="none"/>
          <w:lang w:val="zh-CN"/>
        </w:rPr>
        <w:t>）</w:t>
      </w:r>
      <w:r>
        <w:rPr>
          <w:rFonts w:hint="eastAsia" w:hAnsi="宋体" w:cs="宋体"/>
          <w:color w:val="auto"/>
          <w:kern w:val="2"/>
          <w:szCs w:val="28"/>
          <w:highlight w:val="none"/>
        </w:rPr>
        <w:t xml:space="preserve"> </w:t>
      </w:r>
    </w:p>
    <w:p w14:paraId="099B7860">
      <w:pPr>
        <w:wordWrap w:val="0"/>
        <w:spacing w:line="360" w:lineRule="auto"/>
        <w:jc w:val="right"/>
        <w:rPr>
          <w:rFonts w:hint="eastAsia" w:hAnsi="宋体" w:cs="宋体"/>
          <w:color w:val="auto"/>
          <w:kern w:val="2"/>
          <w:szCs w:val="28"/>
          <w:highlight w:val="none"/>
        </w:rPr>
      </w:pPr>
      <w:r>
        <w:rPr>
          <w:rFonts w:hint="eastAsia" w:hAnsi="宋体" w:cs="宋体"/>
          <w:color w:val="auto"/>
          <w:kern w:val="2"/>
          <w:szCs w:val="28"/>
          <w:highlight w:val="none"/>
        </w:rPr>
        <w:t xml:space="preserve">      </w:t>
      </w:r>
    </w:p>
    <w:p w14:paraId="3D6D7C04">
      <w:pPr>
        <w:wordWrap w:val="0"/>
        <w:spacing w:line="360" w:lineRule="auto"/>
        <w:jc w:val="right"/>
        <w:rPr>
          <w:rFonts w:hAnsi="宋体" w:cs="宋体"/>
          <w:color w:val="auto"/>
          <w:kern w:val="2"/>
          <w:szCs w:val="28"/>
          <w:highlight w:val="none"/>
          <w:lang w:val="zh-CN"/>
        </w:rPr>
      </w:pPr>
      <w:r>
        <w:rPr>
          <w:rFonts w:hint="eastAsia" w:hAnsi="宋体" w:cs="宋体"/>
          <w:color w:val="auto"/>
          <w:kern w:val="2"/>
          <w:szCs w:val="28"/>
          <w:highlight w:val="none"/>
          <w:lang w:val="zh-CN"/>
        </w:rPr>
        <w:t>日期：   年    月   日</w:t>
      </w:r>
    </w:p>
    <w:p w14:paraId="69B410FE">
      <w:pPr>
        <w:spacing w:line="360" w:lineRule="auto"/>
        <w:ind w:right="1680"/>
        <w:rPr>
          <w:rFonts w:hAnsi="宋体" w:cs="宋体"/>
          <w:color w:val="auto"/>
          <w:kern w:val="2"/>
          <w:szCs w:val="28"/>
          <w:highlight w:val="none"/>
        </w:rPr>
      </w:pPr>
    </w:p>
    <w:p w14:paraId="7E65DFFF">
      <w:pPr>
        <w:spacing w:line="360" w:lineRule="auto"/>
        <w:rPr>
          <w:rFonts w:hAnsi="宋体" w:cs="宋体"/>
          <w:b/>
          <w:color w:val="auto"/>
          <w:sz w:val="28"/>
          <w:szCs w:val="28"/>
          <w:highlight w:val="none"/>
        </w:rPr>
        <w:sectPr>
          <w:footerReference r:id="rId4" w:type="default"/>
          <w:pgSz w:w="11906" w:h="16838"/>
          <w:pgMar w:top="1440" w:right="1803" w:bottom="1440" w:left="1803" w:header="851" w:footer="992" w:gutter="0"/>
          <w:cols w:space="0" w:num="1"/>
          <w:docGrid w:type="lines" w:linePitch="332" w:charSpace="0"/>
        </w:sectPr>
      </w:pPr>
    </w:p>
    <w:p w14:paraId="24E498EE">
      <w:pPr>
        <w:rPr>
          <w:rFonts w:ascii="Times New Roman"/>
          <w:b/>
          <w:color w:val="auto"/>
          <w:sz w:val="28"/>
          <w:szCs w:val="28"/>
          <w:highlight w:val="none"/>
        </w:rPr>
      </w:pPr>
      <w:r>
        <w:rPr>
          <w:rFonts w:hint="eastAsia" w:ascii="Times New Roman"/>
          <w:b/>
          <w:color w:val="auto"/>
          <w:sz w:val="28"/>
          <w:szCs w:val="28"/>
          <w:highlight w:val="none"/>
          <w:lang w:val="en-US" w:eastAsia="zh-CN"/>
        </w:rPr>
        <w:t>2.</w:t>
      </w:r>
      <w:r>
        <w:rPr>
          <w:rFonts w:hint="eastAsia" w:ascii="Times New Roman"/>
          <w:b/>
          <w:color w:val="auto"/>
          <w:sz w:val="28"/>
          <w:szCs w:val="28"/>
          <w:highlight w:val="none"/>
        </w:rPr>
        <w:t>项目响应声明</w:t>
      </w:r>
    </w:p>
    <w:p w14:paraId="05184F82">
      <w:pPr>
        <w:spacing w:line="360" w:lineRule="auto"/>
        <w:jc w:val="center"/>
        <w:rPr>
          <w:rFonts w:hAnsi="宋体" w:cs="宋体"/>
          <w:b/>
          <w:color w:val="auto"/>
          <w:sz w:val="28"/>
          <w:szCs w:val="28"/>
          <w:highlight w:val="none"/>
        </w:rPr>
      </w:pPr>
      <w:bookmarkStart w:id="17" w:name="_Hlk26973180"/>
      <w:r>
        <w:rPr>
          <w:rFonts w:hint="eastAsia" w:hAnsi="宋体" w:cs="宋体"/>
          <w:b/>
          <w:color w:val="auto"/>
          <w:sz w:val="28"/>
          <w:szCs w:val="28"/>
          <w:highlight w:val="none"/>
        </w:rPr>
        <w:t>响应声明</w:t>
      </w:r>
    </w:p>
    <w:bookmarkEnd w:id="17"/>
    <w:p w14:paraId="35FE920D">
      <w:pPr>
        <w:spacing w:line="360" w:lineRule="auto"/>
        <w:ind w:firstLine="480" w:firstLineChars="200"/>
        <w:rPr>
          <w:rFonts w:hAnsi="宋体" w:cs="宋体"/>
          <w:color w:val="auto"/>
          <w:highlight w:val="none"/>
        </w:rPr>
      </w:pPr>
      <w:bookmarkStart w:id="18" w:name="_Toc513226437"/>
      <w:bookmarkStart w:id="19" w:name="_Toc534701786"/>
      <w:bookmarkStart w:id="20" w:name="_Toc534278252"/>
      <w:r>
        <w:rPr>
          <w:rFonts w:hAnsi="宋体" w:cs="宋体"/>
          <w:color w:val="auto"/>
          <w:highlight w:val="none"/>
        </w:rPr>
        <w:t>我方已详细查阅了询价文件的所有内容，对询价文件中的“第二章 用户需求”和“第三章 合同条款”完全响应。一旦我方成交，将保证按质、按量、按期地完成项目中的全部责任和义务。</w:t>
      </w:r>
      <w:r>
        <w:rPr>
          <w:rFonts w:hint="eastAsia" w:hAnsi="宋体" w:cs="宋体"/>
          <w:color w:val="auto"/>
          <w:highlight w:val="none"/>
        </w:rPr>
        <w:t>如我方存在成交后放弃或提供虚假证明文件、虚假报价文件或存在实际服务质量低于询价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color w:val="auto"/>
          <w:highlight w:val="none"/>
        </w:rPr>
        <w:t xml:space="preserve"> </w:t>
      </w:r>
      <w:r>
        <w:rPr>
          <w:rFonts w:hint="eastAsia" w:hAnsi="宋体" w:cs="宋体"/>
          <w:color w:val="auto"/>
          <w:highlight w:val="none"/>
        </w:rPr>
        <w:t>取消二年内参加东莞市水务环境投资控股集团净水有限公司采购项目的报价资格。</w:t>
      </w:r>
    </w:p>
    <w:p w14:paraId="0F22C019">
      <w:pPr>
        <w:spacing w:line="360" w:lineRule="auto"/>
        <w:ind w:firstLine="480" w:firstLineChars="200"/>
        <w:rPr>
          <w:rFonts w:hAnsi="宋体" w:cs="宋体"/>
          <w:color w:val="auto"/>
          <w:highlight w:val="none"/>
        </w:rPr>
      </w:pPr>
      <w:r>
        <w:rPr>
          <w:rFonts w:hint="eastAsia" w:hAnsi="宋体" w:cs="宋体"/>
          <w:color w:val="auto"/>
          <w:highlight w:val="none"/>
        </w:rPr>
        <w:t>特此声明。</w:t>
      </w:r>
    </w:p>
    <w:p w14:paraId="3118C466">
      <w:pPr>
        <w:spacing w:line="360" w:lineRule="auto"/>
        <w:ind w:firstLine="480" w:firstLineChars="200"/>
        <w:rPr>
          <w:rFonts w:hAnsi="宋体" w:cs="宋体"/>
          <w:color w:val="auto"/>
          <w:highlight w:val="none"/>
        </w:rPr>
      </w:pPr>
    </w:p>
    <w:p w14:paraId="01A24EAF">
      <w:pPr>
        <w:spacing w:line="360" w:lineRule="auto"/>
        <w:ind w:firstLine="480" w:firstLineChars="200"/>
        <w:rPr>
          <w:rFonts w:hAnsi="宋体" w:cs="宋体"/>
          <w:color w:val="auto"/>
          <w:highlight w:val="none"/>
        </w:rPr>
      </w:pPr>
    </w:p>
    <w:p w14:paraId="3AC91B46">
      <w:pPr>
        <w:spacing w:line="360" w:lineRule="auto"/>
        <w:ind w:firstLine="5280" w:firstLineChars="2200"/>
        <w:rPr>
          <w:rFonts w:hAnsi="宋体" w:cs="宋体"/>
          <w:color w:val="auto"/>
          <w:highlight w:val="none"/>
        </w:rPr>
      </w:pPr>
      <w:r>
        <w:rPr>
          <w:rFonts w:hint="eastAsia" w:hAnsi="宋体" w:cs="宋体"/>
          <w:color w:val="auto"/>
          <w:highlight w:val="none"/>
        </w:rPr>
        <w:t>报价人：（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2CDD19AF">
      <w:pPr>
        <w:spacing w:line="360" w:lineRule="auto"/>
        <w:ind w:firstLine="5280" w:firstLineChars="2200"/>
        <w:rPr>
          <w:rFonts w:hAnsi="宋体" w:cs="宋体"/>
          <w:color w:val="auto"/>
          <w:highlight w:val="none"/>
        </w:rPr>
      </w:pPr>
      <w:r>
        <w:rPr>
          <w:rFonts w:hint="eastAsia" w:hAnsi="宋体" w:cs="宋体"/>
          <w:color w:val="auto"/>
          <w:highlight w:val="none"/>
        </w:rPr>
        <w:t>日期：</w:t>
      </w:r>
      <w:r>
        <w:rPr>
          <w:rFonts w:hAnsi="宋体" w:cs="宋体"/>
          <w:color w:val="auto"/>
          <w:highlight w:val="none"/>
        </w:rPr>
        <w:t xml:space="preserve">    </w:t>
      </w:r>
      <w:r>
        <w:rPr>
          <w:rFonts w:hint="eastAsia" w:hAnsi="宋体" w:cs="宋体"/>
          <w:color w:val="auto"/>
          <w:highlight w:val="none"/>
        </w:rPr>
        <w:t xml:space="preserve">年 </w:t>
      </w:r>
      <w:r>
        <w:rPr>
          <w:rFonts w:hAnsi="宋体" w:cs="宋体"/>
          <w:color w:val="auto"/>
          <w:highlight w:val="none"/>
        </w:rPr>
        <w:t xml:space="preserve">   </w:t>
      </w:r>
      <w:r>
        <w:rPr>
          <w:rFonts w:hint="eastAsia" w:hAnsi="宋体" w:cs="宋体"/>
          <w:color w:val="auto"/>
          <w:highlight w:val="none"/>
        </w:rPr>
        <w:t xml:space="preserve">月 </w:t>
      </w:r>
      <w:r>
        <w:rPr>
          <w:rFonts w:hAnsi="宋体" w:cs="宋体"/>
          <w:color w:val="auto"/>
          <w:highlight w:val="none"/>
        </w:rPr>
        <w:t xml:space="preserve">   </w:t>
      </w:r>
      <w:r>
        <w:rPr>
          <w:rFonts w:hint="eastAsia" w:hAnsi="宋体" w:cs="宋体"/>
          <w:color w:val="auto"/>
          <w:highlight w:val="none"/>
        </w:rPr>
        <w:t>日</w:t>
      </w:r>
    </w:p>
    <w:p w14:paraId="54C4189A">
      <w:pPr>
        <w:spacing w:line="360" w:lineRule="auto"/>
        <w:rPr>
          <w:rFonts w:hAnsi="宋体" w:cs="宋体"/>
          <w:color w:val="auto"/>
          <w:highlight w:val="none"/>
        </w:rPr>
      </w:pPr>
    </w:p>
    <w:p w14:paraId="2188D702">
      <w:pPr>
        <w:spacing w:line="360" w:lineRule="auto"/>
        <w:rPr>
          <w:rFonts w:ascii="Times New Roman"/>
          <w:b/>
          <w:bCs/>
          <w:color w:val="auto"/>
          <w:sz w:val="21"/>
          <w:szCs w:val="21"/>
          <w:highlight w:val="none"/>
        </w:rPr>
      </w:pPr>
    </w:p>
    <w:p w14:paraId="11761E95">
      <w:pPr>
        <w:spacing w:line="360" w:lineRule="auto"/>
        <w:rPr>
          <w:rFonts w:ascii="Times New Roman"/>
          <w:b/>
          <w:bCs/>
          <w:color w:val="auto"/>
          <w:sz w:val="21"/>
          <w:szCs w:val="21"/>
          <w:highlight w:val="none"/>
        </w:rPr>
      </w:pPr>
    </w:p>
    <w:p w14:paraId="39F476EF">
      <w:pPr>
        <w:spacing w:line="360" w:lineRule="auto"/>
        <w:rPr>
          <w:rFonts w:ascii="Times New Roman"/>
          <w:b/>
          <w:bCs/>
          <w:color w:val="auto"/>
          <w:sz w:val="21"/>
          <w:szCs w:val="21"/>
          <w:highlight w:val="none"/>
        </w:rPr>
      </w:pPr>
    </w:p>
    <w:p w14:paraId="3626F8F9">
      <w:pPr>
        <w:spacing w:line="360" w:lineRule="auto"/>
        <w:rPr>
          <w:rFonts w:ascii="Times New Roman"/>
          <w:b/>
          <w:bCs/>
          <w:color w:val="auto"/>
          <w:sz w:val="21"/>
          <w:szCs w:val="21"/>
          <w:highlight w:val="none"/>
        </w:rPr>
      </w:pPr>
    </w:p>
    <w:p w14:paraId="59CC0EF8">
      <w:pPr>
        <w:spacing w:line="360" w:lineRule="auto"/>
        <w:rPr>
          <w:rFonts w:ascii="Times New Roman"/>
          <w:b/>
          <w:bCs/>
          <w:color w:val="auto"/>
          <w:sz w:val="21"/>
          <w:szCs w:val="21"/>
          <w:highlight w:val="none"/>
        </w:rPr>
      </w:pPr>
    </w:p>
    <w:p w14:paraId="1C6AC719">
      <w:pPr>
        <w:spacing w:line="360" w:lineRule="auto"/>
        <w:rPr>
          <w:rFonts w:ascii="Times New Roman"/>
          <w:b/>
          <w:bCs/>
          <w:color w:val="auto"/>
          <w:sz w:val="21"/>
          <w:szCs w:val="21"/>
          <w:highlight w:val="none"/>
        </w:rPr>
      </w:pPr>
    </w:p>
    <w:p w14:paraId="3FE5515F">
      <w:pPr>
        <w:spacing w:line="360" w:lineRule="auto"/>
        <w:rPr>
          <w:rFonts w:ascii="Times New Roman"/>
          <w:b/>
          <w:bCs/>
          <w:color w:val="auto"/>
          <w:sz w:val="21"/>
          <w:szCs w:val="21"/>
          <w:highlight w:val="none"/>
        </w:rPr>
      </w:pPr>
    </w:p>
    <w:p w14:paraId="7380AA4B">
      <w:pPr>
        <w:spacing w:line="360" w:lineRule="auto"/>
        <w:rPr>
          <w:rFonts w:ascii="Times New Roman"/>
          <w:b/>
          <w:bCs/>
          <w:color w:val="auto"/>
          <w:sz w:val="21"/>
          <w:szCs w:val="21"/>
          <w:highlight w:val="none"/>
        </w:rPr>
      </w:pPr>
    </w:p>
    <w:p w14:paraId="6BC0171D">
      <w:pPr>
        <w:spacing w:line="360" w:lineRule="auto"/>
        <w:rPr>
          <w:rFonts w:ascii="Times New Roman"/>
          <w:b/>
          <w:bCs/>
          <w:color w:val="auto"/>
          <w:sz w:val="21"/>
          <w:szCs w:val="21"/>
          <w:highlight w:val="none"/>
        </w:rPr>
      </w:pPr>
    </w:p>
    <w:p w14:paraId="7A7C3273">
      <w:pPr>
        <w:rPr>
          <w:rFonts w:hint="eastAsia" w:ascii="Times New Roman"/>
          <w:b/>
          <w:color w:val="auto"/>
          <w:sz w:val="28"/>
          <w:szCs w:val="28"/>
          <w:highlight w:val="none"/>
          <w:lang w:val="en-US" w:eastAsia="zh-CN"/>
        </w:rPr>
      </w:pPr>
      <w:r>
        <w:rPr>
          <w:rFonts w:hint="eastAsia" w:ascii="Times New Roman"/>
          <w:b/>
          <w:color w:val="auto"/>
          <w:sz w:val="28"/>
          <w:szCs w:val="28"/>
          <w:highlight w:val="none"/>
          <w:lang w:val="en-US" w:eastAsia="zh-CN"/>
        </w:rPr>
        <w:br w:type="page"/>
      </w:r>
    </w:p>
    <w:p w14:paraId="07CB6EFA">
      <w:pPr>
        <w:numPr>
          <w:ilvl w:val="0"/>
          <w:numId w:val="0"/>
        </w:numPr>
        <w:spacing w:line="360" w:lineRule="auto"/>
        <w:rPr>
          <w:rFonts w:ascii="Times New Roman"/>
          <w:b/>
          <w:color w:val="auto"/>
          <w:sz w:val="28"/>
          <w:szCs w:val="28"/>
          <w:highlight w:val="none"/>
        </w:rPr>
      </w:pPr>
      <w:r>
        <w:rPr>
          <w:rFonts w:hint="eastAsia" w:ascii="Times New Roman"/>
          <w:b/>
          <w:color w:val="auto"/>
          <w:sz w:val="28"/>
          <w:szCs w:val="28"/>
          <w:highlight w:val="none"/>
          <w:lang w:val="en-US" w:eastAsia="zh-CN"/>
        </w:rPr>
        <w:t>3.营业执照</w:t>
      </w:r>
    </w:p>
    <w:p w14:paraId="79C6D72F">
      <w:pPr>
        <w:rPr>
          <w:rFonts w:hAnsi="宋体" w:cs="宋体"/>
          <w:b/>
          <w:color w:val="auto"/>
          <w:sz w:val="28"/>
          <w:szCs w:val="28"/>
          <w:highlight w:val="none"/>
        </w:rPr>
      </w:pPr>
      <w:r>
        <w:rPr>
          <w:rFonts w:hAnsi="宋体" w:cs="宋体"/>
          <w:b/>
          <w:color w:val="auto"/>
          <w:sz w:val="28"/>
          <w:szCs w:val="28"/>
          <w:highlight w:val="none"/>
        </w:rPr>
        <w:br w:type="page"/>
      </w:r>
    </w:p>
    <w:p w14:paraId="364EF705">
      <w:pPr>
        <w:spacing w:line="360" w:lineRule="auto"/>
        <w:rPr>
          <w:rFonts w:hint="eastAsia" w:hAnsi="宋体" w:cs="宋体"/>
          <w:b/>
          <w:color w:val="auto"/>
          <w:sz w:val="28"/>
          <w:szCs w:val="28"/>
          <w:highlight w:val="none"/>
        </w:rPr>
      </w:pPr>
      <w:r>
        <w:rPr>
          <w:rFonts w:hAnsi="宋体" w:cs="宋体"/>
          <w:b/>
          <w:color w:val="auto"/>
          <w:sz w:val="28"/>
          <w:szCs w:val="28"/>
          <w:highlight w:val="none"/>
        </w:rPr>
        <w:t>4.</w:t>
      </w:r>
      <w:r>
        <w:rPr>
          <w:rFonts w:hint="eastAsia" w:hAnsi="宋体" w:cs="宋体"/>
          <w:b/>
          <w:color w:val="auto"/>
          <w:sz w:val="28"/>
          <w:szCs w:val="28"/>
          <w:highlight w:val="none"/>
          <w:lang w:val="en-US" w:eastAsia="zh-CN"/>
        </w:rPr>
        <w:t>提供</w:t>
      </w:r>
      <w:r>
        <w:rPr>
          <w:rFonts w:hint="eastAsia" w:hAnsi="宋体" w:cs="宋体"/>
          <w:b/>
          <w:color w:val="auto"/>
          <w:sz w:val="28"/>
          <w:szCs w:val="28"/>
          <w:highlight w:val="none"/>
        </w:rPr>
        <w:t>一</w:t>
      </w:r>
      <w:r>
        <w:rPr>
          <w:rFonts w:hint="eastAsia" w:hAnsi="宋体" w:cs="宋体"/>
          <w:b/>
          <w:color w:val="auto"/>
          <w:sz w:val="28"/>
          <w:szCs w:val="28"/>
          <w:highlight w:val="none"/>
          <w:lang w:val="en-US" w:eastAsia="zh-CN"/>
        </w:rPr>
        <w:t>份污泥脱水减量服务相关业绩</w:t>
      </w:r>
      <w:r>
        <w:rPr>
          <w:rFonts w:hint="eastAsia" w:hAnsi="宋体" w:cs="宋体"/>
          <w:b/>
          <w:color w:val="auto"/>
          <w:sz w:val="28"/>
          <w:szCs w:val="28"/>
          <w:highlight w:val="none"/>
        </w:rPr>
        <w:t>（合同签订日期为</w:t>
      </w:r>
      <w:r>
        <w:rPr>
          <w:rFonts w:hAnsi="宋体" w:cs="宋体"/>
          <w:b/>
          <w:color w:val="auto"/>
          <w:sz w:val="28"/>
          <w:szCs w:val="28"/>
          <w:highlight w:val="none"/>
        </w:rPr>
        <w:t>2022</w:t>
      </w:r>
      <w:r>
        <w:rPr>
          <w:rFonts w:hint="eastAsia" w:hAnsi="宋体" w:cs="宋体"/>
          <w:b/>
          <w:color w:val="auto"/>
          <w:sz w:val="28"/>
          <w:szCs w:val="28"/>
          <w:highlight w:val="none"/>
        </w:rPr>
        <w:t>年</w:t>
      </w:r>
      <w:r>
        <w:rPr>
          <w:rFonts w:hAnsi="宋体" w:cs="宋体"/>
          <w:b/>
          <w:color w:val="auto"/>
          <w:sz w:val="28"/>
          <w:szCs w:val="28"/>
          <w:highlight w:val="none"/>
        </w:rPr>
        <w:t>1</w:t>
      </w:r>
      <w:r>
        <w:rPr>
          <w:rFonts w:hint="eastAsia" w:hAnsi="宋体" w:cs="宋体"/>
          <w:b/>
          <w:color w:val="auto"/>
          <w:sz w:val="28"/>
          <w:szCs w:val="28"/>
          <w:highlight w:val="none"/>
        </w:rPr>
        <w:t>月</w:t>
      </w:r>
      <w:r>
        <w:rPr>
          <w:rFonts w:hAnsi="宋体" w:cs="宋体"/>
          <w:b/>
          <w:color w:val="auto"/>
          <w:sz w:val="28"/>
          <w:szCs w:val="28"/>
          <w:highlight w:val="none"/>
        </w:rPr>
        <w:t>1</w:t>
      </w:r>
      <w:r>
        <w:rPr>
          <w:rFonts w:hint="eastAsia" w:hAnsi="宋体" w:cs="宋体"/>
          <w:b/>
          <w:color w:val="auto"/>
          <w:sz w:val="28"/>
          <w:szCs w:val="28"/>
          <w:highlight w:val="none"/>
        </w:rPr>
        <w:t>日或以后）</w:t>
      </w:r>
    </w:p>
    <w:p w14:paraId="3E779E79">
      <w:pPr>
        <w:rPr>
          <w:rFonts w:ascii="Times New Roman"/>
          <w:b/>
          <w:color w:val="auto"/>
          <w:sz w:val="28"/>
          <w:szCs w:val="28"/>
          <w:highlight w:val="none"/>
        </w:rPr>
      </w:pPr>
      <w:r>
        <w:rPr>
          <w:rFonts w:ascii="Times New Roman"/>
          <w:b/>
          <w:color w:val="auto"/>
          <w:sz w:val="28"/>
          <w:szCs w:val="28"/>
          <w:highlight w:val="none"/>
        </w:rPr>
        <w:br w:type="page"/>
      </w:r>
    </w:p>
    <w:p w14:paraId="2E85BE0D">
      <w:pPr>
        <w:numPr>
          <w:ilvl w:val="0"/>
          <w:numId w:val="0"/>
        </w:numPr>
        <w:spacing w:line="360" w:lineRule="auto"/>
        <w:rPr>
          <w:rFonts w:ascii="Times New Roman"/>
          <w:b/>
          <w:color w:val="auto"/>
          <w:sz w:val="28"/>
          <w:szCs w:val="28"/>
          <w:highlight w:val="none"/>
        </w:rPr>
      </w:pPr>
      <w:r>
        <w:rPr>
          <w:rFonts w:ascii="Times New Roman"/>
          <w:b/>
          <w:color w:val="auto"/>
          <w:sz w:val="28"/>
          <w:szCs w:val="28"/>
          <w:highlight w:val="none"/>
        </w:rPr>
        <w:t>5.</w:t>
      </w:r>
      <w:r>
        <w:rPr>
          <w:rFonts w:hint="eastAsia" w:ascii="Times New Roman"/>
          <w:b/>
          <w:color w:val="auto"/>
          <w:sz w:val="28"/>
          <w:szCs w:val="28"/>
          <w:highlight w:val="none"/>
        </w:rPr>
        <w:t xml:space="preserve"> </w:t>
      </w:r>
      <w:bookmarkEnd w:id="18"/>
      <w:bookmarkEnd w:id="19"/>
      <w:bookmarkEnd w:id="20"/>
      <w:r>
        <w:rPr>
          <w:rFonts w:hint="eastAsia" w:ascii="Times New Roman"/>
          <w:b/>
          <w:color w:val="auto"/>
          <w:sz w:val="28"/>
          <w:szCs w:val="28"/>
          <w:highlight w:val="none"/>
        </w:rPr>
        <w:t>承诺函</w:t>
      </w:r>
    </w:p>
    <w:p w14:paraId="3825154D">
      <w:pPr>
        <w:spacing w:line="360" w:lineRule="auto"/>
        <w:rPr>
          <w:rFonts w:hAnsi="宋体" w:cs="宋体"/>
          <w:color w:val="auto"/>
          <w:highlight w:val="none"/>
        </w:rPr>
      </w:pPr>
      <w:r>
        <w:rPr>
          <w:rFonts w:hint="eastAsia" w:hAnsi="宋体" w:cs="宋体"/>
          <w:color w:val="auto"/>
          <w:highlight w:val="none"/>
        </w:rPr>
        <w:t>致东莞市水务环境投资控股</w:t>
      </w:r>
      <w:r>
        <w:rPr>
          <w:rFonts w:hint="eastAsia" w:hAnsi="宋体" w:cs="宋体"/>
          <w:color w:val="auto"/>
          <w:highlight w:val="none"/>
          <w:lang w:val="en-US" w:eastAsia="zh-CN"/>
        </w:rPr>
        <w:t>集团净水有限公</w:t>
      </w:r>
      <w:r>
        <w:rPr>
          <w:rFonts w:hint="eastAsia" w:hAnsi="宋体" w:cs="宋体"/>
          <w:color w:val="auto"/>
          <w:highlight w:val="none"/>
        </w:rPr>
        <w:t>司：</w:t>
      </w:r>
    </w:p>
    <w:p w14:paraId="2B3DC756">
      <w:pPr>
        <w:spacing w:line="360" w:lineRule="auto"/>
        <w:ind w:firstLine="480" w:firstLineChars="200"/>
        <w:rPr>
          <w:rFonts w:hAnsi="宋体" w:cs="宋体"/>
          <w:color w:val="auto"/>
          <w:highlight w:val="none"/>
        </w:rPr>
      </w:pPr>
      <w:r>
        <w:rPr>
          <w:rFonts w:hint="eastAsia" w:hAnsi="宋体" w:cs="宋体"/>
          <w:color w:val="auto"/>
          <w:highlight w:val="none"/>
        </w:rPr>
        <w:t>我公司</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rPr>
        <w:t>为贵公司询价的</w:t>
      </w:r>
      <w:r>
        <w:rPr>
          <w:rFonts w:hint="eastAsia" w:hAnsi="宋体" w:cs="宋体"/>
          <w:color w:val="auto"/>
          <w:highlight w:val="none"/>
          <w:u w:val="single"/>
          <w:lang w:eastAsia="zh-CN"/>
        </w:rPr>
        <w:t>东莞市众源环境投资有限公司BOT权属清溪长山头厂一二期等8家污水处理厂污泥脱水减量处理应急采购项目</w:t>
      </w:r>
      <w:r>
        <w:rPr>
          <w:rFonts w:hint="eastAsia" w:hAnsi="宋体" w:cs="宋体"/>
          <w:color w:val="auto"/>
          <w:highlight w:val="none"/>
        </w:rPr>
        <w:t>的报价单位，为确保供货及/或提供服务过程中的人身、财产安全，我公司承诺，如我公司获得成交资格，将严格按照下列要求开展工作。</w:t>
      </w:r>
    </w:p>
    <w:p w14:paraId="6E302DE3">
      <w:pPr>
        <w:spacing w:line="360" w:lineRule="auto"/>
        <w:ind w:firstLine="480" w:firstLineChars="200"/>
        <w:rPr>
          <w:rFonts w:hAnsi="宋体" w:cs="宋体"/>
          <w:color w:val="auto"/>
          <w:highlight w:val="none"/>
        </w:rPr>
      </w:pPr>
      <w:r>
        <w:rPr>
          <w:rFonts w:hAnsi="宋体" w:cs="宋体"/>
          <w:color w:val="auto"/>
          <w:highlight w:val="none"/>
        </w:rPr>
        <w:t>1、我公司承诺将严格遵守国家、地方政府有关安全生产及劳动保护的法律法规、标准、规定，贯彻执行贵公司的各项安全管理规章制度。</w:t>
      </w:r>
    </w:p>
    <w:p w14:paraId="2DE6560F">
      <w:pPr>
        <w:spacing w:line="360" w:lineRule="auto"/>
        <w:ind w:firstLine="480" w:firstLineChars="200"/>
        <w:rPr>
          <w:rFonts w:hAnsi="宋体" w:cs="宋体"/>
          <w:color w:val="auto"/>
          <w:highlight w:val="none"/>
        </w:rPr>
      </w:pPr>
      <w:r>
        <w:rPr>
          <w:rFonts w:hAnsi="宋体" w:cs="宋体"/>
          <w:color w:val="auto"/>
          <w:highlight w:val="none"/>
        </w:rPr>
        <w:t>2、我公司承诺将依法参加工伤保险，为</w:t>
      </w:r>
      <w:r>
        <w:rPr>
          <w:rFonts w:hint="eastAsia" w:hAnsi="宋体" w:cs="宋体"/>
          <w:color w:val="auto"/>
          <w:highlight w:val="none"/>
        </w:rPr>
        <w:t>安排至贵公司从事本项目的工作</w:t>
      </w:r>
      <w:r>
        <w:rPr>
          <w:rFonts w:hAnsi="宋体" w:cs="宋体"/>
          <w:color w:val="auto"/>
          <w:highlight w:val="none"/>
        </w:rPr>
        <w:t>人员缴纳保险费，并为从事危险作业的人员办理意外伤害保险。</w:t>
      </w:r>
    </w:p>
    <w:p w14:paraId="7733C659">
      <w:pPr>
        <w:spacing w:line="360" w:lineRule="auto"/>
        <w:ind w:firstLine="480" w:firstLineChars="200"/>
        <w:rPr>
          <w:rFonts w:hAnsi="宋体" w:cs="宋体"/>
          <w:color w:val="auto"/>
          <w:highlight w:val="none"/>
        </w:rPr>
      </w:pPr>
      <w:r>
        <w:rPr>
          <w:rFonts w:hAnsi="宋体" w:cs="宋体"/>
          <w:color w:val="auto"/>
          <w:highlight w:val="none"/>
        </w:rPr>
        <w:t>3、我公司承诺服从贵公司的安全管理，保证</w:t>
      </w:r>
      <w:r>
        <w:rPr>
          <w:rFonts w:hint="eastAsia" w:hAnsi="宋体" w:cs="宋体"/>
          <w:color w:val="auto"/>
          <w:highlight w:val="none"/>
        </w:rPr>
        <w:t>作业</w:t>
      </w:r>
      <w:r>
        <w:rPr>
          <w:rFonts w:hAnsi="宋体" w:cs="宋体"/>
          <w:color w:val="auto"/>
          <w:highlight w:val="none"/>
        </w:rPr>
        <w:t>区域的现场文明安全管理达标，现场临时用电、机器设备、安全防护齐全、完好</w:t>
      </w:r>
      <w:r>
        <w:rPr>
          <w:rFonts w:hint="eastAsia" w:hAnsi="宋体" w:cs="宋体"/>
          <w:color w:val="auto"/>
          <w:highlight w:val="none"/>
        </w:rPr>
        <w:t>，并</w:t>
      </w:r>
      <w:r>
        <w:rPr>
          <w:rFonts w:hAnsi="宋体" w:cs="宋体"/>
          <w:color w:val="auto"/>
          <w:highlight w:val="none"/>
        </w:rPr>
        <w:t>接受和配合贵公司的安全监督检查，我公司</w:t>
      </w:r>
      <w:r>
        <w:rPr>
          <w:rFonts w:hint="eastAsia" w:hAnsi="宋体" w:cs="宋体"/>
          <w:color w:val="auto"/>
          <w:highlight w:val="none"/>
        </w:rPr>
        <w:t>提供到贵公司</w:t>
      </w:r>
      <w:r>
        <w:rPr>
          <w:rFonts w:hAnsi="宋体" w:cs="宋体"/>
          <w:color w:val="auto"/>
          <w:highlight w:val="none"/>
        </w:rPr>
        <w:t>现场</w:t>
      </w:r>
      <w:r>
        <w:rPr>
          <w:rFonts w:hint="eastAsia" w:hAnsi="宋体" w:cs="宋体"/>
          <w:color w:val="auto"/>
          <w:highlight w:val="none"/>
        </w:rPr>
        <w:t>作业</w:t>
      </w:r>
      <w:r>
        <w:rPr>
          <w:rFonts w:hAnsi="宋体" w:cs="宋体"/>
          <w:color w:val="auto"/>
          <w:highlight w:val="none"/>
        </w:rPr>
        <w:t>的所有安全装置、防护设施必须依据经贵公司审批后的安全技术方案进行搭设、安装，同时我公司无条件保证安全防护设施使用的搭设材料的质量</w:t>
      </w:r>
      <w:r>
        <w:rPr>
          <w:rFonts w:hint="eastAsia" w:hAnsi="宋体" w:cs="宋体"/>
          <w:color w:val="auto"/>
          <w:highlight w:val="none"/>
        </w:rPr>
        <w:t>安全</w:t>
      </w:r>
      <w:r>
        <w:rPr>
          <w:rFonts w:hAnsi="宋体" w:cs="宋体"/>
          <w:color w:val="auto"/>
          <w:highlight w:val="none"/>
        </w:rPr>
        <w:t>，在用于安全防护的物资进场前将有关物资的材质证明报贵公司，经贵公司确认后方可使用。</w:t>
      </w:r>
    </w:p>
    <w:p w14:paraId="24BA717B">
      <w:pPr>
        <w:spacing w:line="360" w:lineRule="auto"/>
        <w:ind w:firstLine="480" w:firstLineChars="200"/>
        <w:rPr>
          <w:rFonts w:hAnsi="宋体" w:cs="宋体"/>
          <w:color w:val="auto"/>
          <w:highlight w:val="none"/>
        </w:rPr>
      </w:pPr>
      <w:r>
        <w:rPr>
          <w:rFonts w:hint="eastAsia" w:hAnsi="宋体" w:cs="宋体"/>
          <w:color w:val="auto"/>
          <w:highlight w:val="none"/>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14:paraId="5DC94DD9">
      <w:pPr>
        <w:spacing w:line="360" w:lineRule="auto"/>
        <w:ind w:firstLine="480" w:firstLineChars="200"/>
        <w:rPr>
          <w:rFonts w:hAnsi="宋体" w:cs="宋体"/>
          <w:color w:val="auto"/>
          <w:highlight w:val="none"/>
        </w:rPr>
      </w:pPr>
      <w:r>
        <w:rPr>
          <w:rFonts w:hint="eastAsia" w:hAnsi="宋体" w:cs="宋体"/>
          <w:color w:val="auto"/>
          <w:highlight w:val="none"/>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14:paraId="1A6DB199">
      <w:pPr>
        <w:spacing w:line="360" w:lineRule="auto"/>
        <w:ind w:firstLine="480" w:firstLineChars="200"/>
        <w:rPr>
          <w:rFonts w:hAnsi="宋体" w:cs="宋体"/>
          <w:color w:val="auto"/>
          <w:highlight w:val="none"/>
        </w:rPr>
      </w:pPr>
      <w:r>
        <w:rPr>
          <w:rFonts w:hint="eastAsia" w:hAnsi="宋体" w:cs="宋体"/>
          <w:color w:val="auto"/>
          <w:highlight w:val="none"/>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服从贵公司的监督。我公司在提供服务过程中，如因违反贵公司相关规章制度、安全条例，或因不服从贵公司监督而发生安全事故的，其结果与责任均由我公司负责，贵公司无须承担任何结果与责任。</w:t>
      </w:r>
    </w:p>
    <w:p w14:paraId="41D7DA19">
      <w:pPr>
        <w:spacing w:line="360" w:lineRule="auto"/>
        <w:ind w:firstLine="480" w:firstLineChars="200"/>
        <w:rPr>
          <w:rFonts w:hAnsi="宋体" w:cs="宋体"/>
          <w:color w:val="auto"/>
          <w:highlight w:val="none"/>
        </w:rPr>
      </w:pPr>
      <w:r>
        <w:rPr>
          <w:rFonts w:hint="eastAsia" w:hAnsi="宋体" w:cs="宋体"/>
          <w:color w:val="auto"/>
          <w:highlight w:val="none"/>
        </w:rPr>
        <w:t>7、我公司承诺协助和指导贵公司进行货物的储存，对贵公司的储存方式、方法、储存数量、仓库的安全设施设备、安全生产规章制度等是否符合国家标准或者国家有关规定提出合理的建议，并进行技术指导。</w:t>
      </w:r>
    </w:p>
    <w:p w14:paraId="01D51F69">
      <w:pPr>
        <w:spacing w:line="360" w:lineRule="auto"/>
        <w:ind w:firstLine="480" w:firstLineChars="200"/>
        <w:rPr>
          <w:rFonts w:hAnsi="宋体" w:cs="宋体"/>
          <w:color w:val="auto"/>
          <w:highlight w:val="none"/>
        </w:rPr>
      </w:pPr>
      <w:r>
        <w:rPr>
          <w:rFonts w:hint="eastAsia" w:hAnsi="宋体" w:cs="宋体"/>
          <w:color w:val="auto"/>
          <w:highlight w:val="none"/>
        </w:rPr>
        <w:t>8、我公司车辆在贵公司场所行驶时，将严格遵守厂区道路限行，限速和限重要求，如因我公司未遵守前述要求，对厂区</w:t>
      </w:r>
      <w:r>
        <w:rPr>
          <w:rFonts w:hAnsi="宋体" w:cs="宋体"/>
          <w:color w:val="auto"/>
          <w:highlight w:val="none"/>
        </w:rPr>
        <w:t>/</w:t>
      </w:r>
      <w:r>
        <w:rPr>
          <w:rFonts w:hint="eastAsia" w:hAnsi="宋体" w:cs="宋体"/>
          <w:color w:val="auto"/>
          <w:highlight w:val="none"/>
        </w:rPr>
        <w:t>贵公司</w:t>
      </w:r>
      <w:r>
        <w:rPr>
          <w:rFonts w:hAnsi="宋体" w:cs="宋体"/>
          <w:color w:val="auto"/>
          <w:highlight w:val="none"/>
        </w:rPr>
        <w:t>（含其人员）、</w:t>
      </w:r>
      <w:r>
        <w:rPr>
          <w:rFonts w:hint="eastAsia" w:hAnsi="宋体" w:cs="宋体"/>
          <w:color w:val="auto"/>
          <w:highlight w:val="none"/>
        </w:rPr>
        <w:t>我公司</w:t>
      </w:r>
      <w:r>
        <w:rPr>
          <w:rFonts w:hAnsi="宋体" w:cs="宋体"/>
          <w:color w:val="auto"/>
          <w:highlight w:val="none"/>
        </w:rPr>
        <w:t>人员、第三方造成损失的，</w:t>
      </w:r>
      <w:r>
        <w:rPr>
          <w:rFonts w:hint="eastAsia" w:hAnsi="宋体" w:cs="宋体"/>
          <w:color w:val="auto"/>
          <w:highlight w:val="none"/>
        </w:rPr>
        <w:t>由我公司</w:t>
      </w:r>
      <w:r>
        <w:rPr>
          <w:rFonts w:hAnsi="宋体" w:cs="宋体"/>
          <w:color w:val="auto"/>
          <w:highlight w:val="none"/>
        </w:rPr>
        <w:t>承担赔偿责任。</w:t>
      </w:r>
    </w:p>
    <w:p w14:paraId="0B421624">
      <w:pPr>
        <w:spacing w:line="360" w:lineRule="auto"/>
        <w:ind w:firstLine="480" w:firstLineChars="200"/>
        <w:rPr>
          <w:rFonts w:hAnsi="宋体" w:cs="宋体"/>
          <w:color w:val="auto"/>
          <w:highlight w:val="none"/>
        </w:rPr>
      </w:pPr>
      <w:r>
        <w:rPr>
          <w:rFonts w:hint="eastAsia" w:hAnsi="宋体" w:cs="宋体"/>
          <w:color w:val="auto"/>
          <w:highlight w:val="none"/>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14:paraId="7033575C">
      <w:pPr>
        <w:spacing w:line="360" w:lineRule="auto"/>
        <w:ind w:firstLine="480" w:firstLineChars="200"/>
        <w:rPr>
          <w:rFonts w:hAnsi="宋体" w:cs="宋体"/>
          <w:color w:val="auto"/>
          <w:highlight w:val="none"/>
        </w:rPr>
      </w:pPr>
      <w:r>
        <w:rPr>
          <w:rFonts w:hAnsi="宋体" w:cs="宋体"/>
          <w:color w:val="auto"/>
          <w:highlight w:val="none"/>
        </w:rPr>
        <w:t>10、因我公司原因，造成我公司损失，由我公司自负，给贵公司造成财产损失和人员伤害，我公司</w:t>
      </w:r>
      <w:r>
        <w:rPr>
          <w:rFonts w:hint="eastAsia" w:hAnsi="宋体" w:cs="宋体"/>
          <w:color w:val="auto"/>
          <w:highlight w:val="none"/>
        </w:rPr>
        <w:t>承担</w:t>
      </w:r>
      <w:r>
        <w:rPr>
          <w:rFonts w:hAnsi="宋体" w:cs="宋体"/>
          <w:color w:val="auto"/>
          <w:highlight w:val="none"/>
        </w:rPr>
        <w:t>全部责任，并全额赔偿贵公司。</w:t>
      </w:r>
    </w:p>
    <w:p w14:paraId="2F89F32B">
      <w:pPr>
        <w:spacing w:line="360" w:lineRule="auto"/>
        <w:ind w:firstLine="480" w:firstLineChars="200"/>
        <w:rPr>
          <w:rFonts w:hAnsi="宋体" w:cs="宋体"/>
          <w:color w:val="auto"/>
          <w:highlight w:val="none"/>
        </w:rPr>
      </w:pPr>
      <w:r>
        <w:rPr>
          <w:rFonts w:hAnsi="宋体" w:cs="宋体"/>
          <w:color w:val="auto"/>
          <w:highlight w:val="none"/>
        </w:rPr>
        <w:t>11、非因贵公司原因，造成我公司损失的，贵公司无需承担任何责任，由我公司自行承担全部责任。</w:t>
      </w:r>
    </w:p>
    <w:p w14:paraId="4CFD480C">
      <w:pPr>
        <w:spacing w:line="360" w:lineRule="auto"/>
        <w:ind w:firstLine="480" w:firstLineChars="200"/>
        <w:rPr>
          <w:rFonts w:hAnsi="宋体" w:cs="宋体"/>
          <w:color w:val="auto"/>
          <w:highlight w:val="none"/>
        </w:rPr>
      </w:pPr>
      <w:r>
        <w:rPr>
          <w:rFonts w:hAnsi="宋体" w:cs="宋体"/>
          <w:color w:val="auto"/>
          <w:highlight w:val="none"/>
        </w:rPr>
        <w:t>12、我公司承诺严格遵守法律法规以及贵公司的安全管理要求，并接受贵公司的安全生产工作协调和监督，积极消除安全隐患。安全管理的基本要求包括但不限于以下条款：</w:t>
      </w:r>
    </w:p>
    <w:p w14:paraId="756AFDCF">
      <w:pPr>
        <w:spacing w:line="360" w:lineRule="auto"/>
        <w:ind w:firstLine="480" w:firstLineChars="200"/>
        <w:rPr>
          <w:rFonts w:hAnsi="宋体" w:cs="宋体"/>
          <w:color w:val="auto"/>
          <w:highlight w:val="none"/>
        </w:rPr>
      </w:pPr>
      <w:r>
        <w:rPr>
          <w:rFonts w:hint="eastAsia" w:hAnsi="宋体" w:cs="宋体"/>
          <w:color w:val="auto"/>
          <w:highlight w:val="none"/>
        </w:rPr>
        <w:t>①禁火区内严禁吸烟、动火。有火灾危险的作业区域，我公司承诺配置足够的灭火设施。</w:t>
      </w:r>
    </w:p>
    <w:p w14:paraId="22794112">
      <w:pPr>
        <w:spacing w:line="360" w:lineRule="auto"/>
        <w:ind w:firstLine="480" w:firstLineChars="200"/>
        <w:rPr>
          <w:rFonts w:hAnsi="宋体" w:cs="宋体"/>
          <w:color w:val="auto"/>
          <w:highlight w:val="none"/>
        </w:rPr>
      </w:pPr>
      <w:r>
        <w:rPr>
          <w:rFonts w:hint="eastAsia" w:hAnsi="宋体" w:cs="宋体"/>
          <w:color w:val="auto"/>
          <w:highlight w:val="none"/>
        </w:rPr>
        <w:t>②我公司承诺焊接、气割作业时两瓶距离必须达到</w:t>
      </w:r>
      <w:r>
        <w:rPr>
          <w:rFonts w:hAnsi="宋体" w:cs="宋体"/>
          <w:color w:val="auto"/>
          <w:highlight w:val="none"/>
        </w:rPr>
        <w:t>5M及以上，气瓶距可能产生火花的电器、设备和其它火源的间距必须达到10M及以上。</w:t>
      </w:r>
    </w:p>
    <w:p w14:paraId="45A33233">
      <w:pPr>
        <w:spacing w:line="360" w:lineRule="auto"/>
        <w:ind w:firstLine="480" w:firstLineChars="200"/>
        <w:rPr>
          <w:rFonts w:hAnsi="宋体" w:cs="宋体"/>
          <w:color w:val="auto"/>
          <w:highlight w:val="none"/>
        </w:rPr>
      </w:pPr>
      <w:r>
        <w:rPr>
          <w:rFonts w:hint="eastAsia" w:hAnsi="宋体" w:cs="宋体"/>
          <w:color w:val="auto"/>
          <w:highlight w:val="none"/>
        </w:rPr>
        <w:t>③我公司承诺不在厂内道路、消防通道内搭建临时建筑或堆放物资。</w:t>
      </w:r>
    </w:p>
    <w:p w14:paraId="5A8FCCEE">
      <w:pPr>
        <w:spacing w:line="360" w:lineRule="auto"/>
        <w:ind w:firstLine="480" w:firstLineChars="200"/>
        <w:rPr>
          <w:rFonts w:hAnsi="宋体" w:cs="宋体"/>
          <w:color w:val="auto"/>
          <w:highlight w:val="none"/>
        </w:rPr>
      </w:pPr>
      <w:r>
        <w:rPr>
          <w:rFonts w:hint="eastAsia" w:hAnsi="宋体" w:cs="宋体"/>
          <w:color w:val="auto"/>
          <w:highlight w:val="none"/>
        </w:rPr>
        <w:t>④我公司承诺电动工具、电焊机等均具有漏电保护器和相应的安全防护装置。</w:t>
      </w:r>
    </w:p>
    <w:p w14:paraId="548263E8">
      <w:pPr>
        <w:spacing w:line="360" w:lineRule="auto"/>
        <w:ind w:firstLine="480" w:firstLineChars="200"/>
        <w:rPr>
          <w:rFonts w:hAnsi="宋体" w:cs="宋体"/>
          <w:color w:val="auto"/>
          <w:highlight w:val="none"/>
        </w:rPr>
      </w:pPr>
      <w:r>
        <w:rPr>
          <w:rFonts w:hint="eastAsia" w:hAnsi="宋体" w:cs="宋体"/>
          <w:color w:val="auto"/>
          <w:highlight w:val="none"/>
        </w:rPr>
        <w:t>⑤我公司承诺用电设施符合要求，杜绝电线乱接、乱拉，刀闸和开关无盖，在电器设施上堆放物品等行为。</w:t>
      </w:r>
    </w:p>
    <w:p w14:paraId="49EAF293">
      <w:pPr>
        <w:spacing w:line="360" w:lineRule="auto"/>
        <w:ind w:firstLine="480" w:firstLineChars="200"/>
        <w:rPr>
          <w:rFonts w:hAnsi="宋体" w:cs="宋体"/>
          <w:color w:val="auto"/>
          <w:highlight w:val="none"/>
        </w:rPr>
      </w:pPr>
      <w:r>
        <w:rPr>
          <w:rFonts w:hint="eastAsia" w:hAnsi="宋体" w:cs="宋体"/>
          <w:color w:val="auto"/>
          <w:highlight w:val="none"/>
        </w:rPr>
        <w:t>⑥我公司承诺防雷、防静电设施及用电设施有良好接地。</w:t>
      </w:r>
    </w:p>
    <w:p w14:paraId="7AB97F3E">
      <w:pPr>
        <w:spacing w:line="360" w:lineRule="auto"/>
        <w:ind w:firstLine="480" w:firstLineChars="200"/>
        <w:rPr>
          <w:rFonts w:hAnsi="宋体" w:cs="宋体"/>
          <w:color w:val="auto"/>
          <w:highlight w:val="none"/>
        </w:rPr>
      </w:pPr>
      <w:r>
        <w:rPr>
          <w:rFonts w:hint="eastAsia" w:hAnsi="宋体" w:cs="宋体"/>
          <w:color w:val="auto"/>
          <w:highlight w:val="none"/>
        </w:rPr>
        <w:t>⑦我公司承诺为从业人员提供符合国家标准或者行业标准的劳动防护用品，并监督、教育从业人员按照使用规则佩戴、使用，防止工伤事故的发生。我公司承诺，如发生各类工伤事故，绝不隐瞒不报。发生重伤及重伤以上事故，应及时组织抢救、保护好现场，并立即报告贵公司主管领导。</w:t>
      </w:r>
    </w:p>
    <w:p w14:paraId="459FD6D7">
      <w:pPr>
        <w:spacing w:line="360" w:lineRule="auto"/>
        <w:ind w:firstLine="480" w:firstLineChars="200"/>
        <w:rPr>
          <w:rFonts w:hAnsi="宋体" w:cs="宋体"/>
          <w:color w:val="auto"/>
          <w:highlight w:val="none"/>
        </w:rPr>
      </w:pPr>
      <w:r>
        <w:rPr>
          <w:rFonts w:hAnsi="宋体" w:cs="宋体"/>
          <w:color w:val="auto"/>
          <w:highlight w:val="none"/>
        </w:rPr>
        <w:t>13、我公司承诺接受</w:t>
      </w:r>
      <w:r>
        <w:rPr>
          <w:rFonts w:hint="eastAsia" w:hAnsi="宋体" w:cs="宋体"/>
          <w:color w:val="auto"/>
          <w:highlight w:val="none"/>
        </w:rPr>
        <w:t>贵公司</w:t>
      </w:r>
      <w:r>
        <w:rPr>
          <w:rFonts w:hAnsi="宋体" w:cs="宋体"/>
          <w:color w:val="auto"/>
          <w:highlight w:val="none"/>
        </w:rPr>
        <w:t>的检查与监督，并主动配合，做好安全工作，凡有违反上述条款的即视为我公司违约，贵公司有权视情况从</w:t>
      </w:r>
      <w:r>
        <w:rPr>
          <w:rFonts w:hint="eastAsia" w:hAnsi="宋体" w:cs="宋体"/>
          <w:color w:val="auto"/>
          <w:highlight w:val="none"/>
        </w:rPr>
        <w:t>货物</w:t>
      </w:r>
      <w:r>
        <w:rPr>
          <w:rFonts w:hAnsi="宋体" w:cs="宋体"/>
          <w:color w:val="auto"/>
          <w:highlight w:val="none"/>
        </w:rPr>
        <w:t>/服务价款中扣除2000元/次作为违约金。</w:t>
      </w:r>
    </w:p>
    <w:p w14:paraId="09B11FEB">
      <w:pPr>
        <w:spacing w:line="360" w:lineRule="auto"/>
        <w:ind w:firstLine="480" w:firstLineChars="200"/>
        <w:rPr>
          <w:rFonts w:hAnsi="宋体" w:cs="宋体"/>
          <w:color w:val="auto"/>
          <w:highlight w:val="none"/>
        </w:rPr>
      </w:pPr>
      <w:r>
        <w:rPr>
          <w:rFonts w:hint="eastAsia" w:hAnsi="宋体" w:cs="宋体"/>
          <w:color w:val="auto"/>
          <w:highlight w:val="none"/>
        </w:rPr>
        <w:t>如因我公司违反上述条款造成安全生产事故的，我公司将承担由此引发的一切责任与后果，如造成贵公司损失的，我公司将予以足额赔偿，同时，贵公司有权没收我公司提交的履约担保。</w:t>
      </w:r>
    </w:p>
    <w:p w14:paraId="7A5D59B1">
      <w:pPr>
        <w:spacing w:line="360" w:lineRule="auto"/>
        <w:ind w:firstLine="480" w:firstLineChars="200"/>
        <w:rPr>
          <w:rFonts w:hAnsi="宋体" w:cs="宋体"/>
          <w:color w:val="auto"/>
          <w:highlight w:val="none"/>
        </w:rPr>
      </w:pPr>
    </w:p>
    <w:p w14:paraId="0692DD4C">
      <w:pPr>
        <w:spacing w:line="360" w:lineRule="auto"/>
        <w:ind w:firstLine="480" w:firstLineChars="200"/>
        <w:rPr>
          <w:rFonts w:hAnsi="宋体" w:cs="宋体"/>
          <w:color w:val="auto"/>
          <w:highlight w:val="none"/>
        </w:rPr>
      </w:pPr>
    </w:p>
    <w:p w14:paraId="603DC644">
      <w:pPr>
        <w:spacing w:line="360" w:lineRule="auto"/>
        <w:ind w:firstLine="480" w:firstLineChars="200"/>
        <w:rPr>
          <w:rFonts w:hAnsi="宋体" w:cs="宋体"/>
          <w:color w:val="auto"/>
          <w:highlight w:val="none"/>
        </w:rPr>
      </w:pPr>
      <w:r>
        <w:rPr>
          <w:rFonts w:hint="eastAsia" w:hAnsi="宋体" w:cs="宋体"/>
          <w:color w:val="auto"/>
          <w:highlight w:val="none"/>
        </w:rPr>
        <w:t>特此承诺。</w:t>
      </w:r>
    </w:p>
    <w:p w14:paraId="74224C77">
      <w:pPr>
        <w:spacing w:line="360" w:lineRule="auto"/>
        <w:rPr>
          <w:rFonts w:hAnsi="宋体" w:cs="宋体"/>
          <w:color w:val="auto"/>
          <w:highlight w:val="none"/>
        </w:rPr>
      </w:pPr>
      <w:r>
        <w:rPr>
          <w:rFonts w:hint="eastAsia" w:hAnsi="宋体" w:cs="宋体"/>
          <w:color w:val="auto"/>
          <w:highlight w:val="none"/>
        </w:rPr>
        <w:t xml:space="preserve">                                  承诺人（</w:t>
      </w:r>
      <w:r>
        <w:rPr>
          <w:rFonts w:hint="eastAsia" w:hAnsi="宋体" w:cs="宋体"/>
          <w:color w:val="auto"/>
          <w:kern w:val="2"/>
          <w:szCs w:val="28"/>
          <w:highlight w:val="none"/>
          <w:lang w:val="en-US" w:eastAsia="zh-CN"/>
        </w:rPr>
        <w:t>加盖公</w:t>
      </w:r>
      <w:r>
        <w:rPr>
          <w:rFonts w:hint="eastAsia" w:hAnsi="宋体" w:cs="宋体"/>
          <w:color w:val="auto"/>
          <w:kern w:val="2"/>
          <w:szCs w:val="28"/>
          <w:highlight w:val="none"/>
          <w:lang w:val="zh-CN"/>
        </w:rPr>
        <w:t>章</w:t>
      </w:r>
      <w:r>
        <w:rPr>
          <w:rFonts w:hint="eastAsia" w:hAnsi="宋体" w:cs="宋体"/>
          <w:color w:val="auto"/>
          <w:highlight w:val="none"/>
        </w:rPr>
        <w:t>）：</w:t>
      </w:r>
    </w:p>
    <w:p w14:paraId="3942AF56">
      <w:pPr>
        <w:spacing w:line="360" w:lineRule="auto"/>
        <w:jc w:val="center"/>
        <w:rPr>
          <w:rFonts w:hAnsi="宋体" w:cs="宋体"/>
          <w:color w:val="auto"/>
          <w:highlight w:val="none"/>
        </w:rPr>
      </w:pPr>
      <w:r>
        <w:rPr>
          <w:rFonts w:hint="eastAsia" w:hAnsi="宋体" w:cs="宋体"/>
          <w:color w:val="auto"/>
          <w:highlight w:val="none"/>
        </w:rPr>
        <w:t xml:space="preserve">     日期：</w:t>
      </w:r>
    </w:p>
    <w:p w14:paraId="1860EB52">
      <w:pPr>
        <w:spacing w:line="360" w:lineRule="auto"/>
        <w:rPr>
          <w:rFonts w:ascii="Times New Roman"/>
          <w:b/>
          <w:color w:val="auto"/>
          <w:sz w:val="28"/>
          <w:szCs w:val="28"/>
          <w:highlight w:val="none"/>
        </w:rPr>
      </w:pPr>
    </w:p>
    <w:p w14:paraId="537450A4">
      <w:pPr>
        <w:spacing w:line="360" w:lineRule="auto"/>
        <w:rPr>
          <w:rFonts w:ascii="Times New Roman"/>
          <w:b/>
          <w:color w:val="auto"/>
          <w:sz w:val="28"/>
          <w:szCs w:val="28"/>
          <w:highlight w:val="none"/>
        </w:rPr>
      </w:pPr>
    </w:p>
    <w:sectPr>
      <w:pgSz w:w="11906" w:h="16838"/>
      <w:pgMar w:top="1440"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9821C">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F48423F">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DEEE2">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75D2920">
                    <w:pPr>
                      <w:pStyle w:val="13"/>
                      <w:rPr>
                        <w:rFonts w:ascii="Times New Roman" w:hAnsi="Times New Roman" w:eastAsia="宋体"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21</w:t>
                    </w:r>
                    <w:r>
                      <w:rPr>
                        <w:rFonts w:ascii="Times New Roman" w:hAnsi="Times New Roman" w:cs="Times New Roma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829CA"/>
    <w:multiLevelType w:val="singleLevel"/>
    <w:tmpl w:val="802829CA"/>
    <w:lvl w:ilvl="0" w:tentative="0">
      <w:start w:val="6"/>
      <w:numFmt w:val="chineseCounting"/>
      <w:suff w:val="nothing"/>
      <w:lvlText w:val="%1、"/>
      <w:lvlJc w:val="left"/>
      <w:rPr>
        <w:rFonts w:hint="eastAsia"/>
      </w:rPr>
    </w:lvl>
  </w:abstractNum>
  <w:abstractNum w:abstractNumId="1">
    <w:nsid w:val="813BBCA3"/>
    <w:multiLevelType w:val="singleLevel"/>
    <w:tmpl w:val="813BBCA3"/>
    <w:lvl w:ilvl="0" w:tentative="0">
      <w:start w:val="1"/>
      <w:numFmt w:val="decimal"/>
      <w:suff w:val="nothing"/>
      <w:lvlText w:val="（%1）"/>
      <w:lvlJc w:val="left"/>
    </w:lvl>
  </w:abstractNum>
  <w:abstractNum w:abstractNumId="2">
    <w:nsid w:val="954B5C4B"/>
    <w:multiLevelType w:val="singleLevel"/>
    <w:tmpl w:val="954B5C4B"/>
    <w:lvl w:ilvl="0" w:tentative="0">
      <w:start w:val="1"/>
      <w:numFmt w:val="chineseCounting"/>
      <w:suff w:val="nothing"/>
      <w:lvlText w:val="%1、"/>
      <w:lvlJc w:val="left"/>
      <w:rPr>
        <w:rFonts w:hint="eastAsia"/>
      </w:rPr>
    </w:lvl>
  </w:abstractNum>
  <w:abstractNum w:abstractNumId="3">
    <w:nsid w:val="96B0C73B"/>
    <w:multiLevelType w:val="singleLevel"/>
    <w:tmpl w:val="96B0C73B"/>
    <w:lvl w:ilvl="0" w:tentative="0">
      <w:start w:val="1"/>
      <w:numFmt w:val="decimal"/>
      <w:suff w:val="nothing"/>
      <w:lvlText w:val="（%1）"/>
      <w:lvlJc w:val="left"/>
      <w:rPr>
        <w:rFonts w:hint="default" w:ascii="Times New Roman" w:hAnsi="Times New Roman" w:eastAsia="仿宋_GB2312" w:cs="宋体"/>
      </w:rPr>
    </w:lvl>
  </w:abstractNum>
  <w:abstractNum w:abstractNumId="4">
    <w:nsid w:val="972A400C"/>
    <w:multiLevelType w:val="singleLevel"/>
    <w:tmpl w:val="972A400C"/>
    <w:lvl w:ilvl="0" w:tentative="0">
      <w:start w:val="1"/>
      <w:numFmt w:val="decimal"/>
      <w:suff w:val="nothing"/>
      <w:lvlText w:val="（%1）"/>
      <w:lvlJc w:val="left"/>
      <w:rPr>
        <w:rFonts w:hint="default" w:eastAsia="仿宋_GB2312"/>
      </w:rPr>
    </w:lvl>
  </w:abstractNum>
  <w:abstractNum w:abstractNumId="5">
    <w:nsid w:val="9F3E8C87"/>
    <w:multiLevelType w:val="singleLevel"/>
    <w:tmpl w:val="9F3E8C87"/>
    <w:lvl w:ilvl="0" w:tentative="0">
      <w:start w:val="1"/>
      <w:numFmt w:val="decimal"/>
      <w:suff w:val="nothing"/>
      <w:lvlText w:val="（%1）"/>
      <w:lvlJc w:val="left"/>
    </w:lvl>
  </w:abstractNum>
  <w:abstractNum w:abstractNumId="6">
    <w:nsid w:val="A30DE804"/>
    <w:multiLevelType w:val="singleLevel"/>
    <w:tmpl w:val="A30DE804"/>
    <w:lvl w:ilvl="0" w:tentative="0">
      <w:start w:val="1"/>
      <w:numFmt w:val="decimal"/>
      <w:suff w:val="nothing"/>
      <w:lvlText w:val="（%1）"/>
      <w:lvlJc w:val="left"/>
    </w:lvl>
  </w:abstractNum>
  <w:abstractNum w:abstractNumId="7">
    <w:nsid w:val="A89B03D4"/>
    <w:multiLevelType w:val="singleLevel"/>
    <w:tmpl w:val="A89B03D4"/>
    <w:lvl w:ilvl="0" w:tentative="0">
      <w:start w:val="1"/>
      <w:numFmt w:val="decimal"/>
      <w:suff w:val="nothing"/>
      <w:lvlText w:val="%1、"/>
      <w:lvlJc w:val="left"/>
    </w:lvl>
  </w:abstractNum>
  <w:abstractNum w:abstractNumId="8">
    <w:nsid w:val="ABC603E3"/>
    <w:multiLevelType w:val="singleLevel"/>
    <w:tmpl w:val="ABC603E3"/>
    <w:lvl w:ilvl="0" w:tentative="0">
      <w:start w:val="1"/>
      <w:numFmt w:val="decimal"/>
      <w:suff w:val="nothing"/>
      <w:lvlText w:val="（%1）"/>
      <w:lvlJc w:val="left"/>
      <w:rPr>
        <w:rFonts w:hint="default" w:ascii="Times New Roman" w:hAnsi="Times New Roman" w:eastAsia="仿宋_GB2312" w:cs="宋体"/>
      </w:rPr>
    </w:lvl>
  </w:abstractNum>
  <w:abstractNum w:abstractNumId="9">
    <w:nsid w:val="AD63A21F"/>
    <w:multiLevelType w:val="singleLevel"/>
    <w:tmpl w:val="AD63A21F"/>
    <w:lvl w:ilvl="0" w:tentative="0">
      <w:start w:val="1"/>
      <w:numFmt w:val="chineseCounting"/>
      <w:suff w:val="nothing"/>
      <w:lvlText w:val="（%1）"/>
      <w:lvlJc w:val="left"/>
      <w:rPr>
        <w:rFonts w:hint="eastAsia"/>
      </w:rPr>
    </w:lvl>
  </w:abstractNum>
  <w:abstractNum w:abstractNumId="10">
    <w:nsid w:val="CCEBA6E2"/>
    <w:multiLevelType w:val="singleLevel"/>
    <w:tmpl w:val="CCEBA6E2"/>
    <w:lvl w:ilvl="0" w:tentative="0">
      <w:start w:val="1"/>
      <w:numFmt w:val="decimal"/>
      <w:suff w:val="nothing"/>
      <w:lvlText w:val="%1."/>
      <w:lvlJc w:val="left"/>
    </w:lvl>
  </w:abstractNum>
  <w:abstractNum w:abstractNumId="11">
    <w:nsid w:val="CD86CCC1"/>
    <w:multiLevelType w:val="singleLevel"/>
    <w:tmpl w:val="CD86CCC1"/>
    <w:lvl w:ilvl="0" w:tentative="0">
      <w:start w:val="1"/>
      <w:numFmt w:val="decimal"/>
      <w:suff w:val="nothing"/>
      <w:lvlText w:val="（%1）"/>
      <w:lvlJc w:val="left"/>
    </w:lvl>
  </w:abstractNum>
  <w:abstractNum w:abstractNumId="12">
    <w:nsid w:val="D9606A5C"/>
    <w:multiLevelType w:val="singleLevel"/>
    <w:tmpl w:val="D9606A5C"/>
    <w:lvl w:ilvl="0" w:tentative="0">
      <w:start w:val="1"/>
      <w:numFmt w:val="decimal"/>
      <w:suff w:val="nothing"/>
      <w:lvlText w:val="%1）"/>
      <w:lvlJc w:val="left"/>
    </w:lvl>
  </w:abstractNum>
  <w:abstractNum w:abstractNumId="13">
    <w:nsid w:val="DAAC3B4A"/>
    <w:multiLevelType w:val="singleLevel"/>
    <w:tmpl w:val="DAAC3B4A"/>
    <w:lvl w:ilvl="0" w:tentative="0">
      <w:start w:val="1"/>
      <w:numFmt w:val="decimal"/>
      <w:suff w:val="nothing"/>
      <w:lvlText w:val="%1、"/>
      <w:lvlJc w:val="left"/>
    </w:lvl>
  </w:abstractNum>
  <w:abstractNum w:abstractNumId="14">
    <w:nsid w:val="E4F88DE5"/>
    <w:multiLevelType w:val="singleLevel"/>
    <w:tmpl w:val="E4F88DE5"/>
    <w:lvl w:ilvl="0" w:tentative="0">
      <w:start w:val="1"/>
      <w:numFmt w:val="decimal"/>
      <w:suff w:val="nothing"/>
      <w:lvlText w:val="%1、"/>
      <w:lvlJc w:val="left"/>
    </w:lvl>
  </w:abstractNum>
  <w:abstractNum w:abstractNumId="15">
    <w:nsid w:val="E7244D63"/>
    <w:multiLevelType w:val="singleLevel"/>
    <w:tmpl w:val="E7244D63"/>
    <w:lvl w:ilvl="0" w:tentative="0">
      <w:start w:val="1"/>
      <w:numFmt w:val="decimal"/>
      <w:suff w:val="nothing"/>
      <w:lvlText w:val="（%1）"/>
      <w:lvlJc w:val="left"/>
    </w:lvl>
  </w:abstractNum>
  <w:abstractNum w:abstractNumId="16">
    <w:nsid w:val="EB148C5B"/>
    <w:multiLevelType w:val="singleLevel"/>
    <w:tmpl w:val="EB148C5B"/>
    <w:lvl w:ilvl="0" w:tentative="0">
      <w:start w:val="1"/>
      <w:numFmt w:val="chineseCounting"/>
      <w:lvlText w:val="(%1)"/>
      <w:lvlJc w:val="left"/>
      <w:pPr>
        <w:tabs>
          <w:tab w:val="left" w:pos="312"/>
        </w:tabs>
      </w:pPr>
      <w:rPr>
        <w:rFonts w:hint="eastAsia"/>
      </w:rPr>
    </w:lvl>
  </w:abstractNum>
  <w:abstractNum w:abstractNumId="17">
    <w:nsid w:val="EEFEB810"/>
    <w:multiLevelType w:val="singleLevel"/>
    <w:tmpl w:val="EEFEB810"/>
    <w:lvl w:ilvl="0" w:tentative="0">
      <w:start w:val="1"/>
      <w:numFmt w:val="decimal"/>
      <w:suff w:val="nothing"/>
      <w:lvlText w:val="（%1）"/>
      <w:lvlJc w:val="left"/>
    </w:lvl>
  </w:abstractNum>
  <w:abstractNum w:abstractNumId="18">
    <w:nsid w:val="F3B399A5"/>
    <w:multiLevelType w:val="singleLevel"/>
    <w:tmpl w:val="F3B399A5"/>
    <w:lvl w:ilvl="0" w:tentative="0">
      <w:start w:val="1"/>
      <w:numFmt w:val="decimal"/>
      <w:suff w:val="nothing"/>
      <w:lvlText w:val="%1."/>
      <w:lvlJc w:val="left"/>
    </w:lvl>
  </w:abstractNum>
  <w:abstractNum w:abstractNumId="19">
    <w:nsid w:val="F805316C"/>
    <w:multiLevelType w:val="singleLevel"/>
    <w:tmpl w:val="F805316C"/>
    <w:lvl w:ilvl="0" w:tentative="0">
      <w:start w:val="1"/>
      <w:numFmt w:val="decimal"/>
      <w:suff w:val="nothing"/>
      <w:lvlText w:val="%1、"/>
      <w:lvlJc w:val="left"/>
    </w:lvl>
  </w:abstractNum>
  <w:abstractNum w:abstractNumId="20">
    <w:nsid w:val="FE1D2219"/>
    <w:multiLevelType w:val="singleLevel"/>
    <w:tmpl w:val="FE1D2219"/>
    <w:lvl w:ilvl="0" w:tentative="0">
      <w:start w:val="1"/>
      <w:numFmt w:val="decimal"/>
      <w:suff w:val="space"/>
      <w:lvlText w:val="%1."/>
      <w:lvlJc w:val="left"/>
    </w:lvl>
  </w:abstractNum>
  <w:abstractNum w:abstractNumId="21">
    <w:nsid w:val="FE6E8FA8"/>
    <w:multiLevelType w:val="singleLevel"/>
    <w:tmpl w:val="FE6E8FA8"/>
    <w:lvl w:ilvl="0" w:tentative="0">
      <w:start w:val="1"/>
      <w:numFmt w:val="decimal"/>
      <w:suff w:val="nothing"/>
      <w:lvlText w:val="%1."/>
      <w:lvlJc w:val="left"/>
    </w:lvl>
  </w:abstractNum>
  <w:abstractNum w:abstractNumId="22">
    <w:nsid w:val="004A171E"/>
    <w:multiLevelType w:val="singleLevel"/>
    <w:tmpl w:val="004A171E"/>
    <w:lvl w:ilvl="0" w:tentative="0">
      <w:start w:val="1"/>
      <w:numFmt w:val="decimal"/>
      <w:suff w:val="nothing"/>
      <w:lvlText w:val="%1、"/>
      <w:lvlJc w:val="left"/>
    </w:lvl>
  </w:abstractNum>
  <w:abstractNum w:abstractNumId="23">
    <w:nsid w:val="010791DF"/>
    <w:multiLevelType w:val="singleLevel"/>
    <w:tmpl w:val="010791DF"/>
    <w:lvl w:ilvl="0" w:tentative="0">
      <w:start w:val="1"/>
      <w:numFmt w:val="decimal"/>
      <w:suff w:val="nothing"/>
      <w:lvlText w:val="（%1）"/>
      <w:lvlJc w:val="left"/>
    </w:lvl>
  </w:abstractNum>
  <w:abstractNum w:abstractNumId="24">
    <w:nsid w:val="1199E657"/>
    <w:multiLevelType w:val="singleLevel"/>
    <w:tmpl w:val="1199E657"/>
    <w:lvl w:ilvl="0" w:tentative="0">
      <w:start w:val="1"/>
      <w:numFmt w:val="decimal"/>
      <w:suff w:val="nothing"/>
      <w:lvlText w:val="%1．"/>
      <w:lvlJc w:val="left"/>
      <w:pPr>
        <w:ind w:left="0" w:firstLine="400"/>
      </w:pPr>
      <w:rPr>
        <w:rFonts w:hint="default"/>
      </w:rPr>
    </w:lvl>
  </w:abstractNum>
  <w:abstractNum w:abstractNumId="25">
    <w:nsid w:val="16C4FC21"/>
    <w:multiLevelType w:val="singleLevel"/>
    <w:tmpl w:val="16C4FC21"/>
    <w:lvl w:ilvl="0" w:tentative="0">
      <w:start w:val="1"/>
      <w:numFmt w:val="decimal"/>
      <w:suff w:val="nothing"/>
      <w:lvlText w:val="（%1）"/>
      <w:lvlJc w:val="left"/>
    </w:lvl>
  </w:abstractNum>
  <w:abstractNum w:abstractNumId="26">
    <w:nsid w:val="1CA9EE75"/>
    <w:multiLevelType w:val="singleLevel"/>
    <w:tmpl w:val="1CA9EE75"/>
    <w:lvl w:ilvl="0" w:tentative="0">
      <w:start w:val="1"/>
      <w:numFmt w:val="decimal"/>
      <w:suff w:val="nothing"/>
      <w:lvlText w:val="%1、"/>
      <w:lvlJc w:val="left"/>
    </w:lvl>
  </w:abstractNum>
  <w:abstractNum w:abstractNumId="27">
    <w:nsid w:val="2293B2BB"/>
    <w:multiLevelType w:val="singleLevel"/>
    <w:tmpl w:val="2293B2BB"/>
    <w:lvl w:ilvl="0" w:tentative="0">
      <w:start w:val="1"/>
      <w:numFmt w:val="decimal"/>
      <w:suff w:val="nothing"/>
      <w:lvlText w:val="（%1）"/>
      <w:lvlJc w:val="left"/>
    </w:lvl>
  </w:abstractNum>
  <w:abstractNum w:abstractNumId="28">
    <w:nsid w:val="291D965B"/>
    <w:multiLevelType w:val="singleLevel"/>
    <w:tmpl w:val="291D965B"/>
    <w:lvl w:ilvl="0" w:tentative="0">
      <w:start w:val="1"/>
      <w:numFmt w:val="decimal"/>
      <w:suff w:val="nothing"/>
      <w:lvlText w:val="%1）"/>
      <w:lvlJc w:val="left"/>
    </w:lvl>
  </w:abstractNum>
  <w:abstractNum w:abstractNumId="29">
    <w:nsid w:val="2D95ED7C"/>
    <w:multiLevelType w:val="singleLevel"/>
    <w:tmpl w:val="2D95ED7C"/>
    <w:lvl w:ilvl="0" w:tentative="0">
      <w:start w:val="1"/>
      <w:numFmt w:val="decimal"/>
      <w:suff w:val="nothing"/>
      <w:lvlText w:val="（%1）"/>
      <w:lvlJc w:val="left"/>
    </w:lvl>
  </w:abstractNum>
  <w:abstractNum w:abstractNumId="30">
    <w:nsid w:val="33FB6FBB"/>
    <w:multiLevelType w:val="singleLevel"/>
    <w:tmpl w:val="33FB6FBB"/>
    <w:lvl w:ilvl="0" w:tentative="0">
      <w:start w:val="1"/>
      <w:numFmt w:val="decimal"/>
      <w:suff w:val="nothing"/>
      <w:lvlText w:val="（%1）"/>
      <w:lvlJc w:val="left"/>
      <w:rPr>
        <w:rFonts w:hint="default" w:ascii="Times New Roman" w:hAnsi="Times New Roman" w:eastAsia="仿宋_GB2312" w:cs="宋体"/>
      </w:rPr>
    </w:lvl>
  </w:abstractNum>
  <w:abstractNum w:abstractNumId="31">
    <w:nsid w:val="36D56CAA"/>
    <w:multiLevelType w:val="singleLevel"/>
    <w:tmpl w:val="36D56CAA"/>
    <w:lvl w:ilvl="0" w:tentative="0">
      <w:start w:val="1"/>
      <w:numFmt w:val="decimal"/>
      <w:suff w:val="nothing"/>
      <w:lvlText w:val="（%1）"/>
      <w:lvlJc w:val="left"/>
    </w:lvl>
  </w:abstractNum>
  <w:abstractNum w:abstractNumId="32">
    <w:nsid w:val="4F4A874C"/>
    <w:multiLevelType w:val="singleLevel"/>
    <w:tmpl w:val="4F4A874C"/>
    <w:lvl w:ilvl="0" w:tentative="0">
      <w:start w:val="1"/>
      <w:numFmt w:val="decimal"/>
      <w:suff w:val="nothing"/>
      <w:lvlText w:val="（%1）"/>
      <w:lvlJc w:val="left"/>
    </w:lvl>
  </w:abstractNum>
  <w:abstractNum w:abstractNumId="33">
    <w:nsid w:val="5110ED8F"/>
    <w:multiLevelType w:val="singleLevel"/>
    <w:tmpl w:val="5110ED8F"/>
    <w:lvl w:ilvl="0" w:tentative="0">
      <w:start w:val="1"/>
      <w:numFmt w:val="decimal"/>
      <w:suff w:val="nothing"/>
      <w:lvlText w:val="（%1）"/>
      <w:lvlJc w:val="left"/>
    </w:lvl>
  </w:abstractNum>
  <w:abstractNum w:abstractNumId="34">
    <w:nsid w:val="58CA3ABF"/>
    <w:multiLevelType w:val="singleLevel"/>
    <w:tmpl w:val="58CA3ABF"/>
    <w:lvl w:ilvl="0" w:tentative="0">
      <w:start w:val="1"/>
      <w:numFmt w:val="decimal"/>
      <w:suff w:val="nothing"/>
      <w:lvlText w:val="%1、"/>
      <w:lvlJc w:val="left"/>
    </w:lvl>
  </w:abstractNum>
  <w:abstractNum w:abstractNumId="35">
    <w:nsid w:val="669288AD"/>
    <w:multiLevelType w:val="singleLevel"/>
    <w:tmpl w:val="669288AD"/>
    <w:lvl w:ilvl="0" w:tentative="0">
      <w:start w:val="2"/>
      <w:numFmt w:val="decimal"/>
      <w:suff w:val="nothing"/>
      <w:lvlText w:val="（%1）"/>
      <w:lvlJc w:val="left"/>
    </w:lvl>
  </w:abstractNum>
  <w:abstractNum w:abstractNumId="36">
    <w:nsid w:val="6FA3BB3A"/>
    <w:multiLevelType w:val="singleLevel"/>
    <w:tmpl w:val="6FA3BB3A"/>
    <w:lvl w:ilvl="0" w:tentative="0">
      <w:start w:val="1"/>
      <w:numFmt w:val="chineseCounting"/>
      <w:suff w:val="nothing"/>
      <w:lvlText w:val="（%1）"/>
      <w:lvlJc w:val="left"/>
      <w:rPr>
        <w:rFonts w:hint="eastAsia"/>
      </w:rPr>
    </w:lvl>
  </w:abstractNum>
  <w:abstractNum w:abstractNumId="37">
    <w:nsid w:val="70E0D4EE"/>
    <w:multiLevelType w:val="singleLevel"/>
    <w:tmpl w:val="70E0D4EE"/>
    <w:lvl w:ilvl="0" w:tentative="0">
      <w:start w:val="1"/>
      <w:numFmt w:val="decimal"/>
      <w:suff w:val="nothing"/>
      <w:lvlText w:val="%1、"/>
      <w:lvlJc w:val="left"/>
    </w:lvl>
  </w:abstractNum>
  <w:abstractNum w:abstractNumId="38">
    <w:nsid w:val="732B2E34"/>
    <w:multiLevelType w:val="singleLevel"/>
    <w:tmpl w:val="732B2E34"/>
    <w:lvl w:ilvl="0" w:tentative="0">
      <w:start w:val="1"/>
      <w:numFmt w:val="decimal"/>
      <w:suff w:val="nothing"/>
      <w:lvlText w:val="%1）"/>
      <w:lvlJc w:val="left"/>
    </w:lvl>
  </w:abstractNum>
  <w:abstractNum w:abstractNumId="39">
    <w:nsid w:val="73E89A22"/>
    <w:multiLevelType w:val="singleLevel"/>
    <w:tmpl w:val="73E89A22"/>
    <w:lvl w:ilvl="0" w:tentative="0">
      <w:start w:val="1"/>
      <w:numFmt w:val="decimal"/>
      <w:suff w:val="nothing"/>
      <w:lvlText w:val="（%1）"/>
      <w:lvlJc w:val="left"/>
    </w:lvl>
  </w:abstractNum>
  <w:num w:numId="1">
    <w:abstractNumId w:val="2"/>
  </w:num>
  <w:num w:numId="2">
    <w:abstractNumId w:val="36"/>
  </w:num>
  <w:num w:numId="3">
    <w:abstractNumId w:val="9"/>
  </w:num>
  <w:num w:numId="4">
    <w:abstractNumId w:val="18"/>
  </w:num>
  <w:num w:numId="5">
    <w:abstractNumId w:val="23"/>
  </w:num>
  <w:num w:numId="6">
    <w:abstractNumId w:val="11"/>
  </w:num>
  <w:num w:numId="7">
    <w:abstractNumId w:val="4"/>
  </w:num>
  <w:num w:numId="8">
    <w:abstractNumId w:val="21"/>
  </w:num>
  <w:num w:numId="9">
    <w:abstractNumId w:val="3"/>
  </w:num>
  <w:num w:numId="10">
    <w:abstractNumId w:val="8"/>
  </w:num>
  <w:num w:numId="11">
    <w:abstractNumId w:val="10"/>
  </w:num>
  <w:num w:numId="12">
    <w:abstractNumId w:val="30"/>
  </w:num>
  <w:num w:numId="13">
    <w:abstractNumId w:val="16"/>
  </w:num>
  <w:num w:numId="14">
    <w:abstractNumId w:val="22"/>
  </w:num>
  <w:num w:numId="15">
    <w:abstractNumId w:val="13"/>
  </w:num>
  <w:num w:numId="16">
    <w:abstractNumId w:val="5"/>
  </w:num>
  <w:num w:numId="17">
    <w:abstractNumId w:val="29"/>
  </w:num>
  <w:num w:numId="18">
    <w:abstractNumId w:val="12"/>
  </w:num>
  <w:num w:numId="19">
    <w:abstractNumId w:val="1"/>
  </w:num>
  <w:num w:numId="20">
    <w:abstractNumId w:val="7"/>
  </w:num>
  <w:num w:numId="21">
    <w:abstractNumId w:val="27"/>
  </w:num>
  <w:num w:numId="22">
    <w:abstractNumId w:val="38"/>
  </w:num>
  <w:num w:numId="23">
    <w:abstractNumId w:val="31"/>
  </w:num>
  <w:num w:numId="24">
    <w:abstractNumId w:val="37"/>
  </w:num>
  <w:num w:numId="25">
    <w:abstractNumId w:val="33"/>
  </w:num>
  <w:num w:numId="26">
    <w:abstractNumId w:val="15"/>
  </w:num>
  <w:num w:numId="27">
    <w:abstractNumId w:val="25"/>
  </w:num>
  <w:num w:numId="28">
    <w:abstractNumId w:val="32"/>
  </w:num>
  <w:num w:numId="29">
    <w:abstractNumId w:val="14"/>
  </w:num>
  <w:num w:numId="30">
    <w:abstractNumId w:val="6"/>
  </w:num>
  <w:num w:numId="31">
    <w:abstractNumId w:val="39"/>
  </w:num>
  <w:num w:numId="32">
    <w:abstractNumId w:val="28"/>
  </w:num>
  <w:num w:numId="33">
    <w:abstractNumId w:val="19"/>
  </w:num>
  <w:num w:numId="34">
    <w:abstractNumId w:val="34"/>
  </w:num>
  <w:num w:numId="35">
    <w:abstractNumId w:val="26"/>
  </w:num>
  <w:num w:numId="36">
    <w:abstractNumId w:val="24"/>
  </w:num>
  <w:num w:numId="37">
    <w:abstractNumId w:val="35"/>
  </w:num>
  <w:num w:numId="38">
    <w:abstractNumId w:val="17"/>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HorizontalSpacing w:val="1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15B2B"/>
    <w:rsid w:val="0002215E"/>
    <w:rsid w:val="00033DAB"/>
    <w:rsid w:val="00060A39"/>
    <w:rsid w:val="0006243A"/>
    <w:rsid w:val="00087579"/>
    <w:rsid w:val="000877EE"/>
    <w:rsid w:val="000936C4"/>
    <w:rsid w:val="000A73FD"/>
    <w:rsid w:val="000C3DC4"/>
    <w:rsid w:val="000D7F46"/>
    <w:rsid w:val="00126F7D"/>
    <w:rsid w:val="001277AD"/>
    <w:rsid w:val="00130C34"/>
    <w:rsid w:val="0014286F"/>
    <w:rsid w:val="00182153"/>
    <w:rsid w:val="001A1C91"/>
    <w:rsid w:val="001C4E88"/>
    <w:rsid w:val="001C66F6"/>
    <w:rsid w:val="001D52F6"/>
    <w:rsid w:val="001E3F91"/>
    <w:rsid w:val="001F7380"/>
    <w:rsid w:val="0021086E"/>
    <w:rsid w:val="00213880"/>
    <w:rsid w:val="00220FA1"/>
    <w:rsid w:val="0023708C"/>
    <w:rsid w:val="00241CA3"/>
    <w:rsid w:val="002533B7"/>
    <w:rsid w:val="00272C5F"/>
    <w:rsid w:val="00276876"/>
    <w:rsid w:val="002861E1"/>
    <w:rsid w:val="002B2FCB"/>
    <w:rsid w:val="002C29FB"/>
    <w:rsid w:val="002D11BA"/>
    <w:rsid w:val="002D4E96"/>
    <w:rsid w:val="002D64F7"/>
    <w:rsid w:val="002E36DD"/>
    <w:rsid w:val="002E3BD3"/>
    <w:rsid w:val="00335ADA"/>
    <w:rsid w:val="003451AD"/>
    <w:rsid w:val="003516C5"/>
    <w:rsid w:val="003543DC"/>
    <w:rsid w:val="003A4927"/>
    <w:rsid w:val="003B7BA2"/>
    <w:rsid w:val="003C4080"/>
    <w:rsid w:val="003C52D7"/>
    <w:rsid w:val="003E34BC"/>
    <w:rsid w:val="003F09A2"/>
    <w:rsid w:val="003F5D9B"/>
    <w:rsid w:val="004145D3"/>
    <w:rsid w:val="00417A22"/>
    <w:rsid w:val="00440D93"/>
    <w:rsid w:val="004471D9"/>
    <w:rsid w:val="00450793"/>
    <w:rsid w:val="004536B9"/>
    <w:rsid w:val="00460DA6"/>
    <w:rsid w:val="004668C5"/>
    <w:rsid w:val="0047208D"/>
    <w:rsid w:val="0048608D"/>
    <w:rsid w:val="004A0792"/>
    <w:rsid w:val="004C1B24"/>
    <w:rsid w:val="004E008B"/>
    <w:rsid w:val="004E1AB3"/>
    <w:rsid w:val="00506965"/>
    <w:rsid w:val="00520060"/>
    <w:rsid w:val="00550342"/>
    <w:rsid w:val="005703C1"/>
    <w:rsid w:val="00575CE7"/>
    <w:rsid w:val="00576FC0"/>
    <w:rsid w:val="00580EBB"/>
    <w:rsid w:val="00581C68"/>
    <w:rsid w:val="00592AF5"/>
    <w:rsid w:val="005939E4"/>
    <w:rsid w:val="005A22A8"/>
    <w:rsid w:val="005A7108"/>
    <w:rsid w:val="005B0B0B"/>
    <w:rsid w:val="005B5AFF"/>
    <w:rsid w:val="005B7598"/>
    <w:rsid w:val="005E0558"/>
    <w:rsid w:val="005E06C1"/>
    <w:rsid w:val="005E1087"/>
    <w:rsid w:val="005E4914"/>
    <w:rsid w:val="005E532B"/>
    <w:rsid w:val="006008D3"/>
    <w:rsid w:val="00604148"/>
    <w:rsid w:val="00604AE0"/>
    <w:rsid w:val="00612300"/>
    <w:rsid w:val="00622EDA"/>
    <w:rsid w:val="00625283"/>
    <w:rsid w:val="00635EA9"/>
    <w:rsid w:val="00656404"/>
    <w:rsid w:val="006A0C51"/>
    <w:rsid w:val="006A3590"/>
    <w:rsid w:val="006B6AE3"/>
    <w:rsid w:val="006D3240"/>
    <w:rsid w:val="006E350A"/>
    <w:rsid w:val="006E6C27"/>
    <w:rsid w:val="007114E2"/>
    <w:rsid w:val="007143FF"/>
    <w:rsid w:val="00727FD1"/>
    <w:rsid w:val="00731B42"/>
    <w:rsid w:val="00743F4C"/>
    <w:rsid w:val="00761855"/>
    <w:rsid w:val="00770D53"/>
    <w:rsid w:val="00770F5B"/>
    <w:rsid w:val="00786AEA"/>
    <w:rsid w:val="007913E8"/>
    <w:rsid w:val="007A57A7"/>
    <w:rsid w:val="007B613E"/>
    <w:rsid w:val="007D1B4D"/>
    <w:rsid w:val="007E6CDC"/>
    <w:rsid w:val="007F4A53"/>
    <w:rsid w:val="007F781E"/>
    <w:rsid w:val="008015B3"/>
    <w:rsid w:val="0080585B"/>
    <w:rsid w:val="00806A29"/>
    <w:rsid w:val="00834896"/>
    <w:rsid w:val="008479A5"/>
    <w:rsid w:val="00852936"/>
    <w:rsid w:val="008603E5"/>
    <w:rsid w:val="00867E40"/>
    <w:rsid w:val="008705AE"/>
    <w:rsid w:val="0087336F"/>
    <w:rsid w:val="00875649"/>
    <w:rsid w:val="0089250A"/>
    <w:rsid w:val="00892DEC"/>
    <w:rsid w:val="008A57B2"/>
    <w:rsid w:val="008B1A03"/>
    <w:rsid w:val="008C0C45"/>
    <w:rsid w:val="008F0ABF"/>
    <w:rsid w:val="00905314"/>
    <w:rsid w:val="00916959"/>
    <w:rsid w:val="00936DB6"/>
    <w:rsid w:val="0094384C"/>
    <w:rsid w:val="00964520"/>
    <w:rsid w:val="009675C0"/>
    <w:rsid w:val="00981B8E"/>
    <w:rsid w:val="009B3C45"/>
    <w:rsid w:val="009B5937"/>
    <w:rsid w:val="009B5D98"/>
    <w:rsid w:val="009B7B4E"/>
    <w:rsid w:val="009D033A"/>
    <w:rsid w:val="009D0E49"/>
    <w:rsid w:val="009D6EEC"/>
    <w:rsid w:val="009E2108"/>
    <w:rsid w:val="009E5061"/>
    <w:rsid w:val="009F2836"/>
    <w:rsid w:val="00A04E05"/>
    <w:rsid w:val="00A14EF1"/>
    <w:rsid w:val="00A15517"/>
    <w:rsid w:val="00A222E8"/>
    <w:rsid w:val="00A30B04"/>
    <w:rsid w:val="00A32BDC"/>
    <w:rsid w:val="00A75B6C"/>
    <w:rsid w:val="00A91D5D"/>
    <w:rsid w:val="00AA01B4"/>
    <w:rsid w:val="00AC72E8"/>
    <w:rsid w:val="00AD6764"/>
    <w:rsid w:val="00B00F70"/>
    <w:rsid w:val="00B2564D"/>
    <w:rsid w:val="00B3048B"/>
    <w:rsid w:val="00B44D9E"/>
    <w:rsid w:val="00B52BA3"/>
    <w:rsid w:val="00B577DA"/>
    <w:rsid w:val="00B63B6C"/>
    <w:rsid w:val="00B72CF5"/>
    <w:rsid w:val="00B73C22"/>
    <w:rsid w:val="00B74EAC"/>
    <w:rsid w:val="00BA2FDD"/>
    <w:rsid w:val="00BB6875"/>
    <w:rsid w:val="00BD0A68"/>
    <w:rsid w:val="00BD116D"/>
    <w:rsid w:val="00BD2C9F"/>
    <w:rsid w:val="00BE30CA"/>
    <w:rsid w:val="00BF0326"/>
    <w:rsid w:val="00BF23B3"/>
    <w:rsid w:val="00C0670D"/>
    <w:rsid w:val="00C15CAE"/>
    <w:rsid w:val="00C54EDF"/>
    <w:rsid w:val="00C65334"/>
    <w:rsid w:val="00C77A3A"/>
    <w:rsid w:val="00C8067F"/>
    <w:rsid w:val="00C81F39"/>
    <w:rsid w:val="00CB0949"/>
    <w:rsid w:val="00CB31B3"/>
    <w:rsid w:val="00CD7B0D"/>
    <w:rsid w:val="00CE0466"/>
    <w:rsid w:val="00CE73B7"/>
    <w:rsid w:val="00CF015C"/>
    <w:rsid w:val="00D12814"/>
    <w:rsid w:val="00D167C9"/>
    <w:rsid w:val="00D66911"/>
    <w:rsid w:val="00D72128"/>
    <w:rsid w:val="00D84B4B"/>
    <w:rsid w:val="00D8721B"/>
    <w:rsid w:val="00DB1934"/>
    <w:rsid w:val="00DB3106"/>
    <w:rsid w:val="00E031E7"/>
    <w:rsid w:val="00E078F8"/>
    <w:rsid w:val="00E12E8C"/>
    <w:rsid w:val="00E17996"/>
    <w:rsid w:val="00E24003"/>
    <w:rsid w:val="00E2498C"/>
    <w:rsid w:val="00E50F9B"/>
    <w:rsid w:val="00E77CB1"/>
    <w:rsid w:val="00E81726"/>
    <w:rsid w:val="00EA060E"/>
    <w:rsid w:val="00ED0E9B"/>
    <w:rsid w:val="00F07ECE"/>
    <w:rsid w:val="00F104E8"/>
    <w:rsid w:val="00F36E08"/>
    <w:rsid w:val="00F53F51"/>
    <w:rsid w:val="00F56153"/>
    <w:rsid w:val="00F8456C"/>
    <w:rsid w:val="00F923D8"/>
    <w:rsid w:val="00FA4520"/>
    <w:rsid w:val="00FB4F9D"/>
    <w:rsid w:val="00FC1827"/>
    <w:rsid w:val="00FC5D57"/>
    <w:rsid w:val="00FF58C5"/>
    <w:rsid w:val="00FF628A"/>
    <w:rsid w:val="05160145"/>
    <w:rsid w:val="05F63A4D"/>
    <w:rsid w:val="06E27ADA"/>
    <w:rsid w:val="07A56A29"/>
    <w:rsid w:val="09434CDD"/>
    <w:rsid w:val="0A4F60F9"/>
    <w:rsid w:val="14BF2F57"/>
    <w:rsid w:val="166C3E5C"/>
    <w:rsid w:val="17FF1C9D"/>
    <w:rsid w:val="21217D8A"/>
    <w:rsid w:val="2386555D"/>
    <w:rsid w:val="25E54563"/>
    <w:rsid w:val="27E162AD"/>
    <w:rsid w:val="28F65471"/>
    <w:rsid w:val="29E140BF"/>
    <w:rsid w:val="2A5868DF"/>
    <w:rsid w:val="2A631000"/>
    <w:rsid w:val="2A6D26D8"/>
    <w:rsid w:val="323C49D6"/>
    <w:rsid w:val="3AD849D6"/>
    <w:rsid w:val="3B6B54F4"/>
    <w:rsid w:val="42E62B8F"/>
    <w:rsid w:val="4BAB533E"/>
    <w:rsid w:val="4C986A02"/>
    <w:rsid w:val="4DC81F78"/>
    <w:rsid w:val="4E022770"/>
    <w:rsid w:val="4F7244C4"/>
    <w:rsid w:val="51492FE2"/>
    <w:rsid w:val="52C02341"/>
    <w:rsid w:val="5CAA07BA"/>
    <w:rsid w:val="5CF20215"/>
    <w:rsid w:val="5EB72A3D"/>
    <w:rsid w:val="5F9D2B92"/>
    <w:rsid w:val="60A60CCB"/>
    <w:rsid w:val="616F470F"/>
    <w:rsid w:val="63143EF4"/>
    <w:rsid w:val="65316E3C"/>
    <w:rsid w:val="68381AF8"/>
    <w:rsid w:val="6AE93CA8"/>
    <w:rsid w:val="6AED5C1F"/>
    <w:rsid w:val="6C730131"/>
    <w:rsid w:val="6E245917"/>
    <w:rsid w:val="6F420807"/>
    <w:rsid w:val="70714B0F"/>
    <w:rsid w:val="70A66A91"/>
    <w:rsid w:val="71817F98"/>
    <w:rsid w:val="747F7695"/>
    <w:rsid w:val="7CD6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53"/>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outlineLvl w:val="2"/>
    </w:pPr>
  </w:style>
  <w:style w:type="paragraph" w:styleId="5">
    <w:name w:val="heading 9"/>
    <w:basedOn w:val="1"/>
    <w:next w:val="1"/>
    <w:link w:val="42"/>
    <w:semiHidden/>
    <w:unhideWhenUsed/>
    <w:qFormat/>
    <w:uiPriority w:val="0"/>
    <w:pPr>
      <w:keepNext/>
      <w:keepLines/>
      <w:widowControl/>
      <w:autoSpaceDE/>
      <w:autoSpaceDN/>
      <w:adjustRightInd/>
      <w:spacing w:before="240" w:after="64" w:line="320" w:lineRule="auto"/>
      <w:jc w:val="both"/>
      <w:outlineLvl w:val="8"/>
    </w:pPr>
    <w:rPr>
      <w:rFonts w:ascii="等线 Light" w:hAnsi="等线 Light" w:eastAsia="等线 Light"/>
      <w:kern w:val="2"/>
      <w:sz w:val="21"/>
      <w:szCs w:val="21"/>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next w:val="8"/>
    <w:link w:val="35"/>
    <w:qFormat/>
    <w:uiPriority w:val="0"/>
    <w:pPr>
      <w:spacing w:after="120"/>
    </w:pPr>
    <w:rPr>
      <w:rFonts w:ascii="Times New Roman"/>
    </w:rPr>
  </w:style>
  <w:style w:type="paragraph" w:styleId="8">
    <w:name w:val="Body Text First Indent"/>
    <w:basedOn w:val="7"/>
    <w:link w:val="36"/>
    <w:qFormat/>
    <w:uiPriority w:val="0"/>
    <w:pPr>
      <w:widowControl w:val="0"/>
      <w:spacing w:after="120"/>
      <w:ind w:firstLine="420" w:firstLineChars="100"/>
      <w:jc w:val="both"/>
    </w:pPr>
    <w:rPr>
      <w:rFonts w:ascii="Times New Roman" w:hAnsi="Times New Roman" w:eastAsia="宋体" w:cs="Times New Roman"/>
      <w:kern w:val="2"/>
      <w:sz w:val="21"/>
      <w:szCs w:val="24"/>
      <w:lang w:val="zh-CN" w:eastAsia="zh-CN" w:bidi="ar-SA"/>
    </w:rPr>
  </w:style>
  <w:style w:type="paragraph" w:styleId="9">
    <w:name w:val="Body Text Indent"/>
    <w:basedOn w:val="1"/>
    <w:link w:val="47"/>
    <w:qFormat/>
    <w:uiPriority w:val="0"/>
    <w:pPr>
      <w:autoSpaceDE/>
      <w:autoSpaceDN/>
      <w:adjustRightInd/>
      <w:spacing w:line="480" w:lineRule="exact"/>
      <w:ind w:firstLine="560" w:firstLineChars="200"/>
      <w:jc w:val="both"/>
    </w:pPr>
    <w:rPr>
      <w:rFonts w:hAnsi="宋体"/>
      <w:kern w:val="2"/>
      <w:sz w:val="28"/>
    </w:rPr>
  </w:style>
  <w:style w:type="paragraph" w:styleId="10">
    <w:name w:val="toc 3"/>
    <w:basedOn w:val="1"/>
    <w:next w:val="1"/>
    <w:qFormat/>
    <w:uiPriority w:val="0"/>
    <w:pPr>
      <w:ind w:left="840" w:leftChars="400"/>
    </w:pPr>
  </w:style>
  <w:style w:type="paragraph" w:styleId="11">
    <w:name w:val="Plain Text"/>
    <w:basedOn w:val="1"/>
    <w:link w:val="41"/>
    <w:qFormat/>
    <w:uiPriority w:val="0"/>
    <w:pPr>
      <w:autoSpaceDE/>
      <w:autoSpaceDN/>
      <w:adjustRightInd/>
      <w:jc w:val="both"/>
    </w:pPr>
    <w:rPr>
      <w:rFonts w:hAnsi="Courier New"/>
      <w:kern w:val="2"/>
      <w:sz w:val="21"/>
      <w:szCs w:val="20"/>
    </w:rPr>
  </w:style>
  <w:style w:type="paragraph" w:styleId="12">
    <w:name w:val="Balloon Text"/>
    <w:basedOn w:val="1"/>
    <w:link w:val="32"/>
    <w:qFormat/>
    <w:uiPriority w:val="0"/>
    <w:rPr>
      <w:sz w:val="18"/>
      <w:szCs w:val="18"/>
    </w:rPr>
  </w:style>
  <w:style w:type="paragraph" w:styleId="13">
    <w:name w:val="footer"/>
    <w:basedOn w:val="1"/>
    <w:link w:val="43"/>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4">
    <w:name w:val="header"/>
    <w:basedOn w:val="1"/>
    <w:link w:val="4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tabs>
        <w:tab w:val="right" w:leader="dot" w:pos="8296"/>
      </w:tabs>
      <w:spacing w:line="360" w:lineRule="auto"/>
    </w:pPr>
  </w:style>
  <w:style w:type="paragraph" w:styleId="16">
    <w:name w:val="Subtitle"/>
    <w:basedOn w:val="1"/>
    <w:next w:val="1"/>
    <w:link w:val="38"/>
    <w:qFormat/>
    <w:uiPriority w:val="11"/>
    <w:pPr>
      <w:spacing w:before="240" w:after="60" w:line="312" w:lineRule="auto"/>
      <w:jc w:val="center"/>
      <w:outlineLvl w:val="1"/>
    </w:pPr>
    <w:rPr>
      <w:rFonts w:ascii="Cambria" w:hAnsi="Cambria"/>
      <w:b/>
      <w:bCs/>
      <w:kern w:val="28"/>
      <w:sz w:val="32"/>
      <w:szCs w:val="32"/>
    </w:rPr>
  </w:style>
  <w:style w:type="paragraph" w:styleId="17">
    <w:name w:val="toc 2"/>
    <w:basedOn w:val="1"/>
    <w:next w:val="1"/>
    <w:qFormat/>
    <w:uiPriority w:val="0"/>
    <w:pPr>
      <w:ind w:left="420" w:leftChars="200"/>
    </w:pPr>
  </w:style>
  <w:style w:type="paragraph" w:styleId="18">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19">
    <w:name w:val="annotation subject"/>
    <w:basedOn w:val="6"/>
    <w:next w:val="6"/>
    <w:link w:val="34"/>
    <w:qFormat/>
    <w:uiPriority w:val="0"/>
    <w:rPr>
      <w:b/>
      <w:bCs/>
    </w:rPr>
  </w:style>
  <w:style w:type="paragraph" w:styleId="20">
    <w:name w:val="Body Text First Indent 2"/>
    <w:basedOn w:val="9"/>
    <w:link w:val="52"/>
    <w:qFormat/>
    <w:uiPriority w:val="0"/>
    <w:pPr>
      <w:autoSpaceDE w:val="0"/>
      <w:autoSpaceDN w:val="0"/>
      <w:adjustRightInd w:val="0"/>
      <w:spacing w:after="120" w:line="240" w:lineRule="auto"/>
      <w:ind w:left="420" w:leftChars="200" w:firstLine="420"/>
      <w:jc w:val="left"/>
    </w:pPr>
    <w:rPr>
      <w:rFonts w:hAnsi="Times New Roman"/>
      <w:kern w:val="0"/>
      <w:sz w:val="24"/>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954F72"/>
      <w:u w:val="single"/>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basedOn w:val="23"/>
    <w:qFormat/>
    <w:uiPriority w:val="99"/>
    <w:rPr>
      <w:sz w:val="21"/>
      <w:szCs w:val="21"/>
    </w:rPr>
  </w:style>
  <w:style w:type="paragraph" w:customStyle="1" w:styleId="27">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E75B6" w:themeColor="accent1" w:themeShade="BF"/>
      <w:kern w:val="0"/>
      <w:szCs w:val="32"/>
    </w:rPr>
  </w:style>
  <w:style w:type="paragraph" w:styleId="28">
    <w:name w:val="List Paragraph"/>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customStyle="1" w:styleId="29">
    <w:name w:val="彩色列表 - 强调文字颜色 11"/>
    <w:basedOn w:val="1"/>
    <w:qFormat/>
    <w:uiPriority w:val="34"/>
    <w:pPr>
      <w:ind w:firstLine="420" w:firstLineChars="200"/>
    </w:pPr>
  </w:style>
  <w:style w:type="paragraph" w:customStyle="1" w:styleId="30">
    <w:name w:val="文本格式"/>
    <w:basedOn w:val="1"/>
    <w:link w:val="31"/>
    <w:qFormat/>
    <w:uiPriority w:val="0"/>
    <w:pPr>
      <w:autoSpaceDE/>
      <w:autoSpaceDN/>
      <w:adjustRightInd/>
      <w:spacing w:before="60" w:after="60" w:line="360" w:lineRule="auto"/>
      <w:ind w:firstLine="480" w:firstLineChars="200"/>
    </w:pPr>
    <w:rPr>
      <w:rFonts w:ascii="Times New Roman"/>
      <w:kern w:val="2"/>
      <w:szCs w:val="28"/>
    </w:rPr>
  </w:style>
  <w:style w:type="character" w:customStyle="1" w:styleId="31">
    <w:name w:val="文本格式 Char"/>
    <w:basedOn w:val="23"/>
    <w:link w:val="30"/>
    <w:qFormat/>
    <w:uiPriority w:val="0"/>
    <w:rPr>
      <w:kern w:val="2"/>
      <w:sz w:val="24"/>
      <w:szCs w:val="28"/>
    </w:rPr>
  </w:style>
  <w:style w:type="character" w:customStyle="1" w:styleId="32">
    <w:name w:val="批注框文本 字符"/>
    <w:basedOn w:val="23"/>
    <w:link w:val="12"/>
    <w:qFormat/>
    <w:uiPriority w:val="0"/>
    <w:rPr>
      <w:rFonts w:ascii="宋体"/>
      <w:sz w:val="18"/>
      <w:szCs w:val="18"/>
    </w:rPr>
  </w:style>
  <w:style w:type="character" w:customStyle="1" w:styleId="33">
    <w:name w:val="批注文字 字符"/>
    <w:basedOn w:val="23"/>
    <w:link w:val="6"/>
    <w:qFormat/>
    <w:uiPriority w:val="0"/>
    <w:rPr>
      <w:rFonts w:ascii="宋体"/>
      <w:sz w:val="24"/>
      <w:szCs w:val="24"/>
    </w:rPr>
  </w:style>
  <w:style w:type="character" w:customStyle="1" w:styleId="34">
    <w:name w:val="批注主题 字符"/>
    <w:basedOn w:val="33"/>
    <w:link w:val="19"/>
    <w:qFormat/>
    <w:uiPriority w:val="0"/>
    <w:rPr>
      <w:rFonts w:ascii="宋体"/>
      <w:b/>
      <w:bCs/>
      <w:sz w:val="24"/>
      <w:szCs w:val="24"/>
    </w:rPr>
  </w:style>
  <w:style w:type="character" w:customStyle="1" w:styleId="35">
    <w:name w:val="正文文本 字符"/>
    <w:basedOn w:val="23"/>
    <w:link w:val="7"/>
    <w:qFormat/>
    <w:uiPriority w:val="0"/>
    <w:rPr>
      <w:sz w:val="24"/>
      <w:szCs w:val="24"/>
    </w:rPr>
  </w:style>
  <w:style w:type="character" w:customStyle="1" w:styleId="36">
    <w:name w:val="正文首行缩进 字符"/>
    <w:basedOn w:val="35"/>
    <w:link w:val="8"/>
    <w:qFormat/>
    <w:uiPriority w:val="0"/>
    <w:rPr>
      <w:kern w:val="2"/>
      <w:sz w:val="21"/>
      <w:szCs w:val="24"/>
      <w:lang w:val="zh-CN"/>
    </w:rPr>
  </w:style>
  <w:style w:type="paragraph" w:customStyle="1" w:styleId="37">
    <w:name w:val="p0"/>
    <w:basedOn w:val="1"/>
    <w:qFormat/>
    <w:uiPriority w:val="0"/>
    <w:pPr>
      <w:autoSpaceDE/>
      <w:autoSpaceDN/>
      <w:adjustRightInd/>
      <w:jc w:val="both"/>
    </w:pPr>
    <w:rPr>
      <w:rFonts w:ascii="Times New Roman"/>
      <w:sz w:val="21"/>
      <w:szCs w:val="21"/>
    </w:rPr>
  </w:style>
  <w:style w:type="character" w:customStyle="1" w:styleId="38">
    <w:name w:val="副标题 字符1"/>
    <w:link w:val="16"/>
    <w:qFormat/>
    <w:uiPriority w:val="11"/>
    <w:rPr>
      <w:rFonts w:ascii="Cambria" w:hAnsi="Cambria"/>
      <w:b/>
      <w:bCs/>
      <w:kern w:val="28"/>
      <w:sz w:val="32"/>
      <w:szCs w:val="32"/>
      <w:lang w:val="en-US" w:eastAsia="zh-CN"/>
    </w:rPr>
  </w:style>
  <w:style w:type="character" w:customStyle="1" w:styleId="39">
    <w:name w:val="副标题 字符"/>
    <w:basedOn w:val="23"/>
    <w:qFormat/>
    <w:uiPriority w:val="0"/>
    <w:rPr>
      <w:rFonts w:asciiTheme="minorHAnsi" w:hAnsiTheme="minorHAnsi" w:eastAsiaTheme="minorEastAsia" w:cstheme="minorBidi"/>
      <w:b/>
      <w:bCs/>
      <w:kern w:val="28"/>
      <w:sz w:val="32"/>
      <w:szCs w:val="32"/>
    </w:rPr>
  </w:style>
  <w:style w:type="paragraph" w:customStyle="1" w:styleId="40">
    <w:name w:val="列出段落1"/>
    <w:basedOn w:val="1"/>
    <w:qFormat/>
    <w:uiPriority w:val="34"/>
    <w:pPr>
      <w:autoSpaceDE/>
      <w:autoSpaceDN/>
      <w:adjustRightInd/>
      <w:ind w:firstLine="420" w:firstLineChars="200"/>
      <w:jc w:val="both"/>
    </w:pPr>
    <w:rPr>
      <w:rFonts w:ascii="Calibri" w:hAnsi="Calibri"/>
      <w:kern w:val="2"/>
      <w:sz w:val="21"/>
      <w:szCs w:val="22"/>
    </w:rPr>
  </w:style>
  <w:style w:type="character" w:customStyle="1" w:styleId="41">
    <w:name w:val="纯文本 字符"/>
    <w:basedOn w:val="23"/>
    <w:link w:val="11"/>
    <w:qFormat/>
    <w:uiPriority w:val="0"/>
    <w:rPr>
      <w:rFonts w:ascii="宋体" w:hAnsi="Courier New"/>
      <w:kern w:val="2"/>
      <w:sz w:val="21"/>
    </w:rPr>
  </w:style>
  <w:style w:type="character" w:customStyle="1" w:styleId="42">
    <w:name w:val="标题 9 字符"/>
    <w:basedOn w:val="23"/>
    <w:link w:val="5"/>
    <w:semiHidden/>
    <w:qFormat/>
    <w:uiPriority w:val="0"/>
    <w:rPr>
      <w:rFonts w:ascii="等线 Light" w:hAnsi="等线 Light" w:eastAsia="等线 Light"/>
      <w:kern w:val="2"/>
      <w:sz w:val="21"/>
      <w:szCs w:val="21"/>
    </w:rPr>
  </w:style>
  <w:style w:type="character" w:customStyle="1" w:styleId="43">
    <w:name w:val="页脚 字符"/>
    <w:link w:val="13"/>
    <w:qFormat/>
    <w:uiPriority w:val="99"/>
    <w:rPr>
      <w:rFonts w:asciiTheme="minorHAnsi" w:hAnsiTheme="minorHAnsi" w:eastAsiaTheme="minorEastAsia" w:cstheme="minorBidi"/>
      <w:kern w:val="2"/>
      <w:sz w:val="18"/>
      <w:szCs w:val="18"/>
    </w:rPr>
  </w:style>
  <w:style w:type="character" w:customStyle="1" w:styleId="44">
    <w:name w:val="页眉 字符"/>
    <w:link w:val="14"/>
    <w:qFormat/>
    <w:uiPriority w:val="99"/>
    <w:rPr>
      <w:rFonts w:ascii="宋体"/>
      <w:sz w:val="18"/>
      <w:szCs w:val="24"/>
    </w:rPr>
  </w:style>
  <w:style w:type="character" w:customStyle="1" w:styleId="45">
    <w:name w:val="HTML 预设格式 字符"/>
    <w:basedOn w:val="23"/>
    <w:link w:val="18"/>
    <w:qFormat/>
    <w:uiPriority w:val="99"/>
    <w:rPr>
      <w:rFonts w:ascii="宋体" w:hAnsi="宋体" w:cs="宋体"/>
      <w:sz w:val="24"/>
      <w:szCs w:val="24"/>
    </w:rPr>
  </w:style>
  <w:style w:type="paragraph" w:customStyle="1" w:styleId="46">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7">
    <w:name w:val="正文文本缩进 字符"/>
    <w:basedOn w:val="23"/>
    <w:link w:val="9"/>
    <w:qFormat/>
    <w:uiPriority w:val="0"/>
    <w:rPr>
      <w:rFonts w:ascii="宋体" w:hAnsi="宋体"/>
      <w:kern w:val="2"/>
      <w:sz w:val="28"/>
      <w:szCs w:val="24"/>
    </w:rPr>
  </w:style>
  <w:style w:type="paragraph" w:customStyle="1" w:styleId="48">
    <w:name w:val="修订1"/>
    <w:hidden/>
    <w:qFormat/>
    <w:uiPriority w:val="99"/>
    <w:rPr>
      <w:rFonts w:ascii="宋体" w:hAnsi="Times New Roman" w:eastAsia="宋体" w:cs="Times New Roman"/>
      <w:sz w:val="24"/>
      <w:szCs w:val="24"/>
      <w:lang w:val="en-US" w:eastAsia="zh-CN" w:bidi="ar-SA"/>
    </w:rPr>
  </w:style>
  <w:style w:type="character" w:customStyle="1" w:styleId="49">
    <w:name w:val="页脚 字符1"/>
    <w:basedOn w:val="23"/>
    <w:semiHidden/>
    <w:qFormat/>
    <w:uiPriority w:val="99"/>
    <w:rPr>
      <w:rFonts w:ascii="Times New Roman" w:hAnsi="Times New Roman"/>
      <w:kern w:val="2"/>
      <w:sz w:val="18"/>
      <w:szCs w:val="18"/>
    </w:rPr>
  </w:style>
  <w:style w:type="character" w:customStyle="1" w:styleId="50">
    <w:name w:val="页眉 字符1"/>
    <w:basedOn w:val="23"/>
    <w:semiHidden/>
    <w:qFormat/>
    <w:uiPriority w:val="99"/>
    <w:rPr>
      <w:rFonts w:ascii="Times New Roman" w:hAnsi="Times New Roman"/>
      <w:kern w:val="2"/>
      <w:sz w:val="18"/>
      <w:szCs w:val="18"/>
    </w:rPr>
  </w:style>
  <w:style w:type="table" w:customStyle="1" w:styleId="51">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2">
    <w:name w:val="正文首行缩进 2 字符"/>
    <w:basedOn w:val="47"/>
    <w:link w:val="20"/>
    <w:qFormat/>
    <w:uiPriority w:val="0"/>
    <w:rPr>
      <w:rFonts w:ascii="宋体" w:hAnsi="宋体"/>
      <w:kern w:val="2"/>
      <w:sz w:val="24"/>
      <w:szCs w:val="24"/>
    </w:rPr>
  </w:style>
  <w:style w:type="character" w:customStyle="1" w:styleId="53">
    <w:name w:val="标题 2 字符"/>
    <w:basedOn w:val="23"/>
    <w:link w:val="3"/>
    <w:semiHidden/>
    <w:qFormat/>
    <w:uiPriority w:val="0"/>
    <w:rPr>
      <w:rFonts w:asciiTheme="majorHAnsi" w:hAnsiTheme="majorHAnsi" w:eastAsiaTheme="majorEastAsia" w:cstheme="majorBidi"/>
      <w:b/>
      <w:bCs/>
      <w:sz w:val="32"/>
      <w:szCs w:val="32"/>
    </w:rPr>
  </w:style>
  <w:style w:type="character" w:customStyle="1" w:styleId="54">
    <w:name w:val="font01"/>
    <w:qFormat/>
    <w:uiPriority w:val="0"/>
    <w:rPr>
      <w:rFonts w:hint="eastAsia" w:ascii="宋体" w:hAnsi="宋体" w:eastAsia="宋体" w:cs="宋体"/>
      <w:color w:val="000000"/>
      <w:sz w:val="22"/>
      <w:szCs w:val="22"/>
      <w:u w:val="none"/>
    </w:rPr>
  </w:style>
  <w:style w:type="table" w:customStyle="1" w:styleId="55">
    <w:name w:val="网格型2"/>
    <w:basedOn w:val="21"/>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
    <w:name w:val="正文文本缩进 21"/>
    <w:basedOn w:val="1"/>
    <w:qFormat/>
    <w:uiPriority w:val="0"/>
    <w:pPr>
      <w:spacing w:line="480" w:lineRule="auto"/>
      <w:ind w:firstLine="540"/>
      <w:textAlignment w:val="baseline"/>
    </w:pPr>
    <w:rPr>
      <w:rFonts w:ascii="Calibri" w:hAnsi="Calibri"/>
      <w:sz w:val="21"/>
      <w:szCs w:val="21"/>
    </w:rPr>
  </w:style>
  <w:style w:type="paragraph" w:customStyle="1" w:styleId="57">
    <w:name w:val="首行缩进"/>
    <w:basedOn w:val="1"/>
    <w:qFormat/>
    <w:uiPriority w:val="0"/>
    <w:pPr>
      <w:ind w:firstLine="480" w:firstLineChars="200"/>
    </w:pPr>
    <w:rPr>
      <w:lang w:val="zh-CN"/>
    </w:rPr>
  </w:style>
  <w:style w:type="character" w:customStyle="1" w:styleId="58">
    <w:name w:val="font11"/>
    <w:basedOn w:val="23"/>
    <w:qFormat/>
    <w:uiPriority w:val="0"/>
    <w:rPr>
      <w:rFonts w:hint="eastAsia" w:ascii="宋体" w:hAnsi="宋体" w:eastAsia="宋体" w:cs="宋体"/>
      <w:color w:val="000000"/>
      <w:sz w:val="22"/>
      <w:szCs w:val="22"/>
      <w:u w:val="none"/>
    </w:rPr>
  </w:style>
  <w:style w:type="character" w:customStyle="1" w:styleId="59">
    <w:name w:val="font41"/>
    <w:basedOn w:val="23"/>
    <w:qFormat/>
    <w:uiPriority w:val="0"/>
    <w:rPr>
      <w:rFonts w:hint="eastAsia" w:ascii="宋体" w:hAnsi="宋体" w:eastAsia="宋体" w:cs="宋体"/>
      <w:color w:val="000000"/>
      <w:sz w:val="20"/>
      <w:szCs w:val="20"/>
      <w:u w:val="none"/>
    </w:rPr>
  </w:style>
  <w:style w:type="character" w:customStyle="1" w:styleId="60">
    <w:name w:val="font31"/>
    <w:basedOn w:val="23"/>
    <w:qFormat/>
    <w:uiPriority w:val="0"/>
    <w:rPr>
      <w:rFonts w:hint="eastAsia" w:ascii="宋体" w:hAnsi="宋体" w:eastAsia="宋体" w:cs="宋体"/>
      <w:color w:val="000000"/>
      <w:sz w:val="20"/>
      <w:szCs w:val="20"/>
      <w:u w:val="none"/>
    </w:rPr>
  </w:style>
  <w:style w:type="paragraph" w:customStyle="1" w:styleId="6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2">
    <w:name w:val="font21"/>
    <w:basedOn w:val="23"/>
    <w:qFormat/>
    <w:uiPriority w:val="0"/>
    <w:rPr>
      <w:rFonts w:ascii="宋体" w:hAnsi="宋体" w:eastAsia="宋体" w:cs="宋体"/>
      <w:b/>
      <w:bCs/>
      <w:color w:val="000000"/>
      <w:sz w:val="28"/>
      <w:szCs w:val="28"/>
      <w:u w:val="none"/>
    </w:rPr>
  </w:style>
  <w:style w:type="paragraph" w:customStyle="1" w:styleId="63">
    <w:name w:val="彩色列表 - 着色 11"/>
    <w:basedOn w:val="1"/>
    <w:qFormat/>
    <w:uiPriority w:val="34"/>
    <w:pPr>
      <w:ind w:firstLine="420" w:firstLineChars="200"/>
    </w:pPr>
  </w:style>
  <w:style w:type="character" w:customStyle="1" w:styleId="64">
    <w:name w:val="font81"/>
    <w:basedOn w:val="23"/>
    <w:qFormat/>
    <w:uiPriority w:val="0"/>
    <w:rPr>
      <w:rFonts w:ascii="宋体" w:hAnsi="宋体" w:eastAsia="宋体" w:cs="宋体"/>
      <w:b/>
      <w:bCs/>
      <w:color w:val="E74025"/>
      <w:sz w:val="28"/>
      <w:szCs w:val="28"/>
      <w:u w:val="none"/>
    </w:rPr>
  </w:style>
  <w:style w:type="paragraph" w:customStyle="1" w:styleId="65">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E9FD7-667B-4DF5-9BA9-5D127D76B417}">
  <ds:schemaRefs/>
</ds:datastoreItem>
</file>

<file path=docProps/app.xml><?xml version="1.0" encoding="utf-8"?>
<Properties xmlns="http://schemas.openxmlformats.org/officeDocument/2006/extended-properties" xmlns:vt="http://schemas.openxmlformats.org/officeDocument/2006/docPropsVTypes">
  <Template>Normal</Template>
  <Pages>54</Pages>
  <Words>2774</Words>
  <Characters>3012</Characters>
  <Lines>140</Lines>
  <Paragraphs>39</Paragraphs>
  <TotalTime>12</TotalTime>
  <ScaleCrop>false</ScaleCrop>
  <LinksUpToDate>false</LinksUpToDate>
  <CharactersWithSpaces>3046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2020-10-14T01:34:00Z</dcterms:created>
  <dc:creator>LKC</dc:creator>
  <cp:lastModifiedBy>hjw</cp:lastModifiedBy>
  <cp:lastPrinted>2025-12-10T02:52:00Z</cp:lastPrinted>
  <dcterms:modified xsi:type="dcterms:W3CDTF">2025-12-29T08:50:40Z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8761F4D3A040451DA5E9294FB90FB4AB_13</vt:lpwstr>
  </property>
</Properties>
</file>