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2C1BE2">
      <w:pPr>
        <w:spacing w:line="360" w:lineRule="auto"/>
        <w:ind w:firstLine="0" w:firstLineChars="0"/>
        <w:jc w:val="center"/>
        <w:rPr>
          <w:rFonts w:eastAsia="方正小标宋_GBK"/>
          <w:bCs/>
          <w:sz w:val="44"/>
          <w:szCs w:val="44"/>
        </w:rPr>
      </w:pPr>
    </w:p>
    <w:p w14:paraId="6C2DA704">
      <w:pPr>
        <w:spacing w:line="360" w:lineRule="auto"/>
        <w:ind w:firstLine="0" w:firstLineChars="0"/>
        <w:jc w:val="center"/>
        <w:rPr>
          <w:rFonts w:eastAsia="方正小标宋_GBK"/>
          <w:bCs/>
          <w:sz w:val="44"/>
          <w:szCs w:val="44"/>
        </w:rPr>
      </w:pPr>
    </w:p>
    <w:p w14:paraId="575D6BB5">
      <w:pPr>
        <w:spacing w:line="560" w:lineRule="exact"/>
        <w:ind w:firstLine="0" w:firstLineChars="0"/>
        <w:jc w:val="center"/>
        <w:rPr>
          <w:rFonts w:eastAsia="方正小标宋_GBK"/>
          <w:bCs/>
          <w:sz w:val="44"/>
          <w:szCs w:val="44"/>
        </w:rPr>
      </w:pPr>
    </w:p>
    <w:p w14:paraId="7D466F08">
      <w:pPr>
        <w:spacing w:line="560" w:lineRule="exact"/>
        <w:ind w:firstLine="0" w:firstLineChars="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东莞市水务环境投资控股集团有限公司</w:t>
      </w:r>
    </w:p>
    <w:p w14:paraId="4E3F7809">
      <w:pPr>
        <w:spacing w:line="560" w:lineRule="exact"/>
        <w:ind w:firstLine="0" w:firstLineChars="0"/>
        <w:jc w:val="center"/>
        <w:rPr>
          <w:rFonts w:eastAsia="方正小标宋_GBK"/>
          <w:bCs/>
          <w:szCs w:val="44"/>
        </w:rPr>
      </w:pPr>
      <w:r>
        <w:rPr>
          <w:rFonts w:hint="eastAsia" w:ascii="方正小标宋简体" w:hAnsi="方正小标宋简体" w:eastAsia="方正小标宋简体" w:cs="方正小标宋简体"/>
          <w:bCs/>
          <w:sz w:val="44"/>
          <w:szCs w:val="44"/>
        </w:rPr>
        <w:t>档案管理系统建设项目用户需求书</w:t>
      </w:r>
    </w:p>
    <w:p w14:paraId="2AFA5623">
      <w:pPr>
        <w:spacing w:line="360" w:lineRule="auto"/>
        <w:ind w:firstLine="0" w:firstLineChars="0"/>
        <w:jc w:val="center"/>
        <w:rPr>
          <w:rFonts w:eastAsia="黑体"/>
          <w:bCs/>
          <w:szCs w:val="44"/>
        </w:rPr>
      </w:pPr>
    </w:p>
    <w:p w14:paraId="2F852EA6">
      <w:pPr>
        <w:spacing w:line="360" w:lineRule="auto"/>
        <w:ind w:firstLine="0" w:firstLineChars="0"/>
        <w:jc w:val="center"/>
        <w:rPr>
          <w:rFonts w:eastAsia="黑体"/>
          <w:bCs/>
          <w:szCs w:val="44"/>
        </w:rPr>
      </w:pPr>
    </w:p>
    <w:p w14:paraId="52E47AD9">
      <w:pPr>
        <w:spacing w:line="360" w:lineRule="auto"/>
        <w:ind w:firstLine="0" w:firstLineChars="0"/>
        <w:jc w:val="center"/>
        <w:rPr>
          <w:rFonts w:eastAsia="黑体"/>
          <w:bCs/>
          <w:szCs w:val="44"/>
        </w:rPr>
      </w:pPr>
    </w:p>
    <w:p w14:paraId="216937A1">
      <w:pPr>
        <w:spacing w:line="360" w:lineRule="auto"/>
        <w:ind w:firstLine="0" w:firstLineChars="0"/>
        <w:jc w:val="center"/>
        <w:rPr>
          <w:rFonts w:eastAsia="黑体"/>
          <w:bCs/>
          <w:szCs w:val="44"/>
        </w:rPr>
      </w:pPr>
    </w:p>
    <w:p w14:paraId="29BDF931">
      <w:pPr>
        <w:spacing w:line="360" w:lineRule="auto"/>
        <w:ind w:firstLine="0" w:firstLineChars="0"/>
        <w:jc w:val="center"/>
        <w:rPr>
          <w:rFonts w:eastAsia="黑体"/>
          <w:bCs/>
          <w:szCs w:val="44"/>
        </w:rPr>
      </w:pPr>
    </w:p>
    <w:p w14:paraId="2375BD17">
      <w:pPr>
        <w:spacing w:line="360" w:lineRule="auto"/>
        <w:ind w:firstLine="0" w:firstLineChars="0"/>
        <w:jc w:val="center"/>
        <w:rPr>
          <w:rFonts w:eastAsia="黑体"/>
          <w:bCs/>
          <w:szCs w:val="44"/>
        </w:rPr>
      </w:pPr>
    </w:p>
    <w:p w14:paraId="03EC5B28">
      <w:pPr>
        <w:spacing w:line="360" w:lineRule="auto"/>
        <w:ind w:firstLine="0" w:firstLineChars="0"/>
        <w:jc w:val="center"/>
        <w:rPr>
          <w:rFonts w:eastAsia="黑体"/>
          <w:bCs/>
          <w:szCs w:val="44"/>
        </w:rPr>
      </w:pPr>
    </w:p>
    <w:p w14:paraId="55ADA7CC">
      <w:pPr>
        <w:spacing w:line="360" w:lineRule="auto"/>
        <w:ind w:firstLine="0" w:firstLineChars="0"/>
        <w:jc w:val="center"/>
        <w:rPr>
          <w:rFonts w:eastAsia="黑体"/>
          <w:bCs/>
          <w:szCs w:val="44"/>
        </w:rPr>
      </w:pPr>
    </w:p>
    <w:p w14:paraId="6E5B6522">
      <w:pPr>
        <w:spacing w:line="360" w:lineRule="auto"/>
        <w:ind w:firstLine="0" w:firstLineChars="0"/>
        <w:jc w:val="center"/>
        <w:rPr>
          <w:rFonts w:eastAsia="黑体"/>
          <w:bCs/>
          <w:szCs w:val="44"/>
        </w:rPr>
      </w:pPr>
    </w:p>
    <w:p w14:paraId="42F69542">
      <w:pPr>
        <w:spacing w:line="360" w:lineRule="auto"/>
        <w:ind w:firstLine="0" w:firstLineChars="0"/>
        <w:jc w:val="center"/>
        <w:rPr>
          <w:rFonts w:eastAsia="黑体"/>
          <w:bCs/>
          <w:szCs w:val="44"/>
        </w:rPr>
      </w:pPr>
    </w:p>
    <w:p w14:paraId="5464CE34">
      <w:pPr>
        <w:spacing w:line="360" w:lineRule="auto"/>
        <w:ind w:firstLine="0" w:firstLineChars="0"/>
        <w:jc w:val="center"/>
        <w:rPr>
          <w:rFonts w:hint="eastAsia" w:eastAsia="黑体"/>
          <w:bCs/>
          <w:szCs w:val="44"/>
          <w:lang w:eastAsia="zh-CN"/>
        </w:rPr>
      </w:pPr>
      <w:r>
        <w:rPr>
          <w:rFonts w:eastAsia="黑体"/>
          <w:bCs/>
          <w:szCs w:val="44"/>
        </w:rPr>
        <w:t>建设单位：</w:t>
      </w:r>
      <w:r>
        <w:rPr>
          <w:rFonts w:hint="eastAsia" w:eastAsia="黑体"/>
          <w:bCs/>
          <w:szCs w:val="44"/>
          <w:lang w:eastAsia="zh-CN"/>
        </w:rPr>
        <w:t>东莞市水务环境投资控股集团有限公司</w:t>
      </w:r>
    </w:p>
    <w:p w14:paraId="7115DDD3">
      <w:pPr>
        <w:spacing w:line="360" w:lineRule="auto"/>
        <w:ind w:firstLine="0" w:firstLineChars="0"/>
        <w:jc w:val="center"/>
        <w:rPr>
          <w:rFonts w:eastAsia="黑体"/>
          <w:bCs/>
          <w:szCs w:val="44"/>
        </w:rPr>
      </w:pPr>
      <w:r>
        <w:rPr>
          <w:rFonts w:eastAsia="黑体"/>
          <w:bCs/>
          <w:szCs w:val="44"/>
        </w:rPr>
        <w:t>202</w:t>
      </w:r>
      <w:r>
        <w:rPr>
          <w:rFonts w:hint="eastAsia" w:eastAsia="黑体"/>
          <w:bCs/>
          <w:szCs w:val="44"/>
          <w:lang w:eastAsia="zh"/>
          <w:woUserID w:val="1"/>
        </w:rPr>
        <w:t>5</w:t>
      </w:r>
      <w:r>
        <w:rPr>
          <w:rFonts w:eastAsia="黑体"/>
          <w:bCs/>
          <w:szCs w:val="44"/>
        </w:rPr>
        <w:t>年</w:t>
      </w:r>
      <w:r>
        <w:rPr>
          <w:rFonts w:hint="eastAsia" w:eastAsia="黑体"/>
          <w:bCs/>
          <w:szCs w:val="44"/>
          <w:lang w:val="en-US" w:eastAsia="zh-CN"/>
        </w:rPr>
        <w:t>11</w:t>
      </w:r>
      <w:bookmarkStart w:id="72" w:name="_GoBack"/>
      <w:bookmarkEnd w:id="72"/>
      <w:r>
        <w:rPr>
          <w:rFonts w:eastAsia="黑体"/>
          <w:bCs/>
          <w:szCs w:val="44"/>
        </w:rPr>
        <w:t>月</w:t>
      </w:r>
    </w:p>
    <w:p w14:paraId="6DBC4058">
      <w:pPr>
        <w:pStyle w:val="2"/>
        <w:rPr>
          <w:rFonts w:eastAsia="黑体"/>
          <w:bCs/>
          <w:szCs w:val="44"/>
        </w:rPr>
      </w:pPr>
    </w:p>
    <w:p w14:paraId="7709293F">
      <w:p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p>
    <w:sdt>
      <w:sdtPr>
        <w:rPr>
          <w:b/>
          <w:bCs/>
          <w:sz w:val="36"/>
          <w:szCs w:val="48"/>
        </w:rPr>
        <w:id w:val="147456772"/>
        <w15:color w:val="DBDBDB"/>
        <w:docPartObj>
          <w:docPartGallery w:val="Table of Contents"/>
          <w:docPartUnique/>
        </w:docPartObj>
      </w:sdtPr>
      <w:sdtEndPr>
        <w:rPr>
          <w:rFonts w:eastAsia="黑体"/>
          <w:b/>
          <w:bCs/>
          <w:sz w:val="32"/>
          <w:szCs w:val="44"/>
        </w:rPr>
      </w:sdtEndPr>
      <w:sdtContent>
        <w:p w14:paraId="367EF539">
          <w:pPr>
            <w:ind w:firstLine="0" w:firstLineChars="0"/>
            <w:jc w:val="center"/>
            <w:rPr>
              <w:b/>
              <w:bCs/>
              <w:sz w:val="52"/>
              <w:szCs w:val="48"/>
            </w:rPr>
          </w:pPr>
          <w:r>
            <w:rPr>
              <w:rFonts w:hint="eastAsia" w:ascii="方正小标宋简体" w:hAnsi="方正小标宋简体" w:eastAsia="方正小标宋简体" w:cs="方正小标宋简体"/>
              <w:b w:val="0"/>
              <w:bCs w:val="0"/>
              <w:sz w:val="36"/>
              <w:szCs w:val="48"/>
            </w:rPr>
            <w:t>目</w:t>
          </w:r>
          <w:r>
            <w:rPr>
              <w:rFonts w:hint="eastAsia" w:ascii="方正小标宋简体" w:hAnsi="方正小标宋简体" w:eastAsia="方正小标宋简体" w:cs="方正小标宋简体"/>
              <w:sz w:val="36"/>
              <w:szCs w:val="48"/>
            </w:rPr>
            <w:t xml:space="preserve">  </w:t>
          </w:r>
          <w:r>
            <w:rPr>
              <w:rFonts w:hint="eastAsia" w:ascii="方正小标宋简体" w:hAnsi="方正小标宋简体" w:eastAsia="方正小标宋简体" w:cs="方正小标宋简体"/>
              <w:b w:val="0"/>
              <w:bCs w:val="0"/>
              <w:sz w:val="36"/>
              <w:szCs w:val="48"/>
            </w:rPr>
            <w:t>录</w:t>
          </w:r>
        </w:p>
        <w:p w14:paraId="0F60DA6C">
          <w:pPr>
            <w:pStyle w:val="15"/>
            <w:tabs>
              <w:tab w:val="right" w:leader="dot" w:pos="8306"/>
            </w:tabs>
          </w:pPr>
          <w:r>
            <w:rPr>
              <w:rFonts w:eastAsia="黑体"/>
              <w:bCs/>
              <w:szCs w:val="44"/>
            </w:rPr>
            <w:fldChar w:fldCharType="begin"/>
          </w:r>
          <w:r>
            <w:rPr>
              <w:rFonts w:eastAsia="黑体"/>
              <w:bCs/>
              <w:szCs w:val="44"/>
            </w:rPr>
            <w:instrText xml:space="preserve">TOC \o "1-2" \h \u </w:instrText>
          </w:r>
          <w:r>
            <w:rPr>
              <w:rFonts w:eastAsia="黑体"/>
              <w:bCs/>
              <w:szCs w:val="44"/>
            </w:rPr>
            <w:fldChar w:fldCharType="separate"/>
          </w:r>
          <w:r>
            <w:rPr>
              <w:rFonts w:eastAsia="黑体"/>
              <w:bCs/>
              <w:szCs w:val="44"/>
            </w:rPr>
            <w:fldChar w:fldCharType="begin"/>
          </w:r>
          <w:r>
            <w:rPr>
              <w:rFonts w:eastAsia="黑体"/>
              <w:bCs/>
              <w:szCs w:val="44"/>
            </w:rPr>
            <w:instrText xml:space="preserve"> HYPERLINK \l _Toc22453 </w:instrText>
          </w:r>
          <w:r>
            <w:rPr>
              <w:rFonts w:eastAsia="黑体"/>
              <w:bCs/>
              <w:szCs w:val="44"/>
            </w:rPr>
            <w:fldChar w:fldCharType="separate"/>
          </w:r>
          <w:r>
            <w:rPr>
              <w:rFonts w:hint="eastAsia" w:ascii="黑体" w:hAnsi="黑体" w:eastAsia="黑体" w:cs="黑体"/>
              <w:szCs w:val="32"/>
            </w:rPr>
            <w:t>第一章 项目总体要求</w:t>
          </w:r>
          <w:r>
            <w:tab/>
          </w:r>
          <w:r>
            <w:fldChar w:fldCharType="begin"/>
          </w:r>
          <w:r>
            <w:instrText xml:space="preserve"> PAGEREF _Toc22453 \h </w:instrText>
          </w:r>
          <w:r>
            <w:fldChar w:fldCharType="separate"/>
          </w:r>
          <w:r>
            <w:t>2</w:t>
          </w:r>
          <w:r>
            <w:fldChar w:fldCharType="end"/>
          </w:r>
          <w:r>
            <w:rPr>
              <w:rFonts w:eastAsia="黑体"/>
              <w:bCs/>
              <w:szCs w:val="44"/>
            </w:rPr>
            <w:fldChar w:fldCharType="end"/>
          </w:r>
        </w:p>
        <w:p w14:paraId="2344F2BF">
          <w:pPr>
            <w:pStyle w:val="16"/>
            <w:tabs>
              <w:tab w:val="right" w:leader="dot" w:pos="8306"/>
            </w:tabs>
          </w:pPr>
          <w:r>
            <w:rPr>
              <w:rFonts w:eastAsia="黑体"/>
              <w:bCs/>
              <w:szCs w:val="44"/>
            </w:rPr>
            <w:fldChar w:fldCharType="begin"/>
          </w:r>
          <w:r>
            <w:rPr>
              <w:rFonts w:eastAsia="黑体"/>
              <w:bCs/>
              <w:szCs w:val="44"/>
            </w:rPr>
            <w:instrText xml:space="preserve"> HYPERLINK \l _Toc18533 </w:instrText>
          </w:r>
          <w:r>
            <w:rPr>
              <w:rFonts w:eastAsia="黑体"/>
              <w:bCs/>
              <w:szCs w:val="44"/>
            </w:rPr>
            <w:fldChar w:fldCharType="separate"/>
          </w:r>
          <w:r>
            <w:rPr>
              <w:rFonts w:hint="default" w:ascii="Times New Roman" w:hAnsi="Times New Roman" w:eastAsia="楷体_GB2312" w:cs="Times New Roman"/>
            </w:rPr>
            <w:t>1.1. 项目概况</w:t>
          </w:r>
          <w:r>
            <w:tab/>
          </w:r>
          <w:r>
            <w:fldChar w:fldCharType="begin"/>
          </w:r>
          <w:r>
            <w:instrText xml:space="preserve"> PAGEREF _Toc18533 \h </w:instrText>
          </w:r>
          <w:r>
            <w:fldChar w:fldCharType="separate"/>
          </w:r>
          <w:r>
            <w:t>2</w:t>
          </w:r>
          <w:r>
            <w:fldChar w:fldCharType="end"/>
          </w:r>
          <w:r>
            <w:rPr>
              <w:rFonts w:eastAsia="黑体"/>
              <w:bCs/>
              <w:szCs w:val="44"/>
            </w:rPr>
            <w:fldChar w:fldCharType="end"/>
          </w:r>
        </w:p>
        <w:p w14:paraId="34EF4517">
          <w:pPr>
            <w:pStyle w:val="16"/>
            <w:tabs>
              <w:tab w:val="right" w:leader="dot" w:pos="8306"/>
            </w:tabs>
          </w:pPr>
          <w:r>
            <w:rPr>
              <w:rFonts w:eastAsia="黑体"/>
              <w:bCs/>
              <w:szCs w:val="44"/>
            </w:rPr>
            <w:fldChar w:fldCharType="begin"/>
          </w:r>
          <w:r>
            <w:rPr>
              <w:rFonts w:eastAsia="黑体"/>
              <w:bCs/>
              <w:szCs w:val="44"/>
            </w:rPr>
            <w:instrText xml:space="preserve"> HYPERLINK \l _Toc1583 </w:instrText>
          </w:r>
          <w:r>
            <w:rPr>
              <w:rFonts w:eastAsia="黑体"/>
              <w:bCs/>
              <w:szCs w:val="44"/>
            </w:rPr>
            <w:fldChar w:fldCharType="separate"/>
          </w:r>
          <w:r>
            <w:rPr>
              <w:rFonts w:hint="default" w:ascii="Times New Roman" w:hAnsi="Times New Roman" w:eastAsia="楷体_GB2312" w:cs="Times New Roman"/>
            </w:rPr>
            <w:t>1.2. 项目范围</w:t>
          </w:r>
          <w:r>
            <w:tab/>
          </w:r>
          <w:r>
            <w:fldChar w:fldCharType="begin"/>
          </w:r>
          <w:r>
            <w:instrText xml:space="preserve"> PAGEREF _Toc1583 \h </w:instrText>
          </w:r>
          <w:r>
            <w:fldChar w:fldCharType="separate"/>
          </w:r>
          <w:r>
            <w:t>2</w:t>
          </w:r>
          <w:r>
            <w:fldChar w:fldCharType="end"/>
          </w:r>
          <w:r>
            <w:rPr>
              <w:rFonts w:eastAsia="黑体"/>
              <w:bCs/>
              <w:szCs w:val="44"/>
            </w:rPr>
            <w:fldChar w:fldCharType="end"/>
          </w:r>
        </w:p>
        <w:p w14:paraId="435F8C6D">
          <w:pPr>
            <w:pStyle w:val="16"/>
            <w:tabs>
              <w:tab w:val="right" w:leader="dot" w:pos="8306"/>
            </w:tabs>
          </w:pPr>
          <w:r>
            <w:rPr>
              <w:rFonts w:eastAsia="黑体"/>
              <w:bCs/>
              <w:szCs w:val="44"/>
            </w:rPr>
            <w:fldChar w:fldCharType="begin"/>
          </w:r>
          <w:r>
            <w:rPr>
              <w:rFonts w:eastAsia="黑体"/>
              <w:bCs/>
              <w:szCs w:val="44"/>
            </w:rPr>
            <w:instrText xml:space="preserve"> HYPERLINK \l _Toc19437 </w:instrText>
          </w:r>
          <w:r>
            <w:rPr>
              <w:rFonts w:eastAsia="黑体"/>
              <w:bCs/>
              <w:szCs w:val="44"/>
            </w:rPr>
            <w:fldChar w:fldCharType="separate"/>
          </w:r>
          <w:r>
            <w:rPr>
              <w:rFonts w:hint="default" w:ascii="Times New Roman" w:hAnsi="Times New Roman" w:eastAsia="楷体_GB2312" w:cs="Times New Roman"/>
              <w:bCs/>
              <w:lang w:val="en-US" w:eastAsia="zh-CN"/>
            </w:rPr>
            <w:t>1.3. 规范标准</w:t>
          </w:r>
          <w:r>
            <w:tab/>
          </w:r>
          <w:r>
            <w:fldChar w:fldCharType="begin"/>
          </w:r>
          <w:r>
            <w:instrText xml:space="preserve"> PAGEREF _Toc19437 \h </w:instrText>
          </w:r>
          <w:r>
            <w:fldChar w:fldCharType="separate"/>
          </w:r>
          <w:r>
            <w:t>2</w:t>
          </w:r>
          <w:r>
            <w:fldChar w:fldCharType="end"/>
          </w:r>
          <w:r>
            <w:rPr>
              <w:rFonts w:eastAsia="黑体"/>
              <w:bCs/>
              <w:szCs w:val="44"/>
            </w:rPr>
            <w:fldChar w:fldCharType="end"/>
          </w:r>
        </w:p>
        <w:p w14:paraId="4997AFD5">
          <w:pPr>
            <w:pStyle w:val="15"/>
            <w:tabs>
              <w:tab w:val="right" w:leader="dot" w:pos="8306"/>
            </w:tabs>
          </w:pPr>
          <w:r>
            <w:rPr>
              <w:rFonts w:eastAsia="黑体"/>
              <w:bCs/>
              <w:szCs w:val="44"/>
            </w:rPr>
            <w:fldChar w:fldCharType="begin"/>
          </w:r>
          <w:r>
            <w:rPr>
              <w:rFonts w:eastAsia="黑体"/>
              <w:bCs/>
              <w:szCs w:val="44"/>
            </w:rPr>
            <w:instrText xml:space="preserve"> HYPERLINK \l _Toc12624 </w:instrText>
          </w:r>
          <w:r>
            <w:rPr>
              <w:rFonts w:eastAsia="黑体"/>
              <w:bCs/>
              <w:szCs w:val="44"/>
            </w:rPr>
            <w:fldChar w:fldCharType="separate"/>
          </w:r>
          <w:r>
            <w:rPr>
              <w:rFonts w:hint="eastAsia" w:ascii="黑体" w:hAnsi="黑体" w:eastAsia="黑体" w:cs="黑体"/>
              <w:szCs w:val="32"/>
            </w:rPr>
            <w:t>第二章 建设需求</w:t>
          </w:r>
          <w:r>
            <w:tab/>
          </w:r>
          <w:r>
            <w:fldChar w:fldCharType="begin"/>
          </w:r>
          <w:r>
            <w:instrText xml:space="preserve"> PAGEREF _Toc12624 \h </w:instrText>
          </w:r>
          <w:r>
            <w:fldChar w:fldCharType="separate"/>
          </w:r>
          <w:r>
            <w:t>4</w:t>
          </w:r>
          <w:r>
            <w:fldChar w:fldCharType="end"/>
          </w:r>
          <w:r>
            <w:rPr>
              <w:rFonts w:eastAsia="黑体"/>
              <w:bCs/>
              <w:szCs w:val="44"/>
            </w:rPr>
            <w:fldChar w:fldCharType="end"/>
          </w:r>
        </w:p>
        <w:p w14:paraId="516202F4">
          <w:pPr>
            <w:pStyle w:val="16"/>
            <w:tabs>
              <w:tab w:val="right" w:leader="dot" w:pos="8306"/>
            </w:tabs>
          </w:pPr>
          <w:r>
            <w:rPr>
              <w:rFonts w:eastAsia="黑体"/>
              <w:bCs/>
              <w:szCs w:val="44"/>
            </w:rPr>
            <w:fldChar w:fldCharType="begin"/>
          </w:r>
          <w:r>
            <w:rPr>
              <w:rFonts w:eastAsia="黑体"/>
              <w:bCs/>
              <w:szCs w:val="44"/>
            </w:rPr>
            <w:instrText xml:space="preserve"> HYPERLINK \l _Toc389 </w:instrText>
          </w:r>
          <w:r>
            <w:rPr>
              <w:rFonts w:eastAsia="黑体"/>
              <w:bCs/>
              <w:szCs w:val="44"/>
            </w:rPr>
            <w:fldChar w:fldCharType="separate"/>
          </w:r>
          <w:r>
            <w:rPr>
              <w:rFonts w:hint="eastAsia" w:ascii="Times New Roman" w:hAnsi="Times New Roman"/>
            </w:rPr>
            <w:t xml:space="preserve">2.1. </w:t>
          </w:r>
          <w:r>
            <w:rPr>
              <w:rFonts w:ascii="Times New Roman" w:hAnsi="Times New Roman"/>
            </w:rPr>
            <w:t>总体需求</w:t>
          </w:r>
          <w:r>
            <w:tab/>
          </w:r>
          <w:r>
            <w:fldChar w:fldCharType="begin"/>
          </w:r>
          <w:r>
            <w:instrText xml:space="preserve"> PAGEREF _Toc389 \h </w:instrText>
          </w:r>
          <w:r>
            <w:fldChar w:fldCharType="separate"/>
          </w:r>
          <w:r>
            <w:t>4</w:t>
          </w:r>
          <w:r>
            <w:fldChar w:fldCharType="end"/>
          </w:r>
          <w:r>
            <w:rPr>
              <w:rFonts w:eastAsia="黑体"/>
              <w:bCs/>
              <w:szCs w:val="44"/>
            </w:rPr>
            <w:fldChar w:fldCharType="end"/>
          </w:r>
        </w:p>
        <w:p w14:paraId="243922DD">
          <w:pPr>
            <w:pStyle w:val="16"/>
            <w:tabs>
              <w:tab w:val="right" w:leader="dot" w:pos="8306"/>
            </w:tabs>
          </w:pPr>
          <w:r>
            <w:rPr>
              <w:rFonts w:eastAsia="黑体"/>
              <w:bCs/>
              <w:szCs w:val="44"/>
            </w:rPr>
            <w:fldChar w:fldCharType="begin"/>
          </w:r>
          <w:r>
            <w:rPr>
              <w:rFonts w:eastAsia="黑体"/>
              <w:bCs/>
              <w:szCs w:val="44"/>
            </w:rPr>
            <w:instrText xml:space="preserve"> HYPERLINK \l _Toc25403 </w:instrText>
          </w:r>
          <w:r>
            <w:rPr>
              <w:rFonts w:eastAsia="黑体"/>
              <w:bCs/>
              <w:szCs w:val="44"/>
            </w:rPr>
            <w:fldChar w:fldCharType="separate"/>
          </w:r>
          <w:r>
            <w:rPr>
              <w:rFonts w:hint="eastAsia" w:ascii="Times New Roman" w:hAnsi="Times New Roman"/>
            </w:rPr>
            <w:t xml:space="preserve">2.2. </w:t>
          </w:r>
          <w:r>
            <w:rPr>
              <w:rFonts w:ascii="Times New Roman" w:hAnsi="Times New Roman"/>
            </w:rPr>
            <w:t>业务需求</w:t>
          </w:r>
          <w:r>
            <w:tab/>
          </w:r>
          <w:r>
            <w:fldChar w:fldCharType="begin"/>
          </w:r>
          <w:r>
            <w:instrText xml:space="preserve"> PAGEREF _Toc25403 \h </w:instrText>
          </w:r>
          <w:r>
            <w:fldChar w:fldCharType="separate"/>
          </w:r>
          <w:r>
            <w:t>4</w:t>
          </w:r>
          <w:r>
            <w:fldChar w:fldCharType="end"/>
          </w:r>
          <w:r>
            <w:rPr>
              <w:rFonts w:eastAsia="黑体"/>
              <w:bCs/>
              <w:szCs w:val="44"/>
            </w:rPr>
            <w:fldChar w:fldCharType="end"/>
          </w:r>
        </w:p>
        <w:p w14:paraId="3304180C">
          <w:pPr>
            <w:pStyle w:val="16"/>
            <w:tabs>
              <w:tab w:val="right" w:leader="dot" w:pos="8306"/>
            </w:tabs>
          </w:pPr>
          <w:r>
            <w:rPr>
              <w:rFonts w:eastAsia="黑体"/>
              <w:bCs/>
              <w:szCs w:val="44"/>
            </w:rPr>
            <w:fldChar w:fldCharType="begin"/>
          </w:r>
          <w:r>
            <w:rPr>
              <w:rFonts w:eastAsia="黑体"/>
              <w:bCs/>
              <w:szCs w:val="44"/>
            </w:rPr>
            <w:instrText xml:space="preserve"> HYPERLINK \l _Toc3273 </w:instrText>
          </w:r>
          <w:r>
            <w:rPr>
              <w:rFonts w:eastAsia="黑体"/>
              <w:bCs/>
              <w:szCs w:val="44"/>
            </w:rPr>
            <w:fldChar w:fldCharType="separate"/>
          </w:r>
          <w:r>
            <w:rPr>
              <w:rFonts w:hint="eastAsia" w:ascii="Times New Roman" w:hAnsi="Times New Roman"/>
            </w:rPr>
            <w:t xml:space="preserve">2.3. </w:t>
          </w:r>
          <w:r>
            <w:rPr>
              <w:rFonts w:ascii="Times New Roman" w:hAnsi="Times New Roman"/>
            </w:rPr>
            <w:t>用户分析</w:t>
          </w:r>
          <w:r>
            <w:tab/>
          </w:r>
          <w:r>
            <w:fldChar w:fldCharType="begin"/>
          </w:r>
          <w:r>
            <w:instrText xml:space="preserve"> PAGEREF _Toc3273 \h </w:instrText>
          </w:r>
          <w:r>
            <w:fldChar w:fldCharType="separate"/>
          </w:r>
          <w:r>
            <w:t>6</w:t>
          </w:r>
          <w:r>
            <w:fldChar w:fldCharType="end"/>
          </w:r>
          <w:r>
            <w:rPr>
              <w:rFonts w:eastAsia="黑体"/>
              <w:bCs/>
              <w:szCs w:val="44"/>
            </w:rPr>
            <w:fldChar w:fldCharType="end"/>
          </w:r>
        </w:p>
        <w:p w14:paraId="6173DCA8">
          <w:pPr>
            <w:pStyle w:val="16"/>
            <w:tabs>
              <w:tab w:val="right" w:leader="dot" w:pos="8306"/>
            </w:tabs>
          </w:pPr>
          <w:r>
            <w:rPr>
              <w:rFonts w:eastAsia="黑体"/>
              <w:bCs/>
              <w:szCs w:val="44"/>
            </w:rPr>
            <w:fldChar w:fldCharType="begin"/>
          </w:r>
          <w:r>
            <w:rPr>
              <w:rFonts w:eastAsia="黑体"/>
              <w:bCs/>
              <w:szCs w:val="44"/>
            </w:rPr>
            <w:instrText xml:space="preserve"> HYPERLINK \l _Toc4865 </w:instrText>
          </w:r>
          <w:r>
            <w:rPr>
              <w:rFonts w:eastAsia="黑体"/>
              <w:bCs/>
              <w:szCs w:val="44"/>
            </w:rPr>
            <w:fldChar w:fldCharType="separate"/>
          </w:r>
          <w:r>
            <w:rPr>
              <w:rFonts w:hint="eastAsia" w:ascii="Times New Roman" w:hAnsi="Times New Roman"/>
            </w:rPr>
            <w:t xml:space="preserve">2.4. </w:t>
          </w:r>
          <w:r>
            <w:rPr>
              <w:rFonts w:ascii="Times New Roman" w:hAnsi="Times New Roman"/>
            </w:rPr>
            <w:t>功能需求</w:t>
          </w:r>
          <w:r>
            <w:tab/>
          </w:r>
          <w:r>
            <w:fldChar w:fldCharType="begin"/>
          </w:r>
          <w:r>
            <w:instrText xml:space="preserve"> PAGEREF _Toc4865 \h </w:instrText>
          </w:r>
          <w:r>
            <w:fldChar w:fldCharType="separate"/>
          </w:r>
          <w:r>
            <w:t>7</w:t>
          </w:r>
          <w:r>
            <w:fldChar w:fldCharType="end"/>
          </w:r>
          <w:r>
            <w:rPr>
              <w:rFonts w:eastAsia="黑体"/>
              <w:bCs/>
              <w:szCs w:val="44"/>
            </w:rPr>
            <w:fldChar w:fldCharType="end"/>
          </w:r>
        </w:p>
        <w:p w14:paraId="5BCF7EF3">
          <w:pPr>
            <w:pStyle w:val="15"/>
            <w:tabs>
              <w:tab w:val="right" w:leader="dot" w:pos="8306"/>
            </w:tabs>
          </w:pPr>
          <w:r>
            <w:rPr>
              <w:rFonts w:eastAsia="黑体"/>
              <w:bCs/>
              <w:szCs w:val="44"/>
            </w:rPr>
            <w:fldChar w:fldCharType="begin"/>
          </w:r>
          <w:r>
            <w:rPr>
              <w:rFonts w:eastAsia="黑体"/>
              <w:bCs/>
              <w:szCs w:val="44"/>
            </w:rPr>
            <w:instrText xml:space="preserve"> HYPERLINK \l _Toc27360 </w:instrText>
          </w:r>
          <w:r>
            <w:rPr>
              <w:rFonts w:eastAsia="黑体"/>
              <w:bCs/>
              <w:szCs w:val="44"/>
            </w:rPr>
            <w:fldChar w:fldCharType="separate"/>
          </w:r>
          <w:r>
            <w:rPr>
              <w:rFonts w:hint="eastAsia" w:ascii="黑体" w:hAnsi="黑体" w:eastAsia="黑体" w:cs="黑体"/>
              <w:szCs w:val="32"/>
            </w:rPr>
            <w:t>第三章 项目实施要求</w:t>
          </w:r>
          <w:r>
            <w:tab/>
          </w:r>
          <w:r>
            <w:fldChar w:fldCharType="begin"/>
          </w:r>
          <w:r>
            <w:instrText xml:space="preserve"> PAGEREF _Toc27360 \h </w:instrText>
          </w:r>
          <w:r>
            <w:fldChar w:fldCharType="separate"/>
          </w:r>
          <w:r>
            <w:t>17</w:t>
          </w:r>
          <w:r>
            <w:fldChar w:fldCharType="end"/>
          </w:r>
          <w:r>
            <w:rPr>
              <w:rFonts w:eastAsia="黑体"/>
              <w:bCs/>
              <w:szCs w:val="44"/>
            </w:rPr>
            <w:fldChar w:fldCharType="end"/>
          </w:r>
        </w:p>
        <w:p w14:paraId="35FB90F7">
          <w:pPr>
            <w:pStyle w:val="16"/>
            <w:tabs>
              <w:tab w:val="right" w:leader="dot" w:pos="8306"/>
            </w:tabs>
          </w:pPr>
          <w:r>
            <w:rPr>
              <w:rFonts w:eastAsia="黑体"/>
              <w:bCs/>
              <w:szCs w:val="44"/>
            </w:rPr>
            <w:fldChar w:fldCharType="begin"/>
          </w:r>
          <w:r>
            <w:rPr>
              <w:rFonts w:eastAsia="黑体"/>
              <w:bCs/>
              <w:szCs w:val="44"/>
            </w:rPr>
            <w:instrText xml:space="preserve"> HYPERLINK \l _Toc2590 </w:instrText>
          </w:r>
          <w:r>
            <w:rPr>
              <w:rFonts w:eastAsia="黑体"/>
              <w:bCs/>
              <w:szCs w:val="44"/>
            </w:rPr>
            <w:fldChar w:fldCharType="separate"/>
          </w:r>
          <w:r>
            <w:rPr>
              <w:rFonts w:hint="eastAsia" w:ascii="Times New Roman" w:hAnsi="Times New Roman"/>
            </w:rPr>
            <w:t xml:space="preserve">3.1. </w:t>
          </w:r>
          <w:r>
            <w:rPr>
              <w:rFonts w:ascii="Times New Roman" w:hAnsi="Times New Roman"/>
            </w:rPr>
            <w:t>技术要求</w:t>
          </w:r>
          <w:r>
            <w:tab/>
          </w:r>
          <w:r>
            <w:fldChar w:fldCharType="begin"/>
          </w:r>
          <w:r>
            <w:instrText xml:space="preserve"> PAGEREF _Toc2590 \h </w:instrText>
          </w:r>
          <w:r>
            <w:fldChar w:fldCharType="separate"/>
          </w:r>
          <w:r>
            <w:t>17</w:t>
          </w:r>
          <w:r>
            <w:fldChar w:fldCharType="end"/>
          </w:r>
          <w:r>
            <w:rPr>
              <w:rFonts w:eastAsia="黑体"/>
              <w:bCs/>
              <w:szCs w:val="44"/>
            </w:rPr>
            <w:fldChar w:fldCharType="end"/>
          </w:r>
        </w:p>
        <w:p w14:paraId="1C73358D">
          <w:pPr>
            <w:pStyle w:val="16"/>
            <w:tabs>
              <w:tab w:val="right" w:leader="dot" w:pos="8306"/>
            </w:tabs>
          </w:pPr>
          <w:r>
            <w:rPr>
              <w:rFonts w:eastAsia="黑体"/>
              <w:bCs/>
              <w:szCs w:val="44"/>
            </w:rPr>
            <w:fldChar w:fldCharType="begin"/>
          </w:r>
          <w:r>
            <w:rPr>
              <w:rFonts w:eastAsia="黑体"/>
              <w:bCs/>
              <w:szCs w:val="44"/>
            </w:rPr>
            <w:instrText xml:space="preserve"> HYPERLINK \l _Toc17539 </w:instrText>
          </w:r>
          <w:r>
            <w:rPr>
              <w:rFonts w:eastAsia="黑体"/>
              <w:bCs/>
              <w:szCs w:val="44"/>
            </w:rPr>
            <w:fldChar w:fldCharType="separate"/>
          </w:r>
          <w:r>
            <w:rPr>
              <w:rFonts w:hint="eastAsia" w:ascii="Times New Roman" w:hAnsi="Times New Roman"/>
            </w:rPr>
            <w:t xml:space="preserve">3.2. </w:t>
          </w:r>
          <w:r>
            <w:rPr>
              <w:rFonts w:ascii="Times New Roman" w:hAnsi="Times New Roman"/>
            </w:rPr>
            <w:t>时间进度要求</w:t>
          </w:r>
          <w:r>
            <w:tab/>
          </w:r>
          <w:r>
            <w:fldChar w:fldCharType="begin"/>
          </w:r>
          <w:r>
            <w:instrText xml:space="preserve"> PAGEREF _Toc17539 \h </w:instrText>
          </w:r>
          <w:r>
            <w:fldChar w:fldCharType="separate"/>
          </w:r>
          <w:r>
            <w:t>21</w:t>
          </w:r>
          <w:r>
            <w:fldChar w:fldCharType="end"/>
          </w:r>
          <w:r>
            <w:rPr>
              <w:rFonts w:eastAsia="黑体"/>
              <w:bCs/>
              <w:szCs w:val="44"/>
            </w:rPr>
            <w:fldChar w:fldCharType="end"/>
          </w:r>
        </w:p>
        <w:p w14:paraId="03E510D6">
          <w:pPr>
            <w:pStyle w:val="16"/>
            <w:tabs>
              <w:tab w:val="right" w:leader="dot" w:pos="8306"/>
            </w:tabs>
          </w:pPr>
          <w:r>
            <w:rPr>
              <w:rFonts w:eastAsia="黑体"/>
              <w:bCs/>
              <w:szCs w:val="44"/>
            </w:rPr>
            <w:fldChar w:fldCharType="begin"/>
          </w:r>
          <w:r>
            <w:rPr>
              <w:rFonts w:eastAsia="黑体"/>
              <w:bCs/>
              <w:szCs w:val="44"/>
            </w:rPr>
            <w:instrText xml:space="preserve"> HYPERLINK \l _Toc26347 </w:instrText>
          </w:r>
          <w:r>
            <w:rPr>
              <w:rFonts w:eastAsia="黑体"/>
              <w:bCs/>
              <w:szCs w:val="44"/>
            </w:rPr>
            <w:fldChar w:fldCharType="separate"/>
          </w:r>
          <w:r>
            <w:rPr>
              <w:rFonts w:hint="eastAsia" w:ascii="Times New Roman" w:hAnsi="Times New Roman"/>
            </w:rPr>
            <w:t xml:space="preserve">3.3. </w:t>
          </w:r>
          <w:r>
            <w:rPr>
              <w:rFonts w:ascii="Times New Roman" w:hAnsi="Times New Roman"/>
            </w:rPr>
            <w:t>实施方案要求</w:t>
          </w:r>
          <w:r>
            <w:tab/>
          </w:r>
          <w:r>
            <w:fldChar w:fldCharType="begin"/>
          </w:r>
          <w:r>
            <w:instrText xml:space="preserve"> PAGEREF _Toc26347 \h </w:instrText>
          </w:r>
          <w:r>
            <w:fldChar w:fldCharType="separate"/>
          </w:r>
          <w:r>
            <w:t>21</w:t>
          </w:r>
          <w:r>
            <w:fldChar w:fldCharType="end"/>
          </w:r>
          <w:r>
            <w:rPr>
              <w:rFonts w:eastAsia="黑体"/>
              <w:bCs/>
              <w:szCs w:val="44"/>
            </w:rPr>
            <w:fldChar w:fldCharType="end"/>
          </w:r>
        </w:p>
        <w:p w14:paraId="48734ADB">
          <w:pPr>
            <w:pStyle w:val="16"/>
            <w:tabs>
              <w:tab w:val="right" w:leader="dot" w:pos="8306"/>
            </w:tabs>
          </w:pPr>
          <w:r>
            <w:rPr>
              <w:rFonts w:eastAsia="黑体"/>
              <w:bCs/>
              <w:szCs w:val="44"/>
            </w:rPr>
            <w:fldChar w:fldCharType="begin"/>
          </w:r>
          <w:r>
            <w:rPr>
              <w:rFonts w:eastAsia="黑体"/>
              <w:bCs/>
              <w:szCs w:val="44"/>
            </w:rPr>
            <w:instrText xml:space="preserve"> HYPERLINK \l _Toc32031 </w:instrText>
          </w:r>
          <w:r>
            <w:rPr>
              <w:rFonts w:eastAsia="黑体"/>
              <w:bCs/>
              <w:szCs w:val="44"/>
            </w:rPr>
            <w:fldChar w:fldCharType="separate"/>
          </w:r>
          <w:r>
            <w:rPr>
              <w:rFonts w:hint="eastAsia" w:ascii="Times New Roman" w:hAnsi="Times New Roman"/>
            </w:rPr>
            <w:t xml:space="preserve">3.4. </w:t>
          </w:r>
          <w:r>
            <w:rPr>
              <w:rFonts w:ascii="Times New Roman" w:hAnsi="Times New Roman"/>
            </w:rPr>
            <w:t>培训要求</w:t>
          </w:r>
          <w:r>
            <w:tab/>
          </w:r>
          <w:r>
            <w:fldChar w:fldCharType="begin"/>
          </w:r>
          <w:r>
            <w:instrText xml:space="preserve"> PAGEREF _Toc32031 \h </w:instrText>
          </w:r>
          <w:r>
            <w:fldChar w:fldCharType="separate"/>
          </w:r>
          <w:r>
            <w:t>23</w:t>
          </w:r>
          <w:r>
            <w:fldChar w:fldCharType="end"/>
          </w:r>
          <w:r>
            <w:rPr>
              <w:rFonts w:eastAsia="黑体"/>
              <w:bCs/>
              <w:szCs w:val="44"/>
            </w:rPr>
            <w:fldChar w:fldCharType="end"/>
          </w:r>
        </w:p>
        <w:p w14:paraId="54D867F8">
          <w:pPr>
            <w:pStyle w:val="16"/>
            <w:tabs>
              <w:tab w:val="right" w:leader="dot" w:pos="8306"/>
            </w:tabs>
          </w:pPr>
          <w:r>
            <w:rPr>
              <w:rFonts w:eastAsia="黑体"/>
              <w:bCs/>
              <w:szCs w:val="44"/>
            </w:rPr>
            <w:fldChar w:fldCharType="begin"/>
          </w:r>
          <w:r>
            <w:rPr>
              <w:rFonts w:eastAsia="黑体"/>
              <w:bCs/>
              <w:szCs w:val="44"/>
            </w:rPr>
            <w:instrText xml:space="preserve"> HYPERLINK \l _Toc11183 </w:instrText>
          </w:r>
          <w:r>
            <w:rPr>
              <w:rFonts w:eastAsia="黑体"/>
              <w:bCs/>
              <w:szCs w:val="44"/>
            </w:rPr>
            <w:fldChar w:fldCharType="separate"/>
          </w:r>
          <w:r>
            <w:rPr>
              <w:rFonts w:hint="eastAsia" w:ascii="Times New Roman" w:hAnsi="Times New Roman"/>
            </w:rPr>
            <w:t xml:space="preserve">3.5. </w:t>
          </w:r>
          <w:r>
            <w:rPr>
              <w:rFonts w:ascii="Times New Roman" w:hAnsi="Times New Roman"/>
            </w:rPr>
            <w:t>售后服务要求</w:t>
          </w:r>
          <w:r>
            <w:tab/>
          </w:r>
          <w:r>
            <w:fldChar w:fldCharType="begin"/>
          </w:r>
          <w:r>
            <w:instrText xml:space="preserve"> PAGEREF _Toc11183 \h </w:instrText>
          </w:r>
          <w:r>
            <w:fldChar w:fldCharType="separate"/>
          </w:r>
          <w:r>
            <w:t>24</w:t>
          </w:r>
          <w:r>
            <w:fldChar w:fldCharType="end"/>
          </w:r>
          <w:r>
            <w:rPr>
              <w:rFonts w:eastAsia="黑体"/>
              <w:bCs/>
              <w:szCs w:val="44"/>
            </w:rPr>
            <w:fldChar w:fldCharType="end"/>
          </w:r>
        </w:p>
        <w:p w14:paraId="41778816">
          <w:pPr>
            <w:pStyle w:val="16"/>
            <w:tabs>
              <w:tab w:val="right" w:leader="dot" w:pos="8306"/>
            </w:tabs>
          </w:pPr>
          <w:r>
            <w:rPr>
              <w:rFonts w:eastAsia="黑体"/>
              <w:bCs/>
              <w:szCs w:val="44"/>
            </w:rPr>
            <w:fldChar w:fldCharType="begin"/>
          </w:r>
          <w:r>
            <w:rPr>
              <w:rFonts w:eastAsia="黑体"/>
              <w:bCs/>
              <w:szCs w:val="44"/>
            </w:rPr>
            <w:instrText xml:space="preserve"> HYPERLINK \l _Toc20518 </w:instrText>
          </w:r>
          <w:r>
            <w:rPr>
              <w:rFonts w:eastAsia="黑体"/>
              <w:bCs/>
              <w:szCs w:val="44"/>
            </w:rPr>
            <w:fldChar w:fldCharType="separate"/>
          </w:r>
          <w:r>
            <w:rPr>
              <w:rFonts w:hint="eastAsia" w:ascii="Times New Roman" w:hAnsi="Times New Roman"/>
            </w:rPr>
            <w:t>3.6. 其它</w:t>
          </w:r>
          <w:r>
            <w:rPr>
              <w:rFonts w:ascii="Times New Roman" w:hAnsi="Times New Roman"/>
            </w:rPr>
            <w:t>要求</w:t>
          </w:r>
          <w:r>
            <w:tab/>
          </w:r>
          <w:r>
            <w:fldChar w:fldCharType="begin"/>
          </w:r>
          <w:r>
            <w:instrText xml:space="preserve"> PAGEREF _Toc20518 \h </w:instrText>
          </w:r>
          <w:r>
            <w:fldChar w:fldCharType="separate"/>
          </w:r>
          <w:r>
            <w:t>25</w:t>
          </w:r>
          <w:r>
            <w:fldChar w:fldCharType="end"/>
          </w:r>
          <w:r>
            <w:rPr>
              <w:rFonts w:eastAsia="黑体"/>
              <w:bCs/>
              <w:szCs w:val="44"/>
            </w:rPr>
            <w:fldChar w:fldCharType="end"/>
          </w:r>
        </w:p>
        <w:p w14:paraId="08A4B468">
          <w:pPr>
            <w:pStyle w:val="15"/>
            <w:tabs>
              <w:tab w:val="right" w:leader="dot" w:pos="8306"/>
            </w:tabs>
          </w:pPr>
          <w:r>
            <w:rPr>
              <w:rFonts w:eastAsia="黑体"/>
              <w:bCs/>
              <w:szCs w:val="44"/>
            </w:rPr>
            <w:fldChar w:fldCharType="begin"/>
          </w:r>
          <w:r>
            <w:rPr>
              <w:rFonts w:eastAsia="黑体"/>
              <w:bCs/>
              <w:szCs w:val="44"/>
            </w:rPr>
            <w:instrText xml:space="preserve"> HYPERLINK \l _Toc1849 </w:instrText>
          </w:r>
          <w:r>
            <w:rPr>
              <w:rFonts w:eastAsia="黑体"/>
              <w:bCs/>
              <w:szCs w:val="44"/>
            </w:rPr>
            <w:fldChar w:fldCharType="separate"/>
          </w:r>
          <w:r>
            <w:rPr>
              <w:rFonts w:hint="eastAsia" w:ascii="黑体" w:hAnsi="黑体" w:eastAsia="黑体" w:cs="黑体"/>
              <w:szCs w:val="32"/>
            </w:rPr>
            <w:t>第四章 项目交付要求</w:t>
          </w:r>
          <w:r>
            <w:tab/>
          </w:r>
          <w:r>
            <w:fldChar w:fldCharType="begin"/>
          </w:r>
          <w:r>
            <w:instrText xml:space="preserve"> PAGEREF _Toc1849 \h </w:instrText>
          </w:r>
          <w:r>
            <w:fldChar w:fldCharType="separate"/>
          </w:r>
          <w:r>
            <w:t>28</w:t>
          </w:r>
          <w:r>
            <w:fldChar w:fldCharType="end"/>
          </w:r>
          <w:r>
            <w:rPr>
              <w:rFonts w:eastAsia="黑体"/>
              <w:bCs/>
              <w:szCs w:val="44"/>
            </w:rPr>
            <w:fldChar w:fldCharType="end"/>
          </w:r>
        </w:p>
        <w:p w14:paraId="09225183">
          <w:pPr>
            <w:pStyle w:val="16"/>
            <w:tabs>
              <w:tab w:val="right" w:leader="dot" w:pos="8306"/>
            </w:tabs>
          </w:pPr>
          <w:r>
            <w:rPr>
              <w:rFonts w:eastAsia="黑体"/>
              <w:bCs/>
              <w:szCs w:val="44"/>
            </w:rPr>
            <w:fldChar w:fldCharType="begin"/>
          </w:r>
          <w:r>
            <w:rPr>
              <w:rFonts w:eastAsia="黑体"/>
              <w:bCs/>
              <w:szCs w:val="44"/>
            </w:rPr>
            <w:instrText xml:space="preserve"> HYPERLINK \l _Toc5582 </w:instrText>
          </w:r>
          <w:r>
            <w:rPr>
              <w:rFonts w:eastAsia="黑体"/>
              <w:bCs/>
              <w:szCs w:val="44"/>
            </w:rPr>
            <w:fldChar w:fldCharType="separate"/>
          </w:r>
          <w:r>
            <w:rPr>
              <w:rFonts w:hint="eastAsia"/>
            </w:rPr>
            <w:t xml:space="preserve">4.1. </w:t>
          </w:r>
          <w:r>
            <w:t>安装与验收</w:t>
          </w:r>
          <w:r>
            <w:tab/>
          </w:r>
          <w:r>
            <w:fldChar w:fldCharType="begin"/>
          </w:r>
          <w:r>
            <w:instrText xml:space="preserve"> PAGEREF _Toc5582 \h </w:instrText>
          </w:r>
          <w:r>
            <w:fldChar w:fldCharType="separate"/>
          </w:r>
          <w:r>
            <w:t>28</w:t>
          </w:r>
          <w:r>
            <w:fldChar w:fldCharType="end"/>
          </w:r>
          <w:r>
            <w:rPr>
              <w:rFonts w:eastAsia="黑体"/>
              <w:bCs/>
              <w:szCs w:val="44"/>
            </w:rPr>
            <w:fldChar w:fldCharType="end"/>
          </w:r>
        </w:p>
        <w:p w14:paraId="6F4ED227">
          <w:pPr>
            <w:pStyle w:val="16"/>
            <w:tabs>
              <w:tab w:val="right" w:leader="dot" w:pos="8306"/>
            </w:tabs>
          </w:pPr>
          <w:r>
            <w:rPr>
              <w:rFonts w:eastAsia="黑体"/>
              <w:bCs/>
              <w:szCs w:val="44"/>
            </w:rPr>
            <w:fldChar w:fldCharType="begin"/>
          </w:r>
          <w:r>
            <w:rPr>
              <w:rFonts w:eastAsia="黑体"/>
              <w:bCs/>
              <w:szCs w:val="44"/>
            </w:rPr>
            <w:instrText xml:space="preserve"> HYPERLINK \l _Toc11033 </w:instrText>
          </w:r>
          <w:r>
            <w:rPr>
              <w:rFonts w:eastAsia="黑体"/>
              <w:bCs/>
              <w:szCs w:val="44"/>
            </w:rPr>
            <w:fldChar w:fldCharType="separate"/>
          </w:r>
          <w:r>
            <w:rPr>
              <w:rFonts w:hint="eastAsia"/>
            </w:rPr>
            <w:t xml:space="preserve">4.2. </w:t>
          </w:r>
          <w:r>
            <w:t>交付技术文档</w:t>
          </w:r>
          <w:r>
            <w:tab/>
          </w:r>
          <w:r>
            <w:fldChar w:fldCharType="begin"/>
          </w:r>
          <w:r>
            <w:instrText xml:space="preserve"> PAGEREF _Toc11033 \h </w:instrText>
          </w:r>
          <w:r>
            <w:fldChar w:fldCharType="separate"/>
          </w:r>
          <w:r>
            <w:t>28</w:t>
          </w:r>
          <w:r>
            <w:fldChar w:fldCharType="end"/>
          </w:r>
          <w:r>
            <w:rPr>
              <w:rFonts w:eastAsia="黑体"/>
              <w:bCs/>
              <w:szCs w:val="44"/>
            </w:rPr>
            <w:fldChar w:fldCharType="end"/>
          </w:r>
        </w:p>
        <w:p w14:paraId="2E90855F">
          <w:pPr>
            <w:pStyle w:val="15"/>
            <w:tabs>
              <w:tab w:val="right" w:leader="dot" w:pos="8306"/>
            </w:tabs>
          </w:pPr>
          <w:r>
            <w:rPr>
              <w:rFonts w:eastAsia="黑体"/>
              <w:bCs/>
              <w:szCs w:val="44"/>
            </w:rPr>
            <w:fldChar w:fldCharType="begin"/>
          </w:r>
          <w:r>
            <w:rPr>
              <w:rFonts w:eastAsia="黑体"/>
              <w:bCs/>
              <w:szCs w:val="44"/>
            </w:rPr>
            <w:instrText xml:space="preserve"> HYPERLINK \l _Toc21189 </w:instrText>
          </w:r>
          <w:r>
            <w:rPr>
              <w:rFonts w:eastAsia="黑体"/>
              <w:bCs/>
              <w:szCs w:val="44"/>
            </w:rPr>
            <w:fldChar w:fldCharType="separate"/>
          </w:r>
          <w:r>
            <w:rPr>
              <w:rFonts w:hint="eastAsia" w:ascii="黑体" w:hAnsi="黑体" w:eastAsia="黑体" w:cs="黑体"/>
              <w:szCs w:val="32"/>
            </w:rPr>
            <w:t>第五章 费用支付</w:t>
          </w:r>
          <w:r>
            <w:tab/>
          </w:r>
          <w:r>
            <w:fldChar w:fldCharType="begin"/>
          </w:r>
          <w:r>
            <w:instrText xml:space="preserve"> PAGEREF _Toc21189 \h </w:instrText>
          </w:r>
          <w:r>
            <w:fldChar w:fldCharType="separate"/>
          </w:r>
          <w:r>
            <w:t>29</w:t>
          </w:r>
          <w:r>
            <w:fldChar w:fldCharType="end"/>
          </w:r>
          <w:r>
            <w:rPr>
              <w:rFonts w:eastAsia="黑体"/>
              <w:bCs/>
              <w:szCs w:val="44"/>
            </w:rPr>
            <w:fldChar w:fldCharType="end"/>
          </w:r>
        </w:p>
        <w:p w14:paraId="764E3244">
          <w:pPr>
            <w:ind w:firstLine="0" w:firstLineChars="0"/>
            <w:rPr>
              <w:rFonts w:eastAsia="黑体"/>
              <w:b/>
              <w:bCs/>
              <w:szCs w:val="44"/>
            </w:rPr>
            <w:sectPr>
              <w:footerReference r:id="rId11" w:type="default"/>
              <w:pgSz w:w="11906" w:h="16838"/>
              <w:pgMar w:top="1440" w:right="1800" w:bottom="1440" w:left="1800" w:header="851" w:footer="992" w:gutter="0"/>
              <w:pgNumType w:fmt="upperRoman" w:start="1"/>
              <w:cols w:space="425" w:num="1"/>
              <w:docGrid w:type="lines" w:linePitch="312" w:charSpace="0"/>
            </w:sectPr>
          </w:pPr>
          <w:r>
            <w:rPr>
              <w:rFonts w:eastAsia="黑体"/>
              <w:bCs/>
              <w:szCs w:val="44"/>
            </w:rPr>
            <w:fldChar w:fldCharType="end"/>
          </w:r>
        </w:p>
      </w:sdtContent>
    </w:sdt>
    <w:p w14:paraId="0403B8EE">
      <w:pPr>
        <w:pStyle w:val="3"/>
        <w:spacing w:before="0" w:after="0" w:afterLines="0" w:line="560" w:lineRule="exact"/>
        <w:jc w:val="center"/>
        <w:rPr>
          <w:rFonts w:ascii="黑体" w:hAnsi="黑体" w:eastAsia="黑体" w:cs="黑体"/>
          <w:sz w:val="32"/>
          <w:szCs w:val="32"/>
        </w:rPr>
      </w:pPr>
      <w:bookmarkStart w:id="0" w:name="_Toc12383"/>
      <w:bookmarkStart w:id="1" w:name="_Toc22453"/>
      <w:bookmarkStart w:id="2" w:name="_Toc27667"/>
      <w:r>
        <w:rPr>
          <w:rFonts w:hint="eastAsia" w:ascii="黑体" w:hAnsi="黑体" w:eastAsia="黑体" w:cs="黑体"/>
          <w:sz w:val="32"/>
          <w:szCs w:val="32"/>
        </w:rPr>
        <w:t>项目总体要求</w:t>
      </w:r>
      <w:bookmarkEnd w:id="0"/>
      <w:bookmarkEnd w:id="1"/>
      <w:bookmarkEnd w:id="2"/>
    </w:p>
    <w:p w14:paraId="57BB9925">
      <w:pPr>
        <w:pStyle w:val="4"/>
        <w:spacing w:before="0" w:after="0" w:afterLines="0" w:line="560" w:lineRule="exact"/>
        <w:rPr>
          <w:rFonts w:ascii="楷体_GB2312" w:hAnsi="楷体_GB2312" w:eastAsia="楷体_GB2312" w:cs="楷体_GB2312"/>
        </w:rPr>
      </w:pPr>
      <w:bookmarkStart w:id="3" w:name="_Toc11472"/>
      <w:bookmarkStart w:id="4" w:name="_Toc24924"/>
      <w:bookmarkStart w:id="5" w:name="_Toc18533"/>
      <w:r>
        <w:rPr>
          <w:rFonts w:hint="eastAsia" w:ascii="楷体_GB2312" w:hAnsi="楷体_GB2312" w:eastAsia="楷体_GB2312" w:cs="楷体_GB2312"/>
        </w:rPr>
        <w:t>项目概况</w:t>
      </w:r>
      <w:bookmarkEnd w:id="3"/>
      <w:bookmarkEnd w:id="4"/>
      <w:bookmarkEnd w:id="5"/>
    </w:p>
    <w:p w14:paraId="62DE4FA5">
      <w:pPr>
        <w:spacing w:afterLines="0" w:line="560" w:lineRule="exact"/>
      </w:pPr>
      <w:r>
        <w:rPr>
          <w:lang w:bidi="ar"/>
        </w:rPr>
        <w:t>近年来，市</w:t>
      </w:r>
      <w:r>
        <w:rPr>
          <w:rFonts w:hint="eastAsia"/>
          <w:lang w:eastAsia="zh-CN" w:bidi="ar"/>
        </w:rPr>
        <w:t>水务环境集团</w:t>
      </w:r>
      <w:r>
        <w:rPr>
          <w:lang w:bidi="ar"/>
        </w:rPr>
        <w:t>的业务量稳步上涨，随之产生大量具有保存价值的业务文件</w:t>
      </w:r>
      <w:r>
        <w:rPr>
          <w:rFonts w:hint="eastAsia"/>
          <w:lang w:bidi="ar"/>
        </w:rPr>
        <w:t>，</w:t>
      </w:r>
      <w:r>
        <w:rPr>
          <w:lang w:bidi="ar"/>
        </w:rPr>
        <w:t>这些文件材料中既包含纸质文件，又包含电子文件，对集团的档案管理工作提出了新的</w:t>
      </w:r>
      <w:r>
        <w:rPr>
          <w:rFonts w:hint="eastAsia"/>
          <w:lang w:bidi="ar"/>
        </w:rPr>
        <w:t>要求和</w:t>
      </w:r>
      <w:r>
        <w:rPr>
          <w:lang w:bidi="ar"/>
        </w:rPr>
        <w:t>挑战</w:t>
      </w:r>
      <w:r>
        <w:rPr>
          <w:rFonts w:hint="eastAsia"/>
          <w:lang w:bidi="ar"/>
        </w:rPr>
        <w:t>。</w:t>
      </w:r>
      <w:r>
        <w:rPr>
          <w:lang w:bidi="ar"/>
        </w:rPr>
        <w:t>本项目整合集团公司及下属</w:t>
      </w:r>
      <w:r>
        <w:rPr>
          <w:rFonts w:hint="eastAsia"/>
          <w:lang w:bidi="ar"/>
        </w:rPr>
        <w:t>单位</w:t>
      </w:r>
      <w:r>
        <w:rPr>
          <w:lang w:bidi="ar"/>
        </w:rPr>
        <w:t>档案信息资源，采取集中式的多全宗档案管理模式，建设覆盖集团</w:t>
      </w:r>
      <w:r>
        <w:rPr>
          <w:rFonts w:hint="eastAsia"/>
          <w:lang w:bidi="ar"/>
        </w:rPr>
        <w:t>各级单位</w:t>
      </w:r>
      <w:r>
        <w:rPr>
          <w:lang w:bidi="ar"/>
        </w:rPr>
        <w:t>的档案管理系统，实现档案“收、管、存、用”等过程规范化管理，全面提升档案业务管理标准化水平，实现集团“大档案”目标的平稳过渡，为集团高质量发展提供有力的信息支撑。</w:t>
      </w:r>
    </w:p>
    <w:p w14:paraId="10113080">
      <w:pPr>
        <w:pStyle w:val="4"/>
        <w:spacing w:before="0" w:after="0" w:afterLines="0" w:line="560" w:lineRule="exact"/>
        <w:rPr>
          <w:rFonts w:ascii="楷体_GB2312" w:hAnsi="楷体_GB2312" w:eastAsia="楷体_GB2312" w:cs="楷体_GB2312"/>
        </w:rPr>
      </w:pPr>
      <w:bookmarkStart w:id="6" w:name="_Toc25914"/>
      <w:bookmarkStart w:id="7" w:name="_Toc1583"/>
      <w:bookmarkStart w:id="8" w:name="_Toc4827"/>
      <w:r>
        <w:rPr>
          <w:rFonts w:hint="eastAsia" w:ascii="楷体_GB2312" w:hAnsi="楷体_GB2312" w:eastAsia="楷体_GB2312" w:cs="楷体_GB2312"/>
        </w:rPr>
        <w:t>项目范围</w:t>
      </w:r>
      <w:bookmarkEnd w:id="6"/>
      <w:bookmarkEnd w:id="7"/>
      <w:bookmarkEnd w:id="8"/>
    </w:p>
    <w:p w14:paraId="1E765C60">
      <w:pPr>
        <w:spacing w:afterLines="0" w:line="560" w:lineRule="exact"/>
        <w:ind w:firstLine="643"/>
        <w:rPr>
          <w:lang w:bidi="ar"/>
        </w:rPr>
      </w:pPr>
      <w:r>
        <w:rPr>
          <w:b/>
          <w:lang w:bidi="ar"/>
        </w:rPr>
        <w:t>1．</w:t>
      </w:r>
      <w:r>
        <w:rPr>
          <w:rFonts w:hint="eastAsia" w:ascii="仿宋_GB2312" w:hAnsi="仿宋_GB2312" w:eastAsia="仿宋_GB2312" w:cs="仿宋_GB2312"/>
          <w:b/>
          <w:bCs/>
          <w:szCs w:val="32"/>
        </w:rPr>
        <w:t>组织范围。</w:t>
      </w:r>
      <w:r>
        <w:rPr>
          <w:szCs w:val="32"/>
        </w:rPr>
        <w:t>本项目需满足东莞市</w:t>
      </w:r>
      <w:r>
        <w:rPr>
          <w:rFonts w:hint="eastAsia"/>
          <w:szCs w:val="32"/>
          <w:lang w:eastAsia="zh-CN"/>
        </w:rPr>
        <w:t>水务环境集团</w:t>
      </w:r>
      <w:r>
        <w:rPr>
          <w:szCs w:val="32"/>
        </w:rPr>
        <w:t>所有职能部门</w:t>
      </w:r>
      <w:r>
        <w:rPr>
          <w:rFonts w:hint="eastAsia"/>
          <w:szCs w:val="32"/>
        </w:rPr>
        <w:t>以及</w:t>
      </w:r>
      <w:r>
        <w:rPr>
          <w:szCs w:val="32"/>
        </w:rPr>
        <w:t>下级单位。</w:t>
      </w:r>
    </w:p>
    <w:p w14:paraId="6EB64E02">
      <w:pPr>
        <w:spacing w:afterLines="0" w:line="560" w:lineRule="exact"/>
        <w:ind w:firstLine="643"/>
        <w:rPr>
          <w:bCs/>
          <w:szCs w:val="32"/>
        </w:rPr>
      </w:pPr>
      <w:r>
        <w:rPr>
          <w:b/>
          <w:lang w:bidi="ar"/>
        </w:rPr>
        <w:t>2．</w:t>
      </w:r>
      <w:r>
        <w:rPr>
          <w:rFonts w:hint="eastAsia" w:ascii="仿宋_GB2312" w:hAnsi="仿宋_GB2312" w:eastAsia="仿宋_GB2312" w:cs="仿宋_GB2312"/>
          <w:b/>
          <w:bCs/>
          <w:snapToGrid/>
          <w:kern w:val="2"/>
          <w:szCs w:val="32"/>
        </w:rPr>
        <w:t>人员范围。</w:t>
      </w:r>
      <w:r>
        <w:rPr>
          <w:bCs/>
          <w:szCs w:val="32"/>
        </w:rPr>
        <w:t>使用档案系统的用户分为：档案管理员（集团系统内各级单位的档案管理人员）、查询用户（集团系统内各级单位的在职人员）、系统管理员（集团系统内各级单位的信息管理人员）三种类型。</w:t>
      </w:r>
    </w:p>
    <w:p w14:paraId="243E5F84">
      <w:pPr>
        <w:pStyle w:val="2"/>
        <w:spacing w:afterLines="0" w:line="560" w:lineRule="exact"/>
        <w:outlineLvl w:val="1"/>
        <w:rPr>
          <w:rFonts w:hint="eastAsia" w:ascii="楷体_GB2312" w:hAnsi="楷体_GB2312" w:eastAsia="楷体_GB2312" w:cs="楷体_GB2312"/>
          <w:b/>
          <w:bCs/>
          <w:lang w:val="en-US" w:eastAsia="zh-CN"/>
        </w:rPr>
      </w:pPr>
      <w:bookmarkStart w:id="9" w:name="_Toc19437"/>
      <w:r>
        <w:rPr>
          <w:rFonts w:hint="eastAsia" w:ascii="楷体_GB2312" w:hAnsi="楷体_GB2312" w:eastAsia="楷体_GB2312" w:cs="楷体_GB2312"/>
          <w:b/>
          <w:bCs/>
          <w:lang w:val="en-US" w:eastAsia="zh-CN"/>
        </w:rPr>
        <w:t>1.3.规范标准</w:t>
      </w:r>
      <w:bookmarkEnd w:id="9"/>
    </w:p>
    <w:p w14:paraId="0B68D922">
      <w:pPr>
        <w:pStyle w:val="2"/>
        <w:spacing w:afterLines="0" w:line="560" w:lineRule="exact"/>
        <w:rPr>
          <w:rFonts w:hint="eastAsia"/>
          <w:lang w:val="en-US" w:eastAsia="zh-CN"/>
        </w:rPr>
      </w:pPr>
      <w:bookmarkStart w:id="10" w:name="_Toc2025"/>
      <w:r>
        <w:rPr>
          <w:rFonts w:hint="eastAsia"/>
          <w:b/>
          <w:lang w:val="en-US" w:eastAsia="zh-CN" w:bidi="ar"/>
        </w:rPr>
        <w:t>本项目建设</w:t>
      </w:r>
      <w:r>
        <w:rPr>
          <w:rFonts w:hint="eastAsia"/>
          <w:b/>
          <w:lang w:bidi="ar"/>
        </w:rPr>
        <w:t>应符合</w:t>
      </w:r>
      <w:r>
        <w:rPr>
          <w:rFonts w:hint="eastAsia"/>
          <w:b/>
          <w:lang w:val="en-US" w:eastAsia="zh-CN" w:bidi="ar"/>
        </w:rPr>
        <w:t>但不限于以下</w:t>
      </w:r>
      <w:r>
        <w:rPr>
          <w:rFonts w:hint="eastAsia"/>
          <w:b/>
          <w:lang w:bidi="ar"/>
        </w:rPr>
        <w:t>规范标准要求</w:t>
      </w:r>
      <w:bookmarkEnd w:id="10"/>
      <w:r>
        <w:rPr>
          <w:rFonts w:hint="eastAsia"/>
          <w:lang w:val="en-US" w:eastAsia="zh-CN"/>
        </w:rPr>
        <w:t>：</w:t>
      </w:r>
    </w:p>
    <w:p w14:paraId="60420F39">
      <w:pPr>
        <w:rPr>
          <w:rFonts w:hint="default"/>
          <w:lang w:val="en-US" w:eastAsia="zh-CN"/>
        </w:rPr>
      </w:pPr>
      <w:r>
        <w:rPr>
          <w:rFonts w:hint="eastAsia"/>
          <w:lang w:val="en-US" w:eastAsia="zh-CN"/>
        </w:rPr>
        <w:t>《电子档案管理办法》（国家档案局令第22号）</w:t>
      </w:r>
    </w:p>
    <w:p w14:paraId="619DF220">
      <w:pPr>
        <w:pStyle w:val="44"/>
        <w:keepNext w:val="0"/>
        <w:keepLines w:val="0"/>
        <w:pageBreakBefore w:val="0"/>
        <w:numPr>
          <w:ilvl w:val="0"/>
          <w:numId w:val="0"/>
        </w:numPr>
        <w:kinsoku/>
        <w:wordWrap/>
        <w:overflowPunct/>
        <w:topLinePunct w:val="0"/>
        <w:autoSpaceDE/>
        <w:autoSpaceDN/>
        <w:bidi w:val="0"/>
        <w:adjustRightInd/>
        <w:snapToGrid/>
        <w:spacing w:after="0" w:afterLines="0" w:line="560" w:lineRule="exact"/>
        <w:ind w:leftChars="0" w:firstLine="638" w:firstLineChars="228"/>
        <w:textAlignment w:val="auto"/>
        <w:rPr>
          <w:rFonts w:hint="default" w:ascii="Times New Roman" w:hAnsi="Times New Roman" w:eastAsia="仿宋_GB2312" w:cs="Times New Roman"/>
          <w:spacing w:val="-20"/>
          <w:sz w:val="32"/>
          <w:szCs w:val="32"/>
        </w:rPr>
      </w:pPr>
      <w:r>
        <w:rPr>
          <w:rFonts w:hint="default" w:ascii="Times New Roman" w:hAnsi="Times New Roman" w:eastAsia="仿宋_GB2312" w:cs="Times New Roman"/>
          <w:spacing w:val="-20"/>
          <w:sz w:val="32"/>
          <w:szCs w:val="32"/>
        </w:rPr>
        <w:t>《企业文件材料归档范围和档案保管期限规定》（国家档案局令第10号）</w:t>
      </w:r>
    </w:p>
    <w:p w14:paraId="4CB811EA">
      <w:pPr>
        <w:pStyle w:val="44"/>
        <w:keepNext w:val="0"/>
        <w:keepLines w:val="0"/>
        <w:pageBreakBefore w:val="0"/>
        <w:numPr>
          <w:ilvl w:val="0"/>
          <w:numId w:val="0"/>
        </w:numPr>
        <w:kinsoku/>
        <w:wordWrap/>
        <w:overflowPunct/>
        <w:topLinePunct w:val="0"/>
        <w:autoSpaceDE/>
        <w:autoSpaceDN/>
        <w:bidi w:val="0"/>
        <w:adjustRightInd/>
        <w:snapToGrid/>
        <w:spacing w:after="0" w:afterLines="0" w:line="560" w:lineRule="exact"/>
        <w:ind w:leftChars="0" w:firstLine="702" w:firstLineChars="228"/>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《企业电子文件归档和电子档案管理指南》（档办发〔2015〕4号）</w:t>
      </w:r>
    </w:p>
    <w:p w14:paraId="248CC23E">
      <w:pPr>
        <w:pStyle w:val="44"/>
        <w:keepNext w:val="0"/>
        <w:keepLines w:val="0"/>
        <w:pageBreakBefore w:val="0"/>
        <w:numPr>
          <w:ilvl w:val="0"/>
          <w:numId w:val="0"/>
        </w:numPr>
        <w:kinsoku/>
        <w:wordWrap/>
        <w:overflowPunct/>
        <w:topLinePunct w:val="0"/>
        <w:autoSpaceDE/>
        <w:autoSpaceDN/>
        <w:bidi w:val="0"/>
        <w:adjustRightInd/>
        <w:snapToGrid/>
        <w:spacing w:after="0" w:afterLines="0" w:line="560" w:lineRule="exact"/>
        <w:ind w:leftChars="0" w:firstLine="679" w:firstLineChars="228"/>
        <w:textAlignment w:val="auto"/>
        <w:rPr>
          <w:rFonts w:hint="default" w:ascii="Times New Roman" w:hAnsi="Times New Roman" w:eastAsia="仿宋_GB2312" w:cs="Times New Roman"/>
          <w:spacing w:val="-11"/>
          <w:sz w:val="32"/>
          <w:szCs w:val="32"/>
        </w:rPr>
      </w:pPr>
      <w:r>
        <w:rPr>
          <w:rFonts w:hint="default" w:ascii="Times New Roman" w:hAnsi="Times New Roman" w:eastAsia="仿宋_GB2312" w:cs="Times New Roman"/>
          <w:spacing w:val="-11"/>
          <w:sz w:val="32"/>
          <w:szCs w:val="32"/>
        </w:rPr>
        <w:t>《档案信息系统安全等级保护定级工作指南》（档办发〔2013〕5号）</w:t>
      </w:r>
    </w:p>
    <w:p w14:paraId="27D8E69E">
      <w:pPr>
        <w:pStyle w:val="44"/>
        <w:keepNext w:val="0"/>
        <w:keepLines w:val="0"/>
        <w:pageBreakBefore w:val="0"/>
        <w:numPr>
          <w:ilvl w:val="0"/>
          <w:numId w:val="0"/>
        </w:numPr>
        <w:kinsoku/>
        <w:wordWrap/>
        <w:overflowPunct/>
        <w:topLinePunct w:val="0"/>
        <w:autoSpaceDE/>
        <w:autoSpaceDN/>
        <w:bidi w:val="0"/>
        <w:adjustRightInd/>
        <w:snapToGrid/>
        <w:spacing w:after="0" w:afterLines="0" w:line="560" w:lineRule="exact"/>
        <w:ind w:leftChars="0" w:firstLine="729" w:firstLineChars="228"/>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《档案信息系统安全保护基本要求》（档办发〔2016〕1号）</w:t>
      </w:r>
    </w:p>
    <w:p w14:paraId="79365839">
      <w:pPr>
        <w:pStyle w:val="44"/>
        <w:keepNext w:val="0"/>
        <w:keepLines w:val="0"/>
        <w:pageBreakBefore w:val="0"/>
        <w:numPr>
          <w:ilvl w:val="0"/>
          <w:numId w:val="0"/>
        </w:numPr>
        <w:kinsoku/>
        <w:wordWrap/>
        <w:overflowPunct/>
        <w:topLinePunct w:val="0"/>
        <w:autoSpaceDE/>
        <w:autoSpaceDN/>
        <w:bidi w:val="0"/>
        <w:adjustRightInd/>
        <w:snapToGrid/>
        <w:spacing w:after="0" w:afterLines="0" w:line="560" w:lineRule="exact"/>
        <w:ind w:leftChars="0" w:firstLine="729" w:firstLineChars="228"/>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《数字档案室建设评价办法》（档办发〔2016〕3号）</w:t>
      </w:r>
    </w:p>
    <w:p w14:paraId="0EF11D26">
      <w:pPr>
        <w:pStyle w:val="44"/>
        <w:keepNext w:val="0"/>
        <w:keepLines w:val="0"/>
        <w:pageBreakBefore w:val="0"/>
        <w:numPr>
          <w:ilvl w:val="0"/>
          <w:numId w:val="0"/>
        </w:numPr>
        <w:kinsoku/>
        <w:wordWrap/>
        <w:overflowPunct/>
        <w:topLinePunct w:val="0"/>
        <w:autoSpaceDE/>
        <w:autoSpaceDN/>
        <w:bidi w:val="0"/>
        <w:adjustRightInd/>
        <w:snapToGrid/>
        <w:spacing w:after="0" w:afterLines="0" w:line="560" w:lineRule="exact"/>
        <w:ind w:leftChars="0" w:firstLine="729" w:firstLineChars="228"/>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《电子文件管理系统通用功能要求》（GB/T 29194）</w:t>
      </w:r>
    </w:p>
    <w:p w14:paraId="6AA00EDC">
      <w:pPr>
        <w:pStyle w:val="44"/>
        <w:keepNext w:val="0"/>
        <w:keepLines w:val="0"/>
        <w:pageBreakBefore w:val="0"/>
        <w:numPr>
          <w:ilvl w:val="0"/>
          <w:numId w:val="0"/>
        </w:numPr>
        <w:kinsoku/>
        <w:wordWrap/>
        <w:overflowPunct/>
        <w:topLinePunct w:val="0"/>
        <w:autoSpaceDE/>
        <w:autoSpaceDN/>
        <w:bidi w:val="0"/>
        <w:adjustRightInd/>
        <w:snapToGrid/>
        <w:spacing w:after="0" w:afterLines="0" w:line="560" w:lineRule="exact"/>
        <w:ind w:leftChars="0" w:firstLine="729" w:firstLineChars="228"/>
        <w:textAlignment w:val="auto"/>
        <w:rPr>
          <w:rFonts w:hint="eastAsia" w:ascii="Times New Roman" w:hAnsi="Times New Roman" w:eastAsia="仿宋_GB2312" w:cs="Times New Roman"/>
          <w:sz w:val="32"/>
          <w:szCs w:val="32"/>
          <w:lang w:eastAsia="zh"/>
          <w:woUserID w:val="2"/>
        </w:rPr>
      </w:pPr>
      <w:r>
        <w:rPr>
          <w:rFonts w:hint="eastAsia" w:eastAsia="仿宋_GB2312" w:cs="Times New Roman"/>
          <w:sz w:val="32"/>
          <w:szCs w:val="32"/>
          <w:lang w:eastAsia="zh"/>
          <w:woUserID w:val="2"/>
        </w:rPr>
        <w:t>《电子文件归档与电子档案管理规范》（GB/T 18894）</w:t>
      </w:r>
    </w:p>
    <w:p w14:paraId="581FA4D9">
      <w:pPr>
        <w:pStyle w:val="44"/>
        <w:keepNext w:val="0"/>
        <w:keepLines w:val="0"/>
        <w:pageBreakBefore w:val="0"/>
        <w:numPr>
          <w:ilvl w:val="0"/>
          <w:numId w:val="0"/>
        </w:numPr>
        <w:kinsoku/>
        <w:wordWrap/>
        <w:overflowPunct/>
        <w:topLinePunct w:val="0"/>
        <w:autoSpaceDE/>
        <w:autoSpaceDN/>
        <w:bidi w:val="0"/>
        <w:adjustRightInd/>
        <w:snapToGrid/>
        <w:spacing w:after="0" w:afterLines="0" w:line="560" w:lineRule="exact"/>
        <w:ind w:leftChars="0" w:firstLine="729" w:firstLineChars="228"/>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《企业数字档案馆（室）建设指南》（档办发〔2017〕2号）</w:t>
      </w:r>
    </w:p>
    <w:p w14:paraId="320D2F47">
      <w:pPr>
        <w:pStyle w:val="44"/>
        <w:keepNext w:val="0"/>
        <w:keepLines w:val="0"/>
        <w:pageBreakBefore w:val="0"/>
        <w:numPr>
          <w:ilvl w:val="0"/>
          <w:numId w:val="0"/>
        </w:numPr>
        <w:kinsoku/>
        <w:wordWrap/>
        <w:overflowPunct/>
        <w:topLinePunct w:val="0"/>
        <w:autoSpaceDE/>
        <w:autoSpaceDN/>
        <w:bidi w:val="0"/>
        <w:adjustRightInd/>
        <w:snapToGrid/>
        <w:spacing w:after="0" w:afterLines="0" w:line="560" w:lineRule="exact"/>
        <w:ind w:leftChars="0" w:firstLine="729" w:firstLineChars="228"/>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《文书档案案卷格式》（GB/T 9705）</w:t>
      </w:r>
    </w:p>
    <w:p w14:paraId="76AAC0F6">
      <w:pPr>
        <w:pStyle w:val="44"/>
        <w:keepNext w:val="0"/>
        <w:keepLines w:val="0"/>
        <w:pageBreakBefore w:val="0"/>
        <w:numPr>
          <w:ilvl w:val="0"/>
          <w:numId w:val="0"/>
        </w:numPr>
        <w:kinsoku/>
        <w:wordWrap/>
        <w:overflowPunct/>
        <w:topLinePunct w:val="0"/>
        <w:autoSpaceDE/>
        <w:autoSpaceDN/>
        <w:bidi w:val="0"/>
        <w:adjustRightInd/>
        <w:snapToGrid/>
        <w:spacing w:after="0" w:afterLines="0" w:line="560" w:lineRule="exact"/>
        <w:ind w:leftChars="0" w:firstLine="729" w:firstLineChars="228"/>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《照片档案管理规范》（GB/T 11821）</w:t>
      </w:r>
    </w:p>
    <w:p w14:paraId="3B22BFE0">
      <w:pPr>
        <w:pStyle w:val="44"/>
        <w:keepNext w:val="0"/>
        <w:keepLines w:val="0"/>
        <w:pageBreakBefore w:val="0"/>
        <w:numPr>
          <w:ilvl w:val="0"/>
          <w:numId w:val="0"/>
        </w:numPr>
        <w:kinsoku/>
        <w:wordWrap/>
        <w:overflowPunct/>
        <w:topLinePunct w:val="0"/>
        <w:autoSpaceDE/>
        <w:autoSpaceDN/>
        <w:bidi w:val="0"/>
        <w:adjustRightInd/>
        <w:snapToGrid/>
        <w:spacing w:after="0" w:afterLines="0" w:line="560" w:lineRule="exact"/>
        <w:ind w:leftChars="0" w:firstLine="729" w:firstLineChars="228"/>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《科学技术档案案卷构成的一般要求》（GB/T 11822）</w:t>
      </w:r>
    </w:p>
    <w:p w14:paraId="0ABFC61B">
      <w:pPr>
        <w:pStyle w:val="44"/>
        <w:keepNext w:val="0"/>
        <w:keepLines w:val="0"/>
        <w:pageBreakBefore w:val="0"/>
        <w:numPr>
          <w:ilvl w:val="0"/>
          <w:numId w:val="0"/>
        </w:numPr>
        <w:kinsoku/>
        <w:wordWrap/>
        <w:overflowPunct/>
        <w:topLinePunct w:val="0"/>
        <w:autoSpaceDE/>
        <w:autoSpaceDN/>
        <w:bidi w:val="0"/>
        <w:adjustRightInd/>
        <w:snapToGrid/>
        <w:spacing w:after="0" w:afterLines="0" w:line="560" w:lineRule="exact"/>
        <w:ind w:leftChars="0" w:firstLine="729" w:firstLineChars="228"/>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《电子文件归档与电子档案管理规范》（GB/T 18894）</w:t>
      </w:r>
    </w:p>
    <w:p w14:paraId="71D46560">
      <w:pPr>
        <w:pStyle w:val="44"/>
        <w:keepNext w:val="0"/>
        <w:keepLines w:val="0"/>
        <w:pageBreakBefore w:val="0"/>
        <w:numPr>
          <w:ilvl w:val="0"/>
          <w:numId w:val="0"/>
        </w:numPr>
        <w:kinsoku/>
        <w:wordWrap/>
        <w:overflowPunct/>
        <w:topLinePunct w:val="0"/>
        <w:autoSpaceDE/>
        <w:autoSpaceDN/>
        <w:bidi w:val="0"/>
        <w:adjustRightInd/>
        <w:snapToGrid/>
        <w:spacing w:after="0" w:afterLines="0" w:line="560" w:lineRule="exact"/>
        <w:ind w:leftChars="0" w:firstLine="729" w:firstLineChars="228"/>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《电子文件存储与交换格式》（GB/T 33190）</w:t>
      </w:r>
    </w:p>
    <w:p w14:paraId="178AFE22">
      <w:pPr>
        <w:pStyle w:val="44"/>
        <w:keepNext w:val="0"/>
        <w:keepLines w:val="0"/>
        <w:pageBreakBefore w:val="0"/>
        <w:numPr>
          <w:ilvl w:val="0"/>
          <w:numId w:val="0"/>
        </w:numPr>
        <w:kinsoku/>
        <w:wordWrap/>
        <w:overflowPunct/>
        <w:topLinePunct w:val="0"/>
        <w:autoSpaceDE/>
        <w:autoSpaceDN/>
        <w:bidi w:val="0"/>
        <w:adjustRightInd/>
        <w:snapToGrid/>
        <w:spacing w:after="0" w:afterLines="0" w:line="560" w:lineRule="exact"/>
        <w:ind w:leftChars="0" w:firstLine="729" w:firstLineChars="228"/>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《电子档案管理系统通用功能要求》（GB/T 39784）</w:t>
      </w:r>
    </w:p>
    <w:p w14:paraId="113E0AAC">
      <w:pPr>
        <w:pStyle w:val="44"/>
        <w:keepNext w:val="0"/>
        <w:keepLines w:val="0"/>
        <w:pageBreakBefore w:val="0"/>
        <w:numPr>
          <w:ilvl w:val="0"/>
          <w:numId w:val="0"/>
        </w:numPr>
        <w:kinsoku/>
        <w:wordWrap/>
        <w:overflowPunct/>
        <w:topLinePunct w:val="0"/>
        <w:autoSpaceDE/>
        <w:autoSpaceDN/>
        <w:bidi w:val="0"/>
        <w:adjustRightInd/>
        <w:snapToGrid/>
        <w:spacing w:after="0" w:afterLines="0" w:line="560" w:lineRule="exact"/>
        <w:ind w:leftChars="0" w:firstLine="729" w:firstLineChars="228"/>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《全宗卷规范》（DA/T 12）</w:t>
      </w:r>
    </w:p>
    <w:p w14:paraId="2238ACD0">
      <w:pPr>
        <w:pStyle w:val="44"/>
        <w:keepNext w:val="0"/>
        <w:keepLines w:val="0"/>
        <w:pageBreakBefore w:val="0"/>
        <w:numPr>
          <w:ilvl w:val="0"/>
          <w:numId w:val="0"/>
        </w:numPr>
        <w:kinsoku/>
        <w:wordWrap/>
        <w:overflowPunct/>
        <w:topLinePunct w:val="0"/>
        <w:autoSpaceDE/>
        <w:autoSpaceDN/>
        <w:bidi w:val="0"/>
        <w:adjustRightInd/>
        <w:snapToGrid/>
        <w:spacing w:after="0" w:afterLines="0" w:line="560" w:lineRule="exact"/>
        <w:ind w:leftChars="0" w:firstLine="729" w:firstLineChars="228"/>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《归档文件整理规则》（DA/T 22）</w:t>
      </w:r>
    </w:p>
    <w:p w14:paraId="57529CAD">
      <w:pPr>
        <w:pStyle w:val="44"/>
        <w:keepNext w:val="0"/>
        <w:keepLines w:val="0"/>
        <w:pageBreakBefore w:val="0"/>
        <w:numPr>
          <w:ilvl w:val="0"/>
          <w:numId w:val="0"/>
        </w:numPr>
        <w:kinsoku/>
        <w:wordWrap/>
        <w:overflowPunct/>
        <w:topLinePunct w:val="0"/>
        <w:autoSpaceDE/>
        <w:autoSpaceDN/>
        <w:bidi w:val="0"/>
        <w:adjustRightInd/>
        <w:snapToGrid/>
        <w:spacing w:after="0" w:afterLines="0" w:line="560" w:lineRule="exact"/>
        <w:ind w:leftChars="0" w:firstLine="729" w:firstLineChars="228"/>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《建设项目档案管理规范》（DA/T 28）</w:t>
      </w:r>
    </w:p>
    <w:p w14:paraId="6DCE1256">
      <w:pPr>
        <w:pStyle w:val="44"/>
        <w:keepNext w:val="0"/>
        <w:keepLines w:val="0"/>
        <w:pageBreakBefore w:val="0"/>
        <w:numPr>
          <w:ilvl w:val="0"/>
          <w:numId w:val="0"/>
        </w:numPr>
        <w:kinsoku/>
        <w:wordWrap/>
        <w:overflowPunct/>
        <w:topLinePunct w:val="0"/>
        <w:autoSpaceDE/>
        <w:autoSpaceDN/>
        <w:bidi w:val="0"/>
        <w:adjustRightInd/>
        <w:snapToGrid/>
        <w:spacing w:after="0" w:afterLines="0" w:line="560" w:lineRule="exact"/>
        <w:ind w:leftChars="0" w:firstLine="729" w:firstLineChars="228"/>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《纸质档案数字化规范》（DA/T 31）</w:t>
      </w:r>
    </w:p>
    <w:p w14:paraId="65CE339A">
      <w:pPr>
        <w:pStyle w:val="44"/>
        <w:keepNext w:val="0"/>
        <w:keepLines w:val="0"/>
        <w:pageBreakBefore w:val="0"/>
        <w:numPr>
          <w:ilvl w:val="0"/>
          <w:numId w:val="0"/>
        </w:numPr>
        <w:kinsoku/>
        <w:wordWrap/>
        <w:overflowPunct/>
        <w:topLinePunct w:val="0"/>
        <w:autoSpaceDE/>
        <w:autoSpaceDN/>
        <w:bidi w:val="0"/>
        <w:adjustRightInd/>
        <w:snapToGrid/>
        <w:spacing w:after="0" w:afterLines="0" w:line="560" w:lineRule="exact"/>
        <w:ind w:leftChars="0" w:firstLine="729" w:firstLineChars="228"/>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《会计档案案卷格式》（DA/T 39）</w:t>
      </w:r>
    </w:p>
    <w:p w14:paraId="1FF841ED">
      <w:pPr>
        <w:pStyle w:val="44"/>
        <w:keepNext w:val="0"/>
        <w:keepLines w:val="0"/>
        <w:pageBreakBefore w:val="0"/>
        <w:numPr>
          <w:ilvl w:val="0"/>
          <w:numId w:val="0"/>
        </w:numPr>
        <w:kinsoku/>
        <w:wordWrap/>
        <w:overflowPunct/>
        <w:topLinePunct w:val="0"/>
        <w:autoSpaceDE/>
        <w:autoSpaceDN/>
        <w:bidi w:val="0"/>
        <w:adjustRightInd/>
        <w:snapToGrid/>
        <w:spacing w:after="0" w:afterLines="0" w:line="560" w:lineRule="exact"/>
        <w:ind w:leftChars="0" w:firstLine="729" w:firstLineChars="228"/>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《会计档案管理办法》（财政部 国家档案局令第79号）</w:t>
      </w:r>
    </w:p>
    <w:p w14:paraId="5B15095E">
      <w:pPr>
        <w:pStyle w:val="44"/>
        <w:keepNext w:val="0"/>
        <w:keepLines w:val="0"/>
        <w:pageBreakBefore w:val="0"/>
        <w:numPr>
          <w:ilvl w:val="0"/>
          <w:numId w:val="0"/>
        </w:numPr>
        <w:kinsoku/>
        <w:wordWrap/>
        <w:overflowPunct/>
        <w:topLinePunct w:val="0"/>
        <w:autoSpaceDE/>
        <w:autoSpaceDN/>
        <w:bidi w:val="0"/>
        <w:adjustRightInd/>
        <w:snapToGrid/>
        <w:spacing w:after="0" w:afterLines="0" w:line="560" w:lineRule="exact"/>
        <w:ind w:leftChars="0" w:firstLine="729" w:firstLineChars="228"/>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《版式电子文件长期保存格式需求》（DA/T 47）</w:t>
      </w:r>
    </w:p>
    <w:p w14:paraId="4947C7DC">
      <w:pPr>
        <w:pStyle w:val="44"/>
        <w:keepNext w:val="0"/>
        <w:keepLines w:val="0"/>
        <w:pageBreakBefore w:val="0"/>
        <w:numPr>
          <w:ilvl w:val="0"/>
          <w:numId w:val="0"/>
        </w:numPr>
        <w:kinsoku/>
        <w:wordWrap/>
        <w:overflowPunct/>
        <w:topLinePunct w:val="0"/>
        <w:autoSpaceDE/>
        <w:autoSpaceDN/>
        <w:bidi w:val="0"/>
        <w:adjustRightInd/>
        <w:snapToGrid/>
        <w:spacing w:after="0" w:afterLines="0" w:line="560" w:lineRule="exact"/>
        <w:ind w:leftChars="0" w:firstLine="729" w:firstLineChars="228"/>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《数码照片归档与管理规范》（DA/T 50）</w:t>
      </w:r>
    </w:p>
    <w:p w14:paraId="06E93F4E">
      <w:pPr>
        <w:pStyle w:val="44"/>
        <w:keepNext w:val="0"/>
        <w:keepLines w:val="0"/>
        <w:pageBreakBefore w:val="0"/>
        <w:numPr>
          <w:ilvl w:val="0"/>
          <w:numId w:val="0"/>
        </w:numPr>
        <w:kinsoku/>
        <w:wordWrap/>
        <w:overflowPunct/>
        <w:topLinePunct w:val="0"/>
        <w:autoSpaceDE/>
        <w:autoSpaceDN/>
        <w:bidi w:val="0"/>
        <w:adjustRightInd/>
        <w:snapToGrid/>
        <w:spacing w:after="0" w:afterLines="0" w:line="560" w:lineRule="exact"/>
        <w:ind w:leftChars="0" w:firstLine="729" w:firstLineChars="228"/>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《录音录像档案管理规范》（DA/T 78）</w:t>
      </w:r>
    </w:p>
    <w:p w14:paraId="12475034">
      <w:pPr>
        <w:rPr>
          <w:rFonts w:hint="default" w:eastAsia="仿宋_GB2312"/>
          <w:lang w:val="en-US" w:eastAsia="zh-CN"/>
        </w:rPr>
      </w:pPr>
    </w:p>
    <w:p w14:paraId="7BFEBE4A">
      <w:pPr>
        <w:spacing w:line="600" w:lineRule="exact"/>
        <w:rPr>
          <w:lang w:bidi="ar"/>
        </w:rPr>
      </w:pPr>
      <w:r>
        <w:rPr>
          <w:lang w:bidi="ar"/>
        </w:rPr>
        <w:br w:type="page"/>
      </w:r>
    </w:p>
    <w:p w14:paraId="6A8E7FFF">
      <w:pPr>
        <w:pStyle w:val="3"/>
        <w:spacing w:before="0" w:after="0" w:line="600" w:lineRule="exact"/>
        <w:jc w:val="center"/>
        <w:rPr>
          <w:rFonts w:ascii="黑体" w:hAnsi="黑体" w:eastAsia="黑体" w:cs="黑体"/>
          <w:sz w:val="32"/>
          <w:szCs w:val="32"/>
        </w:rPr>
      </w:pPr>
      <w:bookmarkStart w:id="11" w:name="_Toc7660"/>
      <w:bookmarkStart w:id="12" w:name="_Toc12624"/>
      <w:bookmarkStart w:id="13" w:name="_Toc14155"/>
      <w:r>
        <w:rPr>
          <w:rFonts w:hint="eastAsia" w:ascii="黑体" w:hAnsi="黑体" w:eastAsia="黑体" w:cs="黑体"/>
          <w:sz w:val="32"/>
          <w:szCs w:val="32"/>
        </w:rPr>
        <w:t>建设需求</w:t>
      </w:r>
      <w:bookmarkEnd w:id="11"/>
      <w:bookmarkEnd w:id="12"/>
      <w:bookmarkEnd w:id="13"/>
    </w:p>
    <w:p w14:paraId="6654C6E0">
      <w:pPr>
        <w:pStyle w:val="4"/>
        <w:spacing w:before="0" w:after="0" w:line="600" w:lineRule="exact"/>
        <w:rPr>
          <w:rFonts w:ascii="Times New Roman" w:hAnsi="Times New Roman"/>
        </w:rPr>
      </w:pPr>
      <w:bookmarkStart w:id="14" w:name="_Toc389"/>
      <w:bookmarkStart w:id="15" w:name="_Toc19873"/>
      <w:bookmarkStart w:id="16" w:name="_Toc5955"/>
      <w:r>
        <w:rPr>
          <w:rFonts w:ascii="Times New Roman" w:hAnsi="Times New Roman"/>
        </w:rPr>
        <w:t>总体需求</w:t>
      </w:r>
      <w:bookmarkEnd w:id="14"/>
      <w:bookmarkEnd w:id="15"/>
      <w:bookmarkEnd w:id="16"/>
    </w:p>
    <w:p w14:paraId="1E3626D3">
      <w:pPr>
        <w:spacing w:line="600" w:lineRule="exact"/>
        <w:ind w:firstLine="643"/>
        <w:rPr>
          <w:lang w:bidi="ar"/>
        </w:rPr>
      </w:pPr>
      <w:r>
        <w:rPr>
          <w:b/>
          <w:lang w:bidi="ar"/>
        </w:rPr>
        <w:t>1．</w:t>
      </w:r>
      <w:r>
        <w:rPr>
          <w:rFonts w:hint="eastAsia"/>
          <w:b/>
          <w:lang w:val="en-US" w:eastAsia="zh-CN" w:bidi="ar"/>
        </w:rPr>
        <w:t>系统建设</w:t>
      </w:r>
      <w:r>
        <w:rPr>
          <w:b/>
          <w:lang w:bidi="ar"/>
        </w:rPr>
        <w:t>。</w:t>
      </w:r>
      <w:r>
        <w:rPr>
          <w:rFonts w:hint="eastAsia"/>
          <w:b w:val="0"/>
          <w:bCs/>
          <w:lang w:val="en-US" w:eastAsia="zh-CN" w:bidi="ar"/>
        </w:rPr>
        <w:t>根据《企业数字档案馆（室）建设指南》等，</w:t>
      </w:r>
      <w:r>
        <w:rPr>
          <w:lang w:bidi="ar"/>
        </w:rPr>
        <w:t>建设多全宗的档案管理</w:t>
      </w:r>
      <w:r>
        <w:rPr>
          <w:rFonts w:hint="eastAsia"/>
          <w:lang w:val="en-US" w:eastAsia="zh-CN" w:bidi="ar"/>
        </w:rPr>
        <w:t>系统</w:t>
      </w:r>
      <w:r>
        <w:rPr>
          <w:lang w:bidi="ar"/>
        </w:rPr>
        <w:t>，实现文书档案、科技档案、设备仪器档案、会计档案等各门类</w:t>
      </w:r>
      <w:r>
        <w:rPr>
          <w:rFonts w:hint="eastAsia"/>
        </w:rPr>
        <w:t>电子档案和传统载体</w:t>
      </w:r>
      <w:r>
        <w:rPr>
          <w:lang w:bidi="ar"/>
        </w:rPr>
        <w:t>档案的收集、整理、保管、利用等。</w:t>
      </w:r>
    </w:p>
    <w:p w14:paraId="06EC78C0">
      <w:pPr>
        <w:spacing w:line="600" w:lineRule="exact"/>
        <w:ind w:firstLine="643"/>
        <w:rPr>
          <w:lang w:bidi="ar"/>
        </w:rPr>
      </w:pPr>
      <w:r>
        <w:rPr>
          <w:b/>
          <w:lang w:bidi="ar"/>
        </w:rPr>
        <w:t>2．业务咨询。</w:t>
      </w:r>
      <w:r>
        <w:rPr>
          <w:lang w:bidi="ar"/>
        </w:rPr>
        <w:t>项目实施初期，在集团公司及下属单位现有档案工作制度基础上，结合工作实际，协助完善和健全档案管理制度体系；根据项目进展情况，有步骤地推进配套制度和标准规范建设，包括但不限于数字档案室人员岗位职责、系统运行维护管理办法、数字档案室安全与保密管理办法、数字档案室电子档案收、管、存、用等方面的标准规范体系及实施要求。</w:t>
      </w:r>
    </w:p>
    <w:p w14:paraId="239E7C72">
      <w:pPr>
        <w:spacing w:line="600" w:lineRule="exact"/>
        <w:ind w:firstLine="643"/>
        <w:rPr>
          <w:lang w:bidi="ar"/>
        </w:rPr>
      </w:pPr>
      <w:r>
        <w:rPr>
          <w:rFonts w:hint="eastAsia"/>
          <w:b/>
          <w:lang w:bidi="ar"/>
        </w:rPr>
        <w:t>3</w:t>
      </w:r>
      <w:r>
        <w:rPr>
          <w:b/>
          <w:lang w:bidi="ar"/>
        </w:rPr>
        <w:t>．</w:t>
      </w:r>
      <w:r>
        <w:rPr>
          <w:rFonts w:hint="eastAsia"/>
          <w:b/>
          <w:lang w:bidi="ar"/>
        </w:rPr>
        <w:t>历史数据</w:t>
      </w:r>
      <w:r>
        <w:rPr>
          <w:rFonts w:hint="eastAsia"/>
          <w:b/>
          <w:lang w:val="en-US" w:eastAsia="zh-CN" w:bidi="ar"/>
        </w:rPr>
        <w:t>同步</w:t>
      </w:r>
      <w:r>
        <w:rPr>
          <w:b/>
          <w:lang w:bidi="ar"/>
        </w:rPr>
        <w:t>。</w:t>
      </w:r>
      <w:r>
        <w:rPr>
          <w:rFonts w:hint="eastAsia"/>
          <w:lang w:bidi="ar"/>
        </w:rPr>
        <w:t>实现集团公司及下属单位原有档案管理系统的历史数据，包括条目和电子全文的</w:t>
      </w:r>
      <w:r>
        <w:rPr>
          <w:rFonts w:hint="eastAsia"/>
          <w:lang w:val="en-US" w:eastAsia="zh-CN" w:bidi="ar"/>
        </w:rPr>
        <w:t>一次性同步</w:t>
      </w:r>
      <w:r>
        <w:rPr>
          <w:rFonts w:hint="eastAsia"/>
          <w:lang w:bidi="ar"/>
        </w:rPr>
        <w:t>到新建档案管理系统中，需确保电子条目与电子原文的一一对应，建立彼此的对应关系</w:t>
      </w:r>
      <w:r>
        <w:rPr>
          <w:lang w:bidi="ar"/>
        </w:rPr>
        <w:t>。</w:t>
      </w:r>
    </w:p>
    <w:p w14:paraId="6FC9693B">
      <w:pPr>
        <w:pStyle w:val="4"/>
        <w:spacing w:before="0" w:after="0" w:line="600" w:lineRule="exact"/>
        <w:rPr>
          <w:rFonts w:ascii="Times New Roman" w:hAnsi="Times New Roman"/>
        </w:rPr>
      </w:pPr>
      <w:bookmarkStart w:id="17" w:name="_Toc10673"/>
      <w:bookmarkStart w:id="18" w:name="_Toc12302"/>
      <w:bookmarkStart w:id="19" w:name="_Toc25403"/>
      <w:r>
        <w:rPr>
          <w:rFonts w:ascii="Times New Roman" w:hAnsi="Times New Roman"/>
        </w:rPr>
        <w:t>业务需求</w:t>
      </w:r>
      <w:bookmarkEnd w:id="17"/>
      <w:bookmarkEnd w:id="18"/>
      <w:bookmarkEnd w:id="19"/>
    </w:p>
    <w:p w14:paraId="4904AA7D">
      <w:pPr>
        <w:spacing w:line="600" w:lineRule="exact"/>
      </w:pPr>
      <w:r>
        <w:rPr>
          <w:rFonts w:hint="eastAsia"/>
        </w:rPr>
        <w:t>随着集团档案业务的飞速发展，各种问题凸显出来，主要问题包括：</w:t>
      </w:r>
    </w:p>
    <w:p w14:paraId="1454F177">
      <w:pPr>
        <w:widowControl/>
        <w:spacing w:line="560" w:lineRule="exact"/>
        <w:ind w:firstLine="700" w:firstLineChars="0"/>
        <w:outlineLvl w:val="9"/>
        <w:rPr>
          <w:rFonts w:ascii="仿宋_GB2312" w:hAnsi="仿宋_GB2312" w:cs="仿宋_GB2312"/>
          <w:bCs/>
          <w:color w:val="000000"/>
          <w:kern w:val="2"/>
          <w:szCs w:val="32"/>
        </w:rPr>
      </w:pPr>
      <w:bookmarkStart w:id="20" w:name="_Toc5380"/>
      <w:bookmarkStart w:id="21" w:name="_Toc29109"/>
      <w:bookmarkStart w:id="22" w:name="_Toc11005"/>
      <w:bookmarkStart w:id="23" w:name="_Toc31013"/>
      <w:bookmarkStart w:id="24" w:name="_Toc12714"/>
      <w:bookmarkStart w:id="25" w:name="_Toc21011"/>
      <w:bookmarkStart w:id="26" w:name="_Toc11565"/>
      <w:bookmarkStart w:id="27" w:name="_Toc20347"/>
      <w:bookmarkStart w:id="28" w:name="_Toc22197"/>
      <w:bookmarkStart w:id="29" w:name="_Toc19326"/>
      <w:bookmarkStart w:id="30" w:name="_Toc1126"/>
      <w:r>
        <w:rPr>
          <w:rFonts w:hint="eastAsia"/>
          <w:b/>
          <w:lang w:bidi="ar"/>
        </w:rPr>
        <w:t>1．</w:t>
      </w:r>
      <w:r>
        <w:rPr>
          <w:rFonts w:hint="eastAsia" w:ascii="Times New Roman" w:hAnsi="Times New Roman" w:eastAsia="仿宋_GB2312" w:cs="Times New Roman"/>
          <w:b/>
          <w:color w:val="auto"/>
          <w:kern w:val="0"/>
          <w:szCs w:val="30"/>
          <w:lang w:bidi="ar"/>
        </w:rPr>
        <w:t>制度体系</w:t>
      </w:r>
      <w:r>
        <w:rPr>
          <w:rFonts w:hint="eastAsia" w:cs="Times New Roman"/>
          <w:b/>
          <w:color w:val="auto"/>
          <w:kern w:val="0"/>
          <w:szCs w:val="30"/>
          <w:lang w:val="en-US" w:eastAsia="zh-CN" w:bidi="ar"/>
        </w:rPr>
        <w:t>有待</w:t>
      </w:r>
      <w:r>
        <w:rPr>
          <w:rFonts w:hint="eastAsia" w:ascii="Times New Roman" w:hAnsi="Times New Roman" w:eastAsia="仿宋_GB2312" w:cs="Times New Roman"/>
          <w:b/>
          <w:color w:val="auto"/>
          <w:kern w:val="0"/>
          <w:szCs w:val="30"/>
          <w:lang w:bidi="ar"/>
        </w:rPr>
        <w:t>健全</w:t>
      </w:r>
      <w:bookmarkEnd w:id="20"/>
      <w:bookmarkEnd w:id="21"/>
      <w:r>
        <w:rPr>
          <w:rFonts w:hint="eastAsia" w:ascii="Times New Roman" w:hAnsi="Times New Roman" w:eastAsia="仿宋_GB2312" w:cs="Times New Roman"/>
          <w:b/>
          <w:color w:val="auto"/>
          <w:kern w:val="0"/>
          <w:szCs w:val="30"/>
          <w:lang w:bidi="ar"/>
        </w:rPr>
        <w:t>。</w:t>
      </w:r>
      <w:r>
        <w:rPr>
          <w:rFonts w:hint="eastAsia" w:ascii="仿宋_GB2312" w:hAnsi="仿宋_GB2312" w:cs="仿宋_GB2312"/>
          <w:bCs/>
          <w:color w:val="000000"/>
          <w:kern w:val="2"/>
          <w:szCs w:val="32"/>
        </w:rPr>
        <w:t>目前集团公司及部分直属企业已初步形成档案管理制度、档案编号分类方案和归档范围等，可对档案管理工作提供一定的制度支撑和规范参考。但是相应制度规范侧重点不一，未能覆盖档案的全业务流程。现有的集团档案管理制度没有具体的指导作用，特别是针对档案鉴定销毁制度、档案利用制度、档案管理系统制度以及未来的电子文件管理制度等管理制度。另外对于档案整理规范、归档电子文件整理规范、纸质档案数字化加工规范等业务规范，并没有明确的实施细则。</w:t>
      </w:r>
      <w:bookmarkEnd w:id="22"/>
      <w:bookmarkEnd w:id="23"/>
      <w:bookmarkEnd w:id="24"/>
      <w:bookmarkEnd w:id="25"/>
      <w:bookmarkEnd w:id="26"/>
      <w:bookmarkEnd w:id="27"/>
      <w:bookmarkEnd w:id="28"/>
      <w:bookmarkEnd w:id="29"/>
      <w:bookmarkEnd w:id="30"/>
    </w:p>
    <w:p w14:paraId="4CE15757">
      <w:pPr>
        <w:spacing w:line="560" w:lineRule="exact"/>
        <w:ind w:firstLine="643"/>
        <w:rPr>
          <w:kern w:val="2"/>
          <w:szCs w:val="32"/>
        </w:rPr>
      </w:pPr>
      <w:r>
        <w:rPr>
          <w:rFonts w:hint="eastAsia"/>
          <w:b/>
          <w:lang w:bidi="ar"/>
        </w:rPr>
        <w:t>2．</w:t>
      </w:r>
      <w:r>
        <w:rPr>
          <w:rFonts w:hint="eastAsia" w:ascii="Times New Roman" w:hAnsi="Times New Roman" w:eastAsia="仿宋_GB2312" w:cs="Times New Roman"/>
          <w:b/>
          <w:kern w:val="0"/>
          <w:szCs w:val="30"/>
          <w:lang w:bidi="ar"/>
        </w:rPr>
        <w:t>管理方式</w:t>
      </w:r>
      <w:r>
        <w:rPr>
          <w:rFonts w:hint="eastAsia" w:cs="Times New Roman"/>
          <w:b/>
          <w:kern w:val="0"/>
          <w:szCs w:val="30"/>
          <w:lang w:val="en-US" w:eastAsia="zh-CN" w:bidi="ar"/>
        </w:rPr>
        <w:t>有待提升</w:t>
      </w:r>
      <w:r>
        <w:rPr>
          <w:rFonts w:hint="eastAsia" w:ascii="Times New Roman" w:hAnsi="Times New Roman" w:eastAsia="仿宋_GB2312" w:cs="Times New Roman"/>
          <w:b/>
          <w:kern w:val="0"/>
          <w:szCs w:val="30"/>
          <w:lang w:bidi="ar"/>
        </w:rPr>
        <w:t>。</w:t>
      </w:r>
      <w:r>
        <w:rPr>
          <w:kern w:val="2"/>
          <w:szCs w:val="32"/>
        </w:rPr>
        <w:t>目前集团</w:t>
      </w:r>
      <w:r>
        <w:rPr>
          <w:rFonts w:hint="eastAsia"/>
          <w:kern w:val="2"/>
          <w:szCs w:val="32"/>
        </w:rPr>
        <w:t>公司</w:t>
      </w:r>
      <w:r>
        <w:rPr>
          <w:rFonts w:hint="eastAsia" w:ascii="仿宋_GB2312" w:hAnsi="仿宋_GB2312" w:cs="仿宋_GB2312"/>
          <w:bCs/>
          <w:szCs w:val="32"/>
        </w:rPr>
        <w:t>依托市档案局</w:t>
      </w:r>
      <w:r>
        <w:rPr>
          <w:rFonts w:hint="eastAsia"/>
          <w:szCs w:val="32"/>
        </w:rPr>
        <w:t>的东莞市档案数据中心平台进行档案管理，直属企业中仅有三家配置</w:t>
      </w:r>
      <w:r>
        <w:rPr>
          <w:rFonts w:hint="eastAsia" w:ascii="仿宋_GB2312" w:hAnsi="仿宋_GB2312" w:cs="仿宋_GB2312"/>
          <w:bCs/>
          <w:szCs w:val="32"/>
        </w:rPr>
        <w:t>档案管理系统，直属企业下属单位共有</w:t>
      </w:r>
      <w:r>
        <w:rPr>
          <w:rFonts w:hint="eastAsia"/>
          <w:bCs/>
          <w:szCs w:val="32"/>
        </w:rPr>
        <w:t>16</w:t>
      </w:r>
      <w:r>
        <w:rPr>
          <w:rFonts w:hint="eastAsia" w:ascii="仿宋_GB2312" w:hAnsi="仿宋_GB2312" w:cs="仿宋_GB2312"/>
          <w:bCs/>
          <w:szCs w:val="32"/>
        </w:rPr>
        <w:t>家配置档案管理系统</w:t>
      </w:r>
      <w:r>
        <w:rPr>
          <w:kern w:val="2"/>
          <w:szCs w:val="32"/>
        </w:rPr>
        <w:t>，</w:t>
      </w:r>
      <w:r>
        <w:rPr>
          <w:rFonts w:hint="eastAsia"/>
          <w:kern w:val="2"/>
          <w:szCs w:val="32"/>
        </w:rPr>
        <w:t>分散的管理方式带来的</w:t>
      </w:r>
      <w:r>
        <w:rPr>
          <w:kern w:val="2"/>
          <w:szCs w:val="32"/>
        </w:rPr>
        <w:t>主要问题包括：</w:t>
      </w:r>
      <w:r>
        <w:rPr>
          <w:rFonts w:hint="eastAsia"/>
          <w:b/>
          <w:bCs/>
          <w:kern w:val="2"/>
          <w:szCs w:val="32"/>
        </w:rPr>
        <w:t>一是</w:t>
      </w:r>
      <w:r>
        <w:rPr>
          <w:rFonts w:hint="eastAsia"/>
          <w:b w:val="0"/>
          <w:bCs w:val="0"/>
          <w:kern w:val="2"/>
          <w:szCs w:val="32"/>
        </w:rPr>
        <w:t>各下属单位档案数据无法及时收集，有效管理，</w:t>
      </w:r>
      <w:r>
        <w:rPr>
          <w:rFonts w:hint="eastAsia"/>
          <w:kern w:val="2"/>
          <w:szCs w:val="32"/>
        </w:rPr>
        <w:t>实现集中查阅利用</w:t>
      </w:r>
      <w:r>
        <w:rPr>
          <w:kern w:val="2"/>
          <w:szCs w:val="32"/>
        </w:rPr>
        <w:t>；</w:t>
      </w:r>
      <w:r>
        <w:rPr>
          <w:rFonts w:hint="eastAsia"/>
          <w:b/>
          <w:bCs/>
          <w:kern w:val="2"/>
          <w:szCs w:val="32"/>
        </w:rPr>
        <w:t>二是</w:t>
      </w:r>
      <w:r>
        <w:rPr>
          <w:kern w:val="2"/>
          <w:szCs w:val="32"/>
        </w:rPr>
        <w:t>前端系统的电子文件未能实现自动归集，无法形成完整的档案资源库；</w:t>
      </w:r>
      <w:r>
        <w:rPr>
          <w:rFonts w:hint="eastAsia"/>
          <w:b/>
          <w:bCs/>
          <w:kern w:val="2"/>
          <w:szCs w:val="32"/>
        </w:rPr>
        <w:t>三是</w:t>
      </w:r>
      <w:r>
        <w:rPr>
          <w:kern w:val="2"/>
          <w:szCs w:val="32"/>
        </w:rPr>
        <w:t>档案整理流程落后，操作复杂、系统繁琐、日常档案业务工作量较大，效率低下</w:t>
      </w:r>
      <w:r>
        <w:rPr>
          <w:rFonts w:hint="eastAsia"/>
          <w:kern w:val="2"/>
          <w:szCs w:val="32"/>
        </w:rPr>
        <w:t>。</w:t>
      </w:r>
    </w:p>
    <w:p w14:paraId="3FE9E595">
      <w:pPr>
        <w:pStyle w:val="43"/>
        <w:spacing w:line="560" w:lineRule="exact"/>
        <w:ind w:firstLine="643" w:firstLineChars="0"/>
        <w:rPr>
          <w:rFonts w:ascii="仿宋_GB2312" w:hAnsi="仿宋_GB2312" w:cs="仿宋_GB2312"/>
          <w:kern w:val="2"/>
          <w:szCs w:val="32"/>
        </w:rPr>
      </w:pPr>
      <w:bookmarkStart w:id="31" w:name="_Toc32382"/>
      <w:r>
        <w:rPr>
          <w:rFonts w:hint="eastAsia" w:ascii="Times New Roman" w:hAnsi="Times New Roman"/>
          <w:b/>
          <w:bCs w:val="0"/>
          <w:sz w:val="32"/>
          <w:szCs w:val="30"/>
          <w:lang w:bidi="ar"/>
        </w:rPr>
        <w:t>3</w:t>
      </w:r>
      <w:r>
        <w:rPr>
          <w:rFonts w:hint="eastAsia" w:ascii="Times New Roman" w:hAnsi="Times New Roman" w:eastAsia="仿宋_GB2312"/>
          <w:b/>
          <w:bCs w:val="0"/>
          <w:sz w:val="32"/>
          <w:szCs w:val="30"/>
          <w:lang w:bidi="ar"/>
        </w:rPr>
        <w:t>．</w:t>
      </w:r>
      <w:r>
        <w:rPr>
          <w:rFonts w:hint="eastAsia" w:ascii="Times New Roman" w:hAnsi="Times New Roman" w:eastAsia="仿宋_GB2312" w:cs="楷体_GB2312"/>
          <w:b/>
          <w:bCs w:val="0"/>
          <w:kern w:val="2"/>
          <w:sz w:val="32"/>
          <w:szCs w:val="30"/>
          <w:lang w:bidi="ar"/>
        </w:rPr>
        <w:t>档案资源</w:t>
      </w:r>
      <w:bookmarkEnd w:id="31"/>
      <w:r>
        <w:rPr>
          <w:rFonts w:hint="eastAsia" w:ascii="Times New Roman" w:hAnsi="Times New Roman" w:eastAsia="仿宋_GB2312" w:cs="楷体_GB2312"/>
          <w:b/>
          <w:bCs w:val="0"/>
          <w:kern w:val="2"/>
          <w:sz w:val="32"/>
          <w:szCs w:val="30"/>
          <w:lang w:bidi="ar"/>
        </w:rPr>
        <w:t>形态缺失</w:t>
      </w:r>
      <w:r>
        <w:rPr>
          <w:rFonts w:hint="eastAsia" w:ascii="Times New Roman" w:hAnsi="Times New Roman"/>
          <w:b/>
          <w:bCs w:val="0"/>
          <w:sz w:val="32"/>
          <w:szCs w:val="30"/>
          <w:lang w:bidi="ar"/>
        </w:rPr>
        <w:t>。一是</w:t>
      </w:r>
      <w:r>
        <w:rPr>
          <w:rFonts w:hint="eastAsia" w:ascii="仿宋_GB2312" w:hAnsi="仿宋_GB2312" w:eastAsia="仿宋_GB2312" w:cs="仿宋_GB2312"/>
          <w:bCs w:val="0"/>
          <w:kern w:val="2"/>
          <w:sz w:val="32"/>
          <w:szCs w:val="32"/>
        </w:rPr>
        <w:t>当前</w:t>
      </w:r>
      <w:r>
        <w:rPr>
          <w:rFonts w:hint="eastAsia" w:ascii="仿宋_GB2312" w:hAnsi="仿宋_GB2312" w:eastAsia="仿宋_GB2312" w:cs="仿宋_GB2312"/>
          <w:bCs w:val="0"/>
          <w:kern w:val="2"/>
          <w:sz w:val="32"/>
          <w:szCs w:val="32"/>
          <w:lang w:eastAsia="zh-CN"/>
        </w:rPr>
        <w:t>水务环境集团</w:t>
      </w:r>
      <w:r>
        <w:rPr>
          <w:rFonts w:hint="eastAsia" w:ascii="仿宋_GB2312" w:hAnsi="仿宋_GB2312" w:eastAsia="仿宋_GB2312" w:cs="仿宋_GB2312"/>
          <w:bCs w:val="0"/>
          <w:kern w:val="2"/>
          <w:sz w:val="32"/>
          <w:szCs w:val="32"/>
        </w:rPr>
        <w:t>存量档案数字化工作力度和深度不足，目前对于存量档案资源大部分以纸质的形态归档；</w:t>
      </w:r>
      <w:r>
        <w:rPr>
          <w:rFonts w:hint="eastAsia" w:ascii="仿宋_GB2312" w:hAnsi="仿宋_GB2312" w:eastAsia="仿宋_GB2312" w:cs="仿宋_GB2312"/>
          <w:b/>
          <w:bCs/>
          <w:kern w:val="2"/>
          <w:sz w:val="32"/>
          <w:szCs w:val="32"/>
        </w:rPr>
        <w:t>二是</w:t>
      </w:r>
      <w:r>
        <w:rPr>
          <w:rFonts w:hint="eastAsia" w:ascii="仿宋_GB2312" w:hAnsi="仿宋_GB2312" w:eastAsia="仿宋_GB2312" w:cs="仿宋_GB2312"/>
          <w:bCs w:val="0"/>
          <w:kern w:val="2"/>
          <w:sz w:val="32"/>
          <w:szCs w:val="32"/>
        </w:rPr>
        <w:t>全集团目前尚未有一套集中的档案管理系统对各类业务系统以及散存于员工个人电脑中的重要电子档案数据实现统一、规范归档与管理；</w:t>
      </w:r>
      <w:r>
        <w:rPr>
          <w:rFonts w:hint="eastAsia" w:ascii="仿宋_GB2312" w:hAnsi="仿宋_GB2312" w:eastAsia="仿宋_GB2312" w:cs="仿宋_GB2312"/>
          <w:b/>
          <w:bCs/>
          <w:kern w:val="2"/>
          <w:sz w:val="32"/>
          <w:szCs w:val="32"/>
        </w:rPr>
        <w:t>三是</w:t>
      </w:r>
      <w:r>
        <w:rPr>
          <w:rFonts w:hint="eastAsia" w:ascii="仿宋_GB2312" w:hAnsi="仿宋_GB2312" w:eastAsia="仿宋_GB2312" w:cs="仿宋_GB2312"/>
          <w:b w:val="0"/>
          <w:bCs w:val="0"/>
          <w:kern w:val="2"/>
          <w:sz w:val="32"/>
          <w:szCs w:val="32"/>
        </w:rPr>
        <w:t>全</w:t>
      </w:r>
      <w:r>
        <w:rPr>
          <w:rFonts w:hint="eastAsia" w:ascii="仿宋_GB2312" w:hAnsi="仿宋_GB2312" w:eastAsia="仿宋_GB2312" w:cs="仿宋_GB2312"/>
          <w:b w:val="0"/>
          <w:bCs/>
          <w:kern w:val="2"/>
          <w:sz w:val="32"/>
          <w:szCs w:val="32"/>
        </w:rPr>
        <w:t>门类档案资源内容未收集齐全</w:t>
      </w:r>
      <w:r>
        <w:rPr>
          <w:rFonts w:hint="eastAsia" w:ascii="仿宋_GB2312" w:hAnsi="仿宋_GB2312" w:eastAsia="仿宋_GB2312" w:cs="仿宋_GB2312"/>
          <w:bCs/>
          <w:kern w:val="2"/>
          <w:sz w:val="32"/>
          <w:szCs w:val="32"/>
        </w:rPr>
        <w:t>，</w:t>
      </w:r>
      <w:r>
        <w:rPr>
          <w:rFonts w:hint="eastAsia" w:ascii="仿宋_GB2312" w:hAnsi="仿宋_GB2312" w:eastAsia="仿宋_GB2312" w:cs="仿宋_GB2312"/>
          <w:bCs w:val="0"/>
          <w:kern w:val="2"/>
          <w:sz w:val="32"/>
          <w:szCs w:val="32"/>
        </w:rPr>
        <w:t>有部分单位的会计档案由其所属部门直管，专职档案管理员主要收集管理了文书档案、科技档案、</w:t>
      </w:r>
      <w:r>
        <w:rPr>
          <w:rFonts w:hint="eastAsia" w:ascii="仿宋_GB2312" w:hAnsi="仿宋_GB2312" w:eastAsia="仿宋_GB2312" w:cs="仿宋_GB2312"/>
          <w:bCs w:val="0"/>
          <w:kern w:val="2"/>
          <w:sz w:val="32"/>
          <w:szCs w:val="32"/>
          <w:lang w:val="en-US" w:eastAsia="zh-CN"/>
        </w:rPr>
        <w:t>实物</w:t>
      </w:r>
      <w:r>
        <w:rPr>
          <w:rFonts w:hint="eastAsia" w:ascii="仿宋_GB2312" w:hAnsi="仿宋_GB2312" w:eastAsia="仿宋_GB2312" w:cs="仿宋_GB2312"/>
          <w:bCs w:val="0"/>
          <w:kern w:val="2"/>
          <w:sz w:val="32"/>
          <w:szCs w:val="32"/>
        </w:rPr>
        <w:t>档案、声像档案类等，且主要以被动的方式获取，无法保障档案资源的真实性和完整性，其余门类档案均散</w:t>
      </w:r>
      <w:r>
        <w:rPr>
          <w:rFonts w:hint="eastAsia" w:ascii="仿宋_GB2312" w:hAnsi="仿宋_GB2312" w:cs="仿宋_GB2312"/>
          <w:bCs w:val="0"/>
          <w:kern w:val="2"/>
          <w:sz w:val="32"/>
          <w:szCs w:val="32"/>
        </w:rPr>
        <w:t>存</w:t>
      </w:r>
      <w:r>
        <w:rPr>
          <w:rFonts w:hint="eastAsia" w:ascii="仿宋_GB2312" w:hAnsi="仿宋_GB2312" w:eastAsia="仿宋_GB2312" w:cs="仿宋_GB2312"/>
          <w:bCs w:val="0"/>
          <w:kern w:val="2"/>
          <w:sz w:val="32"/>
          <w:szCs w:val="32"/>
        </w:rPr>
        <w:t>在各业务系统或员工手中，尚未实现全门类档案资源的集中管理。</w:t>
      </w:r>
    </w:p>
    <w:p w14:paraId="38012709">
      <w:pPr>
        <w:pStyle w:val="43"/>
        <w:spacing w:line="560" w:lineRule="exact"/>
        <w:ind w:firstLine="643" w:firstLineChars="0"/>
      </w:pPr>
      <w:r>
        <w:rPr>
          <w:rFonts w:hint="eastAsia" w:ascii="仿宋_GB2312" w:hAnsi="仿宋_GB2312" w:eastAsia="仿宋_GB2312" w:cs="仿宋_GB2312"/>
          <w:bCs w:val="0"/>
          <w:kern w:val="2"/>
          <w:sz w:val="32"/>
          <w:szCs w:val="32"/>
        </w:rPr>
        <w:t>为解决以上问题，集团</w:t>
      </w:r>
      <w:r>
        <w:rPr>
          <w:rFonts w:hint="eastAsia" w:ascii="Times New Roman" w:hAnsi="Times New Roman" w:eastAsia="仿宋_GB2312"/>
          <w:bCs w:val="0"/>
          <w:sz w:val="32"/>
          <w:szCs w:val="30"/>
        </w:rPr>
        <w:t>根据国家档案局《企业数字档案馆（室）建设指南》中关于电子档案管理系统建设的有关要求、《广东省企业数字档案室建设评价办法》以及档案信息化的相关要求，结合集团档案管理现状，建立电子档案和传统载体档案从收集、整理、保管、利用等环节的统一管理系统。本次项目建设要求遵循国家及行业发布的电子文件及档案</w:t>
      </w:r>
      <w:r>
        <w:rPr>
          <w:rFonts w:hint="eastAsia" w:ascii="Times New Roman" w:hAnsi="Times New Roman" w:eastAsia="仿宋_GB2312"/>
          <w:bCs w:val="0"/>
          <w:sz w:val="32"/>
          <w:szCs w:val="30"/>
          <w:lang w:val="en-US" w:eastAsia="zh-CN"/>
        </w:rPr>
        <w:t>系统</w:t>
      </w:r>
      <w:r>
        <w:rPr>
          <w:rFonts w:hint="eastAsia" w:ascii="Times New Roman" w:hAnsi="Times New Roman" w:eastAsia="仿宋_GB2312"/>
          <w:bCs w:val="0"/>
          <w:sz w:val="32"/>
          <w:szCs w:val="30"/>
        </w:rPr>
        <w:t>标准设计开发，围绕“收集、整理、保管、利用”等方面进行设计。预留提供完整开放式系统接口，结合集团相关业务系统建设情况，分阶段开展归档数据的系统对接，通过接口与OA办公系统及其他系统数据对接，实现档案数据的在线归档、收集以及档案系统之间的集成等功能。根据项目进展情况，协助集团公司及下属单位有步骤地推进配套制度和标准规范体系建设完善。</w:t>
      </w:r>
    </w:p>
    <w:p w14:paraId="7CB4BBB2">
      <w:pPr>
        <w:pStyle w:val="4"/>
        <w:spacing w:before="0" w:after="0" w:line="600" w:lineRule="exact"/>
        <w:rPr>
          <w:rFonts w:ascii="Times New Roman" w:hAnsi="Times New Roman"/>
        </w:rPr>
      </w:pPr>
      <w:bookmarkStart w:id="32" w:name="_Toc3273"/>
      <w:bookmarkStart w:id="33" w:name="_Toc10808"/>
      <w:bookmarkStart w:id="34" w:name="_Toc6634"/>
      <w:r>
        <w:rPr>
          <w:rFonts w:ascii="Times New Roman" w:hAnsi="Times New Roman"/>
        </w:rPr>
        <w:t>用户分析</w:t>
      </w:r>
      <w:bookmarkEnd w:id="32"/>
      <w:bookmarkEnd w:id="33"/>
      <w:bookmarkEnd w:id="34"/>
    </w:p>
    <w:p w14:paraId="3FD1053D">
      <w:pPr>
        <w:pStyle w:val="5"/>
        <w:spacing w:before="0" w:after="0" w:line="600" w:lineRule="exact"/>
      </w:pPr>
      <w:r>
        <w:t>档案管理员</w:t>
      </w:r>
    </w:p>
    <w:p w14:paraId="566747A1">
      <w:pPr>
        <w:spacing w:line="600" w:lineRule="exact"/>
      </w:pPr>
      <w:r>
        <w:t>集团系统内各级单位的档案管理人员</w:t>
      </w:r>
      <w:r>
        <w:rPr>
          <w:rFonts w:hint="eastAsia"/>
        </w:rPr>
        <w:t>，工作内容涵盖了档案的“全生命周期”，包括“档案收集”“档案整理”“档案鉴定”“档案销毁”</w:t>
      </w:r>
      <w:r>
        <w:rPr>
          <w:rFonts w:hint="eastAsia"/>
          <w:lang w:val="en-US" w:eastAsia="zh-CN"/>
        </w:rPr>
        <w:t>等</w:t>
      </w:r>
      <w:r>
        <w:rPr>
          <w:rFonts w:hint="eastAsia"/>
        </w:rPr>
        <w:t>。系统的流程引擎需支持自定义，可以根据业务需求调整开放鉴定、价值鉴定（鉴定销毁）等的审批流程设置。同时，系统需提供多种统计报表，可以对各类档案数据、利用情况等进行统计</w:t>
      </w:r>
    </w:p>
    <w:p w14:paraId="468A877B">
      <w:pPr>
        <w:pStyle w:val="5"/>
        <w:spacing w:before="0" w:after="0" w:line="600" w:lineRule="exact"/>
      </w:pPr>
      <w:r>
        <w:t>查询用户</w:t>
      </w:r>
    </w:p>
    <w:p w14:paraId="4B25D92C">
      <w:pPr>
        <w:spacing w:line="600" w:lineRule="exact"/>
      </w:pPr>
      <w:r>
        <w:t>集团系统内各级单位的在职人员</w:t>
      </w:r>
      <w:r>
        <w:rPr>
          <w:rFonts w:hint="eastAsia"/>
        </w:rPr>
        <w:t>，主要使用系统进行档案的检索、浏览、借阅和利用效果反馈等操作</w:t>
      </w:r>
      <w:r>
        <w:t>。</w:t>
      </w:r>
    </w:p>
    <w:p w14:paraId="20447F8F">
      <w:pPr>
        <w:pStyle w:val="5"/>
        <w:spacing w:before="0" w:after="0" w:line="600" w:lineRule="exact"/>
      </w:pPr>
      <w:r>
        <w:t>系统管理员</w:t>
      </w:r>
    </w:p>
    <w:p w14:paraId="5DE772D9">
      <w:pPr>
        <w:spacing w:line="600" w:lineRule="exact"/>
      </w:pPr>
      <w:r>
        <w:t>集团系统内各级单位的信息管理人员</w:t>
      </w:r>
      <w:r>
        <w:rPr>
          <w:rFonts w:hint="eastAsia"/>
        </w:rPr>
        <w:t>，主要负责对系统基础设置进行维护，可以管理组织架构、全宗信息、档案门类/分类维护、元数据管理；可以根据不同岗位的业务要求设置角色和数据权限</w:t>
      </w:r>
      <w:r>
        <w:rPr>
          <w:rFonts w:hint="eastAsia"/>
          <w:lang w:val="en-US" w:eastAsia="zh-CN"/>
        </w:rPr>
        <w:t>；</w:t>
      </w:r>
      <w:r>
        <w:rPr>
          <w:rFonts w:hint="eastAsia"/>
        </w:rPr>
        <w:t>可以维护数据归档集成服务</w:t>
      </w:r>
      <w:r>
        <w:rPr>
          <w:rFonts w:hint="eastAsia"/>
          <w:lang w:val="en-US" w:eastAsia="zh-CN"/>
        </w:rPr>
        <w:t>等</w:t>
      </w:r>
      <w:r>
        <w:t>。</w:t>
      </w:r>
    </w:p>
    <w:p w14:paraId="0082A54F">
      <w:pPr>
        <w:pStyle w:val="4"/>
        <w:spacing w:before="0" w:after="0" w:line="600" w:lineRule="exact"/>
        <w:rPr>
          <w:rFonts w:ascii="Times New Roman" w:hAnsi="Times New Roman"/>
        </w:rPr>
      </w:pPr>
      <w:bookmarkStart w:id="35" w:name="_Toc21684"/>
      <w:bookmarkStart w:id="36" w:name="_Toc4865"/>
      <w:bookmarkStart w:id="37" w:name="_Toc14222"/>
      <w:r>
        <w:rPr>
          <w:rFonts w:ascii="Times New Roman" w:hAnsi="Times New Roman"/>
        </w:rPr>
        <w:t>功能需求</w:t>
      </w:r>
      <w:bookmarkEnd w:id="35"/>
      <w:bookmarkEnd w:id="36"/>
      <w:bookmarkEnd w:id="37"/>
    </w:p>
    <w:p w14:paraId="35F887FA">
      <w:pPr>
        <w:pStyle w:val="5"/>
        <w:spacing w:before="0" w:after="0" w:line="600" w:lineRule="exact"/>
      </w:pPr>
      <w:bookmarkStart w:id="38" w:name="_Toc2282659"/>
      <w:r>
        <w:t>档案设置</w:t>
      </w:r>
    </w:p>
    <w:bookmarkEnd w:id="38"/>
    <w:p w14:paraId="06BDD810">
      <w:pPr>
        <w:widowControl/>
        <w:numPr>
          <w:ilvl w:val="0"/>
          <w:numId w:val="2"/>
        </w:numPr>
        <w:adjustRightInd w:val="0"/>
        <w:spacing w:line="600" w:lineRule="exact"/>
        <w:ind w:left="0" w:firstLine="640" w:firstLineChars="0"/>
        <w:rPr>
          <w:b/>
          <w:bCs/>
          <w:snapToGrid/>
          <w:szCs w:val="24"/>
        </w:rPr>
      </w:pPr>
      <w:r>
        <w:rPr>
          <w:rFonts w:hint="eastAsia"/>
          <w:b/>
          <w:bCs/>
          <w:snapToGrid/>
          <w:szCs w:val="24"/>
        </w:rPr>
        <w:t>多</w:t>
      </w:r>
      <w:r>
        <w:rPr>
          <w:b/>
          <w:bCs/>
          <w:snapToGrid/>
          <w:szCs w:val="24"/>
        </w:rPr>
        <w:t>全宗管理。</w:t>
      </w:r>
      <w:r>
        <w:rPr>
          <w:rFonts w:hint="eastAsia"/>
          <w:color w:val="auto"/>
        </w:rPr>
        <w:t>可对纳入管理的每个立档单位建立全宗单位，支持全宗群管理，每个全宗单位有唯一全宗号、全宗名称。每个全宗单位的功能、档案类型、档案数据、机构组织、用户、流程、权限等相对独立、互不影响。</w:t>
      </w:r>
      <w:r>
        <w:rPr>
          <w:rFonts w:hint="eastAsia"/>
          <w:b/>
          <w:bCs/>
          <w:color w:val="auto"/>
        </w:rPr>
        <w:t>全宗数量不限。</w:t>
      </w:r>
    </w:p>
    <w:p w14:paraId="78E8E797">
      <w:pPr>
        <w:numPr>
          <w:ilvl w:val="0"/>
          <w:numId w:val="2"/>
        </w:numPr>
        <w:adjustRightInd w:val="0"/>
        <w:spacing w:line="600" w:lineRule="exact"/>
        <w:ind w:left="0" w:firstLine="640" w:firstLineChars="0"/>
        <w:rPr>
          <w:snapToGrid/>
          <w:szCs w:val="24"/>
        </w:rPr>
      </w:pPr>
      <w:r>
        <w:rPr>
          <w:b/>
          <w:bCs/>
          <w:snapToGrid/>
          <w:szCs w:val="24"/>
        </w:rPr>
        <w:t>门类设置。</w:t>
      </w:r>
      <w:r>
        <w:rPr>
          <w:snapToGrid/>
          <w:szCs w:val="24"/>
        </w:rPr>
        <w:t>支持在同一个全宗下面创建不同的档案门类，门类数量不限。系统具有管理文书、</w:t>
      </w:r>
      <w:r>
        <w:rPr>
          <w:rFonts w:hint="eastAsia"/>
          <w:snapToGrid/>
          <w:szCs w:val="24"/>
        </w:rPr>
        <w:t>会计、</w:t>
      </w:r>
      <w:r>
        <w:rPr>
          <w:snapToGrid/>
          <w:szCs w:val="24"/>
        </w:rPr>
        <w:t>工程项目、专业</w:t>
      </w:r>
      <w:r>
        <w:rPr>
          <w:rFonts w:hint="eastAsia"/>
          <w:snapToGrid/>
          <w:szCs w:val="24"/>
        </w:rPr>
        <w:t>、声</w:t>
      </w:r>
      <w:r>
        <w:rPr>
          <w:snapToGrid/>
          <w:szCs w:val="24"/>
        </w:rPr>
        <w:t>像（照片、录音、录像）等各门类电子档案和辅助管理实体档案资料的功能，具备灵活的可扩展功能。</w:t>
      </w:r>
    </w:p>
    <w:p w14:paraId="1732B18E">
      <w:pPr>
        <w:numPr>
          <w:ilvl w:val="0"/>
          <w:numId w:val="2"/>
        </w:numPr>
        <w:adjustRightInd w:val="0"/>
        <w:spacing w:line="600" w:lineRule="exact"/>
        <w:ind w:left="0" w:firstLine="640" w:firstLineChars="0"/>
        <w:rPr>
          <w:snapToGrid/>
          <w:szCs w:val="24"/>
        </w:rPr>
      </w:pPr>
      <w:r>
        <w:rPr>
          <w:b/>
          <w:bCs/>
          <w:snapToGrid/>
          <w:szCs w:val="24"/>
        </w:rPr>
        <w:t>元数据</w:t>
      </w:r>
      <w:r>
        <w:rPr>
          <w:rFonts w:hint="eastAsia"/>
          <w:b/>
          <w:bCs/>
          <w:snapToGrid/>
          <w:szCs w:val="24"/>
        </w:rPr>
        <w:t>管理</w:t>
      </w:r>
      <w:r>
        <w:rPr>
          <w:b/>
          <w:bCs/>
          <w:snapToGrid/>
          <w:szCs w:val="24"/>
        </w:rPr>
        <w:t>。</w:t>
      </w:r>
      <w:r>
        <w:rPr>
          <w:snapToGrid/>
          <w:szCs w:val="24"/>
        </w:rPr>
        <w:t>系统具备各种门类电子档案元数据和目录数据方案的建立与管理功能，内置</w:t>
      </w:r>
      <w:r>
        <w:rPr>
          <w:rFonts w:hint="eastAsia"/>
          <w:snapToGrid/>
          <w:szCs w:val="24"/>
        </w:rPr>
        <w:t>文书类、图形图像类、音频视频类及数据类</w:t>
      </w:r>
      <w:r>
        <w:rPr>
          <w:rFonts w:hint="eastAsia"/>
          <w:snapToGrid/>
          <w:szCs w:val="24"/>
          <w:lang w:val="en-US" w:eastAsia="zh-CN"/>
        </w:rPr>
        <w:t>等</w:t>
      </w:r>
      <w:r>
        <w:rPr>
          <w:snapToGrid/>
          <w:szCs w:val="24"/>
        </w:rPr>
        <w:t>常见种类的电子档案元数据方案</w:t>
      </w:r>
      <w:r>
        <w:rPr>
          <w:rFonts w:hint="eastAsia"/>
          <w:snapToGrid/>
          <w:szCs w:val="24"/>
        </w:rPr>
        <w:t>。</w:t>
      </w:r>
      <w:r>
        <w:t>元数据项在满足国家有关标准要求的前提下，可根据需要增减，具有元数据手工登记校验功能。</w:t>
      </w:r>
    </w:p>
    <w:p w14:paraId="7698F50E">
      <w:pPr>
        <w:numPr>
          <w:ilvl w:val="0"/>
          <w:numId w:val="2"/>
        </w:numPr>
        <w:spacing w:line="600" w:lineRule="exact"/>
        <w:ind w:left="0" w:firstLine="640" w:firstLineChars="0"/>
      </w:pPr>
      <w:r>
        <w:rPr>
          <w:b/>
          <w:bCs/>
          <w:snapToGrid/>
          <w:szCs w:val="24"/>
        </w:rPr>
        <w:t>自定义档案树。</w:t>
      </w:r>
      <w:r>
        <w:rPr>
          <w:snapToGrid/>
          <w:szCs w:val="24"/>
        </w:rPr>
        <w:t>系统支持根据业务的需要自定义档案结构树，可以根据不同的维度（全宗、分类、静态字段）逐层设置显示节点。设置完毕的档案树可以在各个使用档案门类的功能中进行切换</w:t>
      </w:r>
      <w:r>
        <w:t>。</w:t>
      </w:r>
    </w:p>
    <w:p w14:paraId="77C3557F">
      <w:pPr>
        <w:pStyle w:val="5"/>
        <w:spacing w:before="0" w:after="0" w:line="600" w:lineRule="exact"/>
      </w:pPr>
      <w:r>
        <w:t>档案收集</w:t>
      </w:r>
      <w:r>
        <w:rPr>
          <w:rFonts w:hint="eastAsia"/>
        </w:rPr>
        <w:t>功能</w:t>
      </w:r>
    </w:p>
    <w:p w14:paraId="52B9C6DD">
      <w:pPr>
        <w:numPr>
          <w:ilvl w:val="0"/>
          <w:numId w:val="3"/>
        </w:numPr>
        <w:adjustRightInd w:val="0"/>
        <w:spacing w:line="600" w:lineRule="exact"/>
        <w:ind w:left="0" w:firstLine="640" w:firstLineChars="0"/>
        <w:rPr>
          <w:snapToGrid/>
          <w:color w:val="FF0000"/>
          <w:szCs w:val="24"/>
        </w:rPr>
      </w:pPr>
      <w:r>
        <w:rPr>
          <w:b/>
          <w:bCs/>
          <w:snapToGrid/>
          <w:szCs w:val="24"/>
        </w:rPr>
        <w:t>电子文件登记。</w:t>
      </w:r>
      <w:r>
        <w:rPr>
          <w:snapToGrid/>
          <w:szCs w:val="24"/>
        </w:rPr>
        <w:t>具备电子文件手工登记功能。</w:t>
      </w:r>
      <w:r>
        <w:rPr>
          <w:rFonts w:hint="eastAsia"/>
          <w:snapToGrid/>
          <w:szCs w:val="24"/>
        </w:rPr>
        <w:t>支持</w:t>
      </w:r>
      <w:r>
        <w:rPr>
          <w:snapToGrid/>
          <w:szCs w:val="24"/>
        </w:rPr>
        <w:t>对电子文件元数据根据权限进行更改、删除、检索、全文挂接等操作。支持设置不同档案门类下不同的著录字段。支持著录表单自定义扩充。支持著录字段的规则校验，包括字段必填属性、字段格式。支持著录表单自定义，提供模版样式并进行可视化调整。</w:t>
      </w:r>
    </w:p>
    <w:p w14:paraId="54864975">
      <w:pPr>
        <w:numPr>
          <w:ilvl w:val="0"/>
          <w:numId w:val="3"/>
        </w:numPr>
        <w:adjustRightInd w:val="0"/>
        <w:spacing w:line="600" w:lineRule="exact"/>
        <w:ind w:left="0" w:firstLine="640" w:firstLineChars="0"/>
        <w:rPr>
          <w:snapToGrid/>
          <w:szCs w:val="24"/>
        </w:rPr>
      </w:pPr>
      <w:r>
        <w:rPr>
          <w:b/>
          <w:bCs/>
          <w:snapToGrid/>
          <w:szCs w:val="24"/>
        </w:rPr>
        <w:t>电子文件和电子档案在线接收。</w:t>
      </w:r>
      <w:r>
        <w:rPr>
          <w:snapToGrid/>
          <w:szCs w:val="24"/>
        </w:rPr>
        <w:t>具有符合《企业电子文件归档和电子档案管理指南》有关要求，从业务系统接收电子文件及其元数据的接口。具有从其他电子档案管理系统接收电子档案的功能，功能符合《电子档案移交与接收办法》有关要求。支持批量成件和合并成件操作快速生成待整理文件。</w:t>
      </w:r>
    </w:p>
    <w:p w14:paraId="50DD79BF">
      <w:pPr>
        <w:numPr>
          <w:ilvl w:val="0"/>
          <w:numId w:val="3"/>
        </w:numPr>
        <w:adjustRightInd w:val="0"/>
        <w:spacing w:line="600" w:lineRule="exact"/>
        <w:ind w:left="0" w:firstLine="640" w:firstLineChars="0"/>
        <w:rPr>
          <w:snapToGrid/>
          <w:szCs w:val="24"/>
        </w:rPr>
      </w:pPr>
      <w:r>
        <w:rPr>
          <w:b/>
          <w:bCs/>
          <w:snapToGrid/>
          <w:szCs w:val="24"/>
        </w:rPr>
        <w:t>电子文件和电子档案离线接收。</w:t>
      </w:r>
      <w:r>
        <w:rPr>
          <w:snapToGrid/>
          <w:szCs w:val="24"/>
        </w:rPr>
        <w:t>具备电子文件、电子档案和其他数字资源离线批量导入功能，支持常见的XLS、DBF、MDB、XML、TXT等文件格式元数据文件及符合长期保存要求的文件格式全文文件的导入接收，并实现元数据、目录数据与对应电子文件、电子档案的自动关联。数据导入过程中支持数据的校验，如是否唯一、是否可以为空、日期格式是否正确等。当出现部分数据导入失败，应提供报告，指明哪些数据导入失败。如出现中断</w:t>
      </w:r>
      <w:r>
        <w:rPr>
          <w:rFonts w:hint="eastAsia"/>
          <w:snapToGrid/>
          <w:szCs w:val="24"/>
          <w:lang w:eastAsia="zh-CN"/>
        </w:rPr>
        <w:t>（</w:t>
      </w:r>
      <w:r>
        <w:rPr>
          <w:snapToGrid/>
          <w:szCs w:val="24"/>
        </w:rPr>
        <w:t>如:断电、断网、死机等</w:t>
      </w:r>
      <w:r>
        <w:rPr>
          <w:rFonts w:hint="eastAsia"/>
          <w:snapToGrid/>
          <w:szCs w:val="24"/>
          <w:lang w:eastAsia="zh-CN"/>
        </w:rPr>
        <w:t>）</w:t>
      </w:r>
      <w:r>
        <w:rPr>
          <w:snapToGrid/>
          <w:szCs w:val="24"/>
        </w:rPr>
        <w:t>，应支持断点续传，再次导入时从中断记录处接续导入。支持二次导入更新操作。电子档案的离线接收功能符合《电子档案移交与接收办法》有关要求。</w:t>
      </w:r>
    </w:p>
    <w:p w14:paraId="249363CC">
      <w:pPr>
        <w:numPr>
          <w:ilvl w:val="0"/>
          <w:numId w:val="3"/>
        </w:numPr>
        <w:adjustRightInd w:val="0"/>
        <w:spacing w:line="600" w:lineRule="exact"/>
        <w:ind w:left="0" w:firstLine="640" w:firstLineChars="0"/>
        <w:rPr>
          <w:snapToGrid/>
          <w:szCs w:val="24"/>
        </w:rPr>
      </w:pPr>
      <w:r>
        <w:rPr>
          <w:b/>
          <w:bCs/>
          <w:snapToGrid/>
          <w:szCs w:val="24"/>
        </w:rPr>
        <w:t>电子文件和电子档案接收检测。</w:t>
      </w:r>
      <w:r>
        <w:rPr>
          <w:snapToGrid/>
          <w:szCs w:val="24"/>
        </w:rPr>
        <w:t>具备电子文件和电子档案接收的检测功能，能根据电子文件归档和电子档案接收的检测要求对接收的电子文件的“四性”和电子档案的有关属性进行检测，对检测不符合要求的电子文件或电子档案进行标记，并且生成检查报告，反馈检查结果。</w:t>
      </w:r>
    </w:p>
    <w:p w14:paraId="3E67A717">
      <w:pPr>
        <w:numPr>
          <w:ilvl w:val="0"/>
          <w:numId w:val="3"/>
        </w:numPr>
        <w:adjustRightInd w:val="0"/>
        <w:spacing w:line="600" w:lineRule="exact"/>
        <w:ind w:left="0" w:firstLine="640" w:firstLineChars="0"/>
        <w:rPr>
          <w:snapToGrid/>
          <w:szCs w:val="24"/>
        </w:rPr>
      </w:pPr>
      <w:r>
        <w:rPr>
          <w:b/>
          <w:bCs/>
          <w:snapToGrid/>
          <w:szCs w:val="24"/>
        </w:rPr>
        <w:t>传统载体档案全文信息上传挂接。</w:t>
      </w:r>
      <w:r>
        <w:rPr>
          <w:snapToGrid/>
          <w:szCs w:val="24"/>
        </w:rPr>
        <w:t>具备传统载体档案目录著录和全文信息上传挂接功能，支持单个、批量文件上传等方式，针对大文件支持断点续传，能建立目录与其对应全文间的关联关系，并保持关联关系稳定。</w:t>
      </w:r>
    </w:p>
    <w:p w14:paraId="785B9A22">
      <w:pPr>
        <w:numPr>
          <w:ilvl w:val="0"/>
          <w:numId w:val="3"/>
        </w:numPr>
        <w:adjustRightInd w:val="0"/>
        <w:spacing w:line="600" w:lineRule="exact"/>
        <w:ind w:left="0" w:firstLine="640" w:firstLineChars="0"/>
      </w:pPr>
      <w:r>
        <w:rPr>
          <w:b/>
          <w:bCs/>
          <w:snapToGrid/>
          <w:szCs w:val="24"/>
        </w:rPr>
        <w:t>数字化加工。</w:t>
      </w:r>
      <w:r>
        <w:rPr>
          <w:snapToGrid/>
          <w:szCs w:val="24"/>
        </w:rPr>
        <w:t>支持通过连接扫描仪对日常增量纸质文件进行在线扫描。支持整卷和按件扫描，并将扫描件转换成PDF格式挂接到待办文件中</w:t>
      </w:r>
      <w:r>
        <w:t>。</w:t>
      </w:r>
    </w:p>
    <w:p w14:paraId="59D6D3F9">
      <w:pPr>
        <w:pStyle w:val="5"/>
        <w:spacing w:before="0" w:after="0" w:line="600" w:lineRule="exact"/>
      </w:pPr>
      <w:r>
        <w:t>档案整理</w:t>
      </w:r>
      <w:r>
        <w:rPr>
          <w:rFonts w:hint="eastAsia"/>
        </w:rPr>
        <w:t>功能</w:t>
      </w:r>
    </w:p>
    <w:p w14:paraId="4F212487">
      <w:pPr>
        <w:numPr>
          <w:ilvl w:val="0"/>
          <w:numId w:val="4"/>
        </w:numPr>
        <w:adjustRightInd w:val="0"/>
        <w:spacing w:line="600" w:lineRule="exact"/>
        <w:ind w:left="0" w:firstLine="640" w:firstLineChars="0"/>
        <w:rPr>
          <w:snapToGrid/>
          <w:szCs w:val="24"/>
        </w:rPr>
      </w:pPr>
      <w:r>
        <w:rPr>
          <w:b/>
          <w:bCs/>
          <w:snapToGrid/>
          <w:szCs w:val="24"/>
        </w:rPr>
        <w:t>分类。</w:t>
      </w:r>
      <w:r>
        <w:rPr>
          <w:snapToGrid/>
          <w:szCs w:val="24"/>
        </w:rPr>
        <w:t>按照企业确定的分类方案，将归档文件进行分类，给定分类代号，并支持按年度、保管期限、机构</w:t>
      </w:r>
      <w:r>
        <w:rPr>
          <w:rFonts w:hint="eastAsia"/>
          <w:snapToGrid/>
          <w:szCs w:val="24"/>
          <w:lang w:eastAsia="zh-CN"/>
        </w:rPr>
        <w:t>（</w:t>
      </w:r>
      <w:r>
        <w:rPr>
          <w:snapToGrid/>
          <w:szCs w:val="24"/>
        </w:rPr>
        <w:t>问题</w:t>
      </w:r>
      <w:r>
        <w:rPr>
          <w:rFonts w:hint="eastAsia"/>
          <w:snapToGrid/>
          <w:szCs w:val="24"/>
          <w:lang w:eastAsia="zh-CN"/>
        </w:rPr>
        <w:t>）</w:t>
      </w:r>
      <w:r>
        <w:rPr>
          <w:snapToGrid/>
          <w:szCs w:val="24"/>
        </w:rPr>
        <w:t>等多种分类方案分类。</w:t>
      </w:r>
    </w:p>
    <w:p w14:paraId="5BE0CE04">
      <w:pPr>
        <w:numPr>
          <w:ilvl w:val="0"/>
          <w:numId w:val="4"/>
        </w:numPr>
        <w:adjustRightInd w:val="0"/>
        <w:spacing w:line="600" w:lineRule="exact"/>
        <w:ind w:left="0" w:firstLine="640" w:firstLineChars="0"/>
        <w:rPr>
          <w:snapToGrid/>
          <w:szCs w:val="24"/>
        </w:rPr>
      </w:pPr>
      <w:r>
        <w:rPr>
          <w:b/>
          <w:bCs/>
          <w:snapToGrid/>
          <w:szCs w:val="24"/>
        </w:rPr>
        <w:t>划定保管期限。</w:t>
      </w:r>
      <w:r>
        <w:rPr>
          <w:snapToGrid/>
          <w:szCs w:val="24"/>
        </w:rPr>
        <w:t>按照档案保管期限表对归档文件划定保管期限。</w:t>
      </w:r>
    </w:p>
    <w:p w14:paraId="7B2B34CD">
      <w:pPr>
        <w:numPr>
          <w:ilvl w:val="0"/>
          <w:numId w:val="4"/>
        </w:numPr>
        <w:adjustRightInd w:val="0"/>
        <w:spacing w:line="600" w:lineRule="exact"/>
        <w:ind w:left="0" w:firstLine="640" w:firstLineChars="0"/>
        <w:rPr>
          <w:snapToGrid/>
          <w:szCs w:val="24"/>
        </w:rPr>
      </w:pPr>
      <w:r>
        <w:rPr>
          <w:b/>
          <w:bCs/>
          <w:snapToGrid/>
          <w:szCs w:val="24"/>
        </w:rPr>
        <w:t>组件或卷。</w:t>
      </w:r>
      <w:r>
        <w:rPr>
          <w:rFonts w:hint="eastAsia"/>
          <w:b w:val="0"/>
          <w:bCs w:val="0"/>
          <w:snapToGrid/>
          <w:szCs w:val="24"/>
        </w:rPr>
        <w:t>支持</w:t>
      </w:r>
      <w:r>
        <w:rPr>
          <w:snapToGrid/>
          <w:szCs w:val="24"/>
        </w:rPr>
        <w:t>对来自不同系统的归档电子文件按照组件</w:t>
      </w:r>
      <w:r>
        <w:rPr>
          <w:rFonts w:hint="eastAsia"/>
          <w:snapToGrid/>
          <w:szCs w:val="24"/>
        </w:rPr>
        <w:t>或组卷</w:t>
      </w:r>
      <w:r>
        <w:rPr>
          <w:snapToGrid/>
          <w:szCs w:val="24"/>
        </w:rPr>
        <w:t>规则组成“件”或“卷</w:t>
      </w:r>
      <w:r>
        <w:rPr>
          <w:rFonts w:hint="eastAsia"/>
          <w:snapToGrid/>
          <w:szCs w:val="24"/>
        </w:rPr>
        <w:t>”</w:t>
      </w:r>
      <w:r>
        <w:rPr>
          <w:snapToGrid/>
          <w:szCs w:val="24"/>
        </w:rPr>
        <w:t>，并对件内或卷内文档按一定的规则进行整理、排序、调整等。支持档案多层级管理，即可支持项目、门类、文件的三级目录管理模式。支持对电子文件在线生成页码。</w:t>
      </w:r>
    </w:p>
    <w:p w14:paraId="771D5200">
      <w:pPr>
        <w:numPr>
          <w:ilvl w:val="0"/>
          <w:numId w:val="4"/>
        </w:numPr>
        <w:adjustRightInd w:val="0"/>
        <w:spacing w:line="600" w:lineRule="exact"/>
        <w:ind w:left="0" w:firstLine="640" w:firstLineChars="0"/>
        <w:rPr>
          <w:snapToGrid/>
          <w:szCs w:val="24"/>
        </w:rPr>
      </w:pPr>
      <w:r>
        <w:rPr>
          <w:b/>
          <w:bCs/>
          <w:snapToGrid/>
          <w:szCs w:val="24"/>
        </w:rPr>
        <w:t>组成保管单位。</w:t>
      </w:r>
      <w:r>
        <w:rPr>
          <w:rFonts w:hint="eastAsia"/>
          <w:snapToGrid/>
          <w:szCs w:val="24"/>
        </w:rPr>
        <w:t>支持</w:t>
      </w:r>
      <w:r>
        <w:rPr>
          <w:snapToGrid/>
          <w:szCs w:val="24"/>
        </w:rPr>
        <w:t>对归档文件按照设定规则自动或在人工干预下组成保管单位，并</w:t>
      </w:r>
      <w:r>
        <w:rPr>
          <w:rFonts w:hint="eastAsia"/>
          <w:snapToGrid/>
          <w:szCs w:val="24"/>
        </w:rPr>
        <w:t>支持</w:t>
      </w:r>
      <w:r>
        <w:rPr>
          <w:snapToGrid/>
          <w:szCs w:val="24"/>
        </w:rPr>
        <w:t>按规则将保管单位内文件排序定位。</w:t>
      </w:r>
      <w:r>
        <w:rPr>
          <w:rFonts w:hint="eastAsia"/>
          <w:snapToGrid/>
          <w:szCs w:val="24"/>
        </w:rPr>
        <w:t>支持</w:t>
      </w:r>
      <w:r>
        <w:rPr>
          <w:snapToGrid/>
          <w:szCs w:val="24"/>
        </w:rPr>
        <w:t>在人工于预下调整归档文件所属保管单位并重新排序定位。</w:t>
      </w:r>
    </w:p>
    <w:p w14:paraId="7B0F3260">
      <w:pPr>
        <w:numPr>
          <w:ilvl w:val="0"/>
          <w:numId w:val="4"/>
        </w:numPr>
        <w:adjustRightInd w:val="0"/>
        <w:spacing w:line="600" w:lineRule="exact"/>
        <w:ind w:left="0" w:firstLine="640" w:firstLineChars="0"/>
        <w:rPr>
          <w:snapToGrid/>
          <w:szCs w:val="24"/>
        </w:rPr>
      </w:pPr>
      <w:r>
        <w:rPr>
          <w:b/>
          <w:bCs/>
          <w:snapToGrid/>
          <w:szCs w:val="24"/>
        </w:rPr>
        <w:t>编号。</w:t>
      </w:r>
      <w:r>
        <w:rPr>
          <w:rFonts w:hint="eastAsia"/>
          <w:color w:val="auto"/>
        </w:rPr>
        <w:t>支持针对不同类型的档案，自定义配置档号规则，在归档时自动生成档号</w:t>
      </w:r>
      <w:r>
        <w:rPr>
          <w:rFonts w:hint="eastAsia"/>
          <w:color w:val="auto"/>
          <w:highlight w:val="none"/>
        </w:rPr>
        <w:t>，并自动加盖档号章。</w:t>
      </w:r>
      <w:r>
        <w:rPr>
          <w:snapToGrid/>
          <w:szCs w:val="24"/>
        </w:rPr>
        <w:t>所形成档号唯一、简明、合理、稳定、可扩充。</w:t>
      </w:r>
    </w:p>
    <w:p w14:paraId="3B2622D6">
      <w:pPr>
        <w:numPr>
          <w:ilvl w:val="0"/>
          <w:numId w:val="4"/>
        </w:numPr>
        <w:adjustRightInd w:val="0"/>
        <w:spacing w:line="600" w:lineRule="exact"/>
        <w:ind w:left="0" w:firstLine="640" w:firstLineChars="0"/>
        <w:rPr>
          <w:snapToGrid/>
          <w:szCs w:val="24"/>
        </w:rPr>
      </w:pPr>
      <w:r>
        <w:rPr>
          <w:b/>
          <w:bCs/>
          <w:snapToGrid/>
          <w:szCs w:val="24"/>
        </w:rPr>
        <w:t>编目。</w:t>
      </w:r>
      <w:r>
        <w:rPr>
          <w:snapToGrid/>
          <w:szCs w:val="24"/>
        </w:rPr>
        <w:t>根据需要</w:t>
      </w:r>
      <w:r>
        <w:rPr>
          <w:rFonts w:hint="eastAsia"/>
          <w:snapToGrid/>
          <w:szCs w:val="24"/>
        </w:rPr>
        <w:t>支持</w:t>
      </w:r>
      <w:r>
        <w:rPr>
          <w:snapToGrid/>
          <w:szCs w:val="24"/>
        </w:rPr>
        <w:t>编制各种目录。提供规范的档案目录模板方便套打出案卷封面、案卷目录、卷内目录、归档文件目录、全引目录、备考表、卷</w:t>
      </w:r>
      <w:r>
        <w:rPr>
          <w:rFonts w:hint="eastAsia"/>
          <w:snapToGrid/>
          <w:szCs w:val="24"/>
          <w:lang w:eastAsia="zh-CN"/>
        </w:rPr>
        <w:t>（</w:t>
      </w:r>
      <w:r>
        <w:rPr>
          <w:snapToGrid/>
          <w:szCs w:val="24"/>
        </w:rPr>
        <w:t>盒</w:t>
      </w:r>
      <w:r>
        <w:rPr>
          <w:rFonts w:hint="eastAsia"/>
          <w:snapToGrid/>
          <w:szCs w:val="24"/>
          <w:lang w:eastAsia="zh-CN"/>
        </w:rPr>
        <w:t>）</w:t>
      </w:r>
      <w:r>
        <w:rPr>
          <w:snapToGrid/>
          <w:szCs w:val="24"/>
        </w:rPr>
        <w:t>封面和脊背等。支持进行目录模板制作，</w:t>
      </w:r>
      <w:r>
        <w:rPr>
          <w:rFonts w:hint="eastAsia"/>
          <w:snapToGrid/>
          <w:szCs w:val="24"/>
        </w:rPr>
        <w:t>支持</w:t>
      </w:r>
      <w:r>
        <w:rPr>
          <w:snapToGrid/>
          <w:szCs w:val="24"/>
        </w:rPr>
        <w:t>对模板中的字体、打印内容、排序方式等进行调整。</w:t>
      </w:r>
      <w:r>
        <w:rPr>
          <w:rFonts w:hint="eastAsia"/>
          <w:snapToGrid/>
          <w:szCs w:val="24"/>
        </w:rPr>
        <w:t>支持</w:t>
      </w:r>
      <w:r>
        <w:rPr>
          <w:snapToGrid/>
          <w:szCs w:val="24"/>
        </w:rPr>
        <w:t>提供打印预览功能，并支持多模板批量生成和打印功能。</w:t>
      </w:r>
    </w:p>
    <w:p w14:paraId="7848863E">
      <w:pPr>
        <w:numPr>
          <w:ilvl w:val="0"/>
          <w:numId w:val="4"/>
        </w:numPr>
        <w:adjustRightInd w:val="0"/>
        <w:spacing w:line="600" w:lineRule="exact"/>
        <w:ind w:left="0" w:firstLine="640" w:firstLineChars="0"/>
        <w:rPr>
          <w:snapToGrid/>
          <w:szCs w:val="24"/>
        </w:rPr>
      </w:pPr>
      <w:r>
        <w:rPr>
          <w:b/>
          <w:bCs/>
          <w:snapToGrid/>
          <w:szCs w:val="24"/>
        </w:rPr>
        <w:t>关联关系建立。</w:t>
      </w:r>
      <w:r>
        <w:rPr>
          <w:snapToGrid/>
          <w:szCs w:val="24"/>
        </w:rPr>
        <w:t>具有建立同一件归档文件不同载体间或是文件间关联关系功能。</w:t>
      </w:r>
    </w:p>
    <w:p w14:paraId="61D5823B">
      <w:pPr>
        <w:numPr>
          <w:ilvl w:val="0"/>
          <w:numId w:val="4"/>
        </w:numPr>
        <w:adjustRightInd w:val="0"/>
        <w:spacing w:line="600" w:lineRule="exact"/>
        <w:ind w:left="0" w:firstLine="640" w:firstLineChars="0"/>
        <w:rPr>
          <w:snapToGrid/>
          <w:szCs w:val="24"/>
        </w:rPr>
      </w:pPr>
      <w:r>
        <w:rPr>
          <w:b/>
          <w:bCs/>
          <w:snapToGrid/>
          <w:szCs w:val="24"/>
        </w:rPr>
        <w:t>表格导出。</w:t>
      </w:r>
      <w:r>
        <w:rPr>
          <w:snapToGrid/>
          <w:szCs w:val="24"/>
        </w:rPr>
        <w:t>支持案卷封面、卷内目录、归档文件目录或全引目录、案卷目录、备考表等信息的通用格式文件导出功能。</w:t>
      </w:r>
    </w:p>
    <w:p w14:paraId="6CC9BD86">
      <w:pPr>
        <w:numPr>
          <w:ilvl w:val="0"/>
          <w:numId w:val="4"/>
        </w:numPr>
        <w:adjustRightInd w:val="0"/>
        <w:spacing w:line="600" w:lineRule="exact"/>
        <w:ind w:left="0" w:firstLine="640" w:firstLineChars="0"/>
        <w:rPr>
          <w:rFonts w:eastAsia="宋体"/>
          <w:snapToGrid/>
          <w:sz w:val="24"/>
          <w:szCs w:val="24"/>
        </w:rPr>
      </w:pPr>
      <w:r>
        <w:rPr>
          <w:rFonts w:hint="eastAsia"/>
          <w:b/>
          <w:bCs/>
          <w:snapToGrid/>
          <w:szCs w:val="32"/>
        </w:rPr>
        <w:t>档案盒管理。</w:t>
      </w:r>
      <w:r>
        <w:rPr>
          <w:snapToGrid/>
          <w:szCs w:val="24"/>
        </w:rPr>
        <w:t>根据纸质管理方式，结合系统完成电子化装盒过程。</w:t>
      </w:r>
    </w:p>
    <w:p w14:paraId="6FBD8F4E">
      <w:pPr>
        <w:pStyle w:val="5"/>
        <w:spacing w:before="0" w:after="0" w:line="600" w:lineRule="exact"/>
      </w:pPr>
      <w:r>
        <w:t>保存功能</w:t>
      </w:r>
    </w:p>
    <w:p w14:paraId="0B5EF9B8">
      <w:pPr>
        <w:numPr>
          <w:ilvl w:val="0"/>
          <w:numId w:val="5"/>
        </w:numPr>
        <w:adjustRightInd w:val="0"/>
        <w:spacing w:line="600" w:lineRule="exact"/>
        <w:ind w:left="0" w:firstLine="640" w:firstLineChars="0"/>
        <w:rPr>
          <w:snapToGrid/>
          <w:szCs w:val="24"/>
        </w:rPr>
      </w:pPr>
      <w:r>
        <w:rPr>
          <w:b/>
          <w:bCs/>
          <w:snapToGrid/>
          <w:szCs w:val="24"/>
        </w:rPr>
        <w:t>电子档案存储格式转换与信息组织。</w:t>
      </w:r>
      <w:r>
        <w:rPr>
          <w:snapToGrid/>
          <w:szCs w:val="24"/>
        </w:rPr>
        <w:t>支持电子档案存储格式的转换，将存入系统的电子档案转换为符合长期保存要求的存储格式。系统可按《电子档案移交与接收办法》和离线存储载体容量进行信息组织，将组织好的档案存至相应的离线存储载体上。</w:t>
      </w:r>
    </w:p>
    <w:p w14:paraId="5776DAE3">
      <w:pPr>
        <w:numPr>
          <w:ilvl w:val="0"/>
          <w:numId w:val="5"/>
        </w:numPr>
        <w:adjustRightInd w:val="0"/>
        <w:spacing w:line="600" w:lineRule="exact"/>
        <w:ind w:left="0" w:firstLine="640" w:firstLineChars="0"/>
        <w:rPr>
          <w:snapToGrid/>
          <w:szCs w:val="24"/>
        </w:rPr>
      </w:pPr>
      <w:r>
        <w:rPr>
          <w:b/>
          <w:bCs/>
          <w:snapToGrid/>
          <w:szCs w:val="24"/>
        </w:rPr>
        <w:t>电子档案长期保存。</w:t>
      </w:r>
      <w:r>
        <w:rPr>
          <w:snapToGrid/>
          <w:szCs w:val="24"/>
        </w:rPr>
        <w:t>支持采用迁移、仿真、封装、检测等方式保障数字档案信息的长期保管。</w:t>
      </w:r>
      <w:r>
        <w:rPr>
          <w:rFonts w:hint="eastAsia"/>
          <w:snapToGrid/>
          <w:szCs w:val="24"/>
        </w:rPr>
        <w:t>支持</w:t>
      </w:r>
      <w:r>
        <w:rPr>
          <w:snapToGrid/>
          <w:szCs w:val="24"/>
        </w:rPr>
        <w:t>对非通用格式电子档案阅读所需要的原始软硬件在系统中进行标识。</w:t>
      </w:r>
    </w:p>
    <w:p w14:paraId="6FB55650">
      <w:pPr>
        <w:numPr>
          <w:ilvl w:val="0"/>
          <w:numId w:val="5"/>
        </w:numPr>
        <w:adjustRightInd w:val="0"/>
        <w:spacing w:line="600" w:lineRule="exact"/>
        <w:ind w:left="0" w:firstLine="640" w:firstLineChars="0"/>
        <w:rPr>
          <w:snapToGrid/>
          <w:szCs w:val="24"/>
        </w:rPr>
      </w:pPr>
      <w:r>
        <w:rPr>
          <w:b/>
          <w:bCs/>
          <w:snapToGrid/>
          <w:szCs w:val="24"/>
        </w:rPr>
        <w:t>档案整理。</w:t>
      </w:r>
      <w:r>
        <w:rPr>
          <w:rFonts w:hint="eastAsia"/>
          <w:snapToGrid/>
          <w:szCs w:val="24"/>
        </w:rPr>
        <w:t>支持</w:t>
      </w:r>
      <w:r>
        <w:rPr>
          <w:snapToGrid/>
          <w:szCs w:val="24"/>
        </w:rPr>
        <w:t>依据电子档案保管和利用的业务要求分别建立相应数据库。</w:t>
      </w:r>
      <w:r>
        <w:rPr>
          <w:rFonts w:hint="eastAsia"/>
          <w:snapToGrid/>
          <w:szCs w:val="24"/>
        </w:rPr>
        <w:t>支持</w:t>
      </w:r>
      <w:r>
        <w:rPr>
          <w:snapToGrid/>
          <w:szCs w:val="24"/>
        </w:rPr>
        <w:t>根据全宗归属、分类号、保管单位序号及其整理规则、件号、件内文档排列规则等将电子档案排列定位和呈现。</w:t>
      </w:r>
    </w:p>
    <w:p w14:paraId="74704BDC">
      <w:pPr>
        <w:numPr>
          <w:ilvl w:val="0"/>
          <w:numId w:val="5"/>
        </w:numPr>
        <w:adjustRightInd w:val="0"/>
        <w:spacing w:line="600" w:lineRule="exact"/>
        <w:ind w:left="0" w:firstLine="640" w:firstLineChars="0"/>
        <w:rPr>
          <w:snapToGrid/>
          <w:szCs w:val="24"/>
        </w:rPr>
      </w:pPr>
      <w:r>
        <w:rPr>
          <w:b/>
          <w:bCs/>
          <w:snapToGrid/>
          <w:szCs w:val="24"/>
        </w:rPr>
        <w:t>备份。</w:t>
      </w:r>
      <w:r>
        <w:rPr>
          <w:snapToGrid/>
          <w:szCs w:val="24"/>
        </w:rPr>
        <w:t>支持备份，包括软件系统备份、数据库备份和电子档案备份，</w:t>
      </w:r>
      <w:r>
        <w:rPr>
          <w:rFonts w:hint="eastAsia"/>
          <w:snapToGrid/>
          <w:szCs w:val="24"/>
        </w:rPr>
        <w:t>支持</w:t>
      </w:r>
      <w:r>
        <w:rPr>
          <w:snapToGrid/>
          <w:szCs w:val="24"/>
        </w:rPr>
        <w:t>根据数据重要程度选择在线、离线等不同的备份方式。</w:t>
      </w:r>
    </w:p>
    <w:p w14:paraId="0C0FDBCD">
      <w:pPr>
        <w:numPr>
          <w:ilvl w:val="0"/>
          <w:numId w:val="5"/>
        </w:numPr>
        <w:adjustRightInd w:val="0"/>
        <w:spacing w:line="600" w:lineRule="exact"/>
        <w:ind w:left="0" w:firstLine="640" w:firstLineChars="0"/>
        <w:rPr>
          <w:snapToGrid/>
          <w:szCs w:val="24"/>
        </w:rPr>
      </w:pPr>
      <w:r>
        <w:rPr>
          <w:b/>
          <w:bCs/>
          <w:snapToGrid/>
          <w:szCs w:val="24"/>
        </w:rPr>
        <w:t>档案鉴定。</w:t>
      </w:r>
      <w:r>
        <w:rPr>
          <w:snapToGrid/>
          <w:szCs w:val="24"/>
        </w:rPr>
        <w:t>支持辅助人工完成档案的定期鉴定工作，根据保管期限、归档日期、密级等属性自动列出到期档案，提醒系统管理员或档案管理员等进行销毁前鉴定和保管期限调整、利用开放、密级调整等相关操作。支持开放鉴定。</w:t>
      </w:r>
    </w:p>
    <w:p w14:paraId="1164EFB6">
      <w:pPr>
        <w:numPr>
          <w:ilvl w:val="0"/>
          <w:numId w:val="5"/>
        </w:numPr>
        <w:adjustRightInd w:val="0"/>
        <w:spacing w:line="600" w:lineRule="exact"/>
        <w:ind w:left="0" w:firstLine="640" w:firstLineChars="0"/>
        <w:rPr>
          <w:snapToGrid/>
          <w:szCs w:val="24"/>
        </w:rPr>
      </w:pPr>
      <w:r>
        <w:rPr>
          <w:b/>
          <w:bCs/>
          <w:snapToGrid/>
          <w:szCs w:val="24"/>
        </w:rPr>
        <w:t>销毁管理。</w:t>
      </w:r>
      <w:r>
        <w:rPr>
          <w:snapToGrid/>
          <w:szCs w:val="24"/>
        </w:rPr>
        <w:t>支持对需销毁档案进行销毁申请、审批、建立销毁标记、监销、删除等操作。对于已销毁档案，系统提供销毁清册，并保存销毁日志。</w:t>
      </w:r>
    </w:p>
    <w:p w14:paraId="484BA911">
      <w:pPr>
        <w:numPr>
          <w:ilvl w:val="0"/>
          <w:numId w:val="5"/>
        </w:numPr>
        <w:adjustRightInd w:val="0"/>
        <w:spacing w:line="600" w:lineRule="exact"/>
        <w:ind w:left="0" w:firstLine="640" w:firstLineChars="0"/>
        <w:rPr>
          <w:snapToGrid/>
          <w:szCs w:val="24"/>
        </w:rPr>
      </w:pPr>
      <w:r>
        <w:rPr>
          <w:b/>
          <w:bCs/>
          <w:snapToGrid/>
          <w:szCs w:val="24"/>
        </w:rPr>
        <w:t>移交与接收。</w:t>
      </w:r>
      <w:r>
        <w:rPr>
          <w:snapToGrid/>
          <w:szCs w:val="24"/>
        </w:rPr>
        <w:t>具备根据进馆要求或其他有关要求生成移交电子档案信息包等功能，对已移交的电子档案或其他数字资源进行移交时间及去向标识。支持跨全宗移交，将一个全宗单位整理好的档案移交至另外一个全宗单位保管或利用。支持对接收档案的条目信息和电子附件进行检查，并做退回或接收处理。</w:t>
      </w:r>
    </w:p>
    <w:p w14:paraId="51D00360">
      <w:pPr>
        <w:numPr>
          <w:ilvl w:val="0"/>
          <w:numId w:val="5"/>
        </w:numPr>
        <w:adjustRightInd w:val="0"/>
        <w:spacing w:line="600" w:lineRule="exact"/>
        <w:ind w:left="0" w:firstLine="640" w:firstLineChars="0"/>
        <w:rPr>
          <w:color w:val="000000" w:themeColor="text1"/>
          <w14:textFill>
            <w14:solidFill>
              <w14:schemeClr w14:val="tx1"/>
            </w14:solidFill>
          </w14:textFill>
        </w:rPr>
      </w:pPr>
      <w:r>
        <w:rPr>
          <w:b/>
          <w:bCs/>
          <w:snapToGrid/>
          <w:szCs w:val="24"/>
        </w:rPr>
        <w:t>介质管理。</w:t>
      </w:r>
      <w:r>
        <w:rPr>
          <w:snapToGrid/>
          <w:szCs w:val="24"/>
        </w:rPr>
        <w:t>支持对存放电子档案存储介质的统一管理，系统管理员可根据介质保管的实际需求为相应电子档案设置相应的存储介质</w:t>
      </w:r>
      <w:r>
        <w:rPr>
          <w:rFonts w:hint="eastAsia"/>
          <w:snapToGrid/>
          <w:szCs w:val="24"/>
          <w:lang w:eastAsia="zh-CN"/>
        </w:rPr>
        <w:t>。</w:t>
      </w:r>
      <w:r>
        <w:rPr>
          <w:snapToGrid/>
          <w:szCs w:val="24"/>
        </w:rPr>
        <w:t>具有介质预警功能，当剩余容量达到设定闹值时，通知系统管理员</w:t>
      </w:r>
      <w:r>
        <w:t>。</w:t>
      </w:r>
    </w:p>
    <w:p w14:paraId="02501878">
      <w:pPr>
        <w:pStyle w:val="5"/>
        <w:spacing w:before="0" w:after="0" w:line="600" w:lineRule="exact"/>
      </w:pPr>
      <w:bookmarkStart w:id="39" w:name="_Toc2282662"/>
      <w:r>
        <w:t>统计功能</w:t>
      </w:r>
    </w:p>
    <w:p w14:paraId="64D65FC7">
      <w:pPr>
        <w:numPr>
          <w:ilvl w:val="0"/>
          <w:numId w:val="6"/>
        </w:numPr>
        <w:adjustRightInd w:val="0"/>
        <w:spacing w:line="600" w:lineRule="exact"/>
        <w:ind w:left="0" w:firstLine="640" w:firstLineChars="0"/>
        <w:rPr>
          <w:snapToGrid/>
          <w:szCs w:val="24"/>
        </w:rPr>
      </w:pPr>
      <w:r>
        <w:rPr>
          <w:b/>
          <w:bCs/>
          <w:snapToGrid/>
          <w:szCs w:val="24"/>
        </w:rPr>
        <w:t>电子档案统计。</w:t>
      </w:r>
      <w:r>
        <w:rPr>
          <w:snapToGrid/>
          <w:szCs w:val="24"/>
        </w:rPr>
        <w:t>支持按照全宗、分类、时间、文件格式、利用情况等设定规则进行统计、结果显示和打印，并以电子文件形式输出统计数据，支持自定义报表功能。统计结果能按《全国档案事业统计年报制度》给定格式输出统计数据。</w:t>
      </w:r>
    </w:p>
    <w:p w14:paraId="5692A407">
      <w:pPr>
        <w:numPr>
          <w:ilvl w:val="0"/>
          <w:numId w:val="6"/>
        </w:numPr>
        <w:adjustRightInd w:val="0"/>
        <w:spacing w:line="600" w:lineRule="exact"/>
        <w:ind w:left="0" w:firstLine="640" w:firstLineChars="0"/>
        <w:rPr>
          <w:rFonts w:eastAsia="宋体"/>
          <w:snapToGrid/>
          <w:sz w:val="24"/>
          <w:szCs w:val="24"/>
        </w:rPr>
      </w:pPr>
      <w:r>
        <w:rPr>
          <w:b/>
          <w:bCs/>
          <w:snapToGrid/>
          <w:szCs w:val="24"/>
        </w:rPr>
        <w:t>报表模版管理。</w:t>
      </w:r>
      <w:r>
        <w:rPr>
          <w:snapToGrid/>
          <w:szCs w:val="24"/>
        </w:rPr>
        <w:t>提供常用统计报表的模版，支持从模版建立新的报表。支持多种统计图表类型，包括柱状图、折线图、饼图、堆积条图、漏斗图、面积图等。提供报表制作工具、支持用户自定义统计报表，支持以可视化拖拉拽的方式设置图表的大小、位置、数据字段等。图表支持数据穿透，能够穿透到具体的数据源中。</w:t>
      </w:r>
    </w:p>
    <w:p w14:paraId="2EAE1E20">
      <w:pPr>
        <w:pStyle w:val="5"/>
        <w:spacing w:before="0" w:after="0" w:line="600" w:lineRule="exact"/>
      </w:pPr>
      <w:r>
        <w:t>利用功能</w:t>
      </w:r>
    </w:p>
    <w:p w14:paraId="4A3F0F0A">
      <w:pPr>
        <w:numPr>
          <w:ilvl w:val="0"/>
          <w:numId w:val="7"/>
        </w:numPr>
        <w:adjustRightInd w:val="0"/>
        <w:spacing w:line="600" w:lineRule="exact"/>
        <w:ind w:left="0" w:firstLine="640" w:firstLineChars="0"/>
        <w:rPr>
          <w:snapToGrid/>
          <w:szCs w:val="24"/>
        </w:rPr>
      </w:pPr>
      <w:r>
        <w:rPr>
          <w:b/>
          <w:bCs/>
          <w:snapToGrid/>
          <w:szCs w:val="24"/>
        </w:rPr>
        <w:t>检索。</w:t>
      </w:r>
      <w:r>
        <w:rPr>
          <w:snapToGrid/>
          <w:szCs w:val="24"/>
        </w:rPr>
        <w:t>支持按属性检索档案，具备精确检索、模糊检索、高级组合检索、筛选检索、全文检索等多种检索方式。支持权限控制、支持二次筛选。支持按照自定义分类结构树进行分类检索。支持检索后对条目进行收藏，浏览收藏的条目信息，及对收藏的条目进行借阅登记等。</w:t>
      </w:r>
    </w:p>
    <w:p w14:paraId="47CBD99C">
      <w:pPr>
        <w:numPr>
          <w:ilvl w:val="0"/>
          <w:numId w:val="7"/>
        </w:numPr>
        <w:adjustRightInd w:val="0"/>
        <w:spacing w:line="600" w:lineRule="exact"/>
        <w:ind w:left="0" w:firstLine="640" w:firstLineChars="0"/>
        <w:rPr>
          <w:snapToGrid/>
          <w:szCs w:val="24"/>
        </w:rPr>
      </w:pPr>
      <w:r>
        <w:rPr>
          <w:b/>
          <w:bCs/>
          <w:snapToGrid/>
          <w:szCs w:val="24"/>
        </w:rPr>
        <w:t>浏览。</w:t>
      </w:r>
      <w:r>
        <w:rPr>
          <w:snapToGrid/>
          <w:szCs w:val="24"/>
        </w:rPr>
        <w:t>支持对常见格式电子档案或其他数字资源进行浏览，支持常见格式多媒体电子档案或数字化档案信息的播放。具有电子档案或数字化档案信息按权限下载、打印功能。支持</w:t>
      </w:r>
      <w:r>
        <w:rPr>
          <w:rFonts w:hint="eastAsia"/>
          <w:snapToGrid/>
          <w:szCs w:val="24"/>
        </w:rPr>
        <w:t>在线预览、</w:t>
      </w:r>
      <w:r>
        <w:rPr>
          <w:snapToGrid/>
          <w:szCs w:val="24"/>
        </w:rPr>
        <w:t>下载、打印时对档案加注动态水印。</w:t>
      </w:r>
    </w:p>
    <w:p w14:paraId="1C3702E1">
      <w:pPr>
        <w:numPr>
          <w:ilvl w:val="0"/>
          <w:numId w:val="7"/>
        </w:numPr>
        <w:adjustRightInd w:val="0"/>
        <w:spacing w:line="600" w:lineRule="exact"/>
        <w:ind w:left="0" w:firstLine="640" w:firstLineChars="0"/>
        <w:rPr>
          <w:snapToGrid/>
          <w:szCs w:val="24"/>
        </w:rPr>
      </w:pPr>
      <w:r>
        <w:rPr>
          <w:b/>
          <w:bCs/>
          <w:snapToGrid/>
          <w:szCs w:val="24"/>
        </w:rPr>
        <w:t>借阅。</w:t>
      </w:r>
      <w:r>
        <w:rPr>
          <w:snapToGrid/>
          <w:szCs w:val="24"/>
        </w:rPr>
        <w:t>支持电子档案借阅申请、审批、授权，具有实体档案借阅预约、催还、归还等功能，审批流程符合档案利用管理制度。支持借阅日志管理和统计功能。支持个人借阅记录查看。</w:t>
      </w:r>
    </w:p>
    <w:p w14:paraId="662A6640">
      <w:pPr>
        <w:numPr>
          <w:ilvl w:val="0"/>
          <w:numId w:val="7"/>
        </w:numPr>
        <w:adjustRightInd w:val="0"/>
        <w:spacing w:line="600" w:lineRule="exact"/>
        <w:ind w:left="0" w:firstLine="640" w:firstLineChars="0"/>
        <w:rPr>
          <w:snapToGrid/>
          <w:szCs w:val="24"/>
        </w:rPr>
      </w:pPr>
      <w:r>
        <w:rPr>
          <w:b/>
          <w:bCs/>
          <w:snapToGrid/>
          <w:szCs w:val="24"/>
        </w:rPr>
        <w:t>编研。</w:t>
      </w:r>
      <w:r>
        <w:rPr>
          <w:snapToGrid/>
          <w:szCs w:val="24"/>
        </w:rPr>
        <w:t>支持用户根据实际需求设置编研专题，如全宗介绍、组织沿革、大事记等。</w:t>
      </w:r>
      <w:r>
        <w:rPr>
          <w:rFonts w:hint="eastAsia"/>
          <w:snapToGrid/>
          <w:szCs w:val="24"/>
        </w:rPr>
        <w:t>支持</w:t>
      </w:r>
      <w:r>
        <w:rPr>
          <w:snapToGrid/>
          <w:szCs w:val="24"/>
        </w:rPr>
        <w:t>自动将符合该专题条件的档案进行归集。</w:t>
      </w:r>
    </w:p>
    <w:p w14:paraId="167E9580">
      <w:pPr>
        <w:numPr>
          <w:ilvl w:val="0"/>
          <w:numId w:val="7"/>
        </w:numPr>
        <w:adjustRightInd w:val="0"/>
        <w:spacing w:line="600" w:lineRule="exact"/>
        <w:ind w:left="0" w:firstLine="640" w:firstLineChars="0"/>
        <w:rPr>
          <w:snapToGrid/>
          <w:szCs w:val="24"/>
        </w:rPr>
      </w:pPr>
      <w:r>
        <w:rPr>
          <w:rFonts w:hint="eastAsia"/>
          <w:b/>
          <w:bCs/>
          <w:snapToGrid w:val="0"/>
          <w:szCs w:val="30"/>
        </w:rPr>
        <w:t>开放利用设置。</w:t>
      </w:r>
      <w:r>
        <w:rPr>
          <w:rFonts w:hint="eastAsia"/>
          <w:snapToGrid w:val="0"/>
          <w:szCs w:val="30"/>
        </w:rPr>
        <w:t>支持对目录数据及全文设置开放利</w:t>
      </w:r>
      <w:r>
        <w:rPr>
          <w:snapToGrid/>
          <w:szCs w:val="24"/>
        </w:rPr>
        <w:t>用标识。</w:t>
      </w:r>
    </w:p>
    <w:p w14:paraId="51499B99">
      <w:pPr>
        <w:numPr>
          <w:ilvl w:val="0"/>
          <w:numId w:val="7"/>
        </w:numPr>
        <w:adjustRightInd w:val="0"/>
        <w:spacing w:line="600" w:lineRule="exact"/>
        <w:ind w:left="0" w:firstLine="640" w:firstLineChars="0"/>
        <w:rPr>
          <w:snapToGrid/>
          <w:szCs w:val="24"/>
        </w:rPr>
      </w:pPr>
      <w:r>
        <w:rPr>
          <w:b/>
          <w:bCs/>
          <w:snapToGrid/>
          <w:szCs w:val="24"/>
        </w:rPr>
        <w:t>复制管理。</w:t>
      </w:r>
      <w:r>
        <w:rPr>
          <w:snapToGrid/>
          <w:szCs w:val="24"/>
        </w:rPr>
        <w:t>具有电子档案复制申请、审批功能，能够进行复制。具有实体档案复制申请、审批、复制件分发登记等功能。</w:t>
      </w:r>
    </w:p>
    <w:p w14:paraId="02D5B28F">
      <w:pPr>
        <w:numPr>
          <w:ilvl w:val="0"/>
          <w:numId w:val="7"/>
        </w:numPr>
        <w:adjustRightInd w:val="0"/>
        <w:spacing w:line="600" w:lineRule="exact"/>
        <w:ind w:left="0" w:firstLine="640" w:firstLineChars="0"/>
        <w:rPr>
          <w:snapToGrid/>
          <w:szCs w:val="24"/>
        </w:rPr>
      </w:pPr>
      <w:r>
        <w:rPr>
          <w:b/>
          <w:bCs/>
          <w:snapToGrid/>
          <w:szCs w:val="24"/>
        </w:rPr>
        <w:t>利用效果反馈。</w:t>
      </w:r>
      <w:r>
        <w:rPr>
          <w:snapToGrid/>
          <w:szCs w:val="24"/>
        </w:rPr>
        <w:t>支持用户对利用档案产生的经济效益或社会效益进行反馈。</w:t>
      </w:r>
    </w:p>
    <w:p w14:paraId="287F08CB">
      <w:pPr>
        <w:numPr>
          <w:ilvl w:val="0"/>
          <w:numId w:val="7"/>
        </w:numPr>
        <w:adjustRightInd w:val="0"/>
        <w:spacing w:line="600" w:lineRule="exact"/>
        <w:ind w:left="0" w:firstLine="640" w:firstLineChars="0"/>
        <w:rPr>
          <w:rFonts w:eastAsia="宋体"/>
          <w:snapToGrid/>
          <w:sz w:val="24"/>
          <w:szCs w:val="24"/>
        </w:rPr>
      </w:pPr>
      <w:r>
        <w:rPr>
          <w:b/>
          <w:bCs/>
          <w:snapToGrid/>
          <w:szCs w:val="24"/>
        </w:rPr>
        <w:t>监督指导。</w:t>
      </w:r>
      <w:r>
        <w:rPr>
          <w:snapToGrid/>
          <w:szCs w:val="24"/>
        </w:rPr>
        <w:t>支持指导单位对各全宗的档案条目以</w:t>
      </w:r>
      <w:r>
        <w:rPr>
          <w:rFonts w:hint="eastAsia"/>
          <w:snapToGrid/>
          <w:szCs w:val="24"/>
        </w:rPr>
        <w:t>批次</w:t>
      </w:r>
      <w:r>
        <w:rPr>
          <w:snapToGrid/>
          <w:szCs w:val="24"/>
        </w:rPr>
        <w:t>进行监督指导，并填写指导意见。支持被指导单位查看指导意见，可修改被指导条目，并对指导意见进行回复，指导单位可查看其回复。</w:t>
      </w:r>
    </w:p>
    <w:p w14:paraId="76B302D6">
      <w:pPr>
        <w:numPr>
          <w:ilvl w:val="0"/>
          <w:numId w:val="7"/>
        </w:numPr>
        <w:adjustRightInd w:val="0"/>
        <w:spacing w:line="600" w:lineRule="exact"/>
        <w:ind w:left="0" w:firstLine="640" w:firstLineChars="0"/>
      </w:pPr>
      <w:r>
        <w:rPr>
          <w:rFonts w:hint="eastAsia"/>
          <w:b/>
          <w:bCs/>
          <w:snapToGrid/>
          <w:szCs w:val="24"/>
        </w:rPr>
        <w:t>知识管理</w:t>
      </w:r>
      <w:r>
        <w:rPr>
          <w:b/>
          <w:bCs/>
          <w:snapToGrid/>
          <w:szCs w:val="24"/>
        </w:rPr>
        <w:t>。</w:t>
      </w:r>
      <w:r>
        <w:rPr>
          <w:rFonts w:hint="eastAsia"/>
          <w:snapToGrid/>
          <w:szCs w:val="24"/>
        </w:rPr>
        <w:t>支持根据需要开发知识管理功能，支持档案信息的知识标签，知识地图、档案信息深层次加工、档案信息主动推送等。</w:t>
      </w:r>
    </w:p>
    <w:p w14:paraId="268FDDB6">
      <w:pPr>
        <w:pStyle w:val="5"/>
        <w:spacing w:before="0" w:after="0" w:line="600" w:lineRule="exact"/>
      </w:pPr>
      <w:r>
        <w:t>库房管理</w:t>
      </w:r>
    </w:p>
    <w:p w14:paraId="38545C4E">
      <w:pPr>
        <w:numPr>
          <w:ilvl w:val="0"/>
          <w:numId w:val="8"/>
        </w:numPr>
        <w:adjustRightInd w:val="0"/>
        <w:spacing w:line="600" w:lineRule="exact"/>
        <w:ind w:left="0" w:firstLine="640" w:firstLineChars="0"/>
        <w:rPr>
          <w:snapToGrid/>
          <w:szCs w:val="24"/>
        </w:rPr>
      </w:pPr>
      <w:r>
        <w:rPr>
          <w:b/>
          <w:bCs/>
          <w:snapToGrid/>
          <w:szCs w:val="24"/>
        </w:rPr>
        <w:t>库房信息维护。</w:t>
      </w:r>
      <w:r>
        <w:rPr>
          <w:snapToGrid/>
          <w:szCs w:val="24"/>
        </w:rPr>
        <w:t>维护库房、区、面、格位信息。采用树形结构与图形方式展示库房架位、格位、档案盒、盒内文件。</w:t>
      </w:r>
    </w:p>
    <w:p w14:paraId="26254974">
      <w:pPr>
        <w:numPr>
          <w:ilvl w:val="0"/>
          <w:numId w:val="8"/>
        </w:numPr>
        <w:adjustRightInd w:val="0"/>
        <w:spacing w:line="600" w:lineRule="exact"/>
        <w:ind w:left="0" w:firstLine="640" w:firstLineChars="0"/>
        <w:rPr>
          <w:snapToGrid/>
          <w:szCs w:val="24"/>
        </w:rPr>
      </w:pPr>
      <w:r>
        <w:rPr>
          <w:b/>
          <w:bCs/>
          <w:snapToGrid/>
          <w:szCs w:val="24"/>
        </w:rPr>
        <w:t>档案上架</w:t>
      </w:r>
      <w:r>
        <w:rPr>
          <w:snapToGrid/>
          <w:szCs w:val="24"/>
        </w:rPr>
        <w:t>。将已整理完成的档案放入库房中的相应位置。根据档案的整理方式的不同，提供按条目上架和按盒上架的方式。</w:t>
      </w:r>
    </w:p>
    <w:p w14:paraId="220CEABD">
      <w:pPr>
        <w:numPr>
          <w:ilvl w:val="0"/>
          <w:numId w:val="8"/>
        </w:numPr>
        <w:adjustRightInd w:val="0"/>
        <w:spacing w:line="600" w:lineRule="exact"/>
        <w:ind w:left="0" w:firstLine="640" w:firstLineChars="0"/>
        <w:rPr>
          <w:snapToGrid/>
          <w:szCs w:val="24"/>
        </w:rPr>
      </w:pPr>
      <w:r>
        <w:rPr>
          <w:b/>
          <w:bCs/>
          <w:snapToGrid/>
          <w:szCs w:val="24"/>
        </w:rPr>
        <w:t>档案出入库</w:t>
      </w:r>
      <w:r>
        <w:rPr>
          <w:snapToGrid/>
          <w:szCs w:val="24"/>
        </w:rPr>
        <w:t>。将提供图形出库、检索出库和批次出库。对已出库的实体档案执行入库操作，入库操作只针对原址入库。支持档案在同一库房同一货架的不同格位、同一库房不同货架、不同库房之间的移架功能。</w:t>
      </w:r>
    </w:p>
    <w:p w14:paraId="0A26A4B8">
      <w:pPr>
        <w:numPr>
          <w:ilvl w:val="0"/>
          <w:numId w:val="8"/>
        </w:numPr>
        <w:adjustRightInd w:val="0"/>
        <w:spacing w:line="600" w:lineRule="exact"/>
        <w:ind w:left="0" w:firstLine="640" w:firstLineChars="0"/>
        <w:rPr>
          <w:snapToGrid/>
          <w:szCs w:val="24"/>
        </w:rPr>
      </w:pPr>
      <w:r>
        <w:rPr>
          <w:b/>
          <w:bCs/>
          <w:snapToGrid/>
          <w:szCs w:val="24"/>
        </w:rPr>
        <w:t>库房浏览</w:t>
      </w:r>
      <w:r>
        <w:rPr>
          <w:snapToGrid/>
          <w:szCs w:val="24"/>
        </w:rPr>
        <w:t>。</w:t>
      </w:r>
      <w:r>
        <w:rPr>
          <w:rFonts w:hint="eastAsia"/>
          <w:snapToGrid/>
          <w:szCs w:val="24"/>
        </w:rPr>
        <w:t>支持</w:t>
      </w:r>
      <w:r>
        <w:rPr>
          <w:snapToGrid/>
          <w:szCs w:val="24"/>
        </w:rPr>
        <w:t>查看各个库房的上架库存量，库房的基本信息、上架记录、出库记录和入库记录。</w:t>
      </w:r>
    </w:p>
    <w:p w14:paraId="17520B4A">
      <w:pPr>
        <w:numPr>
          <w:ilvl w:val="0"/>
          <w:numId w:val="8"/>
        </w:numPr>
        <w:adjustRightInd w:val="0"/>
        <w:spacing w:line="600" w:lineRule="exact"/>
        <w:ind w:left="0" w:firstLine="640" w:firstLineChars="0"/>
        <w:rPr>
          <w:snapToGrid/>
          <w:szCs w:val="24"/>
        </w:rPr>
      </w:pPr>
      <w:r>
        <w:rPr>
          <w:b/>
          <w:bCs/>
          <w:snapToGrid/>
          <w:szCs w:val="24"/>
        </w:rPr>
        <w:t>日常维护登记</w:t>
      </w:r>
      <w:r>
        <w:rPr>
          <w:snapToGrid/>
          <w:szCs w:val="24"/>
        </w:rPr>
        <w:t>。支持库房管理员对日常巡检情况进行记录，包括档案的存储状况、库房门禁、温湿度、密集架、视频监控等仪器设备的检查情况。支持库房人员出入库登记。支持信息批量导入\导出功能。</w:t>
      </w:r>
    </w:p>
    <w:p w14:paraId="17F9A08F">
      <w:pPr>
        <w:pStyle w:val="5"/>
        <w:spacing w:before="0" w:after="0" w:line="600" w:lineRule="exact"/>
      </w:pPr>
      <w:r>
        <w:t>系统管理功能</w:t>
      </w:r>
    </w:p>
    <w:p w14:paraId="48318E79">
      <w:pPr>
        <w:numPr>
          <w:ilvl w:val="0"/>
          <w:numId w:val="9"/>
        </w:numPr>
        <w:adjustRightInd w:val="0"/>
        <w:spacing w:line="600" w:lineRule="exact"/>
        <w:ind w:left="0" w:firstLine="640" w:firstLineChars="0"/>
        <w:rPr>
          <w:snapToGrid/>
          <w:szCs w:val="24"/>
        </w:rPr>
      </w:pPr>
      <w:r>
        <w:rPr>
          <w:b/>
          <w:bCs/>
          <w:snapToGrid/>
          <w:szCs w:val="24"/>
        </w:rPr>
        <w:t>日志管理。</w:t>
      </w:r>
      <w:r>
        <w:rPr>
          <w:snapToGrid/>
          <w:szCs w:val="24"/>
        </w:rPr>
        <w:t>应有日志记载功能，记录系统启动和关闭信息、用户登录信息等，每条日志至少应记录操作对象、用户、时间、计算机、操作类型等属性。提供针对日志的检索、审计、统计功能。支持按照一定规则自动生成日志审计报表，支持日志导出删除、审批等操作。</w:t>
      </w:r>
    </w:p>
    <w:p w14:paraId="47EB6CA4">
      <w:pPr>
        <w:numPr>
          <w:ilvl w:val="0"/>
          <w:numId w:val="9"/>
        </w:numPr>
        <w:adjustRightInd w:val="0"/>
        <w:spacing w:line="600" w:lineRule="exact"/>
        <w:ind w:left="0" w:firstLine="640" w:firstLineChars="0"/>
        <w:rPr>
          <w:snapToGrid/>
          <w:szCs w:val="24"/>
        </w:rPr>
      </w:pPr>
      <w:r>
        <w:rPr>
          <w:b/>
          <w:bCs/>
          <w:snapToGrid/>
          <w:szCs w:val="24"/>
        </w:rPr>
        <w:t>系统设置。</w:t>
      </w:r>
      <w:r>
        <w:rPr>
          <w:snapToGrid/>
          <w:szCs w:val="24"/>
        </w:rPr>
        <w:t>支持对档案流程化管理，可根据不同类别档案管理要求设置相应管理流程，可对流程进行跟踪与回溯。支持代码表的设置维护，如:年度、保管期限、密级、部门、分类号等代码。系统中的分类方案可根据用户需求增减。支持元数据的设置维护，可以定义字段名称、类型、是否为空、是否唯一、字符串长度限制、取值范围、组合字段等信息。</w:t>
      </w:r>
      <w:r>
        <w:rPr>
          <w:rFonts w:hint="eastAsia"/>
          <w:snapToGrid/>
          <w:szCs w:val="24"/>
          <w:lang w:val="en-US" w:eastAsia="zh-CN"/>
        </w:rPr>
        <w:t>具备全宗设置功能，能实现区分全宗进行管理。</w:t>
      </w:r>
    </w:p>
    <w:p w14:paraId="154B833D">
      <w:pPr>
        <w:numPr>
          <w:ilvl w:val="0"/>
          <w:numId w:val="9"/>
        </w:numPr>
        <w:adjustRightInd w:val="0"/>
        <w:spacing w:line="600" w:lineRule="exact"/>
        <w:ind w:left="0" w:firstLine="640" w:firstLineChars="0"/>
        <w:rPr>
          <w:snapToGrid/>
          <w:szCs w:val="24"/>
        </w:rPr>
      </w:pPr>
      <w:r>
        <w:rPr>
          <w:b/>
          <w:bCs/>
          <w:snapToGrid/>
          <w:szCs w:val="24"/>
        </w:rPr>
        <w:t>用户管理。</w:t>
      </w:r>
      <w:r>
        <w:rPr>
          <w:snapToGrid/>
          <w:szCs w:val="24"/>
        </w:rPr>
        <w:t>支持直接录入用户信息和通过接口方式读取其他系统中的用户信息，</w:t>
      </w:r>
      <w:r>
        <w:rPr>
          <w:rFonts w:hint="eastAsia"/>
          <w:snapToGrid/>
          <w:szCs w:val="24"/>
          <w:lang w:val="en-US" w:eastAsia="zh-CN"/>
        </w:rPr>
        <w:t>支持用户与IP地址绑定，</w:t>
      </w:r>
      <w:r>
        <w:rPr>
          <w:snapToGrid/>
          <w:szCs w:val="24"/>
        </w:rPr>
        <w:t>支持“三员”分立。</w:t>
      </w:r>
    </w:p>
    <w:p w14:paraId="33B63740">
      <w:pPr>
        <w:numPr>
          <w:ilvl w:val="0"/>
          <w:numId w:val="9"/>
        </w:numPr>
        <w:adjustRightInd w:val="0"/>
        <w:spacing w:line="600" w:lineRule="exact"/>
        <w:ind w:left="0" w:firstLine="640" w:firstLineChars="0"/>
        <w:rPr>
          <w:snapToGrid/>
          <w:szCs w:val="24"/>
        </w:rPr>
      </w:pPr>
      <w:r>
        <w:rPr>
          <w:b/>
          <w:bCs/>
          <w:snapToGrid/>
          <w:szCs w:val="24"/>
        </w:rPr>
        <w:t>组织机构设置管理。</w:t>
      </w:r>
      <w:r>
        <w:rPr>
          <w:snapToGrid/>
          <w:szCs w:val="24"/>
        </w:rPr>
        <w:t>支持直接录入组织机构信息和通过接口方式读取集团统一认证系统中的组织机构信息。支持组织机构的多级管理功能。</w:t>
      </w:r>
    </w:p>
    <w:p w14:paraId="1BED57B1">
      <w:pPr>
        <w:numPr>
          <w:ilvl w:val="0"/>
          <w:numId w:val="9"/>
        </w:numPr>
        <w:adjustRightInd w:val="0"/>
        <w:spacing w:line="600" w:lineRule="exact"/>
        <w:ind w:left="0" w:firstLine="640" w:firstLineChars="0"/>
        <w:rPr>
          <w:snapToGrid/>
          <w:szCs w:val="24"/>
        </w:rPr>
      </w:pPr>
      <w:r>
        <w:rPr>
          <w:b/>
          <w:bCs/>
          <w:snapToGrid/>
          <w:szCs w:val="24"/>
        </w:rPr>
        <w:t>权限管理。</w:t>
      </w:r>
      <w:r>
        <w:rPr>
          <w:snapToGrid/>
          <w:szCs w:val="24"/>
        </w:rPr>
        <w:t>具备权限管理功能，保证授权用户能够在其权限范围内进行合法操作。权限可以精细地控制指定用户对指定档案记录的访问和使用。系统应支持设置权限有效期，到期后系统自动取消权限。支持用户角色设定、权限分配。支持对档案门类、电子文件类型等多种维度权限控制。</w:t>
      </w:r>
    </w:p>
    <w:p w14:paraId="525FCF05">
      <w:pPr>
        <w:numPr>
          <w:ilvl w:val="0"/>
          <w:numId w:val="9"/>
        </w:numPr>
        <w:spacing w:line="600" w:lineRule="exact"/>
        <w:ind w:firstLine="215" w:firstLineChars="0"/>
      </w:pPr>
      <w:r>
        <w:rPr>
          <w:b/>
          <w:bCs/>
          <w:snapToGrid/>
          <w:szCs w:val="24"/>
        </w:rPr>
        <w:t>工作过程记录管理。</w:t>
      </w:r>
      <w:r>
        <w:rPr>
          <w:snapToGrid/>
          <w:szCs w:val="24"/>
        </w:rPr>
        <w:t>应具备详细记录类似全宗卷信息的功能，以记录数字档案馆</w:t>
      </w:r>
      <w:r>
        <w:rPr>
          <w:rFonts w:hint="eastAsia"/>
          <w:snapToGrid/>
          <w:szCs w:val="24"/>
          <w:lang w:eastAsia="zh-CN"/>
        </w:rPr>
        <w:t>（</w:t>
      </w:r>
      <w:r>
        <w:rPr>
          <w:snapToGrid/>
          <w:szCs w:val="24"/>
        </w:rPr>
        <w:t>室</w:t>
      </w:r>
      <w:r>
        <w:rPr>
          <w:rFonts w:hint="eastAsia"/>
          <w:snapToGrid/>
          <w:szCs w:val="24"/>
          <w:lang w:eastAsia="zh-CN"/>
        </w:rPr>
        <w:t>）</w:t>
      </w:r>
      <w:r>
        <w:rPr>
          <w:snapToGrid/>
          <w:szCs w:val="24"/>
        </w:rPr>
        <w:t>管理过程。</w:t>
      </w:r>
    </w:p>
    <w:p w14:paraId="01400345">
      <w:pPr>
        <w:pStyle w:val="5"/>
        <w:spacing w:before="0" w:after="0" w:line="600" w:lineRule="exact"/>
      </w:pPr>
      <w:r>
        <w:rPr>
          <w:rFonts w:hint="eastAsia"/>
          <w:lang w:val="en-US" w:eastAsia="zh-CN"/>
        </w:rPr>
        <w:t>传统载体档案辅助管理功能</w:t>
      </w:r>
    </w:p>
    <w:p w14:paraId="444D2EBC">
      <w:pPr>
        <w:pStyle w:val="2"/>
        <w:ind w:firstLine="643"/>
        <w:rPr>
          <w:rFonts w:hint="eastAsia"/>
          <w:b w:val="0"/>
          <w:bCs w:val="0"/>
          <w:snapToGrid/>
          <w:szCs w:val="24"/>
          <w:lang w:val="en-US" w:eastAsia="zh-CN"/>
        </w:rPr>
      </w:pPr>
      <w:r>
        <w:rPr>
          <w:rFonts w:hint="eastAsia"/>
          <w:b/>
          <w:bCs/>
          <w:snapToGrid/>
          <w:szCs w:val="24"/>
          <w:lang w:val="en-US" w:eastAsia="zh-CN"/>
        </w:rPr>
        <w:t>1.传统载体档案信息采集。</w:t>
      </w:r>
      <w:r>
        <w:rPr>
          <w:rFonts w:hint="eastAsia"/>
          <w:b w:val="0"/>
          <w:bCs w:val="0"/>
          <w:snapToGrid/>
          <w:szCs w:val="24"/>
          <w:lang w:val="en-US" w:eastAsia="zh-CN"/>
        </w:rPr>
        <w:t>具备传统载体档案目录著录和全文挂接功能，目录数据项在满足国家有关标准要求的前提下，可根据需要增减。目录数据采集时应具有校验功能。</w:t>
      </w:r>
    </w:p>
    <w:p w14:paraId="26AECFF7">
      <w:pPr>
        <w:pStyle w:val="2"/>
        <w:ind w:firstLine="643"/>
      </w:pPr>
      <w:r>
        <w:rPr>
          <w:rFonts w:hint="eastAsia"/>
          <w:b/>
          <w:bCs/>
          <w:snapToGrid/>
          <w:szCs w:val="24"/>
          <w:lang w:val="en-US" w:eastAsia="zh-CN"/>
        </w:rPr>
        <w:t>2.档案存放位置管理。</w:t>
      </w:r>
      <w:r>
        <w:rPr>
          <w:rFonts w:hint="eastAsia"/>
          <w:b w:val="0"/>
          <w:bCs w:val="0"/>
          <w:snapToGrid/>
          <w:szCs w:val="24"/>
          <w:lang w:val="en-US" w:eastAsia="zh-CN"/>
        </w:rPr>
        <w:t>能根据库房余量和档案的全宗归属、分类、档号等规则对传统载体档案提出存放位置建议，并在位置确定后进行排列定位。</w:t>
      </w:r>
    </w:p>
    <w:p w14:paraId="11F96889">
      <w:pPr>
        <w:widowControl/>
        <w:ind w:firstLine="0" w:firstLineChars="0"/>
        <w:jc w:val="left"/>
      </w:pPr>
      <w:r>
        <w:br w:type="page"/>
      </w:r>
    </w:p>
    <w:bookmarkEnd w:id="39"/>
    <w:p w14:paraId="7E08A9A8">
      <w:pPr>
        <w:pStyle w:val="3"/>
        <w:spacing w:before="0" w:after="0" w:line="600" w:lineRule="exact"/>
        <w:jc w:val="center"/>
        <w:rPr>
          <w:rFonts w:ascii="黑体" w:hAnsi="黑体" w:eastAsia="黑体" w:cs="黑体"/>
          <w:sz w:val="32"/>
          <w:szCs w:val="32"/>
        </w:rPr>
      </w:pPr>
      <w:bookmarkStart w:id="40" w:name="_Toc27360"/>
      <w:bookmarkStart w:id="41" w:name="_Toc9512"/>
      <w:bookmarkStart w:id="42" w:name="_Toc21115"/>
      <w:r>
        <w:rPr>
          <w:rFonts w:hint="eastAsia" w:ascii="黑体" w:hAnsi="黑体" w:eastAsia="黑体" w:cs="黑体"/>
          <w:sz w:val="32"/>
          <w:szCs w:val="32"/>
        </w:rPr>
        <w:t>项目实施要求</w:t>
      </w:r>
      <w:bookmarkEnd w:id="40"/>
      <w:bookmarkEnd w:id="41"/>
      <w:bookmarkEnd w:id="42"/>
    </w:p>
    <w:p w14:paraId="41D63E55">
      <w:pPr>
        <w:pStyle w:val="4"/>
        <w:spacing w:before="0" w:after="0" w:line="600" w:lineRule="exact"/>
        <w:rPr>
          <w:rFonts w:ascii="Times New Roman" w:hAnsi="Times New Roman"/>
        </w:rPr>
      </w:pPr>
      <w:bookmarkStart w:id="43" w:name="_Toc16437"/>
      <w:bookmarkStart w:id="44" w:name="_Toc2590"/>
      <w:bookmarkStart w:id="45" w:name="_Toc7459"/>
      <w:r>
        <w:rPr>
          <w:rFonts w:ascii="Times New Roman" w:hAnsi="Times New Roman"/>
        </w:rPr>
        <w:t>技术要求</w:t>
      </w:r>
      <w:bookmarkEnd w:id="43"/>
      <w:bookmarkEnd w:id="44"/>
      <w:bookmarkEnd w:id="45"/>
    </w:p>
    <w:p w14:paraId="0CD5ECF3">
      <w:pPr>
        <w:pStyle w:val="5"/>
        <w:spacing w:before="0" w:after="0" w:line="600" w:lineRule="exact"/>
      </w:pPr>
      <w:r>
        <w:t>部署环境资源需求</w:t>
      </w:r>
    </w:p>
    <w:p w14:paraId="166DE075">
      <w:pPr>
        <w:pStyle w:val="6"/>
        <w:spacing w:before="0" w:after="0"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部署方式</w:t>
      </w:r>
    </w:p>
    <w:p w14:paraId="63F211E0">
      <w:pPr>
        <w:numPr>
          <w:ilvl w:val="0"/>
          <w:numId w:val="10"/>
        </w:numPr>
        <w:spacing w:line="600" w:lineRule="exact"/>
        <w:ind w:left="0" w:firstLine="640" w:firstLineChars="0"/>
      </w:pPr>
      <w:r>
        <w:t>系统应基于</w:t>
      </w:r>
      <w:r>
        <w:rPr>
          <w:rFonts w:hint="eastAsia"/>
        </w:rPr>
        <w:t>微服务</w:t>
      </w:r>
      <w:r>
        <w:t>技术体系设计研发</w:t>
      </w:r>
      <w:r>
        <w:rPr>
          <w:rFonts w:hint="eastAsia"/>
        </w:rPr>
        <w:t>、前后端分离</w:t>
      </w:r>
      <w:r>
        <w:t>，系统必须为平台性产品，易于客户</w:t>
      </w:r>
      <w:r>
        <w:rPr>
          <w:rFonts w:hint="eastAsia"/>
        </w:rPr>
        <w:t>二次</w:t>
      </w:r>
      <w:r>
        <w:t>开发和配置。</w:t>
      </w:r>
    </w:p>
    <w:p w14:paraId="546A43FD">
      <w:pPr>
        <w:numPr>
          <w:ilvl w:val="0"/>
          <w:numId w:val="10"/>
        </w:numPr>
        <w:spacing w:line="600" w:lineRule="exact"/>
        <w:ind w:left="0" w:firstLine="640" w:firstLineChars="0"/>
      </w:pPr>
      <w:r>
        <w:t>系统以B/S架构为主，支持</w:t>
      </w:r>
      <w:r>
        <w:rPr>
          <w:rFonts w:hint="eastAsia"/>
        </w:rPr>
        <w:t>IE（版本不低于11）、Firefox、Chrome、Edge、Opera</w:t>
      </w:r>
      <w:r>
        <w:rPr>
          <w:rFonts w:hint="eastAsia"/>
          <w:lang w:val="en-US" w:eastAsia="zh-CN"/>
        </w:rPr>
        <w:t>等</w:t>
      </w:r>
      <w:r>
        <w:t>主流浏览器访问登录。</w:t>
      </w:r>
    </w:p>
    <w:p w14:paraId="56C4CD65">
      <w:pPr>
        <w:numPr>
          <w:ilvl w:val="0"/>
          <w:numId w:val="10"/>
        </w:numPr>
        <w:spacing w:line="600" w:lineRule="exact"/>
        <w:ind w:left="0" w:firstLine="640" w:firstLineChars="0"/>
      </w:pPr>
      <w:r>
        <w:rPr>
          <w:rFonts w:hint="eastAsia"/>
          <w:lang w:eastAsia="zh-CN"/>
        </w:rPr>
        <w:t>系统能够与国产环境兼容适配</w:t>
      </w:r>
      <w:r>
        <w:t>。</w:t>
      </w:r>
    </w:p>
    <w:p w14:paraId="697CB092">
      <w:pPr>
        <w:numPr>
          <w:ilvl w:val="-1"/>
          <w:numId w:val="0"/>
        </w:numPr>
        <w:spacing w:line="240" w:lineRule="auto"/>
        <w:ind w:left="0" w:firstLine="640" w:firstLineChars="200"/>
        <w:jc w:val="left"/>
      </w:pPr>
      <w:r>
        <w:t>本项目采取多全宗大集中式部署模式，同时支持“物理集中，逻辑分级”的多全宗管理，其下属分支机构可通过</w:t>
      </w:r>
      <w:r>
        <w:rPr>
          <w:rFonts w:hint="default" w:ascii="仿宋_GB2312" w:hAnsi="Times New Roman" w:eastAsia="仿宋_GB2312" w:cs="仿宋_GB2312"/>
          <w:bCs w:val="0"/>
          <w:snapToGrid w:val="0"/>
          <w:kern w:val="0"/>
          <w:sz w:val="32"/>
          <w:szCs w:val="32"/>
          <w:lang w:val="en-US" w:eastAsia="zh-CN" w:bidi="ar"/>
          <w:woUserID w:val="1"/>
        </w:rPr>
        <w:t>组网专线或零信任</w:t>
      </w:r>
      <w:r>
        <w:t>访问该系统。</w:t>
      </w:r>
      <w:r>
        <w:rPr>
          <w:position w:val="-121"/>
          <w:woUserID w:val="1"/>
        </w:rPr>
        <w:drawing>
          <wp:inline distT="0" distB="0" distL="114300" distR="114300">
            <wp:extent cx="4543425" cy="3343275"/>
            <wp:effectExtent l="0" t="0" r="952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4"/>
                    <a:stretch>
                      <a:fillRect/>
                    </a:stretch>
                  </pic:blipFill>
                  <pic:spPr>
                    <a:xfrm>
                      <a:off x="0" y="0"/>
                      <a:ext cx="4543425" cy="3343275"/>
                    </a:xfrm>
                    <a:prstGeom prst="rect">
                      <a:avLst/>
                    </a:prstGeom>
                  </pic:spPr>
                </pic:pic>
              </a:graphicData>
            </a:graphic>
          </wp:inline>
        </w:drawing>
      </w:r>
    </w:p>
    <w:p w14:paraId="185AFC7A">
      <w:pPr>
        <w:keepNext/>
        <w:keepLines/>
        <w:widowControl w:val="0"/>
        <w:numPr>
          <w:ilvl w:val="3"/>
          <w:numId w:val="1"/>
        </w:numPr>
        <w:spacing w:before="0" w:after="0" w:line="600" w:lineRule="exact"/>
        <w:ind w:firstLine="0" w:firstLineChars="0"/>
        <w:jc w:val="both"/>
        <w:outlineLvl w:val="3"/>
        <w:rPr>
          <w:rFonts w:ascii="仿宋_GB2312" w:hAnsi="仿宋_GB2312" w:eastAsia="仿宋_GB2312" w:cs="仿宋_GB2312"/>
          <w:b/>
          <w:snapToGrid w:val="0"/>
          <w:sz w:val="32"/>
          <w:szCs w:val="32"/>
          <w:lang w:val="en-US" w:eastAsia="zh-CN" w:bidi="ar-SA"/>
        </w:rPr>
      </w:pPr>
      <w:r>
        <w:rPr>
          <w:rFonts w:hint="eastAsia" w:ascii="仿宋_GB2312" w:hAnsi="仿宋_GB2312" w:eastAsia="仿宋_GB2312" w:cs="仿宋_GB2312"/>
          <w:b/>
          <w:snapToGrid w:val="0"/>
          <w:sz w:val="32"/>
          <w:szCs w:val="32"/>
          <w:lang w:val="en-US" w:eastAsia="zh-CN" w:bidi="ar-SA"/>
        </w:rPr>
        <w:t>硬件资源</w:t>
      </w:r>
    </w:p>
    <w:p w14:paraId="20F30F9E">
      <w:pPr>
        <w:pStyle w:val="2"/>
        <w:ind w:left="0" w:leftChars="0" w:firstLine="640" w:firstLineChars="200"/>
      </w:pPr>
      <w:r>
        <w:t>本</w:t>
      </w:r>
      <w:r>
        <w:rPr>
          <w:rFonts w:hint="eastAsia"/>
        </w:rPr>
        <w:t>项目运行的环境使用集团搭建的数据中心，</w:t>
      </w:r>
      <w:r>
        <w:rPr>
          <w:rFonts w:hint="eastAsia"/>
          <w:lang w:val="en-US" w:eastAsia="zh-CN"/>
        </w:rPr>
        <w:t>服务器及</w:t>
      </w:r>
      <w:r>
        <w:rPr>
          <w:rFonts w:hint="eastAsia"/>
        </w:rPr>
        <w:t>基础网络</w:t>
      </w:r>
      <w:r>
        <w:rPr>
          <w:rFonts w:hint="eastAsia"/>
          <w:lang w:val="en-US" w:eastAsia="zh-CN"/>
        </w:rPr>
        <w:t>环境</w:t>
      </w:r>
      <w:r>
        <w:rPr>
          <w:rFonts w:hint="eastAsia"/>
        </w:rPr>
        <w:t>由数据中心提供</w:t>
      </w:r>
      <w:r>
        <w:rPr>
          <w:rFonts w:hint="eastAsia"/>
          <w:lang w:val="en-US" w:eastAsia="zh-CN"/>
        </w:rPr>
        <w:t>保障，硬件资源符合通用安全可靠测评，项目部署于数据中心提供的虚拟服务器，初始配置为</w:t>
      </w:r>
      <w:r>
        <w:rPr>
          <w:rFonts w:hint="eastAsia"/>
          <w:lang w:val="en-US" w:eastAsia="zh"/>
          <w:woUserID w:val="1"/>
        </w:rPr>
        <w:t>32</w:t>
      </w:r>
      <w:r>
        <w:rPr>
          <w:rFonts w:hint="eastAsia"/>
          <w:lang w:val="en-US" w:eastAsia="zh-CN"/>
        </w:rPr>
        <w:t>核vCPU，内存容量</w:t>
      </w:r>
      <w:r>
        <w:rPr>
          <w:rFonts w:hint="eastAsia"/>
          <w:lang w:val="en-US" w:eastAsia="zh"/>
          <w:woUserID w:val="1"/>
        </w:rPr>
        <w:t>64</w:t>
      </w:r>
      <w:r>
        <w:rPr>
          <w:rFonts w:hint="eastAsia"/>
          <w:lang w:val="en-US" w:eastAsia="zh-CN"/>
        </w:rPr>
        <w:t>GB，存储空间13TB，后期可根据项目实际进行扩展</w:t>
      </w:r>
      <w:r>
        <w:rPr>
          <w:rFonts w:hint="eastAsia"/>
        </w:rPr>
        <w:t>。</w:t>
      </w:r>
    </w:p>
    <w:p w14:paraId="3D0DD730">
      <w:pPr>
        <w:pStyle w:val="6"/>
        <w:spacing w:before="0" w:after="0"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基础软件及</w:t>
      </w:r>
      <w:r>
        <w:rPr>
          <w:rFonts w:hint="eastAsia" w:ascii="仿宋_GB2312" w:hAnsi="仿宋_GB2312" w:eastAsia="仿宋_GB2312" w:cs="仿宋_GB2312"/>
          <w:sz w:val="32"/>
          <w:szCs w:val="32"/>
          <w:lang w:eastAsia="zh-CN"/>
        </w:rPr>
        <w:t>商用软件产品</w:t>
      </w:r>
    </w:p>
    <w:p w14:paraId="02046DB6">
      <w:pPr>
        <w:numPr>
          <w:ilvl w:val="0"/>
          <w:numId w:val="11"/>
        </w:numPr>
        <w:spacing w:line="600" w:lineRule="exact"/>
        <w:ind w:left="0" w:firstLine="709" w:firstLineChars="0"/>
      </w:pPr>
      <w:r>
        <w:t>采购人提供</w:t>
      </w:r>
      <w:r>
        <w:rPr>
          <w:rFonts w:hint="eastAsia"/>
        </w:rPr>
        <w:t>统信UOS</w:t>
      </w:r>
      <w:r>
        <w:rPr>
          <w:rFonts w:hint="eastAsia"/>
          <w:lang w:val="en-US" w:eastAsia="zh-CN"/>
        </w:rPr>
        <w:t>操作系统及人大金仓数据库</w:t>
      </w:r>
      <w:r>
        <w:t>。</w:t>
      </w:r>
    </w:p>
    <w:p w14:paraId="27584754">
      <w:pPr>
        <w:numPr>
          <w:ilvl w:val="0"/>
          <w:numId w:val="11"/>
        </w:numPr>
        <w:spacing w:line="600" w:lineRule="exact"/>
        <w:ind w:left="0" w:firstLine="720" w:firstLineChars="0"/>
      </w:pPr>
      <w:r>
        <w:rPr>
          <w:rFonts w:hint="eastAsia"/>
        </w:rPr>
        <w:t>本项目使用的中间件及第三方插件由</w:t>
      </w:r>
      <w:r>
        <w:rPr>
          <w:rFonts w:hint="default"/>
        </w:rPr>
        <w:t>中标人</w:t>
      </w:r>
      <w:r>
        <w:rPr>
          <w:rFonts w:hint="eastAsia"/>
        </w:rPr>
        <w:t>提供，数量需满足项目一主一备的使用需求</w:t>
      </w:r>
      <w:r>
        <w:rPr>
          <w:rFonts w:hint="eastAsia"/>
          <w:lang w:eastAsia="zh-CN"/>
        </w:rPr>
        <w:t>，</w:t>
      </w:r>
      <w:r>
        <w:rPr>
          <w:rFonts w:hint="default"/>
        </w:rPr>
        <w:t>中标人</w:t>
      </w:r>
      <w:r>
        <w:rPr>
          <w:rFonts w:hint="eastAsia"/>
        </w:rPr>
        <w:t>需保证不侵害第三方权益。</w:t>
      </w:r>
    </w:p>
    <w:p w14:paraId="4E4C6629">
      <w:pPr>
        <w:pStyle w:val="5"/>
        <w:spacing w:before="0" w:after="0" w:line="600" w:lineRule="exact"/>
      </w:pPr>
      <w:r>
        <w:t>可靠性及性能要求</w:t>
      </w:r>
    </w:p>
    <w:p w14:paraId="18526704">
      <w:pPr>
        <w:spacing w:line="600" w:lineRule="exact"/>
      </w:pPr>
      <w:r>
        <w:t>本项目基于开放、可信技术架构建设，在保证系统安全性、先进性、适用性、开放性、可维护性、扩展性、移植性的基础上，需具备以下技术性能要求。</w:t>
      </w:r>
    </w:p>
    <w:p w14:paraId="092F384F">
      <w:pPr>
        <w:numPr>
          <w:ilvl w:val="0"/>
          <w:numId w:val="12"/>
        </w:numPr>
        <w:spacing w:line="600" w:lineRule="exact"/>
        <w:ind w:left="0" w:firstLine="640" w:firstLineChars="0"/>
      </w:pPr>
      <w:r>
        <w:t>支持并发用户数不小于300。</w:t>
      </w:r>
    </w:p>
    <w:p w14:paraId="37498144">
      <w:pPr>
        <w:numPr>
          <w:ilvl w:val="0"/>
          <w:numId w:val="12"/>
        </w:numPr>
        <w:spacing w:line="600" w:lineRule="exact"/>
        <w:ind w:left="0" w:firstLine="640" w:firstLineChars="0"/>
      </w:pPr>
      <w:r>
        <w:t>具有7×24小时稳定运行的能力。</w:t>
      </w:r>
    </w:p>
    <w:p w14:paraId="3D1D3939">
      <w:pPr>
        <w:numPr>
          <w:ilvl w:val="0"/>
          <w:numId w:val="12"/>
        </w:numPr>
        <w:spacing w:line="600" w:lineRule="exact"/>
        <w:ind w:left="0" w:firstLine="640" w:firstLineChars="0"/>
      </w:pPr>
      <w:r>
        <w:t>系统处理操作响应通常不大于1秒，</w:t>
      </w:r>
      <w:r>
        <w:rPr>
          <w:rFonts w:hint="eastAsia"/>
        </w:rPr>
        <w:t>即</w:t>
      </w:r>
      <w:r>
        <w:t>普通操作触发到最终用户界面显示不得大于1秒钟。</w:t>
      </w:r>
    </w:p>
    <w:p w14:paraId="658988F2">
      <w:pPr>
        <w:numPr>
          <w:ilvl w:val="0"/>
          <w:numId w:val="12"/>
        </w:numPr>
        <w:spacing w:line="600" w:lineRule="exact"/>
        <w:ind w:left="0" w:firstLine="640" w:firstLineChars="0"/>
      </w:pPr>
      <w:r>
        <w:t>系统普通查询响应时间小于2秒，处理全文检索响应时间小于5秒。</w:t>
      </w:r>
    </w:p>
    <w:p w14:paraId="008CD62F">
      <w:pPr>
        <w:numPr>
          <w:ilvl w:val="0"/>
          <w:numId w:val="12"/>
        </w:numPr>
        <w:spacing w:line="600" w:lineRule="exact"/>
        <w:ind w:left="0" w:firstLine="640" w:firstLineChars="0"/>
      </w:pPr>
      <w:r>
        <w:t>具备支持业务扩展及流程变更的需求。</w:t>
      </w:r>
    </w:p>
    <w:p w14:paraId="0FDE6E89">
      <w:pPr>
        <w:pStyle w:val="5"/>
        <w:spacing w:before="0" w:after="0" w:line="600" w:lineRule="exact"/>
      </w:pPr>
      <w:r>
        <w:t>软件授权要求</w:t>
      </w:r>
    </w:p>
    <w:p w14:paraId="2E6407FF">
      <w:pPr>
        <w:spacing w:line="600" w:lineRule="exact"/>
      </w:pPr>
      <w:r>
        <w:t>系统支持集团私有云环境部署，系统部署授权不得对服务器数量、CPU数量、档案数据量</w:t>
      </w:r>
      <w:r>
        <w:rPr>
          <w:rFonts w:hint="eastAsia"/>
          <w:lang w:eastAsia="zh-CN"/>
        </w:rPr>
        <w:t>、</w:t>
      </w:r>
      <w:r>
        <w:rPr>
          <w:rFonts w:hint="eastAsia"/>
          <w:lang w:val="en-US" w:eastAsia="zh-CN"/>
        </w:rPr>
        <w:t>单位数</w:t>
      </w:r>
      <w:r>
        <w:t>及用户数等方面进行限制。</w:t>
      </w:r>
    </w:p>
    <w:p w14:paraId="0A4287A5">
      <w:pPr>
        <w:pStyle w:val="5"/>
        <w:spacing w:before="0" w:after="0" w:line="600" w:lineRule="exact"/>
      </w:pPr>
      <w:r>
        <w:t>信息安全保障要求</w:t>
      </w:r>
    </w:p>
    <w:p w14:paraId="4FC9693E">
      <w:pPr>
        <w:numPr>
          <w:ilvl w:val="0"/>
          <w:numId w:val="13"/>
        </w:numPr>
        <w:spacing w:line="600" w:lineRule="exact"/>
        <w:ind w:left="0" w:firstLine="640" w:firstLineChars="0"/>
      </w:pPr>
      <w:r>
        <w:t>采用集团统一认证平台的身份标识与鉴权功能。</w:t>
      </w:r>
    </w:p>
    <w:p w14:paraId="4C13D8EE">
      <w:pPr>
        <w:numPr>
          <w:ilvl w:val="0"/>
          <w:numId w:val="13"/>
        </w:numPr>
        <w:spacing w:line="600" w:lineRule="exact"/>
        <w:ind w:left="0" w:firstLine="640" w:firstLineChars="0"/>
      </w:pPr>
      <w:r>
        <w:t>系统应有数据库灾备方案，支持数据定时同步、远程同步，具备容灾、备份、恢复、迁移等功能，兼容多点异地备份方式，支持备份恢复。</w:t>
      </w:r>
    </w:p>
    <w:p w14:paraId="4146D350">
      <w:pPr>
        <w:numPr>
          <w:ilvl w:val="0"/>
          <w:numId w:val="13"/>
        </w:numPr>
        <w:spacing w:line="600" w:lineRule="exact"/>
        <w:ind w:left="0" w:firstLine="640" w:firstLineChars="0"/>
      </w:pPr>
      <w:r>
        <w:t>以基于角色的授权原则，建立不同角色的岗位职责相对应的权限管理机制及统一的安全登陆机制。</w:t>
      </w:r>
    </w:p>
    <w:p w14:paraId="52CE90A3">
      <w:pPr>
        <w:numPr>
          <w:ilvl w:val="0"/>
          <w:numId w:val="13"/>
        </w:numPr>
        <w:spacing w:line="600" w:lineRule="exact"/>
        <w:ind w:left="0" w:firstLine="640" w:firstLineChars="0"/>
      </w:pPr>
      <w:r>
        <w:t>对数据进行分类、分区、分等级的安全防护、数据访问控制、数据加密。</w:t>
      </w:r>
    </w:p>
    <w:p w14:paraId="6A1F9407">
      <w:pPr>
        <w:numPr>
          <w:ilvl w:val="0"/>
          <w:numId w:val="13"/>
        </w:numPr>
        <w:spacing w:line="600" w:lineRule="exact"/>
        <w:ind w:left="0" w:firstLine="640" w:firstLineChars="0"/>
      </w:pPr>
      <w:r>
        <w:t>具备使用授权、监控和日志管理机制，能够对各类访问和操作进行审计。</w:t>
      </w:r>
    </w:p>
    <w:p w14:paraId="36914BA7">
      <w:pPr>
        <w:pStyle w:val="2"/>
        <w:numPr>
          <w:ilvl w:val="0"/>
          <w:numId w:val="13"/>
        </w:numPr>
        <w:ind w:left="3" w:leftChars="0" w:firstLine="637" w:firstLineChars="0"/>
        <w:rPr>
          <w:rFonts w:hint="default" w:eastAsia="仿宋_GB2312"/>
          <w:lang w:val="en-US" w:eastAsia="zh-CN"/>
        </w:rPr>
      </w:pPr>
      <w:r>
        <w:rPr>
          <w:rFonts w:hint="default" w:eastAsia="仿宋_GB2312"/>
          <w:lang w:val="en-US" w:eastAsia="zh-CN"/>
        </w:rPr>
        <w:t>系统需满足《国家信息安全等级保护基本要求》中的二级等保能力要求</w:t>
      </w:r>
      <w:r>
        <w:rPr>
          <w:rFonts w:hint="eastAsia"/>
          <w:lang w:val="en-US" w:eastAsia="zh-CN"/>
        </w:rPr>
        <w:t>，如采购人指定了第三方进行系统验收测评，</w:t>
      </w:r>
      <w:r>
        <w:rPr>
          <w:rFonts w:hint="default"/>
          <w:lang w:eastAsia="zh-CN"/>
        </w:rPr>
        <w:t>中标人</w:t>
      </w:r>
      <w:r>
        <w:rPr>
          <w:rFonts w:hint="eastAsia"/>
          <w:lang w:val="en-US" w:eastAsia="zh-CN"/>
        </w:rPr>
        <w:t>有义务配合并保证通过其测评工作。</w:t>
      </w:r>
    </w:p>
    <w:p w14:paraId="554952CF">
      <w:pPr>
        <w:pStyle w:val="5"/>
        <w:spacing w:before="0" w:after="0" w:line="600" w:lineRule="exact"/>
      </w:pPr>
      <w:r>
        <w:rPr>
          <w:rFonts w:hint="eastAsia"/>
        </w:rPr>
        <w:t>关联</w:t>
      </w:r>
      <w:r>
        <w:t>系统</w:t>
      </w:r>
      <w:r>
        <w:rPr>
          <w:rFonts w:hint="eastAsia"/>
        </w:rPr>
        <w:t>集成</w:t>
      </w:r>
      <w:r>
        <w:t>要求</w:t>
      </w:r>
    </w:p>
    <w:p w14:paraId="2F053106">
      <w:pPr>
        <w:numPr>
          <w:ilvl w:val="0"/>
          <w:numId w:val="14"/>
        </w:numPr>
        <w:spacing w:line="600" w:lineRule="exact"/>
        <w:ind w:left="0" w:firstLine="640" w:firstLineChars="0"/>
        <w:outlineLvl w:val="3"/>
      </w:pPr>
      <w:r>
        <w:t>集团致远OA系统</w:t>
      </w:r>
      <w:r>
        <w:rPr>
          <w:rFonts w:hint="eastAsia"/>
        </w:rPr>
        <w:t>对接需求</w:t>
      </w:r>
    </w:p>
    <w:p w14:paraId="35426E7F">
      <w:pPr>
        <w:numPr>
          <w:ilvl w:val="0"/>
          <w:numId w:val="15"/>
        </w:numPr>
        <w:spacing w:line="600" w:lineRule="exact"/>
        <w:ind w:left="0" w:firstLine="640" w:firstLineChars="0"/>
      </w:pPr>
      <w:r>
        <w:t>审批流程：实现档案系统与OA审批流程进行集成，可实现在OA系统中进行审批工作，无需至档案管理系统中操作。</w:t>
      </w:r>
    </w:p>
    <w:p w14:paraId="21A26E72">
      <w:pPr>
        <w:numPr>
          <w:ilvl w:val="0"/>
          <w:numId w:val="15"/>
        </w:numPr>
        <w:spacing w:line="600" w:lineRule="exact"/>
        <w:ind w:left="0" w:firstLine="640" w:firstLineChars="0"/>
      </w:pPr>
      <w:r>
        <w:t>待办提醒：</w:t>
      </w:r>
      <w:r>
        <w:rPr>
          <w:rFonts w:hint="eastAsia"/>
        </w:rPr>
        <w:t>支持</w:t>
      </w:r>
      <w:r>
        <w:t>将档案系统中的待办事项，</w:t>
      </w:r>
      <w:r>
        <w:rPr>
          <w:rFonts w:hint="eastAsia"/>
        </w:rPr>
        <w:t>按照致远开放接口推送</w:t>
      </w:r>
      <w:r>
        <w:t>至OA工作</w:t>
      </w:r>
      <w:r>
        <w:rPr>
          <w:rFonts w:hint="eastAsia"/>
        </w:rPr>
        <w:t>待办</w:t>
      </w:r>
      <w:r>
        <w:t>提醒中，方便在OA系统中及时查看和后续操作。</w:t>
      </w:r>
    </w:p>
    <w:p w14:paraId="3770ED77">
      <w:pPr>
        <w:numPr>
          <w:ilvl w:val="0"/>
          <w:numId w:val="15"/>
        </w:numPr>
        <w:spacing w:line="600" w:lineRule="exact"/>
        <w:ind w:left="0" w:firstLine="640" w:firstLineChars="0"/>
      </w:pPr>
      <w:r>
        <w:t>数据归档：</w:t>
      </w:r>
      <w:r>
        <w:rPr>
          <w:rFonts w:hint="eastAsia"/>
        </w:rPr>
        <w:t>支持</w:t>
      </w:r>
      <w:r>
        <w:t>通过OA表单</w:t>
      </w:r>
      <w:r>
        <w:rPr>
          <w:rFonts w:hint="eastAsia"/>
        </w:rPr>
        <w:t>流程或标准API接口，</w:t>
      </w:r>
      <w:r>
        <w:t>实现档案管理系统智能归档，计划每日更新一次。</w:t>
      </w:r>
    </w:p>
    <w:p w14:paraId="22AE3432">
      <w:pPr>
        <w:numPr>
          <w:ilvl w:val="0"/>
          <w:numId w:val="14"/>
        </w:numPr>
        <w:spacing w:line="600" w:lineRule="exact"/>
        <w:ind w:left="0" w:firstLine="640" w:firstLineChars="0"/>
        <w:outlineLvl w:val="3"/>
      </w:pPr>
      <w:r>
        <w:rPr>
          <w:rFonts w:hint="eastAsia"/>
        </w:rPr>
        <w:t>统一认证平台对接需求</w:t>
      </w:r>
    </w:p>
    <w:p w14:paraId="2637CDCA">
      <w:pPr>
        <w:numPr>
          <w:ilvl w:val="0"/>
          <w:numId w:val="16"/>
        </w:numPr>
        <w:spacing w:line="600" w:lineRule="exact"/>
        <w:ind w:left="0" w:firstLine="640" w:firstLineChars="0"/>
      </w:pPr>
      <w:r>
        <w:rPr>
          <w:rFonts w:hint="eastAsia"/>
        </w:rPr>
        <w:t>支持集团统一认证平台对接规范要求</w:t>
      </w:r>
      <w:r>
        <w:t>。</w:t>
      </w:r>
    </w:p>
    <w:p w14:paraId="743D1C7D">
      <w:pPr>
        <w:numPr>
          <w:ilvl w:val="0"/>
          <w:numId w:val="16"/>
        </w:numPr>
        <w:spacing w:line="600" w:lineRule="exact"/>
        <w:ind w:left="0" w:firstLine="640" w:firstLineChars="0"/>
      </w:pPr>
      <w:r>
        <w:rPr>
          <w:rFonts w:hint="eastAsia"/>
        </w:rPr>
        <w:t>支持标准的SSO协议（O</w:t>
      </w:r>
      <w:r>
        <w:t>Auth2.0</w:t>
      </w:r>
      <w:r>
        <w:rPr>
          <w:rFonts w:hint="eastAsia"/>
        </w:rPr>
        <w:t>、CAS、SAML、IODC任意一项即可），实施单点登录功能</w:t>
      </w:r>
      <w:r>
        <w:t>。</w:t>
      </w:r>
    </w:p>
    <w:p w14:paraId="0AF2F727">
      <w:pPr>
        <w:pStyle w:val="20"/>
        <w:numPr>
          <w:ilvl w:val="0"/>
          <w:numId w:val="16"/>
        </w:numPr>
        <w:ind w:left="0" w:firstLine="640" w:firstLineChars="0"/>
      </w:pPr>
      <w:r>
        <w:rPr>
          <w:rFonts w:hint="eastAsia"/>
        </w:rPr>
        <w:t>支持通过统一认证平台实现组织、账户信息的同步功能。</w:t>
      </w:r>
    </w:p>
    <w:p w14:paraId="4FBEA03E">
      <w:pPr>
        <w:numPr>
          <w:ilvl w:val="0"/>
          <w:numId w:val="14"/>
        </w:numPr>
        <w:spacing w:line="600" w:lineRule="exact"/>
        <w:ind w:left="0" w:firstLine="640" w:firstLineChars="0"/>
        <w:outlineLvl w:val="3"/>
      </w:pPr>
      <w:r>
        <w:rPr>
          <w:rFonts w:hint="eastAsia"/>
        </w:rPr>
        <w:t>第3方业务系统在线归档需求</w:t>
      </w:r>
    </w:p>
    <w:p w14:paraId="2E646204">
      <w:pPr>
        <w:numPr>
          <w:ilvl w:val="0"/>
          <w:numId w:val="0"/>
        </w:numPr>
        <w:spacing w:line="600" w:lineRule="exact"/>
        <w:ind w:left="0" w:firstLine="640" w:firstLineChars="200"/>
      </w:pPr>
      <w:r>
        <w:rPr>
          <w:rFonts w:hint="eastAsia"/>
        </w:rPr>
        <w:t>本项目实施完成后，要求</w:t>
      </w:r>
      <w:r>
        <w:rPr>
          <w:rFonts w:hint="default"/>
          <w:lang w:eastAsia="zh-CN"/>
        </w:rPr>
        <w:t>中标人</w:t>
      </w:r>
      <w:r>
        <w:rPr>
          <w:rFonts w:hint="eastAsia"/>
        </w:rPr>
        <w:t>同步建设第3方业务系统在线归档集成开发、配置规范，实现第3方业务系统与档案管理系统的数据对接、档案数据在线归档等，用于本集团其他信息化项目建设的需求输入项。提供集成开发和配置文档，包括但不限于J</w:t>
      </w:r>
      <w:r>
        <w:t>ava</w:t>
      </w:r>
      <w:r>
        <w:rPr>
          <w:rFonts w:hint="eastAsia"/>
        </w:rPr>
        <w:t>、C#、Py</w:t>
      </w:r>
      <w:r>
        <w:t>thon</w:t>
      </w:r>
      <w:r>
        <w:rPr>
          <w:rFonts w:hint="eastAsia"/>
        </w:rPr>
        <w:t>等语言的demo示例程序。</w:t>
      </w:r>
    </w:p>
    <w:p w14:paraId="69C3EC64">
      <w:pPr>
        <w:pStyle w:val="5"/>
        <w:spacing w:before="0" w:after="0" w:line="600" w:lineRule="exact"/>
      </w:pPr>
      <w:r>
        <w:t>历史数据</w:t>
      </w:r>
      <w:r>
        <w:rPr>
          <w:rFonts w:hint="eastAsia"/>
          <w:lang w:val="en-US" w:eastAsia="zh-CN"/>
        </w:rPr>
        <w:t>同步</w:t>
      </w:r>
      <w:r>
        <w:t>要求</w:t>
      </w:r>
    </w:p>
    <w:p w14:paraId="2A12C972">
      <w:pPr>
        <w:spacing w:line="600" w:lineRule="exact"/>
      </w:pPr>
      <w:r>
        <w:t>目前</w:t>
      </w:r>
      <w:r>
        <w:rPr>
          <w:rFonts w:hint="eastAsia"/>
        </w:rPr>
        <w:t>，</w:t>
      </w:r>
      <w:r>
        <w:t>集团公司依托市档案局的东莞市档案数据中心平台进行档案管理，直属企业及其下属单位</w:t>
      </w:r>
      <w:r>
        <w:rPr>
          <w:rFonts w:hint="eastAsia"/>
        </w:rPr>
        <w:t>共</w:t>
      </w:r>
      <w:r>
        <w:t>有</w:t>
      </w:r>
      <w:r>
        <w:rPr>
          <w:rFonts w:hint="eastAsia"/>
          <w:lang w:val="en-US" w:eastAsia="zh-CN"/>
        </w:rPr>
        <w:t>31</w:t>
      </w:r>
      <w:r>
        <w:t>家配置</w:t>
      </w:r>
      <w:r>
        <w:rPr>
          <w:rFonts w:hint="eastAsia"/>
          <w:lang w:val="en-US" w:eastAsia="zh-CN"/>
        </w:rPr>
        <w:t>了</w:t>
      </w:r>
      <w:r>
        <w:t>档案管理系统（</w:t>
      </w:r>
      <w:r>
        <w:rPr>
          <w:rFonts w:hint="eastAsia"/>
          <w:lang w:val="en-US" w:eastAsia="zh-CN"/>
        </w:rPr>
        <w:t>7</w:t>
      </w:r>
      <w:r>
        <w:t>家配置万维博通档案管理系统</w:t>
      </w:r>
      <w:r>
        <w:rPr>
          <w:rFonts w:hint="eastAsia"/>
        </w:rPr>
        <w:t>、</w:t>
      </w:r>
      <w:r>
        <w:rPr>
          <w:rFonts w:hint="eastAsia"/>
          <w:lang w:val="en-US" w:eastAsia="zh-CN"/>
        </w:rPr>
        <w:t>1</w:t>
      </w:r>
      <w:r>
        <w:t>家配置德鸿档案管理系统</w:t>
      </w:r>
      <w:r>
        <w:rPr>
          <w:rFonts w:hint="eastAsia"/>
        </w:rPr>
        <w:t>、</w:t>
      </w:r>
      <w:r>
        <w:rPr>
          <w:rFonts w:hint="eastAsia"/>
          <w:lang w:val="en-US" w:eastAsia="zh-CN"/>
        </w:rPr>
        <w:t>3</w:t>
      </w:r>
      <w:r>
        <w:t>家配置金沣档案管理系统</w:t>
      </w:r>
      <w:r>
        <w:rPr>
          <w:rFonts w:hint="eastAsia"/>
          <w:lang w:eastAsia="zh-CN"/>
        </w:rPr>
        <w:t>、</w:t>
      </w:r>
      <w:r>
        <w:rPr>
          <w:rFonts w:hint="eastAsia"/>
          <w:lang w:val="en-US" w:eastAsia="zh-CN"/>
        </w:rPr>
        <w:t>20家依托市档案局的东莞市档案数据中心平台进行档案管理</w:t>
      </w:r>
      <w:r>
        <w:t>），</w:t>
      </w:r>
      <w:r>
        <w:rPr>
          <w:rFonts w:hint="eastAsia"/>
        </w:rPr>
        <w:t>本</w:t>
      </w:r>
      <w:r>
        <w:t>项目</w:t>
      </w:r>
      <w:r>
        <w:rPr>
          <w:rFonts w:hint="eastAsia"/>
        </w:rPr>
        <w:t>实施要求</w:t>
      </w:r>
      <w:r>
        <w:t>将旧档案管理系统中的全部数据（包括条目和电子全文）无损转化</w:t>
      </w:r>
      <w:r>
        <w:rPr>
          <w:rFonts w:hint="eastAsia"/>
          <w:lang w:val="en-US" w:eastAsia="zh-CN"/>
        </w:rPr>
        <w:t>并一次性同步</w:t>
      </w:r>
      <w:r>
        <w:t>至本项目档案管理系统中，确保电子条目与电子原文的一一对应，建立彼此的对应关系。</w:t>
      </w:r>
    </w:p>
    <w:p w14:paraId="6003076F">
      <w:pPr>
        <w:pStyle w:val="4"/>
        <w:spacing w:before="0" w:after="0" w:line="600" w:lineRule="exact"/>
        <w:rPr>
          <w:rFonts w:ascii="Times New Roman" w:hAnsi="Times New Roman"/>
        </w:rPr>
      </w:pPr>
      <w:bookmarkStart w:id="46" w:name="_Toc32288"/>
      <w:bookmarkStart w:id="47" w:name="_Toc23855"/>
      <w:bookmarkStart w:id="48" w:name="_Toc17539"/>
      <w:r>
        <w:rPr>
          <w:rFonts w:ascii="Times New Roman" w:hAnsi="Times New Roman"/>
        </w:rPr>
        <w:t>时间进度要求</w:t>
      </w:r>
      <w:bookmarkEnd w:id="46"/>
      <w:bookmarkEnd w:id="47"/>
      <w:bookmarkEnd w:id="48"/>
    </w:p>
    <w:p w14:paraId="2C54F451">
      <w:pPr>
        <w:spacing w:line="600" w:lineRule="exact"/>
        <w:rPr>
          <w:rFonts w:hint="eastAsia"/>
        </w:rPr>
      </w:pPr>
      <w:r>
        <w:rPr>
          <w:rFonts w:hint="eastAsia"/>
        </w:rPr>
        <w:t>自合同签订之日起至项目质保期满止（</w:t>
      </w:r>
      <w:r>
        <w:rPr>
          <w:rFonts w:hint="eastAsia"/>
          <w:lang w:eastAsia="zh"/>
          <w:woUserID w:val="2"/>
        </w:rPr>
        <w:t>不少于36</w:t>
      </w:r>
      <w:r>
        <w:rPr>
          <w:rFonts w:hint="eastAsia"/>
        </w:rPr>
        <w:t>个月），具体实施工期如下：</w:t>
      </w:r>
    </w:p>
    <w:p w14:paraId="7A429789">
      <w:pPr>
        <w:spacing w:line="600" w:lineRule="exact"/>
        <w:rPr>
          <w:rFonts w:hint="eastAsia"/>
        </w:rPr>
      </w:pPr>
      <w:r>
        <w:rPr>
          <w:rFonts w:hint="eastAsia"/>
        </w:rPr>
        <w:t>（一）自合同签订之日起4个月内完成整个档案管理系统的建设</w:t>
      </w:r>
      <w:r>
        <w:rPr>
          <w:rFonts w:hint="eastAsia"/>
          <w:lang w:eastAsia="zh-CN"/>
        </w:rPr>
        <w:t>、</w:t>
      </w:r>
      <w:r>
        <w:rPr>
          <w:rFonts w:hint="eastAsia"/>
        </w:rPr>
        <w:t>部署</w:t>
      </w:r>
      <w:r>
        <w:rPr>
          <w:rFonts w:hint="eastAsia"/>
          <w:lang w:val="en-US" w:eastAsia="zh-CN"/>
        </w:rPr>
        <w:t>和</w:t>
      </w:r>
      <w:r>
        <w:rPr>
          <w:rFonts w:hint="eastAsia"/>
        </w:rPr>
        <w:t>用户培训</w:t>
      </w:r>
      <w:r>
        <w:rPr>
          <w:rFonts w:hint="eastAsia"/>
          <w:lang w:val="en-US" w:eastAsia="zh-CN"/>
        </w:rPr>
        <w:t>工作</w:t>
      </w:r>
      <w:r>
        <w:rPr>
          <w:rFonts w:hint="eastAsia"/>
        </w:rPr>
        <w:t>后，进入使用测试阶段；</w:t>
      </w:r>
    </w:p>
    <w:p w14:paraId="10F0ABC8">
      <w:pPr>
        <w:spacing w:line="600" w:lineRule="exact"/>
        <w:rPr>
          <w:rFonts w:hint="eastAsia"/>
        </w:rPr>
      </w:pPr>
      <w:r>
        <w:rPr>
          <w:rFonts w:hint="eastAsia"/>
        </w:rPr>
        <w:t>（二）使用测试阶段不少于2个月，期间反馈的主要问题修复完善后</w:t>
      </w:r>
      <w:r>
        <w:rPr>
          <w:rFonts w:hint="default"/>
        </w:rPr>
        <w:t>中标人</w:t>
      </w:r>
      <w:r>
        <w:rPr>
          <w:rFonts w:hint="eastAsia"/>
        </w:rPr>
        <w:t>可以申请项目初验；</w:t>
      </w:r>
    </w:p>
    <w:p w14:paraId="51D0227A">
      <w:pPr>
        <w:spacing w:line="600" w:lineRule="exact"/>
        <w:rPr>
          <w:rFonts w:hint="eastAsia"/>
        </w:rPr>
      </w:pPr>
      <w:r>
        <w:rPr>
          <w:rFonts w:hint="eastAsia"/>
        </w:rPr>
        <w:t>（三）初验通过即进入为期</w:t>
      </w:r>
      <w:r>
        <w:rPr>
          <w:rFonts w:hint="eastAsia"/>
          <w:lang w:val="en-US" w:eastAsia="zh-CN"/>
        </w:rPr>
        <w:t>不少于</w:t>
      </w:r>
      <w:r>
        <w:rPr>
          <w:rFonts w:hint="eastAsia"/>
        </w:rPr>
        <w:t>6个月的系统</w:t>
      </w:r>
      <w:r>
        <w:rPr>
          <w:rFonts w:hint="eastAsia"/>
          <w:lang w:val="en-US" w:eastAsia="zh-CN"/>
        </w:rPr>
        <w:t>试运行</w:t>
      </w:r>
      <w:r>
        <w:rPr>
          <w:rFonts w:hint="eastAsia"/>
        </w:rPr>
        <w:t>阶段，期间故障或系统缺陷问题需全部得到解决，且完成业务咨询及历史数据同步工作；</w:t>
      </w:r>
    </w:p>
    <w:p w14:paraId="28ECCD60">
      <w:pPr>
        <w:spacing w:line="600" w:lineRule="exact"/>
      </w:pPr>
      <w:r>
        <w:rPr>
          <w:rFonts w:hint="eastAsia"/>
        </w:rPr>
        <w:t>（四）完成试运行阶段工作后</w:t>
      </w:r>
      <w:r>
        <w:rPr>
          <w:rFonts w:hint="default"/>
        </w:rPr>
        <w:t>中标人</w:t>
      </w:r>
      <w:r>
        <w:rPr>
          <w:rFonts w:hint="eastAsia"/>
        </w:rPr>
        <w:t>可以申请项目终验，项目终验通过即进入为期</w:t>
      </w:r>
      <w:r>
        <w:rPr>
          <w:rFonts w:hint="eastAsia"/>
          <w:lang w:val="en-US" w:eastAsia="zh-CN"/>
        </w:rPr>
        <w:t>2</w:t>
      </w:r>
      <w:r>
        <w:rPr>
          <w:rFonts w:hint="eastAsia"/>
        </w:rPr>
        <w:t>年的质保期。</w:t>
      </w:r>
    </w:p>
    <w:p w14:paraId="2F9550F3">
      <w:pPr>
        <w:pStyle w:val="4"/>
        <w:spacing w:before="0" w:after="0" w:line="600" w:lineRule="exact"/>
        <w:rPr>
          <w:rFonts w:ascii="Times New Roman" w:hAnsi="Times New Roman"/>
        </w:rPr>
      </w:pPr>
      <w:bookmarkStart w:id="49" w:name="_Toc11985"/>
      <w:bookmarkStart w:id="50" w:name="_Toc12667"/>
      <w:bookmarkStart w:id="51" w:name="_Toc26347"/>
      <w:r>
        <w:rPr>
          <w:rFonts w:ascii="Times New Roman" w:hAnsi="Times New Roman"/>
        </w:rPr>
        <w:t>实施方案要求</w:t>
      </w:r>
      <w:bookmarkEnd w:id="49"/>
      <w:bookmarkEnd w:id="50"/>
      <w:bookmarkEnd w:id="51"/>
    </w:p>
    <w:p w14:paraId="7007F781">
      <w:pPr>
        <w:spacing w:line="600" w:lineRule="exact"/>
        <w:ind w:firstLine="643"/>
        <w:outlineLvl w:val="2"/>
        <w:rPr>
          <w:b/>
          <w:bCs/>
        </w:rPr>
      </w:pPr>
      <w:r>
        <w:rPr>
          <w:b/>
          <w:bCs/>
        </w:rPr>
        <w:t>1.</w:t>
      </w:r>
      <w:r>
        <w:rPr>
          <w:rFonts w:hint="eastAsia"/>
          <w:b/>
          <w:bCs/>
        </w:rPr>
        <w:t>组织架构与职责</w:t>
      </w:r>
    </w:p>
    <w:p w14:paraId="4626E3FE">
      <w:pPr>
        <w:spacing w:line="600" w:lineRule="exact"/>
      </w:pPr>
      <w:r>
        <w:t>在项目的管理过程中，采购人和中标方应共同组建项目建设小组，实</w:t>
      </w:r>
      <w:r>
        <w:rPr>
          <w:rFonts w:hint="eastAsia"/>
        </w:rPr>
        <w:t>行周</w:t>
      </w:r>
      <w:r>
        <w:t>例会制度，规划项目建设的</w:t>
      </w:r>
      <w:r>
        <w:rPr>
          <w:rFonts w:hint="eastAsia"/>
        </w:rPr>
        <w:t>计划</w:t>
      </w:r>
      <w:r>
        <w:t>、相关措施和实施办法，及时</w:t>
      </w:r>
      <w:r>
        <w:rPr>
          <w:rFonts w:hint="eastAsia"/>
        </w:rPr>
        <w:t>通报反馈</w:t>
      </w:r>
      <w:r>
        <w:t>各阶段建设情况。</w:t>
      </w:r>
    </w:p>
    <w:p w14:paraId="448FE6E1">
      <w:pPr>
        <w:spacing w:line="600" w:lineRule="exact"/>
        <w:ind w:firstLine="643"/>
        <w:outlineLvl w:val="2"/>
        <w:rPr>
          <w:b/>
          <w:bCs/>
        </w:rPr>
      </w:pPr>
      <w:r>
        <w:rPr>
          <w:b/>
          <w:bCs/>
        </w:rPr>
        <w:t>2.</w:t>
      </w:r>
      <w:r>
        <w:rPr>
          <w:rFonts w:hint="eastAsia"/>
          <w:b/>
          <w:bCs/>
        </w:rPr>
        <w:t>实施阶段划分</w:t>
      </w:r>
    </w:p>
    <w:p w14:paraId="7E00BBC2">
      <w:pPr>
        <w:spacing w:line="600" w:lineRule="exact"/>
      </w:pPr>
      <w:r>
        <w:t>在分阶段实施计划的基础上，进一步明确和细化每个阶段的工作范围、内容、人力投入、过程、责任、交付成果等。</w:t>
      </w:r>
    </w:p>
    <w:p w14:paraId="3DF0118D">
      <w:pPr>
        <w:spacing w:line="600" w:lineRule="exact"/>
        <w:ind w:firstLine="643"/>
        <w:outlineLvl w:val="2"/>
        <w:rPr>
          <w:b/>
          <w:bCs/>
        </w:rPr>
      </w:pPr>
      <w:r>
        <w:rPr>
          <w:b/>
          <w:bCs/>
        </w:rPr>
        <w:t>3.</w:t>
      </w:r>
      <w:r>
        <w:rPr>
          <w:rFonts w:hint="eastAsia"/>
          <w:b/>
          <w:bCs/>
        </w:rPr>
        <w:t>项目人员配置与责任</w:t>
      </w:r>
    </w:p>
    <w:p w14:paraId="55194629">
      <w:pPr>
        <w:spacing w:line="600" w:lineRule="exact"/>
      </w:pPr>
      <w:r>
        <w:rPr>
          <w:rFonts w:hint="eastAsia"/>
        </w:rPr>
        <w:t>中标方需建立相应的项目人员组织，设置项目负责人、业务咨询工程师、开发工程师、实施工程师、运维工程师等人员，保证项目人员的充足和人员结构的合理性，能够控制本项目整体进度和质量，保证项目按期完成。其中在需求调研及上线试运行阶段须</w:t>
      </w:r>
      <w:r>
        <w:rPr>
          <w:rFonts w:hint="eastAsia"/>
          <w:lang w:val="en-US" w:eastAsia="zh-CN"/>
        </w:rPr>
        <w:t>安排</w:t>
      </w:r>
      <w:r>
        <w:rPr>
          <w:rFonts w:hint="eastAsia"/>
        </w:rPr>
        <w:t>不少于3名项目人员驻场实施（含项目负责人、实施工程师）</w:t>
      </w:r>
      <w:r>
        <w:rPr>
          <w:rFonts w:hint="eastAsia"/>
          <w:lang w:eastAsia="zh-CN"/>
        </w:rPr>
        <w:t>，且前述两个阶段的驻场时间均不少于4周直至完成相关工作</w:t>
      </w:r>
      <w:r>
        <w:rPr>
          <w:rFonts w:hint="eastAsia"/>
        </w:rPr>
        <w:t>。项目人员要求见下表：</w:t>
      </w:r>
    </w:p>
    <w:tbl>
      <w:tblPr>
        <w:tblStyle w:val="21"/>
        <w:tblW w:w="48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64"/>
        <w:gridCol w:w="666"/>
        <w:gridCol w:w="3089"/>
        <w:gridCol w:w="3308"/>
        <w:gridCol w:w="534"/>
      </w:tblGrid>
      <w:tr w14:paraId="36327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9" w:hRule="atLeast"/>
          <w:tblHeader/>
          <w:jc w:val="center"/>
        </w:trPr>
        <w:tc>
          <w:tcPr>
            <w:tcW w:w="288" w:type="pct"/>
            <w:shd w:val="clear" w:color="auto" w:fill="auto"/>
            <w:tcMar>
              <w:top w:w="15" w:type="dxa"/>
              <w:left w:w="15" w:type="dxa"/>
              <w:right w:w="15" w:type="dxa"/>
            </w:tcMar>
            <w:vAlign w:val="center"/>
          </w:tcPr>
          <w:p w14:paraId="1EFE47F6">
            <w:pPr>
              <w:spacing w:line="360" w:lineRule="auto"/>
              <w:ind w:firstLine="0" w:firstLineChars="0"/>
              <w:jc w:val="center"/>
              <w:rPr>
                <w:rFonts w:ascii="宋体" w:hAnsi="宋体" w:eastAsia="宋体" w:cs="宋体"/>
                <w:snapToGrid/>
                <w:kern w:val="2"/>
                <w:sz w:val="21"/>
                <w:szCs w:val="21"/>
                <w:lang w:bidi="ar"/>
              </w:rPr>
            </w:pPr>
            <w:r>
              <w:rPr>
                <w:rFonts w:hint="eastAsia" w:ascii="宋体" w:hAnsi="宋体" w:eastAsia="宋体" w:cs="宋体"/>
                <w:snapToGrid/>
                <w:kern w:val="2"/>
                <w:sz w:val="21"/>
                <w:szCs w:val="21"/>
                <w:lang w:bidi="ar"/>
              </w:rPr>
              <w:t>序号</w:t>
            </w:r>
          </w:p>
        </w:tc>
        <w:tc>
          <w:tcPr>
            <w:tcW w:w="413" w:type="pct"/>
            <w:shd w:val="clear" w:color="auto" w:fill="auto"/>
            <w:tcMar>
              <w:top w:w="15" w:type="dxa"/>
              <w:left w:w="15" w:type="dxa"/>
              <w:right w:w="15" w:type="dxa"/>
            </w:tcMar>
            <w:vAlign w:val="center"/>
          </w:tcPr>
          <w:p w14:paraId="59A4BD08">
            <w:pPr>
              <w:spacing w:line="360" w:lineRule="auto"/>
              <w:ind w:firstLine="0" w:firstLineChars="0"/>
              <w:jc w:val="center"/>
              <w:rPr>
                <w:rFonts w:ascii="宋体" w:hAnsi="宋体" w:eastAsia="宋体" w:cs="宋体"/>
                <w:snapToGrid/>
                <w:kern w:val="2"/>
                <w:sz w:val="21"/>
                <w:szCs w:val="21"/>
                <w:lang w:bidi="ar"/>
              </w:rPr>
            </w:pPr>
            <w:r>
              <w:rPr>
                <w:rFonts w:hint="eastAsia" w:ascii="宋体" w:hAnsi="宋体" w:eastAsia="宋体" w:cs="宋体"/>
                <w:snapToGrid/>
                <w:kern w:val="2"/>
                <w:sz w:val="21"/>
                <w:szCs w:val="21"/>
                <w:lang w:bidi="ar"/>
              </w:rPr>
              <w:t>项目人员</w:t>
            </w:r>
          </w:p>
        </w:tc>
        <w:tc>
          <w:tcPr>
            <w:tcW w:w="1915" w:type="pct"/>
            <w:shd w:val="clear" w:color="auto" w:fill="auto"/>
            <w:tcMar>
              <w:top w:w="15" w:type="dxa"/>
              <w:left w:w="15" w:type="dxa"/>
              <w:right w:w="15" w:type="dxa"/>
            </w:tcMar>
            <w:vAlign w:val="center"/>
          </w:tcPr>
          <w:p w14:paraId="2A529EAB">
            <w:pPr>
              <w:spacing w:line="360" w:lineRule="auto"/>
              <w:ind w:firstLine="0" w:firstLineChars="0"/>
              <w:jc w:val="center"/>
              <w:rPr>
                <w:rFonts w:ascii="宋体" w:hAnsi="宋体" w:eastAsia="宋体" w:cs="宋体"/>
                <w:snapToGrid/>
                <w:kern w:val="2"/>
                <w:sz w:val="21"/>
                <w:szCs w:val="21"/>
                <w:lang w:bidi="ar"/>
              </w:rPr>
            </w:pPr>
            <w:r>
              <w:rPr>
                <w:rFonts w:hint="eastAsia" w:ascii="宋体" w:hAnsi="宋体" w:eastAsia="宋体" w:cs="宋体"/>
                <w:snapToGrid/>
                <w:kern w:val="2"/>
                <w:sz w:val="21"/>
                <w:szCs w:val="21"/>
                <w:lang w:bidi="ar"/>
              </w:rPr>
              <w:t>职责要求</w:t>
            </w:r>
          </w:p>
        </w:tc>
        <w:tc>
          <w:tcPr>
            <w:tcW w:w="2051" w:type="pct"/>
            <w:shd w:val="clear" w:color="auto" w:fill="auto"/>
            <w:tcMar>
              <w:top w:w="15" w:type="dxa"/>
              <w:left w:w="15" w:type="dxa"/>
              <w:right w:w="15" w:type="dxa"/>
            </w:tcMar>
            <w:vAlign w:val="center"/>
          </w:tcPr>
          <w:p w14:paraId="014CBE75">
            <w:pPr>
              <w:spacing w:line="360" w:lineRule="auto"/>
              <w:ind w:firstLine="0" w:firstLineChars="0"/>
              <w:jc w:val="center"/>
              <w:rPr>
                <w:rFonts w:ascii="宋体" w:hAnsi="宋体" w:eastAsia="宋体" w:cs="宋体"/>
                <w:snapToGrid/>
                <w:kern w:val="2"/>
                <w:sz w:val="21"/>
                <w:szCs w:val="21"/>
                <w:lang w:bidi="ar"/>
              </w:rPr>
            </w:pPr>
            <w:r>
              <w:rPr>
                <w:rFonts w:hint="eastAsia" w:ascii="宋体" w:hAnsi="宋体" w:eastAsia="宋体" w:cs="宋体"/>
                <w:snapToGrid/>
                <w:kern w:val="2"/>
                <w:sz w:val="21"/>
                <w:szCs w:val="21"/>
                <w:lang w:bidi="ar"/>
              </w:rPr>
              <w:t>人员要求</w:t>
            </w:r>
          </w:p>
        </w:tc>
        <w:tc>
          <w:tcPr>
            <w:tcW w:w="331" w:type="pct"/>
            <w:shd w:val="clear" w:color="auto" w:fill="auto"/>
            <w:tcMar>
              <w:top w:w="15" w:type="dxa"/>
              <w:left w:w="15" w:type="dxa"/>
              <w:right w:w="15" w:type="dxa"/>
            </w:tcMar>
            <w:vAlign w:val="center"/>
          </w:tcPr>
          <w:p w14:paraId="0CE55602">
            <w:pPr>
              <w:spacing w:line="360" w:lineRule="auto"/>
              <w:ind w:firstLine="0" w:firstLineChars="0"/>
              <w:jc w:val="center"/>
              <w:rPr>
                <w:rFonts w:ascii="宋体" w:hAnsi="宋体" w:eastAsia="宋体" w:cs="宋体"/>
                <w:snapToGrid/>
                <w:kern w:val="2"/>
                <w:sz w:val="21"/>
                <w:szCs w:val="21"/>
                <w:lang w:bidi="ar"/>
              </w:rPr>
            </w:pPr>
            <w:r>
              <w:rPr>
                <w:rFonts w:hint="eastAsia" w:ascii="宋体" w:hAnsi="宋体" w:eastAsia="宋体" w:cs="宋体"/>
                <w:snapToGrid/>
                <w:kern w:val="2"/>
                <w:sz w:val="21"/>
                <w:szCs w:val="21"/>
                <w:lang w:bidi="ar"/>
              </w:rPr>
              <w:t>人数要求</w:t>
            </w:r>
          </w:p>
        </w:tc>
      </w:tr>
      <w:tr w14:paraId="72BBB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89" w:hRule="atLeast"/>
          <w:jc w:val="center"/>
        </w:trPr>
        <w:tc>
          <w:tcPr>
            <w:tcW w:w="288" w:type="pct"/>
            <w:shd w:val="clear" w:color="auto" w:fill="auto"/>
            <w:tcMar>
              <w:top w:w="15" w:type="dxa"/>
              <w:left w:w="15" w:type="dxa"/>
              <w:right w:w="15" w:type="dxa"/>
            </w:tcMar>
            <w:vAlign w:val="center"/>
          </w:tcPr>
          <w:p w14:paraId="2FE3E2C1">
            <w:pPr>
              <w:spacing w:line="360" w:lineRule="auto"/>
              <w:ind w:firstLine="0" w:firstLineChars="0"/>
              <w:jc w:val="center"/>
              <w:rPr>
                <w:rFonts w:ascii="宋体" w:hAnsi="宋体" w:eastAsia="宋体" w:cs="宋体"/>
                <w:snapToGrid/>
                <w:kern w:val="2"/>
                <w:sz w:val="21"/>
                <w:szCs w:val="21"/>
                <w:lang w:bidi="ar"/>
              </w:rPr>
            </w:pPr>
            <w:r>
              <w:rPr>
                <w:rFonts w:hint="eastAsia" w:ascii="宋体" w:hAnsi="宋体" w:eastAsia="宋体" w:cs="宋体"/>
                <w:snapToGrid/>
                <w:kern w:val="2"/>
                <w:sz w:val="21"/>
                <w:szCs w:val="21"/>
                <w:lang w:bidi="ar"/>
              </w:rPr>
              <w:t>1</w:t>
            </w:r>
          </w:p>
        </w:tc>
        <w:tc>
          <w:tcPr>
            <w:tcW w:w="413" w:type="pct"/>
            <w:tcBorders>
              <w:bottom w:val="single" w:color="auto" w:sz="4" w:space="0"/>
            </w:tcBorders>
            <w:shd w:val="clear" w:color="auto" w:fill="auto"/>
            <w:tcMar>
              <w:top w:w="15" w:type="dxa"/>
              <w:left w:w="15" w:type="dxa"/>
              <w:right w:w="15" w:type="dxa"/>
            </w:tcMar>
            <w:vAlign w:val="center"/>
          </w:tcPr>
          <w:p w14:paraId="3AFA880C">
            <w:pPr>
              <w:spacing w:line="360" w:lineRule="auto"/>
              <w:ind w:firstLine="0" w:firstLineChars="0"/>
              <w:jc w:val="center"/>
              <w:rPr>
                <w:rFonts w:ascii="宋体" w:hAnsi="宋体" w:eastAsia="宋体" w:cs="宋体"/>
                <w:snapToGrid/>
                <w:kern w:val="2"/>
                <w:sz w:val="21"/>
                <w:szCs w:val="21"/>
                <w:lang w:bidi="ar"/>
              </w:rPr>
            </w:pPr>
            <w:r>
              <w:rPr>
                <w:rFonts w:hint="eastAsia" w:ascii="宋体" w:hAnsi="宋体" w:eastAsia="宋体" w:cs="宋体"/>
                <w:snapToGrid/>
                <w:kern w:val="2"/>
                <w:sz w:val="21"/>
                <w:szCs w:val="21"/>
                <w:lang w:bidi="ar"/>
              </w:rPr>
              <w:t>项目负责人</w:t>
            </w:r>
          </w:p>
        </w:tc>
        <w:tc>
          <w:tcPr>
            <w:tcW w:w="1915" w:type="pct"/>
            <w:tcBorders>
              <w:bottom w:val="single" w:color="auto" w:sz="4" w:space="0"/>
            </w:tcBorders>
            <w:shd w:val="clear" w:color="auto" w:fill="auto"/>
            <w:tcMar>
              <w:top w:w="15" w:type="dxa"/>
              <w:left w:w="15" w:type="dxa"/>
              <w:right w:w="15" w:type="dxa"/>
            </w:tcMar>
            <w:vAlign w:val="center"/>
          </w:tcPr>
          <w:p w14:paraId="32C851D4">
            <w:pPr>
              <w:spacing w:line="360" w:lineRule="auto"/>
              <w:ind w:firstLine="0" w:firstLineChars="0"/>
              <w:jc w:val="left"/>
              <w:rPr>
                <w:rFonts w:ascii="宋体" w:hAnsi="宋体" w:eastAsia="宋体" w:cs="宋体"/>
                <w:snapToGrid/>
                <w:kern w:val="2"/>
                <w:sz w:val="21"/>
                <w:szCs w:val="21"/>
                <w:lang w:bidi="ar"/>
              </w:rPr>
            </w:pPr>
            <w:r>
              <w:rPr>
                <w:rFonts w:hint="eastAsia" w:ascii="宋体" w:hAnsi="宋体" w:eastAsia="宋体" w:cs="宋体"/>
                <w:snapToGrid/>
                <w:kern w:val="2"/>
                <w:sz w:val="21"/>
                <w:szCs w:val="21"/>
                <w:lang w:bidi="ar"/>
              </w:rPr>
              <w:t>项目总负责人，负责全面统筹、把控项目总体开展情况；负责整体项目的设计进度及风险管理、设计质量管理、人员管理，组织完成整个项目的设计工作；确保与采购人良好的沟通与协作，保证项目顺利进行。</w:t>
            </w:r>
          </w:p>
        </w:tc>
        <w:tc>
          <w:tcPr>
            <w:tcW w:w="2051" w:type="pct"/>
            <w:tcBorders>
              <w:bottom w:val="single" w:color="auto" w:sz="4" w:space="0"/>
            </w:tcBorders>
            <w:shd w:val="clear" w:color="auto" w:fill="auto"/>
            <w:tcMar>
              <w:top w:w="15" w:type="dxa"/>
              <w:left w:w="15" w:type="dxa"/>
              <w:right w:w="15" w:type="dxa"/>
            </w:tcMar>
            <w:vAlign w:val="center"/>
          </w:tcPr>
          <w:p w14:paraId="33A04674">
            <w:pPr>
              <w:spacing w:line="360" w:lineRule="auto"/>
              <w:ind w:firstLine="0" w:firstLineChars="0"/>
              <w:jc w:val="left"/>
              <w:rPr>
                <w:rFonts w:ascii="宋体" w:hAnsi="宋体" w:eastAsia="宋体" w:cs="宋体"/>
                <w:snapToGrid/>
                <w:kern w:val="2"/>
                <w:sz w:val="21"/>
                <w:szCs w:val="21"/>
                <w:lang w:bidi="ar"/>
              </w:rPr>
            </w:pPr>
            <w:r>
              <w:rPr>
                <w:rFonts w:hint="eastAsia" w:ascii="宋体" w:hAnsi="宋体" w:eastAsia="宋体" w:cs="宋体"/>
                <w:snapToGrid/>
                <w:kern w:val="2"/>
                <w:sz w:val="21"/>
                <w:szCs w:val="21"/>
                <w:lang w:bidi="ar"/>
              </w:rPr>
              <w:t>具有计算机技术、软件工程等相关专业背景；从事系统项目管理相关工作至少3年；具有PMP证书或由中华人民共和国人力资源和社会保障部、工业和信息化部颁发的计算机技术与软件专业技术资格（水平）高级证书。</w:t>
            </w:r>
          </w:p>
        </w:tc>
        <w:tc>
          <w:tcPr>
            <w:tcW w:w="331" w:type="pct"/>
            <w:tcBorders>
              <w:bottom w:val="single" w:color="auto" w:sz="4" w:space="0"/>
            </w:tcBorders>
            <w:shd w:val="clear" w:color="auto" w:fill="auto"/>
            <w:tcMar>
              <w:top w:w="15" w:type="dxa"/>
              <w:left w:w="15" w:type="dxa"/>
              <w:right w:w="15" w:type="dxa"/>
            </w:tcMar>
            <w:vAlign w:val="center"/>
          </w:tcPr>
          <w:p w14:paraId="3FB652BB">
            <w:pPr>
              <w:spacing w:line="360" w:lineRule="auto"/>
              <w:ind w:firstLine="0" w:firstLineChars="0"/>
              <w:jc w:val="center"/>
              <w:rPr>
                <w:rFonts w:ascii="宋体" w:hAnsi="宋体" w:eastAsia="宋体" w:cs="宋体"/>
                <w:snapToGrid/>
                <w:kern w:val="2"/>
                <w:sz w:val="21"/>
                <w:szCs w:val="21"/>
                <w:lang w:bidi="ar"/>
              </w:rPr>
            </w:pPr>
            <w:r>
              <w:rPr>
                <w:rFonts w:hint="eastAsia" w:ascii="宋体" w:hAnsi="宋体" w:eastAsia="宋体" w:cs="宋体"/>
                <w:snapToGrid/>
                <w:kern w:val="2"/>
                <w:sz w:val="21"/>
                <w:szCs w:val="21"/>
                <w:lang w:bidi="ar"/>
              </w:rPr>
              <w:t>1人</w:t>
            </w:r>
          </w:p>
        </w:tc>
      </w:tr>
      <w:tr w14:paraId="29F7F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5" w:hRule="atLeast"/>
          <w:jc w:val="center"/>
        </w:trPr>
        <w:tc>
          <w:tcPr>
            <w:tcW w:w="288" w:type="pct"/>
            <w:shd w:val="clear" w:color="auto" w:fill="auto"/>
            <w:tcMar>
              <w:top w:w="15" w:type="dxa"/>
              <w:left w:w="15" w:type="dxa"/>
              <w:right w:w="15" w:type="dxa"/>
            </w:tcMar>
            <w:vAlign w:val="center"/>
          </w:tcPr>
          <w:p w14:paraId="537C666F">
            <w:pPr>
              <w:spacing w:line="360" w:lineRule="auto"/>
              <w:ind w:firstLine="0" w:firstLineChars="0"/>
              <w:jc w:val="center"/>
              <w:rPr>
                <w:rFonts w:ascii="宋体" w:hAnsi="宋体" w:eastAsia="宋体" w:cs="宋体"/>
                <w:snapToGrid/>
                <w:kern w:val="2"/>
                <w:sz w:val="21"/>
                <w:szCs w:val="21"/>
                <w:lang w:bidi="ar"/>
              </w:rPr>
            </w:pPr>
            <w:r>
              <w:rPr>
                <w:rFonts w:hint="eastAsia" w:ascii="宋体" w:hAnsi="宋体" w:eastAsia="宋体" w:cs="宋体"/>
                <w:snapToGrid/>
                <w:kern w:val="2"/>
                <w:sz w:val="21"/>
                <w:szCs w:val="21"/>
                <w:lang w:bidi="ar"/>
              </w:rPr>
              <w:t>2</w:t>
            </w:r>
          </w:p>
        </w:tc>
        <w:tc>
          <w:tcPr>
            <w:tcW w:w="41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468872">
            <w:pPr>
              <w:spacing w:line="360" w:lineRule="auto"/>
              <w:ind w:firstLine="0" w:firstLineChars="0"/>
              <w:jc w:val="center"/>
              <w:rPr>
                <w:rFonts w:ascii="宋体" w:hAnsi="宋体" w:eastAsia="宋体" w:cs="宋体"/>
                <w:snapToGrid/>
                <w:kern w:val="2"/>
                <w:sz w:val="21"/>
                <w:szCs w:val="21"/>
                <w:lang w:bidi="ar"/>
              </w:rPr>
            </w:pPr>
            <w:r>
              <w:rPr>
                <w:rFonts w:hint="eastAsia" w:ascii="宋体" w:hAnsi="宋体" w:eastAsia="宋体" w:cs="宋体"/>
                <w:snapToGrid/>
                <w:kern w:val="2"/>
                <w:sz w:val="21"/>
                <w:szCs w:val="21"/>
                <w:lang w:bidi="ar"/>
              </w:rPr>
              <w:t>业务咨询工程师</w:t>
            </w:r>
          </w:p>
        </w:tc>
        <w:tc>
          <w:tcPr>
            <w:tcW w:w="191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43CA44">
            <w:pPr>
              <w:spacing w:line="360" w:lineRule="auto"/>
              <w:ind w:firstLine="0" w:firstLineChars="0"/>
              <w:jc w:val="left"/>
              <w:rPr>
                <w:rFonts w:ascii="宋体" w:hAnsi="宋体" w:eastAsia="宋体" w:cs="宋体"/>
                <w:snapToGrid/>
                <w:kern w:val="2"/>
                <w:sz w:val="21"/>
                <w:szCs w:val="21"/>
                <w:lang w:bidi="ar"/>
              </w:rPr>
            </w:pPr>
            <w:r>
              <w:rPr>
                <w:rFonts w:hint="eastAsia" w:ascii="宋体" w:hAnsi="宋体" w:eastAsia="宋体" w:cs="宋体"/>
                <w:snapToGrid/>
                <w:kern w:val="2"/>
                <w:sz w:val="21"/>
                <w:szCs w:val="21"/>
                <w:lang w:bidi="ar"/>
              </w:rPr>
              <w:t>负责整体业务调研与方案咨询与规划；进行标准规范制订及业务流程梳理；负责方案的原型论证与验证；主导方案的设计与评审；负责业务流程在软件系统中实现的总体质量把控。</w:t>
            </w:r>
          </w:p>
        </w:tc>
        <w:tc>
          <w:tcPr>
            <w:tcW w:w="205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9F7BCB">
            <w:pPr>
              <w:spacing w:line="360" w:lineRule="auto"/>
              <w:ind w:firstLine="0" w:firstLineChars="0"/>
              <w:jc w:val="left"/>
              <w:rPr>
                <w:rFonts w:ascii="宋体" w:hAnsi="宋体" w:eastAsia="宋体" w:cs="宋体"/>
                <w:snapToGrid/>
                <w:kern w:val="2"/>
                <w:sz w:val="21"/>
                <w:szCs w:val="21"/>
                <w:lang w:bidi="ar"/>
              </w:rPr>
            </w:pPr>
            <w:r>
              <w:rPr>
                <w:rFonts w:hint="eastAsia" w:ascii="宋体" w:hAnsi="宋体" w:eastAsia="宋体" w:cs="宋体"/>
                <w:snapToGrid/>
                <w:kern w:val="2"/>
                <w:sz w:val="21"/>
                <w:szCs w:val="21"/>
                <w:lang w:bidi="ar"/>
              </w:rPr>
              <w:t>从事档案系统项目咨询相关工作至少3年；</w:t>
            </w:r>
          </w:p>
        </w:tc>
        <w:tc>
          <w:tcPr>
            <w:tcW w:w="33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88D722">
            <w:pPr>
              <w:spacing w:line="360" w:lineRule="auto"/>
              <w:ind w:firstLine="0" w:firstLineChars="0"/>
              <w:jc w:val="center"/>
              <w:rPr>
                <w:rFonts w:ascii="宋体" w:hAnsi="宋体" w:eastAsia="宋体" w:cs="宋体"/>
                <w:snapToGrid/>
                <w:kern w:val="2"/>
                <w:sz w:val="21"/>
                <w:szCs w:val="21"/>
                <w:lang w:bidi="ar"/>
              </w:rPr>
            </w:pPr>
            <w:r>
              <w:rPr>
                <w:rFonts w:hint="eastAsia" w:ascii="宋体" w:hAnsi="宋体" w:eastAsia="宋体" w:cs="宋体"/>
                <w:snapToGrid/>
                <w:kern w:val="2"/>
                <w:sz w:val="21"/>
                <w:szCs w:val="21"/>
                <w:lang w:bidi="ar"/>
              </w:rPr>
              <w:t>不少于1人</w:t>
            </w:r>
          </w:p>
        </w:tc>
      </w:tr>
      <w:tr w14:paraId="48368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5" w:hRule="atLeast"/>
          <w:jc w:val="center"/>
        </w:trPr>
        <w:tc>
          <w:tcPr>
            <w:tcW w:w="288" w:type="pct"/>
            <w:shd w:val="clear" w:color="auto" w:fill="auto"/>
            <w:tcMar>
              <w:top w:w="15" w:type="dxa"/>
              <w:left w:w="15" w:type="dxa"/>
              <w:right w:w="15" w:type="dxa"/>
            </w:tcMar>
            <w:vAlign w:val="center"/>
          </w:tcPr>
          <w:p w14:paraId="0E7940DD">
            <w:pPr>
              <w:spacing w:line="360" w:lineRule="auto"/>
              <w:ind w:firstLine="0" w:firstLineChars="0"/>
              <w:jc w:val="center"/>
              <w:rPr>
                <w:rFonts w:ascii="宋体" w:hAnsi="宋体" w:eastAsia="宋体" w:cs="宋体"/>
                <w:snapToGrid/>
                <w:kern w:val="2"/>
                <w:sz w:val="21"/>
                <w:szCs w:val="21"/>
                <w:lang w:bidi="ar"/>
              </w:rPr>
            </w:pPr>
            <w:r>
              <w:rPr>
                <w:rFonts w:hint="eastAsia" w:ascii="宋体" w:hAnsi="宋体" w:eastAsia="宋体" w:cs="宋体"/>
                <w:snapToGrid/>
                <w:kern w:val="2"/>
                <w:sz w:val="21"/>
                <w:szCs w:val="21"/>
                <w:lang w:bidi="ar"/>
              </w:rPr>
              <w:t>3</w:t>
            </w:r>
          </w:p>
        </w:tc>
        <w:tc>
          <w:tcPr>
            <w:tcW w:w="41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F43599">
            <w:pPr>
              <w:spacing w:line="360" w:lineRule="auto"/>
              <w:ind w:firstLine="0" w:firstLineChars="0"/>
              <w:jc w:val="center"/>
              <w:rPr>
                <w:rFonts w:ascii="宋体" w:hAnsi="宋体" w:eastAsia="宋体" w:cs="宋体"/>
                <w:snapToGrid/>
                <w:kern w:val="2"/>
                <w:sz w:val="21"/>
                <w:szCs w:val="21"/>
                <w:lang w:bidi="ar"/>
              </w:rPr>
            </w:pPr>
            <w:r>
              <w:rPr>
                <w:rFonts w:hint="eastAsia" w:ascii="宋体" w:hAnsi="宋体" w:eastAsia="宋体" w:cs="宋体"/>
                <w:snapToGrid/>
                <w:kern w:val="2"/>
                <w:sz w:val="21"/>
                <w:szCs w:val="21"/>
                <w:lang w:bidi="ar"/>
              </w:rPr>
              <w:t>开发工程师</w:t>
            </w:r>
          </w:p>
        </w:tc>
        <w:tc>
          <w:tcPr>
            <w:tcW w:w="191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26E4E8">
            <w:pPr>
              <w:spacing w:line="360" w:lineRule="auto"/>
              <w:ind w:firstLine="0" w:firstLineChars="0"/>
              <w:jc w:val="left"/>
              <w:rPr>
                <w:rFonts w:ascii="宋体" w:hAnsi="宋体" w:eastAsia="宋体" w:cs="宋体"/>
                <w:snapToGrid/>
                <w:kern w:val="2"/>
                <w:sz w:val="21"/>
                <w:szCs w:val="21"/>
                <w:lang w:bidi="ar"/>
              </w:rPr>
            </w:pPr>
            <w:r>
              <w:rPr>
                <w:rFonts w:hint="eastAsia" w:ascii="宋体" w:hAnsi="宋体" w:eastAsia="宋体" w:cs="宋体"/>
                <w:snapToGrid/>
                <w:kern w:val="2"/>
                <w:sz w:val="21"/>
                <w:szCs w:val="21"/>
                <w:lang w:bidi="ar"/>
              </w:rPr>
              <w:t>评估开发需求；与采购人关键用户共同确认开发需求和方案；做好集成和开发工作；做好系统的配置与调试工作；做好知识传递，参与系统管理员培训和二次开发培训。</w:t>
            </w:r>
          </w:p>
        </w:tc>
        <w:tc>
          <w:tcPr>
            <w:tcW w:w="205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410FAE">
            <w:pPr>
              <w:spacing w:line="360" w:lineRule="auto"/>
              <w:ind w:firstLine="0" w:firstLineChars="0"/>
              <w:jc w:val="left"/>
              <w:rPr>
                <w:rFonts w:ascii="宋体" w:hAnsi="宋体" w:eastAsia="宋体" w:cs="宋体"/>
                <w:snapToGrid/>
                <w:kern w:val="2"/>
                <w:sz w:val="21"/>
                <w:szCs w:val="21"/>
                <w:lang w:bidi="ar"/>
              </w:rPr>
            </w:pPr>
            <w:r>
              <w:rPr>
                <w:rFonts w:hint="eastAsia" w:ascii="宋体" w:hAnsi="宋体" w:eastAsia="宋体" w:cs="宋体"/>
                <w:snapToGrid/>
                <w:kern w:val="2"/>
                <w:sz w:val="21"/>
                <w:szCs w:val="21"/>
                <w:lang w:bidi="ar"/>
              </w:rPr>
              <w:t>具有计算机技术、软件工程等相关专业背景；从事开发工作至少2年；</w:t>
            </w:r>
          </w:p>
        </w:tc>
        <w:tc>
          <w:tcPr>
            <w:tcW w:w="33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0068DC">
            <w:pPr>
              <w:spacing w:line="360" w:lineRule="auto"/>
              <w:ind w:firstLine="0" w:firstLineChars="0"/>
              <w:jc w:val="center"/>
              <w:rPr>
                <w:rFonts w:ascii="宋体" w:hAnsi="宋体" w:eastAsia="宋体" w:cs="宋体"/>
                <w:snapToGrid/>
                <w:kern w:val="2"/>
                <w:sz w:val="21"/>
                <w:szCs w:val="21"/>
                <w:lang w:bidi="ar"/>
              </w:rPr>
            </w:pPr>
            <w:r>
              <w:rPr>
                <w:rFonts w:hint="eastAsia" w:ascii="宋体" w:hAnsi="宋体" w:eastAsia="宋体" w:cs="宋体"/>
                <w:snapToGrid/>
                <w:kern w:val="2"/>
                <w:sz w:val="21"/>
                <w:szCs w:val="21"/>
                <w:lang w:bidi="ar"/>
              </w:rPr>
              <w:t>不少于</w:t>
            </w:r>
            <w:r>
              <w:rPr>
                <w:rFonts w:hint="eastAsia" w:ascii="宋体" w:hAnsi="宋体" w:eastAsia="宋体" w:cs="宋体"/>
                <w:snapToGrid/>
                <w:kern w:val="2"/>
                <w:sz w:val="21"/>
                <w:szCs w:val="21"/>
                <w:lang w:val="en-US" w:eastAsia="zh-CN" w:bidi="ar"/>
              </w:rPr>
              <w:t>2</w:t>
            </w:r>
            <w:r>
              <w:rPr>
                <w:rFonts w:hint="eastAsia" w:ascii="宋体" w:hAnsi="宋体" w:eastAsia="宋体" w:cs="宋体"/>
                <w:snapToGrid/>
                <w:kern w:val="2"/>
                <w:sz w:val="21"/>
                <w:szCs w:val="21"/>
                <w:lang w:bidi="ar"/>
              </w:rPr>
              <w:t>人</w:t>
            </w:r>
          </w:p>
        </w:tc>
      </w:tr>
      <w:tr w14:paraId="1228D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5" w:hRule="atLeast"/>
          <w:jc w:val="center"/>
        </w:trPr>
        <w:tc>
          <w:tcPr>
            <w:tcW w:w="288" w:type="pct"/>
            <w:shd w:val="clear" w:color="auto" w:fill="auto"/>
            <w:tcMar>
              <w:top w:w="15" w:type="dxa"/>
              <w:left w:w="15" w:type="dxa"/>
              <w:right w:w="15" w:type="dxa"/>
            </w:tcMar>
            <w:vAlign w:val="center"/>
          </w:tcPr>
          <w:p w14:paraId="30E51D02">
            <w:pPr>
              <w:spacing w:line="360" w:lineRule="auto"/>
              <w:ind w:firstLine="0" w:firstLineChars="0"/>
              <w:jc w:val="center"/>
              <w:rPr>
                <w:rFonts w:ascii="宋体" w:hAnsi="宋体" w:eastAsia="宋体" w:cs="宋体"/>
                <w:snapToGrid/>
                <w:kern w:val="2"/>
                <w:sz w:val="21"/>
                <w:szCs w:val="21"/>
                <w:lang w:bidi="ar"/>
              </w:rPr>
            </w:pPr>
            <w:r>
              <w:rPr>
                <w:rFonts w:hint="eastAsia" w:ascii="宋体" w:hAnsi="宋体" w:eastAsia="宋体" w:cs="宋体"/>
                <w:snapToGrid/>
                <w:kern w:val="2"/>
                <w:sz w:val="21"/>
                <w:szCs w:val="21"/>
                <w:lang w:bidi="ar"/>
              </w:rPr>
              <w:t>4</w:t>
            </w:r>
          </w:p>
        </w:tc>
        <w:tc>
          <w:tcPr>
            <w:tcW w:w="41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C4E0BB">
            <w:pPr>
              <w:spacing w:line="360" w:lineRule="auto"/>
              <w:ind w:firstLine="0" w:firstLineChars="0"/>
              <w:jc w:val="center"/>
              <w:rPr>
                <w:rFonts w:ascii="宋体" w:hAnsi="宋体" w:eastAsia="宋体" w:cs="宋体"/>
                <w:snapToGrid/>
                <w:kern w:val="2"/>
                <w:sz w:val="21"/>
                <w:szCs w:val="21"/>
                <w:lang w:bidi="ar"/>
              </w:rPr>
            </w:pPr>
            <w:r>
              <w:rPr>
                <w:rFonts w:hint="eastAsia" w:ascii="宋体" w:hAnsi="宋体" w:eastAsia="宋体" w:cs="宋体"/>
                <w:snapToGrid/>
                <w:kern w:val="2"/>
                <w:sz w:val="21"/>
                <w:szCs w:val="21"/>
                <w:lang w:bidi="ar"/>
              </w:rPr>
              <w:t>实施工程师</w:t>
            </w:r>
          </w:p>
        </w:tc>
        <w:tc>
          <w:tcPr>
            <w:tcW w:w="191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E32550">
            <w:pPr>
              <w:spacing w:line="360" w:lineRule="auto"/>
              <w:ind w:firstLine="0" w:firstLineChars="0"/>
              <w:jc w:val="left"/>
              <w:rPr>
                <w:rFonts w:ascii="宋体" w:hAnsi="宋体" w:eastAsia="宋体" w:cs="宋体"/>
                <w:snapToGrid/>
                <w:kern w:val="2"/>
                <w:sz w:val="21"/>
                <w:szCs w:val="21"/>
                <w:lang w:bidi="ar"/>
              </w:rPr>
            </w:pPr>
            <w:r>
              <w:rPr>
                <w:rFonts w:hint="eastAsia" w:ascii="宋体" w:hAnsi="宋体" w:eastAsia="宋体" w:cs="宋体"/>
                <w:snapToGrid/>
                <w:kern w:val="2"/>
                <w:sz w:val="21"/>
                <w:szCs w:val="21"/>
                <w:lang w:bidi="ar"/>
              </w:rPr>
              <w:t>与采购人关键用户共同确认业务需求；收集、整理和确认业务流程和改进方向；共同确认业务实现方案；评估确认系统功能符合项目建设要求；开展培训与推广工作。</w:t>
            </w:r>
          </w:p>
        </w:tc>
        <w:tc>
          <w:tcPr>
            <w:tcW w:w="205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8623EB">
            <w:pPr>
              <w:spacing w:line="360" w:lineRule="auto"/>
              <w:ind w:firstLine="0" w:firstLineChars="0"/>
              <w:jc w:val="left"/>
              <w:rPr>
                <w:rFonts w:ascii="宋体" w:hAnsi="宋体" w:eastAsia="宋体" w:cs="宋体"/>
                <w:snapToGrid/>
                <w:kern w:val="2"/>
                <w:sz w:val="21"/>
                <w:szCs w:val="21"/>
                <w:lang w:bidi="ar"/>
              </w:rPr>
            </w:pPr>
            <w:r>
              <w:rPr>
                <w:rFonts w:hint="eastAsia" w:ascii="宋体" w:hAnsi="宋体" w:eastAsia="宋体" w:cs="宋体"/>
                <w:snapToGrid/>
                <w:kern w:val="2"/>
                <w:sz w:val="21"/>
                <w:szCs w:val="21"/>
                <w:lang w:bidi="ar"/>
              </w:rPr>
              <w:t>从事档案系统项目实施相关工作至少2年；</w:t>
            </w:r>
          </w:p>
        </w:tc>
        <w:tc>
          <w:tcPr>
            <w:tcW w:w="33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A9F6B8">
            <w:pPr>
              <w:spacing w:line="360" w:lineRule="auto"/>
              <w:ind w:firstLine="0" w:firstLineChars="0"/>
              <w:jc w:val="center"/>
              <w:rPr>
                <w:rFonts w:ascii="宋体" w:hAnsi="宋体" w:eastAsia="宋体" w:cs="宋体"/>
                <w:snapToGrid/>
                <w:kern w:val="2"/>
                <w:sz w:val="21"/>
                <w:szCs w:val="21"/>
                <w:lang w:bidi="ar"/>
              </w:rPr>
            </w:pPr>
            <w:r>
              <w:rPr>
                <w:rFonts w:hint="eastAsia" w:ascii="宋体" w:hAnsi="宋体" w:eastAsia="宋体" w:cs="宋体"/>
                <w:snapToGrid/>
                <w:kern w:val="2"/>
                <w:sz w:val="21"/>
                <w:szCs w:val="21"/>
                <w:lang w:bidi="ar"/>
              </w:rPr>
              <w:t>不少于</w:t>
            </w:r>
            <w:r>
              <w:rPr>
                <w:rFonts w:hint="eastAsia" w:ascii="宋体" w:hAnsi="宋体" w:eastAsia="宋体" w:cs="宋体"/>
                <w:snapToGrid/>
                <w:kern w:val="2"/>
                <w:sz w:val="21"/>
                <w:szCs w:val="21"/>
                <w:lang w:val="en-US" w:eastAsia="zh-CN" w:bidi="ar"/>
              </w:rPr>
              <w:t>2</w:t>
            </w:r>
            <w:r>
              <w:rPr>
                <w:rFonts w:hint="eastAsia" w:ascii="宋体" w:hAnsi="宋体" w:eastAsia="宋体" w:cs="宋体"/>
                <w:snapToGrid/>
                <w:kern w:val="2"/>
                <w:sz w:val="21"/>
                <w:szCs w:val="21"/>
                <w:lang w:bidi="ar"/>
              </w:rPr>
              <w:t>人</w:t>
            </w:r>
          </w:p>
        </w:tc>
      </w:tr>
      <w:tr w14:paraId="76AD4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5" w:hRule="atLeast"/>
          <w:jc w:val="center"/>
        </w:trPr>
        <w:tc>
          <w:tcPr>
            <w:tcW w:w="288" w:type="pct"/>
            <w:shd w:val="clear" w:color="auto" w:fill="auto"/>
            <w:tcMar>
              <w:top w:w="15" w:type="dxa"/>
              <w:left w:w="15" w:type="dxa"/>
              <w:right w:w="15" w:type="dxa"/>
            </w:tcMar>
            <w:vAlign w:val="center"/>
          </w:tcPr>
          <w:p w14:paraId="6E77478B">
            <w:pPr>
              <w:spacing w:line="360" w:lineRule="auto"/>
              <w:ind w:firstLine="0" w:firstLineChars="0"/>
              <w:jc w:val="center"/>
              <w:rPr>
                <w:rFonts w:ascii="宋体" w:hAnsi="宋体" w:eastAsia="宋体" w:cs="宋体"/>
                <w:snapToGrid/>
                <w:kern w:val="2"/>
                <w:sz w:val="21"/>
                <w:szCs w:val="21"/>
                <w:lang w:bidi="ar"/>
              </w:rPr>
            </w:pPr>
            <w:r>
              <w:rPr>
                <w:rFonts w:hint="eastAsia" w:ascii="宋体" w:hAnsi="宋体" w:eastAsia="宋体" w:cs="宋体"/>
                <w:snapToGrid/>
                <w:kern w:val="2"/>
                <w:sz w:val="21"/>
                <w:szCs w:val="21"/>
                <w:lang w:bidi="ar"/>
              </w:rPr>
              <w:t>5</w:t>
            </w:r>
          </w:p>
        </w:tc>
        <w:tc>
          <w:tcPr>
            <w:tcW w:w="413" w:type="pc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14:paraId="7763E5BF">
            <w:pPr>
              <w:spacing w:line="360" w:lineRule="auto"/>
              <w:ind w:firstLine="0" w:firstLineChars="0"/>
              <w:jc w:val="center"/>
              <w:rPr>
                <w:rFonts w:ascii="宋体" w:hAnsi="宋体" w:eastAsia="宋体" w:cs="宋体"/>
                <w:snapToGrid/>
                <w:kern w:val="2"/>
                <w:sz w:val="21"/>
                <w:szCs w:val="21"/>
                <w:lang w:bidi="ar"/>
              </w:rPr>
            </w:pPr>
            <w:r>
              <w:rPr>
                <w:rFonts w:hint="eastAsia" w:ascii="宋体" w:hAnsi="宋体" w:eastAsia="宋体" w:cs="宋体"/>
                <w:snapToGrid/>
                <w:kern w:val="2"/>
                <w:sz w:val="21"/>
                <w:szCs w:val="21"/>
                <w:lang w:bidi="ar"/>
              </w:rPr>
              <w:t>运维工程师</w:t>
            </w:r>
          </w:p>
        </w:tc>
        <w:tc>
          <w:tcPr>
            <w:tcW w:w="1915" w:type="pc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14:paraId="4D58302E">
            <w:pPr>
              <w:spacing w:line="360" w:lineRule="auto"/>
              <w:ind w:firstLine="0" w:firstLineChars="0"/>
              <w:jc w:val="left"/>
              <w:rPr>
                <w:rFonts w:ascii="宋体" w:hAnsi="宋体" w:eastAsia="宋体" w:cs="宋体"/>
                <w:snapToGrid/>
                <w:kern w:val="2"/>
                <w:sz w:val="21"/>
                <w:szCs w:val="21"/>
                <w:lang w:bidi="ar"/>
              </w:rPr>
            </w:pPr>
            <w:r>
              <w:rPr>
                <w:rFonts w:hint="eastAsia" w:ascii="宋体" w:hAnsi="宋体" w:eastAsia="宋体" w:cs="宋体"/>
                <w:snapToGrid/>
                <w:kern w:val="2"/>
                <w:sz w:val="21"/>
                <w:szCs w:val="21"/>
                <w:lang w:bidi="ar"/>
              </w:rPr>
              <w:t>负责处理系统运行方面的技术问题；负责项目实施阶段的服务监控保障；负责项目实施阶段的系统数据备份和恢复工作。</w:t>
            </w:r>
          </w:p>
        </w:tc>
        <w:tc>
          <w:tcPr>
            <w:tcW w:w="2051" w:type="pc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14:paraId="4AD3EBAB">
            <w:pPr>
              <w:spacing w:line="360" w:lineRule="auto"/>
              <w:ind w:firstLine="0" w:firstLineChars="0"/>
              <w:jc w:val="left"/>
              <w:rPr>
                <w:rFonts w:ascii="宋体" w:hAnsi="宋体" w:eastAsia="宋体" w:cs="宋体"/>
                <w:snapToGrid/>
                <w:kern w:val="2"/>
                <w:sz w:val="21"/>
                <w:szCs w:val="21"/>
                <w:lang w:bidi="ar"/>
              </w:rPr>
            </w:pPr>
            <w:r>
              <w:rPr>
                <w:rFonts w:hint="eastAsia" w:ascii="宋体" w:hAnsi="宋体" w:eastAsia="宋体" w:cs="宋体"/>
                <w:snapToGrid/>
                <w:kern w:val="2"/>
                <w:sz w:val="21"/>
                <w:szCs w:val="21"/>
                <w:lang w:bidi="ar"/>
              </w:rPr>
              <w:t>具有计算机技术、软件工程等相关专业背景；从事运维工作至少1年；</w:t>
            </w:r>
          </w:p>
        </w:tc>
        <w:tc>
          <w:tcPr>
            <w:tcW w:w="331" w:type="pc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14:paraId="4DD83051">
            <w:pPr>
              <w:spacing w:line="360" w:lineRule="auto"/>
              <w:ind w:firstLine="0" w:firstLineChars="0"/>
              <w:jc w:val="center"/>
              <w:rPr>
                <w:rFonts w:ascii="宋体" w:hAnsi="宋体" w:eastAsia="宋体" w:cs="宋体"/>
                <w:snapToGrid/>
                <w:kern w:val="2"/>
                <w:sz w:val="21"/>
                <w:szCs w:val="21"/>
                <w:lang w:bidi="ar"/>
              </w:rPr>
            </w:pPr>
            <w:r>
              <w:rPr>
                <w:rFonts w:hint="eastAsia" w:ascii="宋体" w:hAnsi="宋体" w:eastAsia="宋体" w:cs="宋体"/>
                <w:snapToGrid/>
                <w:kern w:val="2"/>
                <w:sz w:val="21"/>
                <w:szCs w:val="21"/>
                <w:lang w:bidi="ar"/>
              </w:rPr>
              <w:t>不少于1人</w:t>
            </w:r>
          </w:p>
        </w:tc>
      </w:tr>
    </w:tbl>
    <w:p w14:paraId="54064E47">
      <w:pPr>
        <w:spacing w:line="600" w:lineRule="exact"/>
        <w:ind w:firstLine="0" w:firstLineChars="0"/>
      </w:pPr>
    </w:p>
    <w:p w14:paraId="2BA98249">
      <w:pPr>
        <w:pStyle w:val="4"/>
        <w:spacing w:before="0" w:after="0" w:line="600" w:lineRule="exact"/>
        <w:rPr>
          <w:rFonts w:ascii="Times New Roman" w:hAnsi="Times New Roman"/>
        </w:rPr>
      </w:pPr>
      <w:bookmarkStart w:id="52" w:name="_Toc10090"/>
      <w:bookmarkStart w:id="53" w:name="_Toc2277"/>
      <w:bookmarkStart w:id="54" w:name="_Toc32031"/>
      <w:r>
        <w:rPr>
          <w:rFonts w:ascii="Times New Roman" w:hAnsi="Times New Roman"/>
        </w:rPr>
        <w:t>培训要求</w:t>
      </w:r>
      <w:bookmarkEnd w:id="52"/>
      <w:bookmarkEnd w:id="53"/>
      <w:bookmarkEnd w:id="54"/>
    </w:p>
    <w:p w14:paraId="522C7969">
      <w:pPr>
        <w:pStyle w:val="5"/>
        <w:spacing w:before="0" w:after="0" w:line="600" w:lineRule="exact"/>
      </w:pPr>
      <w:r>
        <w:t>培训要求</w:t>
      </w:r>
    </w:p>
    <w:p w14:paraId="54A8D2FA">
      <w:pPr>
        <w:spacing w:line="600" w:lineRule="exact"/>
      </w:pPr>
      <w:r>
        <w:t>项目上线阶段组织对</w:t>
      </w:r>
      <w:r>
        <w:rPr>
          <w:rFonts w:hint="eastAsia"/>
          <w:lang w:val="en-US" w:eastAsia="zh-CN"/>
        </w:rPr>
        <w:t>业务人员</w:t>
      </w:r>
      <w:r>
        <w:t>、</w:t>
      </w:r>
      <w:r>
        <w:rPr>
          <w:rFonts w:hint="eastAsia"/>
          <w:lang w:val="en-US" w:eastAsia="zh-CN"/>
        </w:rPr>
        <w:t>单位管理员、</w:t>
      </w:r>
      <w:r>
        <w:t>系统管理员进行培训。</w:t>
      </w:r>
    </w:p>
    <w:p w14:paraId="11648E8F">
      <w:pPr>
        <w:pStyle w:val="5"/>
        <w:spacing w:before="0" w:after="0" w:line="600" w:lineRule="exact"/>
      </w:pPr>
      <w:r>
        <w:t>培训方式</w:t>
      </w:r>
    </w:p>
    <w:p w14:paraId="636FE0F4">
      <w:pPr>
        <w:spacing w:line="600" w:lineRule="exact"/>
      </w:pPr>
      <w:r>
        <w:t>培训方式采用线上视频会议及线下面对面培训。</w:t>
      </w:r>
    </w:p>
    <w:p w14:paraId="7098A3E4">
      <w:pPr>
        <w:pStyle w:val="5"/>
        <w:spacing w:before="0" w:after="0" w:line="600" w:lineRule="exact"/>
      </w:pPr>
      <w:r>
        <w:t>培训内容和对象</w:t>
      </w:r>
    </w:p>
    <w:p w14:paraId="77D810F6">
      <w:pPr>
        <w:spacing w:line="600" w:lineRule="exact"/>
      </w:pPr>
      <w:r>
        <w:t>1.使用用户熟练掌握系统使用方法。</w:t>
      </w:r>
    </w:p>
    <w:p w14:paraId="288F6BC9">
      <w:pPr>
        <w:spacing w:line="600" w:lineRule="exact"/>
      </w:pPr>
      <w:r>
        <w:t>2.维护人员掌握系统运维能力，能承担系统日常维护</w:t>
      </w:r>
      <w:r>
        <w:rPr>
          <w:rFonts w:hint="eastAsia"/>
        </w:rPr>
        <w:t>和一般故障的排除</w:t>
      </w:r>
      <w:r>
        <w:t>工作。</w:t>
      </w:r>
    </w:p>
    <w:p w14:paraId="76ED1FA7">
      <w:pPr>
        <w:spacing w:line="600" w:lineRule="exact"/>
      </w:pPr>
      <w:r>
        <w:t>3.技术开发人员能掌握系统开发原理和开发工具，胜任系统简单的功能扩展工作，满足业务变展过程中对应用系统需求的变更要求。</w:t>
      </w:r>
    </w:p>
    <w:p w14:paraId="333E12AB">
      <w:pPr>
        <w:spacing w:line="600" w:lineRule="exact"/>
      </w:pPr>
      <w:r>
        <w:t>4.单位领导及项目负责人掌握系统使用方法的同时加深对单位档案业务信息化建设的趋势认识。</w:t>
      </w:r>
    </w:p>
    <w:p w14:paraId="0CB4D5A1">
      <w:pPr>
        <w:pStyle w:val="4"/>
        <w:spacing w:before="0" w:after="0" w:line="600" w:lineRule="exact"/>
        <w:rPr>
          <w:rFonts w:ascii="Times New Roman" w:hAnsi="Times New Roman"/>
        </w:rPr>
      </w:pPr>
      <w:bookmarkStart w:id="55" w:name="_Toc4332"/>
      <w:bookmarkStart w:id="56" w:name="_Toc32656"/>
      <w:bookmarkStart w:id="57" w:name="_Toc11183"/>
      <w:r>
        <w:rPr>
          <w:rFonts w:ascii="Times New Roman" w:hAnsi="Times New Roman"/>
        </w:rPr>
        <w:t>售后服务要求</w:t>
      </w:r>
      <w:bookmarkEnd w:id="55"/>
      <w:bookmarkEnd w:id="56"/>
      <w:bookmarkEnd w:id="57"/>
    </w:p>
    <w:p w14:paraId="46C4DCC2">
      <w:pPr>
        <w:pStyle w:val="5"/>
        <w:spacing w:before="0" w:after="0" w:line="600" w:lineRule="exact"/>
      </w:pPr>
      <w:r>
        <w:t>售后服务保障</w:t>
      </w:r>
    </w:p>
    <w:p w14:paraId="62BA510B">
      <w:pPr>
        <w:numPr>
          <w:ilvl w:val="0"/>
          <w:numId w:val="17"/>
        </w:numPr>
        <w:spacing w:line="600" w:lineRule="exact"/>
        <w:ind w:firstLine="640"/>
      </w:pPr>
      <w:r>
        <w:t>服务方应确保其技术建议以及所提供产品的完整性、实用性，保证全部系统及时投入正常运行。否则若出现因服务方提供的产品不满足要求、不合理，或者其所提供的技术支持和服务不全面，而导致系统无法实现或不能完全实现的状况，</w:t>
      </w:r>
      <w:r>
        <w:rPr>
          <w:rFonts w:hint="eastAsia"/>
          <w:lang w:eastAsia="zh"/>
        </w:rPr>
        <w:t>中标人</w:t>
      </w:r>
      <w:r>
        <w:t>负全部责任。</w:t>
      </w:r>
    </w:p>
    <w:p w14:paraId="195D621B">
      <w:pPr>
        <w:numPr>
          <w:ilvl w:val="0"/>
          <w:numId w:val="17"/>
        </w:numPr>
        <w:spacing w:line="600" w:lineRule="exact"/>
        <w:ind w:firstLine="640"/>
      </w:pPr>
      <w:r>
        <w:rPr>
          <w:rFonts w:hint="eastAsia"/>
          <w:lang w:eastAsia="zh"/>
        </w:rPr>
        <w:t>中标人</w:t>
      </w:r>
      <w:r>
        <w:t>应在本项目验收通过之日起，提供</w:t>
      </w:r>
      <w:r>
        <w:rPr>
          <w:rFonts w:hint="eastAsia"/>
          <w:lang w:val="en-US" w:eastAsia="zh-CN"/>
        </w:rPr>
        <w:t>2</w:t>
      </w:r>
      <w:r>
        <w:t>年的</w:t>
      </w:r>
      <w:r>
        <w:rPr>
          <w:rFonts w:hint="eastAsia"/>
          <w:lang w:eastAsia="zh"/>
          <w:woUserID w:val="1"/>
        </w:rPr>
        <w:t>质保期</w:t>
      </w:r>
      <w:r>
        <w:rPr>
          <w:rFonts w:hint="eastAsia"/>
        </w:rPr>
        <w:t>服务</w:t>
      </w:r>
      <w:r>
        <w:t>。质保期自项目验收合格之日起计算，如果系统在保修期内发生故障，服务方应及时予以响应，免费上门服务，否则采购人将自行采取必要的措施，由此产生风险和费用由</w:t>
      </w:r>
      <w:r>
        <w:rPr>
          <w:rFonts w:hint="eastAsia"/>
          <w:lang w:eastAsia="zh"/>
        </w:rPr>
        <w:t>中标人</w:t>
      </w:r>
      <w:r>
        <w:t>承担。</w:t>
      </w:r>
    </w:p>
    <w:p w14:paraId="21077F29">
      <w:pPr>
        <w:numPr>
          <w:ilvl w:val="0"/>
          <w:numId w:val="17"/>
        </w:numPr>
        <w:spacing w:line="600" w:lineRule="exact"/>
        <w:ind w:firstLine="640"/>
      </w:pPr>
      <w:r>
        <w:t>有其他应用系统集成开发需要时，</w:t>
      </w:r>
      <w:r>
        <w:rPr>
          <w:rFonts w:hint="eastAsia"/>
          <w:lang w:eastAsia="zh"/>
        </w:rPr>
        <w:t>中标人</w:t>
      </w:r>
      <w:r>
        <w:t>有责任和义务向</w:t>
      </w:r>
      <w:r>
        <w:rPr>
          <w:rFonts w:hint="eastAsia"/>
          <w:lang w:val="en-US" w:eastAsia="zh-CN"/>
        </w:rPr>
        <w:t>采购人</w:t>
      </w:r>
      <w:r>
        <w:t>提供本系统相关接口文档资料，并积极配合。</w:t>
      </w:r>
    </w:p>
    <w:p w14:paraId="549E10B6">
      <w:pPr>
        <w:numPr>
          <w:ilvl w:val="0"/>
          <w:numId w:val="17"/>
        </w:numPr>
        <w:spacing w:line="600" w:lineRule="exact"/>
        <w:ind w:firstLine="640"/>
      </w:pPr>
      <w:r>
        <w:rPr>
          <w:rFonts w:hint="eastAsia"/>
          <w:lang w:eastAsia="zh"/>
          <w:woUserID w:val="1"/>
        </w:rPr>
        <w:t>在质保期内，</w:t>
      </w:r>
      <w:r>
        <w:rPr>
          <w:rFonts w:hint="default"/>
          <w:lang w:eastAsia="zh"/>
          <w:woUserID w:val="1"/>
        </w:rPr>
        <w:t>中标人</w:t>
      </w:r>
      <w:r>
        <w:rPr>
          <w:rFonts w:hint="eastAsia"/>
          <w:lang w:eastAsia="zh"/>
          <w:woUserID w:val="1"/>
        </w:rPr>
        <w:t>需提供免费售后和维护服务，各类维护费用等一切相关费用均由</w:t>
      </w:r>
      <w:r>
        <w:rPr>
          <w:rFonts w:hint="default"/>
          <w:lang w:eastAsia="zh"/>
          <w:woUserID w:val="1"/>
        </w:rPr>
        <w:t>中标人</w:t>
      </w:r>
      <w:r>
        <w:rPr>
          <w:rFonts w:hint="eastAsia"/>
          <w:lang w:eastAsia="zh"/>
          <w:woUserID w:val="1"/>
        </w:rPr>
        <w:t>承担</w:t>
      </w:r>
      <w:r>
        <w:rPr>
          <w:rFonts w:hint="eastAsia"/>
        </w:rPr>
        <w:t>，</w:t>
      </w:r>
      <w:r>
        <w:rPr>
          <w:rFonts w:hint="default"/>
        </w:rPr>
        <w:t>中标人</w:t>
      </w:r>
      <w:r>
        <w:rPr>
          <w:rFonts w:hint="eastAsia"/>
        </w:rPr>
        <w:t>无权要求</w:t>
      </w:r>
      <w:r>
        <w:rPr>
          <w:rFonts w:hint="default"/>
        </w:rPr>
        <w:t>招标人</w:t>
      </w:r>
      <w:r>
        <w:rPr>
          <w:rFonts w:hint="eastAsia"/>
        </w:rPr>
        <w:t>支付其他任何费用</w:t>
      </w:r>
      <w:r>
        <w:t>。</w:t>
      </w:r>
    </w:p>
    <w:p w14:paraId="7298B0CE">
      <w:pPr>
        <w:numPr>
          <w:ilvl w:val="0"/>
          <w:numId w:val="0"/>
        </w:numPr>
        <w:ind w:firstLine="640" w:firstLineChars="0"/>
      </w:pPr>
      <w:r>
        <w:rPr>
          <w:rFonts w:hint="eastAsia"/>
        </w:rPr>
        <w:t>5．</w:t>
      </w:r>
      <w:r>
        <w:t>提供长期稳定的维护人员名单及联系方式。</w:t>
      </w:r>
    </w:p>
    <w:p w14:paraId="49C3CBC3">
      <w:pPr>
        <w:numPr>
          <w:ilvl w:val="0"/>
          <w:numId w:val="17"/>
        </w:numPr>
        <w:spacing w:line="600" w:lineRule="exact"/>
        <w:ind w:firstLine="640"/>
      </w:pPr>
      <w:r>
        <w:t>质保期内，软件故障报修的响应时间为：</w:t>
      </w:r>
      <w:r>
        <w:rPr>
          <w:rFonts w:hint="eastAsia"/>
        </w:rPr>
        <w:t>当接到系统不可用报障时，确保30分钟内响应，当远程无法解决需现场处理时，确保工作日内2小时到达现场，非工作日4小时到达现场，8小时内排除故障恢复运行</w:t>
      </w:r>
      <w:r>
        <w:t>。</w:t>
      </w:r>
    </w:p>
    <w:p w14:paraId="3F520E35">
      <w:pPr>
        <w:pStyle w:val="4"/>
        <w:spacing w:before="0" w:after="0" w:line="600" w:lineRule="exact"/>
        <w:rPr>
          <w:rFonts w:ascii="Times New Roman" w:hAnsi="Times New Roman"/>
        </w:rPr>
      </w:pPr>
      <w:bookmarkStart w:id="58" w:name="_Toc20518"/>
      <w:bookmarkStart w:id="59" w:name="_Toc20990"/>
      <w:r>
        <w:rPr>
          <w:rFonts w:hint="eastAsia" w:ascii="Times New Roman" w:hAnsi="Times New Roman"/>
        </w:rPr>
        <w:t>其它</w:t>
      </w:r>
      <w:r>
        <w:rPr>
          <w:rFonts w:ascii="Times New Roman" w:hAnsi="Times New Roman"/>
        </w:rPr>
        <w:t>要求</w:t>
      </w:r>
      <w:bookmarkEnd w:id="58"/>
      <w:bookmarkEnd w:id="59"/>
    </w:p>
    <w:p w14:paraId="47D05C8E">
      <w:pPr>
        <w:numPr>
          <w:ilvl w:val="0"/>
          <w:numId w:val="18"/>
        </w:numPr>
        <w:tabs>
          <w:tab w:val="left" w:pos="420"/>
        </w:tabs>
        <w:adjustRightInd w:val="0"/>
        <w:spacing w:after="0" w:line="600" w:lineRule="exact"/>
        <w:ind w:left="0" w:firstLine="640"/>
        <w:rPr>
          <w:szCs w:val="32"/>
        </w:rPr>
      </w:pPr>
      <w:r>
        <w:rPr>
          <w:rFonts w:hint="default"/>
          <w:szCs w:val="32"/>
          <w:lang w:eastAsia="zh-CN"/>
        </w:rPr>
        <w:t>中标人</w:t>
      </w:r>
      <w:r>
        <w:rPr>
          <w:szCs w:val="32"/>
        </w:rPr>
        <w:t>应根据本用户需求书，制订针对东莞</w:t>
      </w:r>
      <w:r>
        <w:rPr>
          <w:rFonts w:hint="eastAsia"/>
          <w:szCs w:val="32"/>
          <w:lang w:eastAsia="zh-CN"/>
        </w:rPr>
        <w:t>水务环境集团</w:t>
      </w:r>
      <w:r>
        <w:rPr>
          <w:szCs w:val="32"/>
        </w:rPr>
        <w:t>档案管理系统应用软件项目的整体建设方案，包括但不限于设计、开发、供货、安装、调试、验收、培训、接口实施、质保期服务、售后服务、项目管理等方面。</w:t>
      </w:r>
    </w:p>
    <w:p w14:paraId="47FE9837">
      <w:pPr>
        <w:numPr>
          <w:ilvl w:val="0"/>
          <w:numId w:val="18"/>
        </w:numPr>
        <w:tabs>
          <w:tab w:val="left" w:pos="420"/>
        </w:tabs>
        <w:adjustRightInd w:val="0"/>
        <w:spacing w:after="0" w:line="600" w:lineRule="exact"/>
        <w:ind w:left="0" w:firstLine="640"/>
        <w:rPr>
          <w:szCs w:val="32"/>
        </w:rPr>
      </w:pPr>
      <w:r>
        <w:rPr>
          <w:rFonts w:hint="default"/>
          <w:szCs w:val="32"/>
          <w:lang w:eastAsia="zh-CN"/>
        </w:rPr>
        <w:t>中标人</w:t>
      </w:r>
      <w:r>
        <w:rPr>
          <w:szCs w:val="32"/>
        </w:rPr>
        <w:t>应结合东莞市</w:t>
      </w:r>
      <w:r>
        <w:rPr>
          <w:rFonts w:hint="eastAsia"/>
          <w:szCs w:val="32"/>
          <w:lang w:eastAsia="zh-CN"/>
        </w:rPr>
        <w:t>水务环境集团</w:t>
      </w:r>
      <w:r>
        <w:rPr>
          <w:szCs w:val="32"/>
        </w:rPr>
        <w:t>档案管理的具体情况，在充分满足本用户需求、确保质量的前提下，综合考虑工期、成本、风险等因素制订建设方案。</w:t>
      </w:r>
    </w:p>
    <w:p w14:paraId="432C0AF3">
      <w:pPr>
        <w:numPr>
          <w:ilvl w:val="0"/>
          <w:numId w:val="18"/>
        </w:numPr>
        <w:tabs>
          <w:tab w:val="left" w:pos="420"/>
        </w:tabs>
        <w:adjustRightInd w:val="0"/>
        <w:spacing w:after="0" w:line="600" w:lineRule="exact"/>
        <w:ind w:left="0" w:firstLine="640"/>
        <w:rPr>
          <w:szCs w:val="32"/>
        </w:rPr>
      </w:pPr>
      <w:r>
        <w:rPr>
          <w:rFonts w:hint="default"/>
          <w:szCs w:val="32"/>
          <w:lang w:eastAsia="zh-CN"/>
        </w:rPr>
        <w:t>中标人</w:t>
      </w:r>
      <w:r>
        <w:rPr>
          <w:szCs w:val="32"/>
        </w:rPr>
        <w:t>对所提供建设方案的安全性、完整性、可靠性、稳定性、可维护性、可测试性、兼容性、适用性、开放性、可扩展性、先进性负全部责任</w:t>
      </w:r>
      <w:r>
        <w:rPr>
          <w:rFonts w:hint="eastAsia"/>
          <w:szCs w:val="32"/>
        </w:rPr>
        <w:t>。</w:t>
      </w:r>
      <w:r>
        <w:rPr>
          <w:szCs w:val="32"/>
        </w:rPr>
        <w:t>本用户需求提供的是最低限度要求，并未对一切细节</w:t>
      </w:r>
      <w:r>
        <w:rPr>
          <w:rFonts w:hint="eastAsia"/>
          <w:szCs w:val="32"/>
        </w:rPr>
        <w:t>做出</w:t>
      </w:r>
      <w:r>
        <w:rPr>
          <w:szCs w:val="32"/>
        </w:rPr>
        <w:t>规定，也未充分引述有关标准和规范的条文，</w:t>
      </w:r>
      <w:r>
        <w:rPr>
          <w:rFonts w:hint="default"/>
          <w:szCs w:val="32"/>
          <w:lang w:eastAsia="zh-CN"/>
        </w:rPr>
        <w:t>中标人</w:t>
      </w:r>
      <w:r>
        <w:rPr>
          <w:szCs w:val="32"/>
        </w:rPr>
        <w:t>应保证提供符合用户需求和有关标准的完整系统。</w:t>
      </w:r>
    </w:p>
    <w:p w14:paraId="3A9CC34D">
      <w:pPr>
        <w:numPr>
          <w:ilvl w:val="0"/>
          <w:numId w:val="18"/>
        </w:numPr>
        <w:tabs>
          <w:tab w:val="left" w:pos="420"/>
        </w:tabs>
        <w:adjustRightInd w:val="0"/>
        <w:spacing w:after="0" w:line="600" w:lineRule="exact"/>
        <w:ind w:left="0" w:firstLine="640"/>
        <w:rPr>
          <w:szCs w:val="32"/>
        </w:rPr>
      </w:pPr>
      <w:r>
        <w:rPr>
          <w:szCs w:val="32"/>
        </w:rPr>
        <w:t>为确保工程质量和系统兼容性，</w:t>
      </w:r>
      <w:r>
        <w:rPr>
          <w:rFonts w:hint="eastAsia"/>
          <w:szCs w:val="32"/>
          <w:lang w:eastAsia="zh-CN"/>
        </w:rPr>
        <w:t>采购人</w:t>
      </w:r>
      <w:r>
        <w:rPr>
          <w:szCs w:val="32"/>
        </w:rPr>
        <w:t>保留对</w:t>
      </w:r>
      <w:r>
        <w:rPr>
          <w:rFonts w:hint="default"/>
          <w:szCs w:val="32"/>
          <w:lang w:eastAsia="zh-CN"/>
        </w:rPr>
        <w:t>中标人</w:t>
      </w:r>
      <w:r>
        <w:rPr>
          <w:szCs w:val="32"/>
        </w:rPr>
        <w:t>提供重要技术方案及其计划采购关键设备的决定权，但不减轻</w:t>
      </w:r>
      <w:r>
        <w:rPr>
          <w:rFonts w:hint="default"/>
          <w:szCs w:val="32"/>
          <w:lang w:eastAsia="zh-CN"/>
        </w:rPr>
        <w:t>中标人</w:t>
      </w:r>
      <w:r>
        <w:rPr>
          <w:szCs w:val="32"/>
        </w:rPr>
        <w:t>对系统建设应负的责任。</w:t>
      </w:r>
    </w:p>
    <w:p w14:paraId="4925FF95">
      <w:pPr>
        <w:numPr>
          <w:ilvl w:val="0"/>
          <w:numId w:val="18"/>
        </w:numPr>
        <w:tabs>
          <w:tab w:val="left" w:pos="420"/>
        </w:tabs>
        <w:adjustRightInd w:val="0"/>
        <w:spacing w:after="0" w:line="600" w:lineRule="exact"/>
        <w:ind w:left="0" w:firstLine="640"/>
        <w:rPr>
          <w:szCs w:val="32"/>
        </w:rPr>
      </w:pPr>
      <w:r>
        <w:rPr>
          <w:rFonts w:hint="default"/>
          <w:szCs w:val="32"/>
          <w:lang w:eastAsia="zh-CN"/>
        </w:rPr>
        <w:t>中标人</w:t>
      </w:r>
      <w:r>
        <w:rPr>
          <w:szCs w:val="32"/>
        </w:rPr>
        <w:t>提供的软件应遵循国际、国内开放系统标准及协议，属于当前业界的主流产品，并已得到广泛使用，占有较高的市场份额</w:t>
      </w:r>
      <w:r>
        <w:rPr>
          <w:rFonts w:hint="eastAsia"/>
          <w:szCs w:val="32"/>
        </w:rPr>
        <w:t>。</w:t>
      </w:r>
      <w:r>
        <w:rPr>
          <w:rFonts w:hint="eastAsia"/>
          <w:szCs w:val="32"/>
          <w:lang w:eastAsia="zh-CN"/>
        </w:rPr>
        <w:t>采购人</w:t>
      </w:r>
      <w:r>
        <w:rPr>
          <w:szCs w:val="32"/>
        </w:rPr>
        <w:t>有权要求</w:t>
      </w:r>
      <w:r>
        <w:rPr>
          <w:rFonts w:hint="default"/>
          <w:szCs w:val="32"/>
          <w:lang w:eastAsia="zh-CN"/>
        </w:rPr>
        <w:t>中标人</w:t>
      </w:r>
      <w:r>
        <w:rPr>
          <w:szCs w:val="32"/>
        </w:rPr>
        <w:t>按照合同价格，以供货当时的主流产品供货，而不增加任何费用，</w:t>
      </w:r>
      <w:r>
        <w:rPr>
          <w:rFonts w:hint="default"/>
          <w:szCs w:val="32"/>
          <w:lang w:eastAsia="zh-CN"/>
        </w:rPr>
        <w:t>中标人</w:t>
      </w:r>
      <w:r>
        <w:rPr>
          <w:szCs w:val="32"/>
        </w:rPr>
        <w:t>的责任并不因此而减少。</w:t>
      </w:r>
    </w:p>
    <w:p w14:paraId="69A8C609">
      <w:pPr>
        <w:numPr>
          <w:ilvl w:val="0"/>
          <w:numId w:val="18"/>
        </w:numPr>
        <w:tabs>
          <w:tab w:val="left" w:pos="420"/>
        </w:tabs>
        <w:adjustRightInd w:val="0"/>
        <w:spacing w:after="0" w:line="600" w:lineRule="exact"/>
        <w:ind w:left="0" w:firstLine="640"/>
        <w:rPr>
          <w:szCs w:val="32"/>
        </w:rPr>
      </w:pPr>
      <w:r>
        <w:rPr>
          <w:szCs w:val="32"/>
        </w:rPr>
        <w:t>为保证系统后续建设，</w:t>
      </w:r>
      <w:r>
        <w:rPr>
          <w:rFonts w:hint="default"/>
          <w:szCs w:val="32"/>
          <w:lang w:eastAsia="zh-CN"/>
        </w:rPr>
        <w:t>中标人</w:t>
      </w:r>
      <w:r>
        <w:rPr>
          <w:szCs w:val="32"/>
        </w:rPr>
        <w:t>对系统设计、系统接口均需开放，提供相关资料（纸质及电子文件）。</w:t>
      </w:r>
    </w:p>
    <w:p w14:paraId="7BC5DBD7">
      <w:pPr>
        <w:numPr>
          <w:ilvl w:val="0"/>
          <w:numId w:val="18"/>
        </w:numPr>
        <w:tabs>
          <w:tab w:val="left" w:pos="420"/>
        </w:tabs>
        <w:adjustRightInd w:val="0"/>
        <w:spacing w:after="0" w:line="600" w:lineRule="exact"/>
        <w:ind w:left="0" w:firstLine="640"/>
        <w:rPr>
          <w:szCs w:val="32"/>
        </w:rPr>
      </w:pPr>
      <w:r>
        <w:rPr>
          <w:szCs w:val="32"/>
        </w:rPr>
        <w:t>如果没有特别说明，</w:t>
      </w:r>
      <w:r>
        <w:rPr>
          <w:rFonts w:hint="default"/>
          <w:szCs w:val="32"/>
          <w:lang w:eastAsia="zh-CN"/>
        </w:rPr>
        <w:t>中标人</w:t>
      </w:r>
      <w:r>
        <w:rPr>
          <w:szCs w:val="32"/>
        </w:rPr>
        <w:t>在投标文件中所提供的所有设备、专用工具、服务等均视为包含在对本招标文件响应的投标报价中。</w:t>
      </w:r>
    </w:p>
    <w:p w14:paraId="5E22520B">
      <w:pPr>
        <w:numPr>
          <w:ilvl w:val="0"/>
          <w:numId w:val="18"/>
        </w:numPr>
        <w:tabs>
          <w:tab w:val="left" w:pos="420"/>
        </w:tabs>
        <w:adjustRightInd w:val="0"/>
        <w:spacing w:after="0" w:line="600" w:lineRule="exact"/>
        <w:ind w:left="0" w:firstLine="640"/>
        <w:rPr>
          <w:szCs w:val="32"/>
        </w:rPr>
      </w:pPr>
      <w:r>
        <w:rPr>
          <w:rFonts w:hint="default"/>
          <w:szCs w:val="32"/>
          <w:lang w:eastAsia="zh-CN"/>
        </w:rPr>
        <w:t>中标人</w:t>
      </w:r>
      <w:r>
        <w:rPr>
          <w:szCs w:val="32"/>
        </w:rPr>
        <w:t>应补充本用户需求书中未描述的，但为保证</w:t>
      </w:r>
      <w:r>
        <w:rPr>
          <w:rFonts w:hint="eastAsia"/>
          <w:szCs w:val="32"/>
          <w:lang w:val="en-US" w:eastAsia="zh-CN"/>
        </w:rPr>
        <w:t>系统</w:t>
      </w:r>
      <w:r>
        <w:rPr>
          <w:szCs w:val="32"/>
        </w:rPr>
        <w:t>能正常安全有效运行所需要的详细要求和配置，并将所有费用计入投标总价。</w:t>
      </w:r>
    </w:p>
    <w:p w14:paraId="75081541">
      <w:pPr>
        <w:numPr>
          <w:ilvl w:val="0"/>
          <w:numId w:val="18"/>
        </w:numPr>
        <w:tabs>
          <w:tab w:val="left" w:pos="420"/>
        </w:tabs>
        <w:adjustRightInd w:val="0"/>
        <w:spacing w:after="0" w:line="600" w:lineRule="exact"/>
        <w:ind w:left="0" w:firstLine="640"/>
        <w:rPr>
          <w:szCs w:val="32"/>
        </w:rPr>
      </w:pPr>
      <w:r>
        <w:rPr>
          <w:rFonts w:hint="eastAsia"/>
          <w:szCs w:val="32"/>
        </w:rPr>
        <w:t>根据项目实际情况，</w:t>
      </w:r>
      <w:r>
        <w:rPr>
          <w:szCs w:val="32"/>
        </w:rPr>
        <w:t>提供</w:t>
      </w:r>
      <w:r>
        <w:rPr>
          <w:rFonts w:hint="eastAsia"/>
          <w:szCs w:val="32"/>
        </w:rPr>
        <w:t>不少于</w:t>
      </w:r>
      <w:r>
        <w:rPr>
          <w:szCs w:val="32"/>
        </w:rPr>
        <w:t>两次的系统部署环境免费迁移服务。</w:t>
      </w:r>
    </w:p>
    <w:p w14:paraId="32AD0638">
      <w:pPr>
        <w:numPr>
          <w:ilvl w:val="0"/>
          <w:numId w:val="18"/>
        </w:numPr>
        <w:tabs>
          <w:tab w:val="left" w:pos="420"/>
        </w:tabs>
        <w:adjustRightInd w:val="0"/>
        <w:spacing w:after="0" w:line="600" w:lineRule="exact"/>
        <w:ind w:left="0" w:firstLine="640"/>
        <w:rPr>
          <w:szCs w:val="32"/>
        </w:rPr>
      </w:pPr>
      <w:r>
        <w:rPr>
          <w:szCs w:val="32"/>
        </w:rPr>
        <w:t>在项目实施期间，若因</w:t>
      </w:r>
      <w:r>
        <w:rPr>
          <w:rFonts w:hint="default"/>
          <w:szCs w:val="32"/>
          <w:lang w:eastAsia="zh-CN"/>
        </w:rPr>
        <w:t>中标人</w:t>
      </w:r>
      <w:r>
        <w:rPr>
          <w:szCs w:val="32"/>
        </w:rPr>
        <w:t>技术过失、系统缺陷、管理不当、延误工期、违反法律、引发事故，对</w:t>
      </w:r>
      <w:r>
        <w:rPr>
          <w:rFonts w:hint="eastAsia"/>
          <w:szCs w:val="32"/>
          <w:lang w:eastAsia="zh-CN"/>
        </w:rPr>
        <w:t>采购人</w:t>
      </w:r>
      <w:r>
        <w:rPr>
          <w:szCs w:val="32"/>
        </w:rPr>
        <w:t>或其自身造成损失，</w:t>
      </w:r>
      <w:r>
        <w:rPr>
          <w:rFonts w:hint="default"/>
          <w:szCs w:val="32"/>
          <w:lang w:eastAsia="zh-CN"/>
        </w:rPr>
        <w:t>中标人</w:t>
      </w:r>
      <w:r>
        <w:rPr>
          <w:szCs w:val="32"/>
        </w:rPr>
        <w:t>应负全责并承担所有相关费用。</w:t>
      </w:r>
    </w:p>
    <w:p w14:paraId="776A1919">
      <w:pPr>
        <w:numPr>
          <w:ilvl w:val="0"/>
          <w:numId w:val="18"/>
        </w:numPr>
        <w:tabs>
          <w:tab w:val="left" w:pos="420"/>
        </w:tabs>
        <w:adjustRightInd w:val="0"/>
        <w:spacing w:after="0" w:line="600" w:lineRule="exact"/>
        <w:ind w:left="0" w:firstLine="640"/>
        <w:rPr>
          <w:szCs w:val="32"/>
        </w:rPr>
      </w:pPr>
      <w:r>
        <w:rPr>
          <w:rFonts w:hint="default"/>
          <w:szCs w:val="32"/>
          <w:lang w:eastAsia="zh-CN"/>
        </w:rPr>
        <w:t>中标人</w:t>
      </w:r>
      <w:r>
        <w:rPr>
          <w:szCs w:val="32"/>
        </w:rPr>
        <w:t>需完成本系统与外部系统（如集团“致远互联”OA系统、集团统一认证平台等）互联互通的接口管理和集成管理，包括但不限于联合设计、接口测试、集成测试、联合调试、并网运行等。</w:t>
      </w:r>
    </w:p>
    <w:p w14:paraId="45319A47">
      <w:pPr>
        <w:numPr>
          <w:ilvl w:val="0"/>
          <w:numId w:val="18"/>
        </w:numPr>
        <w:tabs>
          <w:tab w:val="left" w:pos="420"/>
        </w:tabs>
        <w:adjustRightInd w:val="0"/>
        <w:spacing w:after="0" w:line="600" w:lineRule="exact"/>
        <w:ind w:left="0" w:firstLine="640"/>
        <w:rPr>
          <w:szCs w:val="32"/>
        </w:rPr>
      </w:pPr>
      <w:r>
        <w:rPr>
          <w:rFonts w:hint="default"/>
          <w:szCs w:val="32"/>
          <w:lang w:eastAsia="zh-CN"/>
        </w:rPr>
        <w:t>中标人</w:t>
      </w:r>
      <w:r>
        <w:rPr>
          <w:szCs w:val="32"/>
        </w:rPr>
        <w:t>针对本项目开发完成的项目成果所有权和知识产权由</w:t>
      </w:r>
      <w:r>
        <w:rPr>
          <w:rFonts w:hint="eastAsia"/>
          <w:szCs w:val="32"/>
          <w:lang w:eastAsia="zh-CN"/>
        </w:rPr>
        <w:t>采购人</w:t>
      </w:r>
      <w:r>
        <w:rPr>
          <w:szCs w:val="32"/>
        </w:rPr>
        <w:t>单独享有，</w:t>
      </w:r>
      <w:r>
        <w:rPr>
          <w:rFonts w:hint="default"/>
          <w:szCs w:val="32"/>
          <w:lang w:eastAsia="zh-CN"/>
        </w:rPr>
        <w:t>中标人</w:t>
      </w:r>
      <w:r>
        <w:rPr>
          <w:szCs w:val="32"/>
        </w:rPr>
        <w:t>必须按</w:t>
      </w:r>
      <w:r>
        <w:rPr>
          <w:rFonts w:hint="eastAsia"/>
          <w:szCs w:val="32"/>
          <w:lang w:eastAsia="zh-CN"/>
        </w:rPr>
        <w:t>采购人</w:t>
      </w:r>
      <w:r>
        <w:rPr>
          <w:szCs w:val="32"/>
        </w:rPr>
        <w:t>的要求及时提供知识产权申请所需的相关技术文件并协助</w:t>
      </w:r>
      <w:r>
        <w:rPr>
          <w:rFonts w:hint="eastAsia"/>
          <w:szCs w:val="32"/>
          <w:lang w:eastAsia="zh-CN"/>
        </w:rPr>
        <w:t>采购人</w:t>
      </w:r>
      <w:r>
        <w:rPr>
          <w:szCs w:val="32"/>
        </w:rPr>
        <w:t>完成申请工作。如项目成果中已包含</w:t>
      </w:r>
      <w:r>
        <w:rPr>
          <w:rFonts w:hint="default"/>
          <w:szCs w:val="32"/>
          <w:lang w:eastAsia="zh-CN"/>
        </w:rPr>
        <w:t>中标人</w:t>
      </w:r>
      <w:r>
        <w:rPr>
          <w:szCs w:val="32"/>
        </w:rPr>
        <w:t>原有的知识产权，则该部分的知识产权不发生任何转移，但</w:t>
      </w:r>
      <w:r>
        <w:rPr>
          <w:rFonts w:hint="eastAsia"/>
          <w:szCs w:val="32"/>
          <w:lang w:eastAsia="zh-CN"/>
        </w:rPr>
        <w:t>采购人</w:t>
      </w:r>
      <w:r>
        <w:rPr>
          <w:szCs w:val="32"/>
        </w:rPr>
        <w:t>有权自由使用，且该使用也无需支付项目约定之外的任何费用。</w:t>
      </w:r>
    </w:p>
    <w:p w14:paraId="0DC4D4FD">
      <w:pPr>
        <w:numPr>
          <w:ilvl w:val="0"/>
          <w:numId w:val="18"/>
        </w:numPr>
        <w:tabs>
          <w:tab w:val="left" w:pos="420"/>
        </w:tabs>
        <w:adjustRightInd w:val="0"/>
        <w:spacing w:after="0" w:line="600" w:lineRule="exact"/>
        <w:ind w:left="0" w:firstLine="640"/>
        <w:rPr>
          <w:szCs w:val="32"/>
        </w:rPr>
      </w:pPr>
      <w:r>
        <w:rPr>
          <w:szCs w:val="32"/>
        </w:rPr>
        <w:t>本项目禁止转包分包，未经</w:t>
      </w:r>
      <w:r>
        <w:rPr>
          <w:rFonts w:hint="eastAsia"/>
          <w:szCs w:val="32"/>
          <w:lang w:eastAsia="zh-CN"/>
        </w:rPr>
        <w:t>采购人</w:t>
      </w:r>
      <w:r>
        <w:rPr>
          <w:szCs w:val="32"/>
        </w:rPr>
        <w:t>同意，</w:t>
      </w:r>
      <w:r>
        <w:rPr>
          <w:rFonts w:hint="default"/>
          <w:szCs w:val="32"/>
          <w:lang w:eastAsia="zh-CN"/>
        </w:rPr>
        <w:t>中标人</w:t>
      </w:r>
      <w:r>
        <w:rPr>
          <w:szCs w:val="32"/>
        </w:rPr>
        <w:t>不得将本项目部分或全部开发工作转让第三方承担。</w:t>
      </w:r>
    </w:p>
    <w:p w14:paraId="4FD13543">
      <w:pPr>
        <w:numPr>
          <w:ilvl w:val="0"/>
          <w:numId w:val="18"/>
        </w:numPr>
        <w:tabs>
          <w:tab w:val="left" w:pos="420"/>
        </w:tabs>
        <w:adjustRightInd w:val="0"/>
        <w:spacing w:after="0" w:line="600" w:lineRule="exact"/>
        <w:ind w:left="0" w:firstLine="640"/>
      </w:pPr>
      <w:r>
        <w:rPr>
          <w:szCs w:val="32"/>
        </w:rPr>
        <w:t>本项目相关的资料文件仅限本项目使用，不得以任何形式外传。</w:t>
      </w:r>
    </w:p>
    <w:p w14:paraId="6F17025A">
      <w:pPr>
        <w:numPr>
          <w:ilvl w:val="0"/>
          <w:numId w:val="18"/>
        </w:numPr>
        <w:tabs>
          <w:tab w:val="left" w:pos="420"/>
        </w:tabs>
        <w:adjustRightInd w:val="0"/>
        <w:spacing w:line="600" w:lineRule="exact"/>
        <w:ind w:left="0" w:firstLine="640"/>
        <w:rPr>
          <w:rFonts w:eastAsia="黑体"/>
          <w:szCs w:val="32"/>
        </w:rPr>
      </w:pPr>
      <w:r>
        <w:rPr>
          <w:rFonts w:hint="eastAsia"/>
          <w:szCs w:val="32"/>
        </w:rPr>
        <w:t>项目验收前，</w:t>
      </w:r>
      <w:r>
        <w:rPr>
          <w:rFonts w:hint="default"/>
          <w:szCs w:val="32"/>
          <w:lang w:eastAsia="zh-CN"/>
        </w:rPr>
        <w:t>中标人</w:t>
      </w:r>
      <w:r>
        <w:rPr>
          <w:rFonts w:hint="eastAsia"/>
          <w:szCs w:val="32"/>
        </w:rPr>
        <w:t>应</w:t>
      </w:r>
      <w:r>
        <w:rPr>
          <w:szCs w:val="32"/>
        </w:rPr>
        <w:t>按照科技档案</w:t>
      </w:r>
      <w:r>
        <w:rPr>
          <w:rFonts w:hint="eastAsia"/>
          <w:szCs w:val="32"/>
        </w:rPr>
        <w:t>等相关规定和</w:t>
      </w:r>
      <w:r>
        <w:rPr>
          <w:szCs w:val="32"/>
        </w:rPr>
        <w:t>要求</w:t>
      </w:r>
      <w:r>
        <w:rPr>
          <w:rFonts w:hint="eastAsia"/>
          <w:szCs w:val="32"/>
        </w:rPr>
        <w:t>，形成完整、齐全且符合要求的竣工资料，并向</w:t>
      </w:r>
      <w:r>
        <w:rPr>
          <w:rFonts w:hint="eastAsia"/>
          <w:szCs w:val="32"/>
          <w:lang w:eastAsia="zh-CN"/>
        </w:rPr>
        <w:t>采购人</w:t>
      </w:r>
      <w:r>
        <w:rPr>
          <w:rFonts w:hint="eastAsia"/>
          <w:szCs w:val="32"/>
        </w:rPr>
        <w:t>移交</w:t>
      </w:r>
      <w:r>
        <w:rPr>
          <w:szCs w:val="32"/>
        </w:rPr>
        <w:t>。</w:t>
      </w:r>
    </w:p>
    <w:p w14:paraId="5809A90E">
      <w:pPr>
        <w:pStyle w:val="2"/>
        <w:spacing w:after="0" w:line="600" w:lineRule="exact"/>
      </w:pPr>
      <w:r>
        <w:rPr>
          <w:szCs w:val="32"/>
        </w:rPr>
        <w:t>本用户需求的解释权归</w:t>
      </w:r>
      <w:r>
        <w:rPr>
          <w:rFonts w:hint="eastAsia"/>
          <w:szCs w:val="32"/>
          <w:lang w:eastAsia="zh-CN"/>
        </w:rPr>
        <w:t>采购人</w:t>
      </w:r>
      <w:r>
        <w:rPr>
          <w:rFonts w:hint="eastAsia"/>
          <w:szCs w:val="32"/>
        </w:rPr>
        <w:t>所有</w:t>
      </w:r>
      <w:r>
        <w:rPr>
          <w:szCs w:val="32"/>
        </w:rPr>
        <w:t>。</w:t>
      </w:r>
    </w:p>
    <w:p w14:paraId="43F64B7D"/>
    <w:p w14:paraId="1E0D3CDA">
      <w:r>
        <w:br w:type="page"/>
      </w:r>
    </w:p>
    <w:p w14:paraId="11E49091">
      <w:pPr>
        <w:pStyle w:val="3"/>
        <w:spacing w:before="0" w:after="0" w:line="600" w:lineRule="exact"/>
        <w:jc w:val="center"/>
        <w:rPr>
          <w:rFonts w:ascii="黑体" w:hAnsi="黑体" w:eastAsia="黑体" w:cs="黑体"/>
          <w:sz w:val="32"/>
          <w:szCs w:val="32"/>
        </w:rPr>
      </w:pPr>
      <w:bookmarkStart w:id="60" w:name="_Toc1849"/>
      <w:bookmarkStart w:id="61" w:name="_Toc10246"/>
      <w:bookmarkStart w:id="62" w:name="_Toc26102"/>
      <w:r>
        <w:rPr>
          <w:rFonts w:hint="eastAsia" w:ascii="黑体" w:hAnsi="黑体" w:eastAsia="黑体" w:cs="黑体"/>
          <w:sz w:val="32"/>
          <w:szCs w:val="32"/>
        </w:rPr>
        <w:t>项目交付要求</w:t>
      </w:r>
      <w:bookmarkEnd w:id="60"/>
      <w:bookmarkEnd w:id="61"/>
      <w:bookmarkEnd w:id="62"/>
    </w:p>
    <w:p w14:paraId="45B5419A">
      <w:pPr>
        <w:pStyle w:val="4"/>
      </w:pPr>
      <w:bookmarkStart w:id="63" w:name="_Toc6054"/>
      <w:bookmarkStart w:id="64" w:name="_Toc25636"/>
      <w:bookmarkStart w:id="65" w:name="_Toc5582"/>
      <w:r>
        <w:t>安装与验收</w:t>
      </w:r>
      <w:bookmarkEnd w:id="63"/>
      <w:bookmarkEnd w:id="64"/>
      <w:bookmarkEnd w:id="65"/>
    </w:p>
    <w:p w14:paraId="11084182">
      <w:r>
        <w:rPr>
          <w:rFonts w:hint="eastAsia"/>
        </w:rPr>
        <w:t>1.安装：必须对提供的所有软件系统和组件进行安装部署，包括安装、测试和联网调试。</w:t>
      </w:r>
    </w:p>
    <w:p w14:paraId="0750CBBD">
      <w:pPr>
        <w:rPr>
          <w:rFonts w:hint="eastAsia"/>
        </w:rPr>
      </w:pPr>
      <w:r>
        <w:rPr>
          <w:rFonts w:hint="eastAsia"/>
        </w:rPr>
        <w:t>2.初步验收：所有功能使用及界面应与需求规格说明书保持一致，对于不满足该要求的，</w:t>
      </w:r>
      <w:r>
        <w:rPr>
          <w:rFonts w:hint="default"/>
        </w:rPr>
        <w:t>中标人</w:t>
      </w:r>
      <w:r>
        <w:rPr>
          <w:rFonts w:hint="eastAsia"/>
        </w:rPr>
        <w:t>应给与记录及整改，整改完成并</w:t>
      </w:r>
      <w:r>
        <w:rPr>
          <w:rFonts w:hint="eastAsia"/>
          <w:lang w:eastAsia="zh"/>
          <w:woUserID w:val="1"/>
        </w:rPr>
        <w:t>稳定运行不少于1个月后，</w:t>
      </w:r>
      <w:r>
        <w:rPr>
          <w:rFonts w:hint="eastAsia"/>
        </w:rPr>
        <w:t>经</w:t>
      </w:r>
      <w:r>
        <w:rPr>
          <w:rFonts w:hint="default"/>
        </w:rPr>
        <w:t>招标人</w:t>
      </w:r>
      <w:r>
        <w:rPr>
          <w:rFonts w:hint="eastAsia"/>
        </w:rPr>
        <w:t>确认方可进行验收，其中对于不影响整体功能使用的问题，可在经</w:t>
      </w:r>
      <w:r>
        <w:rPr>
          <w:rFonts w:hint="default"/>
        </w:rPr>
        <w:t>招标人</w:t>
      </w:r>
      <w:r>
        <w:rPr>
          <w:rFonts w:hint="eastAsia"/>
        </w:rPr>
        <w:t>确认后，先进行记录，试运行期再进行整改。</w:t>
      </w:r>
    </w:p>
    <w:p w14:paraId="53FECE9C">
      <w:pPr>
        <w:rPr>
          <w:rFonts w:hint="eastAsia"/>
        </w:rPr>
      </w:pPr>
      <w:r>
        <w:rPr>
          <w:rFonts w:hint="eastAsia"/>
        </w:rPr>
        <w:t>3.最终验收</w:t>
      </w:r>
    </w:p>
    <w:p w14:paraId="247397E6">
      <w:pPr>
        <w:rPr>
          <w:rFonts w:hint="eastAsia"/>
        </w:rPr>
      </w:pPr>
      <w:r>
        <w:rPr>
          <w:rFonts w:hint="eastAsia"/>
        </w:rPr>
        <w:t>（1）当</w:t>
      </w:r>
      <w:r>
        <w:rPr>
          <w:rFonts w:hint="default"/>
        </w:rPr>
        <w:t>中标人</w:t>
      </w:r>
      <w:r>
        <w:rPr>
          <w:rFonts w:hint="eastAsia"/>
        </w:rPr>
        <w:t>通过初验后即进入试运行阶段，系统试运行阶段不少于6个月，</w:t>
      </w:r>
      <w:r>
        <w:rPr>
          <w:rFonts w:hint="default"/>
        </w:rPr>
        <w:t>中标人</w:t>
      </w:r>
      <w:r>
        <w:rPr>
          <w:rFonts w:hint="eastAsia"/>
        </w:rPr>
        <w:t>应在</w:t>
      </w:r>
      <w:r>
        <w:rPr>
          <w:rFonts w:hint="default"/>
        </w:rPr>
        <w:t>招标人</w:t>
      </w:r>
      <w:r>
        <w:rPr>
          <w:rFonts w:hint="eastAsia"/>
        </w:rPr>
        <w:t>正常生产情况，实时记录系统使用及故障情况与其他问题。</w:t>
      </w:r>
    </w:p>
    <w:p w14:paraId="1406FCF9">
      <w:pPr>
        <w:rPr>
          <w:rFonts w:hint="eastAsia"/>
        </w:rPr>
      </w:pPr>
      <w:r>
        <w:rPr>
          <w:rFonts w:hint="eastAsia"/>
        </w:rPr>
        <w:t>（2）</w:t>
      </w:r>
      <w:r>
        <w:rPr>
          <w:rFonts w:hint="default"/>
        </w:rPr>
        <w:t>中标人</w:t>
      </w:r>
      <w:r>
        <w:rPr>
          <w:rFonts w:hint="eastAsia"/>
        </w:rPr>
        <w:t>所提供的软件应保证能够适应</w:t>
      </w:r>
      <w:r>
        <w:rPr>
          <w:rFonts w:hint="default"/>
        </w:rPr>
        <w:t>招标人</w:t>
      </w:r>
      <w:r>
        <w:rPr>
          <w:rFonts w:hint="eastAsia"/>
        </w:rPr>
        <w:t>业务流程及管理模式，由此产生的开发工作不属于二次开发，系统在试运行期间发生故障或暴露缺陷，</w:t>
      </w:r>
      <w:r>
        <w:rPr>
          <w:rFonts w:hint="default"/>
        </w:rPr>
        <w:t>中标人</w:t>
      </w:r>
      <w:r>
        <w:rPr>
          <w:rFonts w:hint="eastAsia"/>
        </w:rPr>
        <w:t>需进行修复，如试运行期未完成修复，试运行期顺延，直到遗留问题解决。在此期间，所有产生的软件开发及其他相关技术服务费用由</w:t>
      </w:r>
      <w:r>
        <w:rPr>
          <w:rFonts w:hint="default"/>
        </w:rPr>
        <w:t>中标人</w:t>
      </w:r>
      <w:r>
        <w:rPr>
          <w:rFonts w:hint="eastAsia"/>
        </w:rPr>
        <w:t>自行负责。</w:t>
      </w:r>
    </w:p>
    <w:p w14:paraId="4BCE5480">
      <w:pPr>
        <w:rPr>
          <w:rFonts w:hint="eastAsia"/>
        </w:rPr>
      </w:pPr>
      <w:r>
        <w:rPr>
          <w:rFonts w:hint="eastAsia"/>
        </w:rPr>
        <w:t>（3）系统试运行阶段需同步完成业务咨询及历史数据同步工作，并通过所有测评工作（如有）。</w:t>
      </w:r>
    </w:p>
    <w:p w14:paraId="64DF1803">
      <w:pPr>
        <w:rPr>
          <w:rFonts w:hint="eastAsia"/>
        </w:rPr>
      </w:pPr>
      <w:r>
        <w:rPr>
          <w:rFonts w:hint="eastAsia"/>
        </w:rPr>
        <w:t>（4）系统试运行满6个月，且完成期间要求的工作后，</w:t>
      </w:r>
      <w:r>
        <w:rPr>
          <w:rFonts w:hint="default"/>
        </w:rPr>
        <w:t>中标人</w:t>
      </w:r>
      <w:r>
        <w:rPr>
          <w:rFonts w:hint="eastAsia"/>
        </w:rPr>
        <w:t>可以申请项目终验。</w:t>
      </w:r>
    </w:p>
    <w:p w14:paraId="3737FA60">
      <w:r>
        <w:rPr>
          <w:rFonts w:hint="eastAsia"/>
        </w:rPr>
        <w:t>4.运维：项目终验通过即进入为期2年的</w:t>
      </w:r>
      <w:r>
        <w:rPr>
          <w:rFonts w:hint="eastAsia"/>
          <w:lang w:eastAsia="zh"/>
          <w:woUserID w:val="1"/>
        </w:rPr>
        <w:t>质保</w:t>
      </w:r>
      <w:r>
        <w:rPr>
          <w:rFonts w:hint="eastAsia"/>
        </w:rPr>
        <w:t>期。</w:t>
      </w:r>
    </w:p>
    <w:p w14:paraId="3B830E71">
      <w:pPr>
        <w:pStyle w:val="4"/>
      </w:pPr>
      <w:bookmarkStart w:id="66" w:name="_Toc18329"/>
      <w:bookmarkStart w:id="67" w:name="_Toc17051"/>
      <w:bookmarkStart w:id="68" w:name="_Toc11033"/>
      <w:r>
        <w:t>交付技术文档</w:t>
      </w:r>
      <w:bookmarkEnd w:id="66"/>
      <w:bookmarkEnd w:id="67"/>
      <w:bookmarkEnd w:id="68"/>
    </w:p>
    <w:p w14:paraId="4B36ED3D">
      <w:r>
        <w:rPr>
          <w:rFonts w:hint="eastAsia"/>
        </w:rPr>
        <w:t>必须提供完整的软件安装、使用、测试及维护手册，包括但不仅限于以下内容。</w:t>
      </w:r>
    </w:p>
    <w:p w14:paraId="2B5F4BEA">
      <w:pPr>
        <w:pStyle w:val="2"/>
        <w:numPr>
          <w:ilvl w:val="0"/>
          <w:numId w:val="19"/>
        </w:numPr>
        <w:rPr>
          <w:rFonts w:hint="eastAsia"/>
        </w:rPr>
      </w:pPr>
      <w:r>
        <w:rPr>
          <w:rFonts w:hint="eastAsia"/>
        </w:rPr>
        <w:t>《系统安装配置及维护手册》</w:t>
      </w:r>
    </w:p>
    <w:p w14:paraId="27D9F8DF">
      <w:pPr>
        <w:pStyle w:val="2"/>
        <w:numPr>
          <w:ilvl w:val="0"/>
          <w:numId w:val="19"/>
        </w:numPr>
        <w:rPr>
          <w:rFonts w:hint="eastAsia"/>
        </w:rPr>
      </w:pPr>
      <w:r>
        <w:rPr>
          <w:rFonts w:hint="eastAsia"/>
        </w:rPr>
        <w:t>《系统用户使用操作手册》</w:t>
      </w:r>
    </w:p>
    <w:p w14:paraId="7CD55B30">
      <w:pPr>
        <w:pStyle w:val="2"/>
        <w:numPr>
          <w:ilvl w:val="0"/>
          <w:numId w:val="19"/>
        </w:numPr>
        <w:rPr>
          <w:rFonts w:hint="eastAsia"/>
        </w:rPr>
      </w:pPr>
      <w:r>
        <w:rPr>
          <w:rFonts w:hint="eastAsia"/>
          <w:lang w:eastAsia="zh-CN"/>
        </w:rPr>
        <w:t>《</w:t>
      </w:r>
      <w:r>
        <w:rPr>
          <w:rFonts w:hint="eastAsia"/>
        </w:rPr>
        <w:t>系统需求调研报告</w:t>
      </w:r>
      <w:r>
        <w:rPr>
          <w:rFonts w:hint="eastAsia"/>
          <w:lang w:eastAsia="zh-CN"/>
        </w:rPr>
        <w:t>》</w:t>
      </w:r>
    </w:p>
    <w:p w14:paraId="324517B8">
      <w:pPr>
        <w:pStyle w:val="2"/>
        <w:numPr>
          <w:ilvl w:val="0"/>
          <w:numId w:val="19"/>
        </w:numPr>
        <w:rPr>
          <w:rFonts w:hint="eastAsia"/>
        </w:rPr>
      </w:pPr>
      <w:r>
        <w:rPr>
          <w:rFonts w:hint="eastAsia"/>
        </w:rPr>
        <w:t>《系统需求规格说明书》</w:t>
      </w:r>
    </w:p>
    <w:p w14:paraId="187BC0B8">
      <w:pPr>
        <w:pStyle w:val="2"/>
        <w:numPr>
          <w:ilvl w:val="0"/>
          <w:numId w:val="19"/>
        </w:numPr>
        <w:rPr>
          <w:rFonts w:hint="eastAsia"/>
        </w:rPr>
      </w:pPr>
      <w:r>
        <w:rPr>
          <w:rFonts w:hint="eastAsia"/>
        </w:rPr>
        <w:t>《系统实施方案》</w:t>
      </w:r>
    </w:p>
    <w:p w14:paraId="7D2187C3">
      <w:pPr>
        <w:pStyle w:val="2"/>
        <w:numPr>
          <w:ilvl w:val="0"/>
          <w:numId w:val="19"/>
        </w:numPr>
        <w:rPr>
          <w:rFonts w:hint="eastAsia"/>
        </w:rPr>
      </w:pPr>
      <w:r>
        <w:rPr>
          <w:rFonts w:hint="eastAsia"/>
          <w:lang w:eastAsia="zh-CN"/>
        </w:rPr>
        <w:t>《</w:t>
      </w:r>
      <w:r>
        <w:rPr>
          <w:rFonts w:hint="eastAsia"/>
        </w:rPr>
        <w:t>详细设计说明书</w:t>
      </w:r>
      <w:r>
        <w:rPr>
          <w:rFonts w:hint="eastAsia"/>
          <w:lang w:eastAsia="zh-CN"/>
        </w:rPr>
        <w:t>》</w:t>
      </w:r>
    </w:p>
    <w:p w14:paraId="2D0E099A">
      <w:pPr>
        <w:pStyle w:val="2"/>
        <w:numPr>
          <w:ilvl w:val="0"/>
          <w:numId w:val="19"/>
        </w:numPr>
        <w:rPr>
          <w:rFonts w:hint="eastAsia"/>
          <w:lang w:eastAsia="zh-CN"/>
        </w:rPr>
      </w:pPr>
      <w:r>
        <w:rPr>
          <w:rFonts w:hint="eastAsia"/>
          <w:lang w:eastAsia="zh-CN"/>
        </w:rPr>
        <w:t>《第3方应用集成开发及配置手册》（含多语言demo示例）</w:t>
      </w:r>
    </w:p>
    <w:p w14:paraId="4D6DCF66">
      <w:pPr>
        <w:pStyle w:val="2"/>
        <w:numPr>
          <w:ilvl w:val="0"/>
          <w:numId w:val="19"/>
        </w:numPr>
        <w:rPr>
          <w:rFonts w:hint="eastAsia"/>
          <w:lang w:eastAsia="zh-CN"/>
        </w:rPr>
      </w:pPr>
      <w:r>
        <w:rPr>
          <w:rFonts w:hint="eastAsia"/>
          <w:lang w:eastAsia="zh-CN"/>
          <w:woUserID w:val="1"/>
        </w:rPr>
        <w:t>《数据资源目录》</w:t>
      </w:r>
    </w:p>
    <w:p w14:paraId="6A193EEA">
      <w:pPr>
        <w:pStyle w:val="2"/>
        <w:numPr>
          <w:ilvl w:val="0"/>
          <w:numId w:val="19"/>
        </w:numPr>
        <w:rPr>
          <w:rFonts w:hint="eastAsia"/>
          <w:lang w:eastAsia="zh-CN"/>
        </w:rPr>
      </w:pPr>
      <w:r>
        <w:rPr>
          <w:rFonts w:hint="eastAsia"/>
          <w:lang w:eastAsia="zh-CN"/>
        </w:rPr>
        <w:t>《系统测试报告》</w:t>
      </w:r>
    </w:p>
    <w:p w14:paraId="0D5FEB38">
      <w:pPr>
        <w:pStyle w:val="2"/>
        <w:numPr>
          <w:ilvl w:val="0"/>
          <w:numId w:val="19"/>
        </w:numPr>
        <w:rPr>
          <w:rFonts w:hint="eastAsia"/>
          <w:lang w:eastAsia="zh-CN"/>
        </w:rPr>
      </w:pPr>
      <w:r>
        <w:rPr>
          <w:rFonts w:hint="eastAsia"/>
          <w:lang w:eastAsia="zh-CN"/>
        </w:rPr>
        <w:t>《试运行总结报告》</w:t>
      </w:r>
    </w:p>
    <w:p w14:paraId="4943C4A2">
      <w:pPr>
        <w:pStyle w:val="2"/>
        <w:numPr>
          <w:ilvl w:val="0"/>
          <w:numId w:val="19"/>
        </w:numPr>
        <w:rPr>
          <w:rFonts w:hint="eastAsia"/>
          <w:lang w:eastAsia="zh-CN"/>
        </w:rPr>
      </w:pPr>
      <w:r>
        <w:rPr>
          <w:rFonts w:hint="eastAsia"/>
          <w:lang w:eastAsia="zh-CN"/>
        </w:rPr>
        <w:t>《初验报告》</w:t>
      </w:r>
    </w:p>
    <w:p w14:paraId="7472B1F8">
      <w:pPr>
        <w:pStyle w:val="2"/>
        <w:numPr>
          <w:ilvl w:val="0"/>
          <w:numId w:val="19"/>
        </w:numPr>
        <w:rPr>
          <w:rFonts w:hint="eastAsia"/>
          <w:lang w:eastAsia="zh-CN"/>
        </w:rPr>
      </w:pPr>
      <w:r>
        <w:rPr>
          <w:rFonts w:hint="eastAsia"/>
          <w:lang w:eastAsia="zh-CN"/>
        </w:rPr>
        <w:t>《终验报告》</w:t>
      </w:r>
    </w:p>
    <w:p w14:paraId="714D73E5">
      <w:pPr>
        <w:pStyle w:val="3"/>
        <w:spacing w:before="0" w:after="0" w:line="600" w:lineRule="exact"/>
        <w:jc w:val="center"/>
        <w:rPr>
          <w:rFonts w:ascii="黑体" w:hAnsi="黑体" w:eastAsia="黑体" w:cs="黑体"/>
          <w:sz w:val="32"/>
          <w:szCs w:val="32"/>
        </w:rPr>
      </w:pPr>
      <w:bookmarkStart w:id="69" w:name="_Toc8810"/>
      <w:bookmarkStart w:id="70" w:name="_Toc18031"/>
      <w:bookmarkStart w:id="71" w:name="_Toc21189"/>
      <w:r>
        <w:rPr>
          <w:rFonts w:hint="eastAsia" w:ascii="黑体" w:hAnsi="黑体" w:eastAsia="黑体" w:cs="黑体"/>
          <w:sz w:val="32"/>
          <w:szCs w:val="32"/>
        </w:rPr>
        <w:t>费用支付</w:t>
      </w:r>
      <w:bookmarkEnd w:id="69"/>
      <w:bookmarkEnd w:id="70"/>
      <w:bookmarkEnd w:id="71"/>
    </w:p>
    <w:p w14:paraId="7077360F">
      <w:pPr>
        <w:numPr>
          <w:ilvl w:val="0"/>
          <w:numId w:val="0"/>
        </w:numPr>
        <w:spacing w:line="600" w:lineRule="exact"/>
        <w:ind w:firstLine="0"/>
        <w:rPr>
          <w:rFonts w:hint="default"/>
          <w:woUserID w:val="1"/>
        </w:rPr>
      </w:pPr>
      <w:r>
        <w:rPr>
          <w:rFonts w:hint="default"/>
          <w:lang w:val="en-US" w:eastAsia="zh-CN"/>
          <w:woUserID w:val="1"/>
        </w:rPr>
        <w:t>1.</w:t>
      </w:r>
      <w:r>
        <w:rPr>
          <w:rFonts w:hint="eastAsia"/>
          <w:lang w:val="en-US" w:eastAsia="zh-CN"/>
          <w:woUserID w:val="1"/>
        </w:rPr>
        <w:t>本项目合同价税合计由</w:t>
      </w:r>
      <w:r>
        <w:rPr>
          <w:rFonts w:hint="default"/>
          <w:lang w:eastAsia="zh-CN"/>
          <w:woUserID w:val="1"/>
        </w:rPr>
        <w:t>招标人</w:t>
      </w:r>
      <w:r>
        <w:rPr>
          <w:rFonts w:hint="eastAsia"/>
          <w:lang w:val="en-US" w:eastAsia="zh-CN"/>
          <w:woUserID w:val="1"/>
        </w:rPr>
        <w:t>分</w:t>
      </w:r>
      <w:r>
        <w:rPr>
          <w:rFonts w:hint="default"/>
          <w:lang w:val="en-US" w:eastAsia="zh-CN"/>
          <w:woUserID w:val="1"/>
        </w:rPr>
        <w:t xml:space="preserve"> 5 </w:t>
      </w:r>
      <w:r>
        <w:rPr>
          <w:rFonts w:hint="eastAsia"/>
          <w:lang w:val="en-US" w:eastAsia="zh-CN"/>
          <w:woUserID w:val="1"/>
        </w:rPr>
        <w:t>期支付</w:t>
      </w:r>
      <w:r>
        <w:rPr>
          <w:rFonts w:hint="default"/>
          <w:lang w:eastAsia="zh-CN"/>
          <w:woUserID w:val="1"/>
        </w:rPr>
        <w:t>中标人</w:t>
      </w:r>
      <w:r>
        <w:rPr>
          <w:rFonts w:hint="eastAsia"/>
          <w:lang w:val="en-US" w:eastAsia="zh-CN"/>
          <w:woUserID w:val="1"/>
        </w:rPr>
        <w:t>，具体如下：</w:t>
      </w:r>
    </w:p>
    <w:p w14:paraId="5B01FFF6">
      <w:pPr>
        <w:numPr>
          <w:ilvl w:val="0"/>
          <w:numId w:val="0"/>
        </w:numPr>
        <w:spacing w:line="600" w:lineRule="exact"/>
        <w:ind w:firstLine="0"/>
        <w:rPr>
          <w:rFonts w:hint="default"/>
          <w:woUserID w:val="1"/>
        </w:rPr>
      </w:pPr>
      <w:r>
        <w:rPr>
          <w:rFonts w:hint="eastAsia"/>
          <w:lang w:val="en-US" w:eastAsia="zh-CN"/>
          <w:woUserID w:val="1"/>
        </w:rPr>
        <w:t>（</w:t>
      </w:r>
      <w:r>
        <w:rPr>
          <w:rFonts w:hint="default"/>
          <w:lang w:val="en-US" w:eastAsia="zh-CN"/>
          <w:woUserID w:val="1"/>
        </w:rPr>
        <w:t>1</w:t>
      </w:r>
      <w:r>
        <w:rPr>
          <w:rFonts w:hint="eastAsia"/>
          <w:lang w:val="en-US" w:eastAsia="zh-CN"/>
          <w:woUserID w:val="1"/>
        </w:rPr>
        <w:t>）预付款：本合同设置</w:t>
      </w:r>
      <w:r>
        <w:rPr>
          <w:rFonts w:hint="default"/>
          <w:lang w:val="en-US" w:eastAsia="zh-CN"/>
          <w:woUserID w:val="1"/>
        </w:rPr>
        <w:t>30%</w:t>
      </w:r>
      <w:r>
        <w:rPr>
          <w:rFonts w:hint="eastAsia"/>
          <w:lang w:val="en-US" w:eastAsia="zh-CN"/>
          <w:woUserID w:val="1"/>
        </w:rPr>
        <w:t>预付款，合同签订后且</w:t>
      </w:r>
      <w:r>
        <w:rPr>
          <w:rFonts w:hint="default"/>
          <w:lang w:eastAsia="zh-CN"/>
          <w:woUserID w:val="1"/>
        </w:rPr>
        <w:t>中标人</w:t>
      </w:r>
      <w:r>
        <w:rPr>
          <w:rFonts w:hint="eastAsia"/>
          <w:lang w:val="en-US" w:eastAsia="zh-CN"/>
          <w:woUserID w:val="1"/>
        </w:rPr>
        <w:t>向</w:t>
      </w:r>
      <w:r>
        <w:rPr>
          <w:rFonts w:hint="default"/>
          <w:lang w:eastAsia="zh-CN"/>
          <w:woUserID w:val="1"/>
        </w:rPr>
        <w:t>招标人</w:t>
      </w:r>
      <w:r>
        <w:rPr>
          <w:rFonts w:hint="eastAsia"/>
          <w:lang w:val="en-US" w:eastAsia="zh-CN"/>
          <w:woUserID w:val="1"/>
        </w:rPr>
        <w:t>提供了履约担保之日起</w:t>
      </w:r>
      <w:r>
        <w:rPr>
          <w:rFonts w:hint="default"/>
          <w:lang w:val="en-US" w:eastAsia="zh-CN"/>
          <w:woUserID w:val="1"/>
        </w:rPr>
        <w:t>20</w:t>
      </w:r>
      <w:r>
        <w:rPr>
          <w:rFonts w:hint="eastAsia"/>
          <w:lang w:val="en-US" w:eastAsia="zh-CN"/>
          <w:woUserID w:val="1"/>
        </w:rPr>
        <w:t>个工作日内，</w:t>
      </w:r>
      <w:r>
        <w:rPr>
          <w:rFonts w:hint="default"/>
          <w:lang w:eastAsia="zh-CN"/>
          <w:woUserID w:val="1"/>
        </w:rPr>
        <w:t>招标人</w:t>
      </w:r>
      <w:r>
        <w:rPr>
          <w:rFonts w:hint="eastAsia"/>
          <w:lang w:val="en-US" w:eastAsia="zh-CN"/>
          <w:woUserID w:val="1"/>
        </w:rPr>
        <w:t>按照合同价款的</w:t>
      </w:r>
      <w:r>
        <w:rPr>
          <w:rFonts w:hint="default"/>
          <w:lang w:val="en-US" w:eastAsia="zh-CN"/>
          <w:woUserID w:val="1"/>
        </w:rPr>
        <w:t>30%</w:t>
      </w:r>
      <w:r>
        <w:rPr>
          <w:rFonts w:hint="eastAsia"/>
          <w:lang w:val="en-US" w:eastAsia="zh-CN"/>
          <w:woUserID w:val="1"/>
        </w:rPr>
        <w:t>支付给</w:t>
      </w:r>
      <w:r>
        <w:rPr>
          <w:rFonts w:hint="default"/>
          <w:lang w:eastAsia="zh-CN"/>
          <w:woUserID w:val="1"/>
        </w:rPr>
        <w:t>中标人</w:t>
      </w:r>
      <w:r>
        <w:rPr>
          <w:rFonts w:hint="eastAsia"/>
          <w:lang w:val="en-US" w:eastAsia="zh-CN"/>
          <w:woUserID w:val="1"/>
        </w:rPr>
        <w:t>。</w:t>
      </w:r>
    </w:p>
    <w:p w14:paraId="11BBD90E">
      <w:pPr>
        <w:numPr>
          <w:ilvl w:val="0"/>
          <w:numId w:val="0"/>
        </w:numPr>
        <w:spacing w:line="600" w:lineRule="exact"/>
        <w:ind w:firstLine="0"/>
        <w:rPr>
          <w:rFonts w:hint="default"/>
          <w:woUserID w:val="1"/>
        </w:rPr>
      </w:pPr>
      <w:r>
        <w:rPr>
          <w:rFonts w:hint="eastAsia"/>
          <w:lang w:val="en-US" w:eastAsia="zh-CN"/>
          <w:woUserID w:val="1"/>
        </w:rPr>
        <w:t>（</w:t>
      </w:r>
      <w:r>
        <w:rPr>
          <w:rFonts w:hint="default"/>
          <w:lang w:val="en-US" w:eastAsia="zh-CN"/>
          <w:woUserID w:val="1"/>
        </w:rPr>
        <w:t>2</w:t>
      </w:r>
      <w:r>
        <w:rPr>
          <w:rFonts w:hint="eastAsia"/>
          <w:lang w:val="en-US" w:eastAsia="zh-CN"/>
          <w:woUserID w:val="1"/>
        </w:rPr>
        <w:t>）初验款：项目通过初验合格后，</w:t>
      </w:r>
      <w:r>
        <w:rPr>
          <w:rFonts w:hint="default"/>
          <w:lang w:eastAsia="zh-CN"/>
          <w:woUserID w:val="1"/>
        </w:rPr>
        <w:t>招标人</w:t>
      </w:r>
      <w:r>
        <w:rPr>
          <w:rFonts w:hint="eastAsia"/>
          <w:lang w:val="en-US" w:eastAsia="zh-CN"/>
          <w:woUserID w:val="1"/>
        </w:rPr>
        <w:t>在</w:t>
      </w:r>
      <w:r>
        <w:rPr>
          <w:rFonts w:hint="default"/>
          <w:lang w:val="en-US" w:eastAsia="zh-CN"/>
          <w:woUserID w:val="1"/>
        </w:rPr>
        <w:t>20</w:t>
      </w:r>
      <w:r>
        <w:rPr>
          <w:rFonts w:hint="eastAsia"/>
          <w:lang w:val="en-US" w:eastAsia="zh-CN"/>
          <w:woUserID w:val="1"/>
        </w:rPr>
        <w:t>个工作日内支付至合同价款的</w:t>
      </w:r>
      <w:r>
        <w:rPr>
          <w:rFonts w:hint="default"/>
          <w:lang w:val="en-US" w:eastAsia="zh-CN"/>
          <w:woUserID w:val="1"/>
        </w:rPr>
        <w:t>60%</w:t>
      </w:r>
      <w:r>
        <w:rPr>
          <w:rFonts w:hint="eastAsia"/>
          <w:lang w:val="en-US" w:eastAsia="zh-CN"/>
          <w:woUserID w:val="1"/>
        </w:rPr>
        <w:t>。</w:t>
      </w:r>
    </w:p>
    <w:p w14:paraId="11916491">
      <w:pPr>
        <w:numPr>
          <w:ilvl w:val="0"/>
          <w:numId w:val="0"/>
        </w:numPr>
        <w:spacing w:line="600" w:lineRule="exact"/>
        <w:ind w:firstLine="0"/>
        <w:rPr>
          <w:rFonts w:hint="default"/>
          <w:woUserID w:val="1"/>
        </w:rPr>
      </w:pPr>
      <w:r>
        <w:rPr>
          <w:rFonts w:hint="eastAsia"/>
          <w:lang w:val="en-US" w:eastAsia="zh-CN"/>
          <w:woUserID w:val="1"/>
        </w:rPr>
        <w:t>（</w:t>
      </w:r>
      <w:r>
        <w:rPr>
          <w:rFonts w:hint="default"/>
          <w:lang w:val="en-US" w:eastAsia="zh-CN"/>
          <w:woUserID w:val="1"/>
        </w:rPr>
        <w:t>3</w:t>
      </w:r>
      <w:r>
        <w:rPr>
          <w:rFonts w:hint="eastAsia"/>
          <w:lang w:val="en-US" w:eastAsia="zh-CN"/>
          <w:woUserID w:val="1"/>
        </w:rPr>
        <w:t>）结算款：项目经整体验收合格后，</w:t>
      </w:r>
      <w:r>
        <w:rPr>
          <w:rFonts w:hint="default"/>
          <w:lang w:eastAsia="zh-CN"/>
          <w:woUserID w:val="1"/>
        </w:rPr>
        <w:t>招标人</w:t>
      </w:r>
      <w:r>
        <w:rPr>
          <w:rFonts w:hint="eastAsia"/>
          <w:lang w:val="en-US" w:eastAsia="zh-CN"/>
          <w:woUserID w:val="1"/>
        </w:rPr>
        <w:t>在</w:t>
      </w:r>
      <w:r>
        <w:rPr>
          <w:rFonts w:hint="default"/>
          <w:lang w:val="en-US" w:eastAsia="zh-CN"/>
          <w:woUserID w:val="1"/>
        </w:rPr>
        <w:t>20</w:t>
      </w:r>
      <w:r>
        <w:rPr>
          <w:rFonts w:hint="eastAsia"/>
          <w:lang w:val="en-US" w:eastAsia="zh-CN"/>
          <w:woUserID w:val="1"/>
        </w:rPr>
        <w:t>个工作日内支付至合同价款的</w:t>
      </w:r>
      <w:r>
        <w:rPr>
          <w:rFonts w:hint="default"/>
          <w:lang w:val="en-US" w:eastAsia="zh-CN"/>
          <w:woUserID w:val="1"/>
        </w:rPr>
        <w:t>90%</w:t>
      </w:r>
      <w:r>
        <w:rPr>
          <w:rFonts w:hint="eastAsia"/>
          <w:lang w:val="en-US" w:eastAsia="zh-CN"/>
          <w:woUserID w:val="1"/>
        </w:rPr>
        <w:t>；</w:t>
      </w:r>
    </w:p>
    <w:p w14:paraId="5F087BA2">
      <w:pPr>
        <w:numPr>
          <w:ilvl w:val="0"/>
          <w:numId w:val="0"/>
        </w:numPr>
        <w:spacing w:line="600" w:lineRule="exact"/>
        <w:ind w:firstLine="0"/>
        <w:rPr>
          <w:rFonts w:hint="default"/>
          <w:woUserID w:val="1"/>
        </w:rPr>
      </w:pPr>
      <w:r>
        <w:rPr>
          <w:rFonts w:hint="eastAsia"/>
          <w:lang w:val="en-US" w:eastAsia="zh-CN"/>
          <w:woUserID w:val="1"/>
        </w:rPr>
        <w:t>（</w:t>
      </w:r>
      <w:r>
        <w:rPr>
          <w:rFonts w:hint="default"/>
          <w:lang w:val="en-US" w:eastAsia="zh-CN"/>
          <w:woUserID w:val="1"/>
        </w:rPr>
        <w:t>4</w:t>
      </w:r>
      <w:r>
        <w:rPr>
          <w:rFonts w:hint="eastAsia"/>
          <w:lang w:val="en-US" w:eastAsia="zh-CN"/>
          <w:woUserID w:val="1"/>
        </w:rPr>
        <w:t>）质保金：合同结算总价的</w:t>
      </w:r>
      <w:r>
        <w:rPr>
          <w:rFonts w:hint="default"/>
          <w:lang w:val="en-US" w:eastAsia="zh-CN"/>
          <w:woUserID w:val="1"/>
        </w:rPr>
        <w:t>10%</w:t>
      </w:r>
      <w:r>
        <w:rPr>
          <w:rFonts w:hint="eastAsia"/>
          <w:lang w:val="en-US" w:eastAsia="zh-CN"/>
          <w:woUserID w:val="1"/>
        </w:rPr>
        <w:t>作为质保金。质保金自完成项目终验合格移交手续之日起</w:t>
      </w:r>
      <w:r>
        <w:rPr>
          <w:rFonts w:hint="default"/>
          <w:lang w:val="en-US" w:eastAsia="zh-CN"/>
          <w:woUserID w:val="1"/>
        </w:rPr>
        <w:t>2</w:t>
      </w:r>
      <w:r>
        <w:rPr>
          <w:rFonts w:hint="eastAsia"/>
          <w:lang w:val="en-US" w:eastAsia="zh-CN"/>
          <w:woUserID w:val="1"/>
        </w:rPr>
        <w:t>年，</w:t>
      </w:r>
      <w:r>
        <w:rPr>
          <w:rFonts w:hint="default"/>
          <w:lang w:eastAsia="zh-CN"/>
          <w:woUserID w:val="1"/>
        </w:rPr>
        <w:t>招标人</w:t>
      </w:r>
      <w:r>
        <w:rPr>
          <w:rFonts w:hint="eastAsia"/>
          <w:lang w:val="en-US" w:eastAsia="zh-CN"/>
          <w:woUserID w:val="1"/>
        </w:rPr>
        <w:t>在质保期满后对</w:t>
      </w:r>
      <w:r>
        <w:rPr>
          <w:rFonts w:hint="default"/>
          <w:lang w:eastAsia="zh-CN"/>
          <w:woUserID w:val="1"/>
        </w:rPr>
        <w:t>中标人</w:t>
      </w:r>
      <w:r>
        <w:rPr>
          <w:rFonts w:hint="eastAsia"/>
          <w:lang w:val="en-US" w:eastAsia="zh-CN"/>
          <w:woUserID w:val="1"/>
        </w:rPr>
        <w:t>进行一次性考核，质保结束后按运行维护考核结果一次性结算费用。具体的考核要求详见合同附件《质保期内的运行维护服务考核评分表》。</w:t>
      </w:r>
    </w:p>
    <w:p w14:paraId="033E2CD6">
      <w:pPr>
        <w:numPr>
          <w:ilvl w:val="0"/>
          <w:numId w:val="0"/>
        </w:numPr>
        <w:spacing w:line="600" w:lineRule="exact"/>
        <w:ind w:firstLine="0"/>
        <w:rPr>
          <w:rFonts w:hint="default"/>
          <w:woUserID w:val="1"/>
        </w:rPr>
      </w:pPr>
      <w:r>
        <w:rPr>
          <w:rFonts w:hint="eastAsia"/>
          <w:lang w:val="en-US" w:eastAsia="zh-CN"/>
          <w:woUserID w:val="1"/>
        </w:rPr>
        <w:t>若因</w:t>
      </w:r>
      <w:r>
        <w:rPr>
          <w:rFonts w:hint="default"/>
          <w:lang w:eastAsia="zh-CN"/>
          <w:woUserID w:val="1"/>
        </w:rPr>
        <w:t>中标人</w:t>
      </w:r>
      <w:r>
        <w:rPr>
          <w:rFonts w:hint="eastAsia"/>
          <w:lang w:val="en-US" w:eastAsia="zh-CN"/>
          <w:woUserID w:val="1"/>
        </w:rPr>
        <w:t>或客观因素导致</w:t>
      </w:r>
      <w:r>
        <w:rPr>
          <w:rFonts w:hint="default"/>
          <w:lang w:eastAsia="zh-CN"/>
          <w:woUserID w:val="1"/>
        </w:rPr>
        <w:t>中标人</w:t>
      </w:r>
      <w:r>
        <w:rPr>
          <w:rFonts w:hint="eastAsia"/>
          <w:lang w:val="en-US" w:eastAsia="zh-CN"/>
          <w:woUserID w:val="1"/>
        </w:rPr>
        <w:t>未能完全按招标文件用户需求建设且</w:t>
      </w:r>
      <w:r>
        <w:rPr>
          <w:rFonts w:hint="default"/>
          <w:lang w:eastAsia="zh-CN"/>
          <w:woUserID w:val="1"/>
        </w:rPr>
        <w:t>招标人</w:t>
      </w:r>
      <w:r>
        <w:rPr>
          <w:rFonts w:hint="eastAsia"/>
          <w:lang w:val="en-US" w:eastAsia="zh-CN"/>
          <w:woUserID w:val="1"/>
        </w:rPr>
        <w:t>和</w:t>
      </w:r>
      <w:r>
        <w:rPr>
          <w:rFonts w:hint="default"/>
          <w:lang w:eastAsia="zh-CN"/>
          <w:woUserID w:val="1"/>
        </w:rPr>
        <w:t>中标人</w:t>
      </w:r>
      <w:r>
        <w:rPr>
          <w:rFonts w:hint="eastAsia"/>
          <w:lang w:val="en-US" w:eastAsia="zh-CN"/>
          <w:woUserID w:val="1"/>
        </w:rPr>
        <w:t>无法商榷出合理的解决方案，经</w:t>
      </w:r>
      <w:r>
        <w:rPr>
          <w:rFonts w:hint="default"/>
          <w:lang w:eastAsia="zh-CN"/>
          <w:woUserID w:val="1"/>
        </w:rPr>
        <w:t>招标人</w:t>
      </w:r>
      <w:r>
        <w:rPr>
          <w:rFonts w:hint="eastAsia"/>
          <w:lang w:val="en-US" w:eastAsia="zh-CN"/>
          <w:woUserID w:val="1"/>
        </w:rPr>
        <w:t>同意，</w:t>
      </w:r>
      <w:r>
        <w:rPr>
          <w:rFonts w:hint="default"/>
          <w:lang w:eastAsia="zh-CN"/>
          <w:woUserID w:val="1"/>
        </w:rPr>
        <w:t>中标人</w:t>
      </w:r>
      <w:r>
        <w:rPr>
          <w:rFonts w:hint="eastAsia"/>
          <w:lang w:val="en-US" w:eastAsia="zh-CN"/>
          <w:woUserID w:val="1"/>
        </w:rPr>
        <w:t>在承担其违约责任的基础上（客观因素导致不能完全按招标文件用户需求建设除外），</w:t>
      </w:r>
      <w:r>
        <w:rPr>
          <w:rFonts w:hint="default"/>
          <w:lang w:eastAsia="zh-CN"/>
          <w:woUserID w:val="1"/>
        </w:rPr>
        <w:t>招标人</w:t>
      </w:r>
      <w:r>
        <w:rPr>
          <w:rFonts w:hint="eastAsia"/>
          <w:lang w:val="en-US" w:eastAsia="zh-CN"/>
          <w:woUserID w:val="1"/>
        </w:rPr>
        <w:t>可按实际验收合格的系统建设模块（或功能）予以按实结算及支付，已支付金额超出最终需支付金额的，在结算完成后，由</w:t>
      </w:r>
      <w:r>
        <w:rPr>
          <w:rFonts w:hint="default"/>
          <w:lang w:eastAsia="zh-CN"/>
          <w:woUserID w:val="1"/>
        </w:rPr>
        <w:t>中标人</w:t>
      </w:r>
      <w:r>
        <w:rPr>
          <w:rFonts w:hint="eastAsia"/>
          <w:lang w:val="en-US" w:eastAsia="zh-CN"/>
          <w:woUserID w:val="1"/>
        </w:rPr>
        <w:t>在</w:t>
      </w:r>
      <w:r>
        <w:rPr>
          <w:rFonts w:hint="default"/>
          <w:lang w:val="en-US" w:eastAsia="zh-CN"/>
          <w:woUserID w:val="1"/>
        </w:rPr>
        <w:t>7</w:t>
      </w:r>
      <w:r>
        <w:rPr>
          <w:rFonts w:hint="eastAsia"/>
          <w:lang w:val="en-US" w:eastAsia="zh-CN"/>
          <w:woUserID w:val="1"/>
        </w:rPr>
        <w:t>个工作日内退回至</w:t>
      </w:r>
      <w:r>
        <w:rPr>
          <w:rFonts w:hint="default"/>
          <w:lang w:eastAsia="zh-CN"/>
          <w:woUserID w:val="1"/>
        </w:rPr>
        <w:t>招标人</w:t>
      </w:r>
      <w:r>
        <w:rPr>
          <w:rFonts w:hint="eastAsia"/>
          <w:lang w:val="en-US" w:eastAsia="zh-CN"/>
          <w:woUserID w:val="1"/>
        </w:rPr>
        <w:t>账户。</w:t>
      </w:r>
    </w:p>
    <w:p w14:paraId="259DD7BA">
      <w:pPr>
        <w:numPr>
          <w:ilvl w:val="0"/>
          <w:numId w:val="0"/>
        </w:numPr>
        <w:spacing w:line="600" w:lineRule="exact"/>
        <w:ind w:firstLine="0"/>
      </w:pPr>
      <w:r>
        <w:rPr>
          <w:rFonts w:hint="default"/>
          <w:lang w:val="en-US" w:eastAsia="zh-CN"/>
          <w:woUserID w:val="1"/>
        </w:rPr>
        <w:t>2.</w:t>
      </w:r>
      <w:r>
        <w:rPr>
          <w:rFonts w:hint="eastAsia"/>
          <w:lang w:val="en-US" w:eastAsia="zh-CN"/>
          <w:woUserID w:val="1"/>
        </w:rPr>
        <w:t>在</w:t>
      </w:r>
      <w:r>
        <w:rPr>
          <w:rFonts w:hint="default"/>
          <w:lang w:eastAsia="zh-CN"/>
          <w:woUserID w:val="1"/>
        </w:rPr>
        <w:t>招标人</w:t>
      </w:r>
      <w:r>
        <w:rPr>
          <w:rFonts w:hint="eastAsia"/>
          <w:lang w:val="en-US" w:eastAsia="zh-CN"/>
          <w:woUserID w:val="1"/>
        </w:rPr>
        <w:t>支付每笔款项前，</w:t>
      </w:r>
      <w:r>
        <w:rPr>
          <w:rFonts w:hint="default"/>
          <w:lang w:eastAsia="zh-CN"/>
          <w:woUserID w:val="1"/>
        </w:rPr>
        <w:t>中标人</w:t>
      </w:r>
      <w:r>
        <w:rPr>
          <w:rFonts w:hint="eastAsia"/>
          <w:lang w:val="en-US" w:eastAsia="zh-CN"/>
          <w:woUserID w:val="1"/>
        </w:rPr>
        <w:t>应向</w:t>
      </w:r>
      <w:r>
        <w:rPr>
          <w:rFonts w:hint="default"/>
          <w:lang w:eastAsia="zh-CN"/>
          <w:woUserID w:val="1"/>
        </w:rPr>
        <w:t>招标人</w:t>
      </w:r>
      <w:r>
        <w:rPr>
          <w:rFonts w:hint="eastAsia"/>
          <w:lang w:val="en-US" w:eastAsia="zh-CN"/>
          <w:woUserID w:val="1"/>
        </w:rPr>
        <w:t>提供等额有效的增值税专用发票和请款报告等请款材料。因</w:t>
      </w:r>
      <w:r>
        <w:rPr>
          <w:rFonts w:hint="default"/>
          <w:lang w:eastAsia="zh-CN"/>
          <w:woUserID w:val="1"/>
        </w:rPr>
        <w:t>中标人</w:t>
      </w:r>
      <w:r>
        <w:rPr>
          <w:rFonts w:hint="eastAsia"/>
          <w:lang w:val="en-US" w:eastAsia="zh-CN"/>
          <w:woUserID w:val="1"/>
        </w:rPr>
        <w:t>逾期提供请款材料，或所提供的请款材料不符合</w:t>
      </w:r>
      <w:r>
        <w:rPr>
          <w:rFonts w:hint="default"/>
          <w:lang w:eastAsia="zh-CN"/>
          <w:woUserID w:val="1"/>
        </w:rPr>
        <w:t>招标人</w:t>
      </w:r>
      <w:r>
        <w:rPr>
          <w:rFonts w:hint="eastAsia"/>
          <w:lang w:val="en-US" w:eastAsia="zh-CN"/>
          <w:woUserID w:val="1"/>
        </w:rPr>
        <w:t>要求的，</w:t>
      </w:r>
      <w:r>
        <w:rPr>
          <w:rFonts w:hint="default"/>
          <w:lang w:eastAsia="zh-CN"/>
          <w:woUserID w:val="1"/>
        </w:rPr>
        <w:t>招标人</w:t>
      </w:r>
      <w:r>
        <w:rPr>
          <w:rFonts w:hint="eastAsia"/>
          <w:lang w:val="en-US" w:eastAsia="zh-CN"/>
          <w:woUserID w:val="1"/>
        </w:rPr>
        <w:t>有权顺延付款时间，并不承担任何违约责任。</w:t>
      </w:r>
    </w:p>
    <w:p w14:paraId="041B7803">
      <w:pPr>
        <w:spacing w:line="600" w:lineRule="exact"/>
        <w:ind w:firstLine="0" w:firstLineChars="0"/>
        <w:rPr>
          <w:lang w:val="zh-CN"/>
        </w:rPr>
      </w:pPr>
    </w:p>
    <w:sectPr>
      <w:footerReference r:id="rId12"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AC8D6">
    <w:pPr>
      <w:pStyle w:val="1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6E926">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62354">
    <w:pPr>
      <w:pStyle w:val="1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41161">
    <w:pPr>
      <w:pStyle w:val="13"/>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CBA9D9">
                          <w:pPr>
                            <w:pStyle w:val="13"/>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77CBA9D9">
                    <w:pPr>
                      <w:pStyle w:val="13"/>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DF7D3">
    <w:pPr>
      <w:pStyle w:val="13"/>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BEA216">
                          <w:pPr>
                            <w:pStyle w:val="13"/>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39BEA216">
                    <w:pPr>
                      <w:pStyle w:val="13"/>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81435">
    <w:pPr>
      <w:pStyle w:val="1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23570">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AEEEE">
    <w:pPr>
      <w:pStyle w:val="1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2906E8"/>
    <w:multiLevelType w:val="singleLevel"/>
    <w:tmpl w:val="9A2906E8"/>
    <w:lvl w:ilvl="0" w:tentative="0">
      <w:start w:val="1"/>
      <w:numFmt w:val="decimal"/>
      <w:lvlText w:val="%1."/>
      <w:lvlJc w:val="left"/>
      <w:pPr>
        <w:ind w:left="425" w:hanging="425"/>
      </w:pPr>
      <w:rPr>
        <w:rFonts w:hint="default"/>
      </w:rPr>
    </w:lvl>
  </w:abstractNum>
  <w:abstractNum w:abstractNumId="1">
    <w:nsid w:val="AE72E884"/>
    <w:multiLevelType w:val="singleLevel"/>
    <w:tmpl w:val="AE72E884"/>
    <w:lvl w:ilvl="0" w:tentative="0">
      <w:start w:val="1"/>
      <w:numFmt w:val="decimal"/>
      <w:lvlText w:val="%1."/>
      <w:lvlJc w:val="left"/>
      <w:pPr>
        <w:ind w:left="425" w:hanging="425"/>
      </w:pPr>
      <w:rPr>
        <w:rFonts w:hint="default"/>
      </w:rPr>
    </w:lvl>
  </w:abstractNum>
  <w:abstractNum w:abstractNumId="2">
    <w:nsid w:val="B6444089"/>
    <w:multiLevelType w:val="singleLevel"/>
    <w:tmpl w:val="B6444089"/>
    <w:lvl w:ilvl="0" w:tentative="0">
      <w:start w:val="1"/>
      <w:numFmt w:val="decimal"/>
      <w:lvlText w:val="%1."/>
      <w:lvlJc w:val="left"/>
      <w:pPr>
        <w:ind w:left="425" w:hanging="425"/>
      </w:pPr>
      <w:rPr>
        <w:rFonts w:hint="default"/>
        <w:color w:val="auto"/>
      </w:rPr>
    </w:lvl>
  </w:abstractNum>
  <w:abstractNum w:abstractNumId="3">
    <w:nsid w:val="B8B761DA"/>
    <w:multiLevelType w:val="singleLevel"/>
    <w:tmpl w:val="B8B761DA"/>
    <w:lvl w:ilvl="0" w:tentative="0">
      <w:start w:val="1"/>
      <w:numFmt w:val="decimal"/>
      <w:lvlText w:val="%1."/>
      <w:lvlJc w:val="left"/>
      <w:pPr>
        <w:ind w:left="425" w:hanging="425"/>
      </w:pPr>
      <w:rPr>
        <w:rFonts w:hint="default"/>
      </w:rPr>
    </w:lvl>
  </w:abstractNum>
  <w:abstractNum w:abstractNumId="4">
    <w:nsid w:val="BE4A5CCD"/>
    <w:multiLevelType w:val="singleLevel"/>
    <w:tmpl w:val="BE4A5CCD"/>
    <w:lvl w:ilvl="0" w:tentative="0">
      <w:start w:val="1"/>
      <w:numFmt w:val="decimal"/>
      <w:lvlText w:val="(%1)"/>
      <w:lvlJc w:val="left"/>
      <w:pPr>
        <w:ind w:left="425" w:hanging="425"/>
      </w:pPr>
      <w:rPr>
        <w:rFonts w:hint="default"/>
      </w:rPr>
    </w:lvl>
  </w:abstractNum>
  <w:abstractNum w:abstractNumId="5">
    <w:nsid w:val="C5738C77"/>
    <w:multiLevelType w:val="singleLevel"/>
    <w:tmpl w:val="C5738C77"/>
    <w:lvl w:ilvl="0" w:tentative="0">
      <w:start w:val="1"/>
      <w:numFmt w:val="decimal"/>
      <w:suff w:val="nothing"/>
      <w:lvlText w:val="%1．"/>
      <w:lvlJc w:val="left"/>
      <w:pPr>
        <w:ind w:left="0" w:firstLine="400"/>
      </w:pPr>
      <w:rPr>
        <w:rFonts w:hint="default"/>
      </w:rPr>
    </w:lvl>
  </w:abstractNum>
  <w:abstractNum w:abstractNumId="6">
    <w:nsid w:val="EEA3A72A"/>
    <w:multiLevelType w:val="singleLevel"/>
    <w:tmpl w:val="EEA3A72A"/>
    <w:lvl w:ilvl="0" w:tentative="0">
      <w:start w:val="1"/>
      <w:numFmt w:val="decimal"/>
      <w:lvlText w:val="(%1)"/>
      <w:lvlJc w:val="left"/>
      <w:pPr>
        <w:ind w:left="425" w:hanging="425"/>
      </w:pPr>
      <w:rPr>
        <w:rFonts w:hint="default"/>
      </w:rPr>
    </w:lvl>
  </w:abstractNum>
  <w:abstractNum w:abstractNumId="7">
    <w:nsid w:val="FE89AA74"/>
    <w:multiLevelType w:val="singleLevel"/>
    <w:tmpl w:val="FE89AA74"/>
    <w:lvl w:ilvl="0" w:tentative="0">
      <w:start w:val="1"/>
      <w:numFmt w:val="decimal"/>
      <w:lvlText w:val="%1."/>
      <w:lvlJc w:val="left"/>
      <w:pPr>
        <w:tabs>
          <w:tab w:val="left" w:pos="420"/>
        </w:tabs>
        <w:ind w:left="425" w:hanging="425"/>
      </w:pPr>
      <w:rPr>
        <w:rFonts w:hint="default"/>
        <w:sz w:val="32"/>
        <w:szCs w:val="32"/>
      </w:rPr>
    </w:lvl>
  </w:abstractNum>
  <w:abstractNum w:abstractNumId="8">
    <w:nsid w:val="038D8603"/>
    <w:multiLevelType w:val="singleLevel"/>
    <w:tmpl w:val="038D8603"/>
    <w:lvl w:ilvl="0" w:tentative="0">
      <w:start w:val="1"/>
      <w:numFmt w:val="decimal"/>
      <w:lvlText w:val="%1."/>
      <w:lvlJc w:val="left"/>
      <w:pPr>
        <w:ind w:left="425" w:hanging="425"/>
      </w:pPr>
      <w:rPr>
        <w:rFonts w:hint="default"/>
      </w:rPr>
    </w:lvl>
  </w:abstractNum>
  <w:abstractNum w:abstractNumId="9">
    <w:nsid w:val="10721B89"/>
    <w:multiLevelType w:val="multilevel"/>
    <w:tmpl w:val="10721B89"/>
    <w:lvl w:ilvl="0" w:tentative="0">
      <w:start w:val="1"/>
      <w:numFmt w:val="chineseCounting"/>
      <w:pStyle w:val="3"/>
      <w:suff w:val="nothing"/>
      <w:lvlText w:val="第%1章 "/>
      <w:lvlJc w:val="left"/>
      <w:pPr>
        <w:ind w:left="432" w:hanging="432"/>
      </w:pPr>
      <w:rPr>
        <w:rFonts w:hint="eastAsia"/>
      </w:rPr>
    </w:lvl>
    <w:lvl w:ilvl="1" w:tentative="0">
      <w:start w:val="1"/>
      <w:numFmt w:val="decimal"/>
      <w:pStyle w:val="4"/>
      <w:isLgl/>
      <w:lvlText w:val="%1.%2."/>
      <w:lvlJc w:val="left"/>
      <w:pPr>
        <w:ind w:left="575" w:hanging="575"/>
      </w:pPr>
      <w:rPr>
        <w:rFonts w:hint="eastAsia"/>
      </w:rPr>
    </w:lvl>
    <w:lvl w:ilvl="2" w:tentative="0">
      <w:start w:val="1"/>
      <w:numFmt w:val="decimal"/>
      <w:pStyle w:val="5"/>
      <w:isLgl/>
      <w:lvlText w:val="%1.%2.%3."/>
      <w:lvlJc w:val="left"/>
      <w:pPr>
        <w:ind w:left="720" w:hanging="720"/>
      </w:pPr>
      <w:rPr>
        <w:rFonts w:hint="eastAsia"/>
      </w:rPr>
    </w:lvl>
    <w:lvl w:ilvl="3" w:tentative="0">
      <w:start w:val="1"/>
      <w:numFmt w:val="decimal"/>
      <w:pStyle w:val="6"/>
      <w:isLgl/>
      <w:lvlText w:val="%1.%2.%3.%4."/>
      <w:lvlJc w:val="left"/>
      <w:pPr>
        <w:ind w:left="864" w:hanging="864"/>
      </w:pPr>
      <w:rPr>
        <w:rFonts w:hint="eastAsia"/>
      </w:rPr>
    </w:lvl>
    <w:lvl w:ilvl="4" w:tentative="0">
      <w:start w:val="1"/>
      <w:numFmt w:val="decimal"/>
      <w:pStyle w:val="7"/>
      <w:isLgl/>
      <w:lvlText w:val="%1.%2.%3.%4.%5."/>
      <w:lvlJc w:val="left"/>
      <w:pPr>
        <w:ind w:left="1008" w:hanging="1008"/>
      </w:pPr>
      <w:rPr>
        <w:rFonts w:hint="eastAsia"/>
      </w:rPr>
    </w:lvl>
    <w:lvl w:ilvl="5" w:tentative="0">
      <w:start w:val="1"/>
      <w:numFmt w:val="decimal"/>
      <w:pStyle w:val="8"/>
      <w:isLgl/>
      <w:lvlText w:val="%1.%2.%3.%4.%5.%6."/>
      <w:lvlJc w:val="left"/>
      <w:pPr>
        <w:ind w:left="1151" w:hanging="1151"/>
      </w:pPr>
      <w:rPr>
        <w:rFonts w:hint="eastAsia"/>
      </w:rPr>
    </w:lvl>
    <w:lvl w:ilvl="6" w:tentative="0">
      <w:start w:val="1"/>
      <w:numFmt w:val="decimal"/>
      <w:pStyle w:val="9"/>
      <w:isLgl/>
      <w:lvlText w:val="%1.%2.%3.%4.%5.%6.%7."/>
      <w:lvlJc w:val="left"/>
      <w:pPr>
        <w:ind w:left="1296" w:hanging="1296"/>
      </w:pPr>
      <w:rPr>
        <w:rFonts w:hint="eastAsia"/>
      </w:rPr>
    </w:lvl>
    <w:lvl w:ilvl="7" w:tentative="0">
      <w:start w:val="1"/>
      <w:numFmt w:val="decimal"/>
      <w:pStyle w:val="10"/>
      <w:isLgl/>
      <w:lvlText w:val="%1.%2.%3.%4.%5.%6.%7.%8."/>
      <w:lvlJc w:val="left"/>
      <w:pPr>
        <w:ind w:left="1440" w:hanging="1440"/>
      </w:pPr>
      <w:rPr>
        <w:rFonts w:hint="eastAsia"/>
      </w:rPr>
    </w:lvl>
    <w:lvl w:ilvl="8" w:tentative="0">
      <w:start w:val="1"/>
      <w:numFmt w:val="decimal"/>
      <w:pStyle w:val="11"/>
      <w:isLgl/>
      <w:lvlText w:val="%1.%2.%3.%4.%5.%6.%7.%8.%9."/>
      <w:lvlJc w:val="left"/>
      <w:pPr>
        <w:ind w:left="1583" w:hanging="1583"/>
      </w:pPr>
      <w:rPr>
        <w:rFonts w:hint="eastAsia"/>
      </w:rPr>
    </w:lvl>
  </w:abstractNum>
  <w:abstractNum w:abstractNumId="10">
    <w:nsid w:val="12FB043B"/>
    <w:multiLevelType w:val="singleLevel"/>
    <w:tmpl w:val="12FB043B"/>
    <w:lvl w:ilvl="0" w:tentative="0">
      <w:start w:val="1"/>
      <w:numFmt w:val="decimal"/>
      <w:lvlText w:val="%1."/>
      <w:lvlJc w:val="left"/>
      <w:pPr>
        <w:ind w:left="425" w:hanging="425"/>
      </w:pPr>
      <w:rPr>
        <w:rFonts w:hint="default"/>
      </w:rPr>
    </w:lvl>
  </w:abstractNum>
  <w:abstractNum w:abstractNumId="11">
    <w:nsid w:val="28B233FB"/>
    <w:multiLevelType w:val="singleLevel"/>
    <w:tmpl w:val="28B233FB"/>
    <w:lvl w:ilvl="0" w:tentative="0">
      <w:start w:val="1"/>
      <w:numFmt w:val="decimal"/>
      <w:lvlText w:val="%1."/>
      <w:lvlJc w:val="left"/>
      <w:pPr>
        <w:tabs>
          <w:tab w:val="left" w:pos="420"/>
        </w:tabs>
        <w:ind w:left="425" w:hanging="425"/>
      </w:pPr>
      <w:rPr>
        <w:rFonts w:hint="default"/>
        <w:sz w:val="32"/>
        <w:szCs w:val="32"/>
      </w:rPr>
    </w:lvl>
  </w:abstractNum>
  <w:abstractNum w:abstractNumId="12">
    <w:nsid w:val="38CEA583"/>
    <w:multiLevelType w:val="singleLevel"/>
    <w:tmpl w:val="38CEA583"/>
    <w:lvl w:ilvl="0" w:tentative="0">
      <w:start w:val="1"/>
      <w:numFmt w:val="decimal"/>
      <w:lvlText w:val="%1."/>
      <w:lvlJc w:val="left"/>
      <w:pPr>
        <w:ind w:left="425" w:hanging="425"/>
      </w:pPr>
      <w:rPr>
        <w:rFonts w:hint="default"/>
      </w:rPr>
    </w:lvl>
  </w:abstractNum>
  <w:abstractNum w:abstractNumId="13">
    <w:nsid w:val="3DF53D14"/>
    <w:multiLevelType w:val="singleLevel"/>
    <w:tmpl w:val="3DF53D14"/>
    <w:lvl w:ilvl="0" w:tentative="0">
      <w:start w:val="1"/>
      <w:numFmt w:val="decimal"/>
      <w:lvlText w:val="%1."/>
      <w:lvlJc w:val="left"/>
      <w:pPr>
        <w:ind w:left="425" w:hanging="425"/>
      </w:pPr>
      <w:rPr>
        <w:rFonts w:hint="default"/>
        <w:sz w:val="32"/>
        <w:szCs w:val="32"/>
      </w:rPr>
    </w:lvl>
  </w:abstractNum>
  <w:abstractNum w:abstractNumId="14">
    <w:nsid w:val="463CC1BC"/>
    <w:multiLevelType w:val="singleLevel"/>
    <w:tmpl w:val="463CC1BC"/>
    <w:lvl w:ilvl="0" w:tentative="0">
      <w:start w:val="1"/>
      <w:numFmt w:val="decimal"/>
      <w:lvlText w:val="%1."/>
      <w:lvlJc w:val="left"/>
      <w:pPr>
        <w:ind w:left="425" w:hanging="425"/>
      </w:pPr>
      <w:rPr>
        <w:rFonts w:hint="default"/>
      </w:rPr>
    </w:lvl>
  </w:abstractNum>
  <w:abstractNum w:abstractNumId="15">
    <w:nsid w:val="5581F0B2"/>
    <w:multiLevelType w:val="singleLevel"/>
    <w:tmpl w:val="5581F0B2"/>
    <w:lvl w:ilvl="0" w:tentative="0">
      <w:start w:val="1"/>
      <w:numFmt w:val="decimal"/>
      <w:suff w:val="nothing"/>
      <w:lvlText w:val="%1．"/>
      <w:lvlJc w:val="left"/>
    </w:lvl>
  </w:abstractNum>
  <w:abstractNum w:abstractNumId="16">
    <w:nsid w:val="6348A617"/>
    <w:multiLevelType w:val="singleLevel"/>
    <w:tmpl w:val="6348A617"/>
    <w:lvl w:ilvl="0" w:tentative="0">
      <w:start w:val="1"/>
      <w:numFmt w:val="decimal"/>
      <w:lvlText w:val="%1."/>
      <w:lvlJc w:val="left"/>
      <w:pPr>
        <w:ind w:left="425" w:hanging="425"/>
      </w:pPr>
      <w:rPr>
        <w:rFonts w:hint="default"/>
        <w:sz w:val="32"/>
        <w:szCs w:val="32"/>
      </w:rPr>
    </w:lvl>
  </w:abstractNum>
  <w:abstractNum w:abstractNumId="17">
    <w:nsid w:val="78733252"/>
    <w:multiLevelType w:val="singleLevel"/>
    <w:tmpl w:val="78733252"/>
    <w:lvl w:ilvl="0" w:tentative="0">
      <w:start w:val="1"/>
      <w:numFmt w:val="decimal"/>
      <w:lvlText w:val="%1."/>
      <w:lvlJc w:val="left"/>
      <w:pPr>
        <w:ind w:left="425" w:hanging="425"/>
      </w:pPr>
      <w:rPr>
        <w:rFonts w:hint="default"/>
      </w:rPr>
    </w:lvl>
  </w:abstractNum>
  <w:abstractNum w:abstractNumId="18">
    <w:nsid w:val="7BEAEC33"/>
    <w:multiLevelType w:val="singleLevel"/>
    <w:tmpl w:val="7BEAEC33"/>
    <w:lvl w:ilvl="0" w:tentative="0">
      <w:start w:val="1"/>
      <w:numFmt w:val="decimal"/>
      <w:lvlText w:val="%1."/>
      <w:lvlJc w:val="left"/>
      <w:pPr>
        <w:ind w:left="425" w:hanging="425"/>
      </w:pPr>
      <w:rPr>
        <w:rFonts w:hint="default"/>
      </w:rPr>
    </w:lvl>
  </w:abstractNum>
  <w:num w:numId="1">
    <w:abstractNumId w:val="9"/>
  </w:num>
  <w:num w:numId="2">
    <w:abstractNumId w:val="12"/>
  </w:num>
  <w:num w:numId="3">
    <w:abstractNumId w:val="2"/>
  </w:num>
  <w:num w:numId="4">
    <w:abstractNumId w:val="7"/>
  </w:num>
  <w:num w:numId="5">
    <w:abstractNumId w:val="10"/>
  </w:num>
  <w:num w:numId="6">
    <w:abstractNumId w:val="11"/>
  </w:num>
  <w:num w:numId="7">
    <w:abstractNumId w:val="13"/>
  </w:num>
  <w:num w:numId="8">
    <w:abstractNumId w:val="17"/>
  </w:num>
  <w:num w:numId="9">
    <w:abstractNumId w:val="3"/>
  </w:num>
  <w:num w:numId="10">
    <w:abstractNumId w:val="14"/>
  </w:num>
  <w:num w:numId="11">
    <w:abstractNumId w:val="0"/>
  </w:num>
  <w:num w:numId="12">
    <w:abstractNumId w:val="18"/>
  </w:num>
  <w:num w:numId="13">
    <w:abstractNumId w:val="8"/>
  </w:num>
  <w:num w:numId="14">
    <w:abstractNumId w:val="1"/>
  </w:num>
  <w:num w:numId="15">
    <w:abstractNumId w:val="4"/>
  </w:num>
  <w:num w:numId="16">
    <w:abstractNumId w:val="6"/>
  </w:num>
  <w:num w:numId="17">
    <w:abstractNumId w:val="5"/>
  </w:num>
  <w:num w:numId="18">
    <w:abstractNumId w:val="1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BlMjkzODU2ODY0MDVlNjk3YzRiZTAwZjgxNmY3MmUifQ=="/>
  </w:docVars>
  <w:rsids>
    <w:rsidRoot w:val="651F2B44"/>
    <w:rsid w:val="00014620"/>
    <w:rsid w:val="00057BC1"/>
    <w:rsid w:val="00173F11"/>
    <w:rsid w:val="00260EF8"/>
    <w:rsid w:val="00262D50"/>
    <w:rsid w:val="002F471B"/>
    <w:rsid w:val="00300B45"/>
    <w:rsid w:val="003348F9"/>
    <w:rsid w:val="00357F2F"/>
    <w:rsid w:val="003852F1"/>
    <w:rsid w:val="003C55AC"/>
    <w:rsid w:val="003E4859"/>
    <w:rsid w:val="004014F4"/>
    <w:rsid w:val="00453D90"/>
    <w:rsid w:val="00460703"/>
    <w:rsid w:val="0050612B"/>
    <w:rsid w:val="00582B8A"/>
    <w:rsid w:val="00592CD4"/>
    <w:rsid w:val="005A7B88"/>
    <w:rsid w:val="005B6F44"/>
    <w:rsid w:val="005D279C"/>
    <w:rsid w:val="0060096B"/>
    <w:rsid w:val="0065321B"/>
    <w:rsid w:val="006910CA"/>
    <w:rsid w:val="00691550"/>
    <w:rsid w:val="006C5D95"/>
    <w:rsid w:val="00707E1A"/>
    <w:rsid w:val="00711B62"/>
    <w:rsid w:val="00721AEE"/>
    <w:rsid w:val="00723452"/>
    <w:rsid w:val="007475AE"/>
    <w:rsid w:val="007544A9"/>
    <w:rsid w:val="00782823"/>
    <w:rsid w:val="007A3A15"/>
    <w:rsid w:val="007B2E32"/>
    <w:rsid w:val="007D6F96"/>
    <w:rsid w:val="007E67A3"/>
    <w:rsid w:val="008174C1"/>
    <w:rsid w:val="00837457"/>
    <w:rsid w:val="008C150E"/>
    <w:rsid w:val="008D61FB"/>
    <w:rsid w:val="00900F38"/>
    <w:rsid w:val="0092140E"/>
    <w:rsid w:val="009A1B49"/>
    <w:rsid w:val="009A395C"/>
    <w:rsid w:val="009F6080"/>
    <w:rsid w:val="00A1455D"/>
    <w:rsid w:val="00A20763"/>
    <w:rsid w:val="00B11675"/>
    <w:rsid w:val="00B512B2"/>
    <w:rsid w:val="00B63291"/>
    <w:rsid w:val="00B80C3C"/>
    <w:rsid w:val="00B86B06"/>
    <w:rsid w:val="00BC39C0"/>
    <w:rsid w:val="00C34F9A"/>
    <w:rsid w:val="00C47F79"/>
    <w:rsid w:val="00C50EC1"/>
    <w:rsid w:val="00C517EB"/>
    <w:rsid w:val="00C659B7"/>
    <w:rsid w:val="00C92EFB"/>
    <w:rsid w:val="00D00B69"/>
    <w:rsid w:val="00DB5FE0"/>
    <w:rsid w:val="00E513A9"/>
    <w:rsid w:val="00E96D37"/>
    <w:rsid w:val="00F910EB"/>
    <w:rsid w:val="00F93E03"/>
    <w:rsid w:val="00FC1C25"/>
    <w:rsid w:val="015B6D94"/>
    <w:rsid w:val="01FE649A"/>
    <w:rsid w:val="021403FC"/>
    <w:rsid w:val="02B86400"/>
    <w:rsid w:val="04A818BB"/>
    <w:rsid w:val="04D20F1C"/>
    <w:rsid w:val="070B1F30"/>
    <w:rsid w:val="07304ED7"/>
    <w:rsid w:val="08894B70"/>
    <w:rsid w:val="0A0214DE"/>
    <w:rsid w:val="0AA13FA2"/>
    <w:rsid w:val="0AF14D69"/>
    <w:rsid w:val="0BD97DD5"/>
    <w:rsid w:val="0CE2692D"/>
    <w:rsid w:val="0CEF16A4"/>
    <w:rsid w:val="0D5009ED"/>
    <w:rsid w:val="0DB53C92"/>
    <w:rsid w:val="0E7241C8"/>
    <w:rsid w:val="0F821BF4"/>
    <w:rsid w:val="10A26C00"/>
    <w:rsid w:val="1209347F"/>
    <w:rsid w:val="126054E7"/>
    <w:rsid w:val="12DA3560"/>
    <w:rsid w:val="14AF75C8"/>
    <w:rsid w:val="15415E49"/>
    <w:rsid w:val="1581317B"/>
    <w:rsid w:val="15DB3B77"/>
    <w:rsid w:val="17E37D93"/>
    <w:rsid w:val="18510A99"/>
    <w:rsid w:val="19B94482"/>
    <w:rsid w:val="1A7600DD"/>
    <w:rsid w:val="1ABC1D45"/>
    <w:rsid w:val="1C124580"/>
    <w:rsid w:val="1D3430A9"/>
    <w:rsid w:val="1DF76076"/>
    <w:rsid w:val="1E0275E8"/>
    <w:rsid w:val="1EEC4CB3"/>
    <w:rsid w:val="1EF108E0"/>
    <w:rsid w:val="1F010B02"/>
    <w:rsid w:val="200F29DC"/>
    <w:rsid w:val="201B6309"/>
    <w:rsid w:val="20D12628"/>
    <w:rsid w:val="21893833"/>
    <w:rsid w:val="21B07C6D"/>
    <w:rsid w:val="23974A93"/>
    <w:rsid w:val="246155D0"/>
    <w:rsid w:val="26752143"/>
    <w:rsid w:val="26BB6FE0"/>
    <w:rsid w:val="26E74AA2"/>
    <w:rsid w:val="26F5608A"/>
    <w:rsid w:val="270D1585"/>
    <w:rsid w:val="273921C1"/>
    <w:rsid w:val="28B43C2E"/>
    <w:rsid w:val="2A6D2AA1"/>
    <w:rsid w:val="2ED270DE"/>
    <w:rsid w:val="30207EB6"/>
    <w:rsid w:val="304A4374"/>
    <w:rsid w:val="31205C1D"/>
    <w:rsid w:val="316E3FCB"/>
    <w:rsid w:val="32227B13"/>
    <w:rsid w:val="32BA11E1"/>
    <w:rsid w:val="32EA240F"/>
    <w:rsid w:val="345F21DA"/>
    <w:rsid w:val="35602DAE"/>
    <w:rsid w:val="37060A17"/>
    <w:rsid w:val="379A19BE"/>
    <w:rsid w:val="395104A1"/>
    <w:rsid w:val="39F642AF"/>
    <w:rsid w:val="3AA36ADA"/>
    <w:rsid w:val="3BEA7A01"/>
    <w:rsid w:val="3CD229DF"/>
    <w:rsid w:val="3D5771B0"/>
    <w:rsid w:val="3E4C0FE1"/>
    <w:rsid w:val="3E566563"/>
    <w:rsid w:val="3FE249ED"/>
    <w:rsid w:val="409D5068"/>
    <w:rsid w:val="41F64418"/>
    <w:rsid w:val="420D0002"/>
    <w:rsid w:val="43785D0A"/>
    <w:rsid w:val="461207D1"/>
    <w:rsid w:val="49EE08A3"/>
    <w:rsid w:val="4A126DDB"/>
    <w:rsid w:val="4AD05107"/>
    <w:rsid w:val="4E0D378E"/>
    <w:rsid w:val="4ED82D3B"/>
    <w:rsid w:val="50A2190A"/>
    <w:rsid w:val="50CF59D1"/>
    <w:rsid w:val="51BA9EA9"/>
    <w:rsid w:val="51C57951"/>
    <w:rsid w:val="533C1422"/>
    <w:rsid w:val="536A2D7C"/>
    <w:rsid w:val="53837142"/>
    <w:rsid w:val="548A2BF3"/>
    <w:rsid w:val="55791237"/>
    <w:rsid w:val="57827AEE"/>
    <w:rsid w:val="57E7152F"/>
    <w:rsid w:val="586418C0"/>
    <w:rsid w:val="5B5F2114"/>
    <w:rsid w:val="5B8B5807"/>
    <w:rsid w:val="5BD8347B"/>
    <w:rsid w:val="5C4F69B5"/>
    <w:rsid w:val="5E413E59"/>
    <w:rsid w:val="5EA729FE"/>
    <w:rsid w:val="600C5BA4"/>
    <w:rsid w:val="60A34439"/>
    <w:rsid w:val="60B96F22"/>
    <w:rsid w:val="61FB5B12"/>
    <w:rsid w:val="623C37EA"/>
    <w:rsid w:val="63350368"/>
    <w:rsid w:val="64992F20"/>
    <w:rsid w:val="651F2B44"/>
    <w:rsid w:val="6561139F"/>
    <w:rsid w:val="65B04A67"/>
    <w:rsid w:val="67CDA2E3"/>
    <w:rsid w:val="67E049F9"/>
    <w:rsid w:val="68481DDB"/>
    <w:rsid w:val="6C8F3122"/>
    <w:rsid w:val="6D5B21F7"/>
    <w:rsid w:val="6E751F8C"/>
    <w:rsid w:val="6EDA4414"/>
    <w:rsid w:val="6EF177BF"/>
    <w:rsid w:val="6F230371"/>
    <w:rsid w:val="6F6E7815"/>
    <w:rsid w:val="6FC13A88"/>
    <w:rsid w:val="703D1647"/>
    <w:rsid w:val="72530690"/>
    <w:rsid w:val="73DD4BBF"/>
    <w:rsid w:val="73E79BF8"/>
    <w:rsid w:val="74F65C75"/>
    <w:rsid w:val="77E600B0"/>
    <w:rsid w:val="78177B5E"/>
    <w:rsid w:val="78245F5E"/>
    <w:rsid w:val="79627813"/>
    <w:rsid w:val="79E45099"/>
    <w:rsid w:val="7A6F59EC"/>
    <w:rsid w:val="7B857BA7"/>
    <w:rsid w:val="7DAF5618"/>
    <w:rsid w:val="9E7F9C09"/>
    <w:rsid w:val="AEFF00AC"/>
    <w:rsid w:val="BFFDC47C"/>
    <w:rsid w:val="C9BE3898"/>
    <w:rsid w:val="CEFFB953"/>
    <w:rsid w:val="DF9E42D9"/>
    <w:rsid w:val="F30F2CDB"/>
    <w:rsid w:val="F76EB087"/>
    <w:rsid w:val="FEFF73F0"/>
    <w:rsid w:val="FFFB669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40" w:firstLineChars="200"/>
      <w:jc w:val="both"/>
    </w:pPr>
    <w:rPr>
      <w:rFonts w:ascii="Times New Roman" w:hAnsi="Times New Roman" w:eastAsia="仿宋_GB2312" w:cs="Times New Roman"/>
      <w:snapToGrid w:val="0"/>
      <w:sz w:val="32"/>
      <w:szCs w:val="30"/>
      <w:lang w:val="en-US" w:eastAsia="zh-CN" w:bidi="ar-SA"/>
    </w:rPr>
  </w:style>
  <w:style w:type="paragraph" w:styleId="3">
    <w:name w:val="heading 1"/>
    <w:basedOn w:val="1"/>
    <w:next w:val="1"/>
    <w:qFormat/>
    <w:uiPriority w:val="9"/>
    <w:pPr>
      <w:keepNext/>
      <w:keepLines/>
      <w:numPr>
        <w:ilvl w:val="0"/>
        <w:numId w:val="1"/>
      </w:numPr>
      <w:spacing w:before="340" w:after="330" w:line="576" w:lineRule="auto"/>
      <w:ind w:firstLine="0" w:firstLineChars="0"/>
      <w:outlineLvl w:val="0"/>
    </w:pPr>
    <w:rPr>
      <w:b/>
      <w:kern w:val="44"/>
      <w:sz w:val="44"/>
    </w:rPr>
  </w:style>
  <w:style w:type="paragraph" w:styleId="4">
    <w:name w:val="heading 2"/>
    <w:basedOn w:val="1"/>
    <w:next w:val="1"/>
    <w:link w:val="29"/>
    <w:unhideWhenUsed/>
    <w:qFormat/>
    <w:uiPriority w:val="9"/>
    <w:pPr>
      <w:keepNext/>
      <w:keepLines/>
      <w:numPr>
        <w:ilvl w:val="1"/>
        <w:numId w:val="1"/>
      </w:numPr>
      <w:spacing w:before="260" w:after="260" w:line="413" w:lineRule="auto"/>
      <w:ind w:firstLine="0" w:firstLineChars="0"/>
      <w:outlineLvl w:val="1"/>
    </w:pPr>
    <w:rPr>
      <w:rFonts w:ascii="Arial" w:hAnsi="Arial" w:eastAsia="黑体"/>
      <w:b/>
    </w:rPr>
  </w:style>
  <w:style w:type="paragraph" w:styleId="5">
    <w:name w:val="heading 3"/>
    <w:basedOn w:val="1"/>
    <w:next w:val="1"/>
    <w:link w:val="30"/>
    <w:unhideWhenUsed/>
    <w:qFormat/>
    <w:uiPriority w:val="9"/>
    <w:pPr>
      <w:keepNext/>
      <w:keepLines/>
      <w:numPr>
        <w:ilvl w:val="2"/>
        <w:numId w:val="1"/>
      </w:numPr>
      <w:spacing w:before="260" w:after="260" w:line="413" w:lineRule="auto"/>
      <w:ind w:firstLine="0" w:firstLineChars="0"/>
      <w:outlineLvl w:val="2"/>
    </w:pPr>
    <w:rPr>
      <w:b/>
    </w:rPr>
  </w:style>
  <w:style w:type="paragraph" w:styleId="6">
    <w:name w:val="heading 4"/>
    <w:basedOn w:val="1"/>
    <w:next w:val="1"/>
    <w:semiHidden/>
    <w:unhideWhenUsed/>
    <w:qFormat/>
    <w:uiPriority w:val="9"/>
    <w:pPr>
      <w:keepNext/>
      <w:keepLines/>
      <w:numPr>
        <w:ilvl w:val="3"/>
        <w:numId w:val="1"/>
      </w:numPr>
      <w:spacing w:before="280" w:after="290" w:line="372" w:lineRule="auto"/>
      <w:ind w:firstLine="0" w:firstLineChars="0"/>
      <w:outlineLvl w:val="3"/>
    </w:pPr>
    <w:rPr>
      <w:rFonts w:ascii="Arial" w:hAnsi="Arial" w:eastAsia="黑体"/>
      <w:b/>
      <w:sz w:val="28"/>
    </w:rPr>
  </w:style>
  <w:style w:type="paragraph" w:styleId="7">
    <w:name w:val="heading 5"/>
    <w:basedOn w:val="1"/>
    <w:next w:val="1"/>
    <w:semiHidden/>
    <w:unhideWhenUsed/>
    <w:qFormat/>
    <w:uiPriority w:val="9"/>
    <w:pPr>
      <w:keepNext/>
      <w:keepLines/>
      <w:numPr>
        <w:ilvl w:val="4"/>
        <w:numId w:val="1"/>
      </w:numPr>
      <w:spacing w:before="280" w:after="290" w:line="372" w:lineRule="auto"/>
      <w:ind w:firstLine="0" w:firstLineChars="0"/>
      <w:outlineLvl w:val="4"/>
    </w:pPr>
    <w:rPr>
      <w:b/>
      <w:sz w:val="28"/>
    </w:rPr>
  </w:style>
  <w:style w:type="paragraph" w:styleId="8">
    <w:name w:val="heading 6"/>
    <w:basedOn w:val="1"/>
    <w:next w:val="1"/>
    <w:semiHidden/>
    <w:unhideWhenUsed/>
    <w:qFormat/>
    <w:uiPriority w:val="9"/>
    <w:pPr>
      <w:keepNext/>
      <w:keepLines/>
      <w:numPr>
        <w:ilvl w:val="5"/>
        <w:numId w:val="1"/>
      </w:numPr>
      <w:spacing w:before="240" w:after="64" w:line="317" w:lineRule="auto"/>
      <w:ind w:firstLine="0" w:firstLineChars="0"/>
      <w:outlineLvl w:val="5"/>
    </w:pPr>
    <w:rPr>
      <w:rFonts w:ascii="Arial" w:hAnsi="Arial" w:eastAsia="黑体"/>
      <w:b/>
      <w:sz w:val="24"/>
    </w:rPr>
  </w:style>
  <w:style w:type="paragraph" w:styleId="9">
    <w:name w:val="heading 7"/>
    <w:basedOn w:val="1"/>
    <w:next w:val="1"/>
    <w:semiHidden/>
    <w:unhideWhenUsed/>
    <w:qFormat/>
    <w:uiPriority w:val="9"/>
    <w:pPr>
      <w:keepNext/>
      <w:keepLines/>
      <w:numPr>
        <w:ilvl w:val="6"/>
        <w:numId w:val="1"/>
      </w:numPr>
      <w:spacing w:before="240" w:after="64" w:line="317" w:lineRule="auto"/>
      <w:ind w:firstLine="0" w:firstLineChars="0"/>
      <w:outlineLvl w:val="6"/>
    </w:pPr>
    <w:rPr>
      <w:b/>
      <w:sz w:val="24"/>
    </w:rPr>
  </w:style>
  <w:style w:type="paragraph" w:styleId="10">
    <w:name w:val="heading 8"/>
    <w:basedOn w:val="1"/>
    <w:next w:val="1"/>
    <w:semiHidden/>
    <w:unhideWhenUsed/>
    <w:qFormat/>
    <w:uiPriority w:val="9"/>
    <w:pPr>
      <w:keepNext/>
      <w:keepLines/>
      <w:numPr>
        <w:ilvl w:val="7"/>
        <w:numId w:val="1"/>
      </w:numPr>
      <w:spacing w:before="240" w:after="64" w:line="317" w:lineRule="auto"/>
      <w:ind w:firstLine="0" w:firstLineChars="0"/>
      <w:outlineLvl w:val="7"/>
    </w:pPr>
    <w:rPr>
      <w:rFonts w:ascii="Arial" w:hAnsi="Arial" w:eastAsia="黑体"/>
      <w:sz w:val="24"/>
    </w:rPr>
  </w:style>
  <w:style w:type="paragraph" w:styleId="11">
    <w:name w:val="heading 9"/>
    <w:basedOn w:val="1"/>
    <w:next w:val="1"/>
    <w:semiHidden/>
    <w:unhideWhenUsed/>
    <w:qFormat/>
    <w:uiPriority w:val="9"/>
    <w:pPr>
      <w:keepNext/>
      <w:keepLines/>
      <w:numPr>
        <w:ilvl w:val="8"/>
        <w:numId w:val="1"/>
      </w:numPr>
      <w:spacing w:before="240" w:after="64" w:line="317" w:lineRule="auto"/>
      <w:ind w:firstLine="0" w:firstLineChars="0"/>
      <w:outlineLvl w:val="8"/>
    </w:pPr>
    <w:rPr>
      <w:rFonts w:ascii="Arial" w:hAnsi="Arial" w:eastAsia="黑体"/>
      <w:sz w:val="21"/>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1"/>
    <w:semiHidden/>
    <w:unhideWhenUsed/>
    <w:qFormat/>
    <w:uiPriority w:val="99"/>
    <w:pPr>
      <w:spacing w:after="120"/>
    </w:pPr>
  </w:style>
  <w:style w:type="paragraph" w:styleId="12">
    <w:name w:val="annotation text"/>
    <w:basedOn w:val="1"/>
    <w:link w:val="41"/>
    <w:semiHidden/>
    <w:unhideWhenUsed/>
    <w:qFormat/>
    <w:uiPriority w:val="99"/>
    <w:pPr>
      <w:jc w:val="left"/>
    </w:pPr>
  </w:style>
  <w:style w:type="paragraph" w:styleId="13">
    <w:name w:val="footer"/>
    <w:basedOn w:val="1"/>
    <w:unhideWhenUsed/>
    <w:qFormat/>
    <w:uiPriority w:val="99"/>
    <w:pPr>
      <w:tabs>
        <w:tab w:val="center" w:pos="4153"/>
        <w:tab w:val="right" w:pos="8306"/>
      </w:tabs>
      <w:snapToGrid w:val="0"/>
      <w:jc w:val="left"/>
    </w:pPr>
    <w:rPr>
      <w:sz w:val="18"/>
    </w:rPr>
  </w:style>
  <w:style w:type="paragraph" w:styleId="14">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semiHidden/>
    <w:unhideWhenUsed/>
    <w:qFormat/>
    <w:uiPriority w:val="39"/>
  </w:style>
  <w:style w:type="paragraph" w:styleId="16">
    <w:name w:val="toc 2"/>
    <w:basedOn w:val="1"/>
    <w:next w:val="1"/>
    <w:semiHidden/>
    <w:unhideWhenUsed/>
    <w:qFormat/>
    <w:uiPriority w:val="39"/>
    <w:pPr>
      <w:ind w:left="420" w:leftChars="200"/>
    </w:pPr>
  </w:style>
  <w:style w:type="paragraph" w:styleId="17">
    <w:name w:val="Body Text 2"/>
    <w:basedOn w:val="1"/>
    <w:semiHidden/>
    <w:unhideWhenUsed/>
    <w:qFormat/>
    <w:uiPriority w:val="99"/>
    <w:pPr>
      <w:ind w:firstLine="0" w:firstLineChars="0"/>
      <w:jc w:val="center"/>
    </w:pPr>
    <w:rPr>
      <w:sz w:val="28"/>
    </w:rPr>
  </w:style>
  <w:style w:type="paragraph" w:styleId="1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9">
    <w:name w:val="annotation subject"/>
    <w:basedOn w:val="12"/>
    <w:next w:val="12"/>
    <w:link w:val="42"/>
    <w:semiHidden/>
    <w:unhideWhenUsed/>
    <w:qFormat/>
    <w:uiPriority w:val="99"/>
    <w:rPr>
      <w:b/>
      <w:bCs/>
    </w:rPr>
  </w:style>
  <w:style w:type="paragraph" w:styleId="20">
    <w:name w:val="Body Text First Indent"/>
    <w:basedOn w:val="2"/>
    <w:semiHidden/>
    <w:unhideWhenUsed/>
    <w:qFormat/>
    <w:uiPriority w:val="99"/>
    <w:pPr>
      <w:ind w:firstLine="420" w:firstLineChars="100"/>
    </w:pPr>
  </w:style>
  <w:style w:type="character" w:styleId="23">
    <w:name w:val="annotation reference"/>
    <w:basedOn w:val="22"/>
    <w:semiHidden/>
    <w:unhideWhenUsed/>
    <w:qFormat/>
    <w:uiPriority w:val="99"/>
    <w:rPr>
      <w:sz w:val="21"/>
      <w:szCs w:val="21"/>
    </w:rPr>
  </w:style>
  <w:style w:type="paragraph" w:customStyle="1" w:styleId="24">
    <w:name w:val="分类号"/>
    <w:basedOn w:val="1"/>
    <w:qFormat/>
    <w:uiPriority w:val="0"/>
    <w:rPr>
      <w:rFonts w:ascii="仿宋_GB2312"/>
      <w:sz w:val="28"/>
      <w:szCs w:val="28"/>
    </w:rPr>
  </w:style>
  <w:style w:type="paragraph" w:customStyle="1" w:styleId="25">
    <w:name w:val="封面日期"/>
    <w:basedOn w:val="1"/>
    <w:qFormat/>
    <w:uiPriority w:val="0"/>
    <w:pPr>
      <w:jc w:val="center"/>
    </w:pPr>
    <w:rPr>
      <w:rFonts w:ascii="黑体" w:eastAsia="黑体"/>
      <w:szCs w:val="32"/>
    </w:rPr>
  </w:style>
  <w:style w:type="paragraph" w:customStyle="1" w:styleId="26">
    <w:name w:val="论文标题"/>
    <w:basedOn w:val="1"/>
    <w:qFormat/>
    <w:uiPriority w:val="0"/>
    <w:pPr>
      <w:jc w:val="center"/>
    </w:pPr>
    <w:rPr>
      <w:rFonts w:eastAsia="楷体_GB2312"/>
      <w:b/>
      <w:kern w:val="36"/>
      <w:sz w:val="52"/>
      <w:szCs w:val="52"/>
    </w:rPr>
  </w:style>
  <w:style w:type="paragraph" w:customStyle="1" w:styleId="27">
    <w:name w:val="硕士学位论文"/>
    <w:basedOn w:val="1"/>
    <w:qFormat/>
    <w:uiPriority w:val="0"/>
    <w:pPr>
      <w:spacing w:before="240"/>
      <w:jc w:val="center"/>
    </w:pPr>
    <w:rPr>
      <w:rFonts w:eastAsia="宋体"/>
      <w:sz w:val="44"/>
      <w:szCs w:val="44"/>
    </w:rPr>
  </w:style>
  <w:style w:type="paragraph" w:customStyle="1" w:styleId="28">
    <w:name w:val="研究生姓名"/>
    <w:basedOn w:val="1"/>
    <w:qFormat/>
    <w:uiPriority w:val="0"/>
    <w:pPr>
      <w:ind w:firstLine="700" w:firstLineChars="700"/>
    </w:pPr>
    <w:rPr>
      <w:rFonts w:eastAsia="宋体"/>
      <w:sz w:val="28"/>
      <w:szCs w:val="28"/>
    </w:rPr>
  </w:style>
  <w:style w:type="character" w:customStyle="1" w:styleId="29">
    <w:name w:val="标题 2 字符"/>
    <w:link w:val="4"/>
    <w:qFormat/>
    <w:uiPriority w:val="0"/>
    <w:rPr>
      <w:rFonts w:ascii="Arial" w:hAnsi="Arial" w:eastAsia="黑体"/>
      <w:b/>
      <w:sz w:val="32"/>
    </w:rPr>
  </w:style>
  <w:style w:type="character" w:customStyle="1" w:styleId="30">
    <w:name w:val="标题 3 字符"/>
    <w:link w:val="5"/>
    <w:qFormat/>
    <w:uiPriority w:val="0"/>
    <w:rPr>
      <w:b/>
      <w:sz w:val="32"/>
    </w:rPr>
  </w:style>
  <w:style w:type="character" w:customStyle="1" w:styleId="31">
    <w:name w:val="正文文本 字符"/>
    <w:link w:val="2"/>
    <w:qFormat/>
    <w:uiPriority w:val="0"/>
  </w:style>
  <w:style w:type="paragraph" w:customStyle="1" w:styleId="32">
    <w:name w:val="WPSOffice手动目录 1"/>
    <w:qFormat/>
    <w:uiPriority w:val="0"/>
    <w:rPr>
      <w:rFonts w:ascii="Times New Roman" w:hAnsi="Times New Roman" w:eastAsia="宋体" w:cs="Times New Roman"/>
      <w:lang w:val="en-US" w:eastAsia="zh-CN" w:bidi="ar-SA"/>
    </w:rPr>
  </w:style>
  <w:style w:type="paragraph" w:customStyle="1" w:styleId="33">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4">
    <w:name w:val="font61"/>
    <w:basedOn w:val="22"/>
    <w:qFormat/>
    <w:uiPriority w:val="0"/>
    <w:rPr>
      <w:rFonts w:hint="default" w:ascii="Arial" w:hAnsi="Arial" w:cs="Arial"/>
      <w:color w:val="000000"/>
      <w:sz w:val="24"/>
      <w:szCs w:val="24"/>
      <w:u w:val="none"/>
    </w:rPr>
  </w:style>
  <w:style w:type="character" w:customStyle="1" w:styleId="35">
    <w:name w:val="font51"/>
    <w:basedOn w:val="22"/>
    <w:qFormat/>
    <w:uiPriority w:val="0"/>
    <w:rPr>
      <w:rFonts w:hint="eastAsia" w:ascii="仿宋_GB2312" w:eastAsia="仿宋_GB2312" w:cs="仿宋_GB2312"/>
      <w:color w:val="000000"/>
      <w:sz w:val="24"/>
      <w:szCs w:val="24"/>
      <w:u w:val="none"/>
    </w:rPr>
  </w:style>
  <w:style w:type="character" w:customStyle="1" w:styleId="36">
    <w:name w:val="font91"/>
    <w:basedOn w:val="22"/>
    <w:qFormat/>
    <w:uiPriority w:val="0"/>
    <w:rPr>
      <w:rFonts w:hint="default" w:ascii="Arial" w:hAnsi="Arial" w:cs="Arial"/>
      <w:color w:val="000000"/>
      <w:sz w:val="22"/>
      <w:szCs w:val="22"/>
      <w:u w:val="none"/>
    </w:rPr>
  </w:style>
  <w:style w:type="character" w:customStyle="1" w:styleId="37">
    <w:name w:val="font101"/>
    <w:basedOn w:val="22"/>
    <w:qFormat/>
    <w:uiPriority w:val="0"/>
    <w:rPr>
      <w:rFonts w:hint="default" w:ascii="Times New Roman" w:hAnsi="Times New Roman" w:cs="Times New Roman"/>
      <w:color w:val="000000"/>
      <w:sz w:val="24"/>
      <w:szCs w:val="24"/>
      <w:u w:val="none"/>
    </w:rPr>
  </w:style>
  <w:style w:type="character" w:customStyle="1" w:styleId="38">
    <w:name w:val="font112"/>
    <w:basedOn w:val="22"/>
    <w:qFormat/>
    <w:uiPriority w:val="0"/>
    <w:rPr>
      <w:rFonts w:hint="default" w:ascii="Arial" w:hAnsi="Arial" w:cs="Arial"/>
      <w:color w:val="000000"/>
      <w:sz w:val="24"/>
      <w:szCs w:val="24"/>
      <w:u w:val="none"/>
    </w:rPr>
  </w:style>
  <w:style w:type="character" w:customStyle="1" w:styleId="39">
    <w:name w:val="font81"/>
    <w:basedOn w:val="22"/>
    <w:qFormat/>
    <w:uiPriority w:val="0"/>
    <w:rPr>
      <w:rFonts w:hint="eastAsia" w:ascii="仿宋_GB2312" w:eastAsia="仿宋_GB2312" w:cs="仿宋_GB2312"/>
      <w:color w:val="000000"/>
      <w:sz w:val="24"/>
      <w:szCs w:val="24"/>
      <w:u w:val="none"/>
    </w:rPr>
  </w:style>
  <w:style w:type="character" w:customStyle="1" w:styleId="40">
    <w:name w:val="font121"/>
    <w:basedOn w:val="22"/>
    <w:qFormat/>
    <w:uiPriority w:val="0"/>
    <w:rPr>
      <w:rFonts w:hint="default" w:ascii="Times New Roman" w:hAnsi="Times New Roman" w:cs="Times New Roman"/>
      <w:color w:val="000000"/>
      <w:sz w:val="24"/>
      <w:szCs w:val="24"/>
      <w:u w:val="none"/>
    </w:rPr>
  </w:style>
  <w:style w:type="character" w:customStyle="1" w:styleId="41">
    <w:name w:val="批注文字 字符"/>
    <w:basedOn w:val="22"/>
    <w:link w:val="12"/>
    <w:semiHidden/>
    <w:qFormat/>
    <w:uiPriority w:val="99"/>
    <w:rPr>
      <w:rFonts w:eastAsia="仿宋_GB2312"/>
      <w:snapToGrid w:val="0"/>
      <w:sz w:val="32"/>
      <w:szCs w:val="30"/>
    </w:rPr>
  </w:style>
  <w:style w:type="character" w:customStyle="1" w:styleId="42">
    <w:name w:val="批注主题 字符"/>
    <w:basedOn w:val="41"/>
    <w:link w:val="19"/>
    <w:semiHidden/>
    <w:qFormat/>
    <w:uiPriority w:val="99"/>
    <w:rPr>
      <w:rFonts w:eastAsia="仿宋_GB2312"/>
      <w:b/>
      <w:bCs/>
      <w:snapToGrid w:val="0"/>
      <w:sz w:val="32"/>
      <w:szCs w:val="30"/>
    </w:rPr>
  </w:style>
  <w:style w:type="paragraph" w:customStyle="1" w:styleId="43">
    <w:name w:val="LJNNormal Char"/>
    <w:qFormat/>
    <w:uiPriority w:val="0"/>
    <w:pPr>
      <w:widowControl w:val="0"/>
      <w:ind w:firstLine="560" w:firstLineChars="200"/>
      <w:jc w:val="both"/>
    </w:pPr>
    <w:rPr>
      <w:rFonts w:ascii="仿宋" w:hAnsi="仿宋" w:eastAsia="仿宋" w:cs="Times New Roman"/>
      <w:bCs/>
      <w:snapToGrid w:val="0"/>
      <w:sz w:val="28"/>
      <w:szCs w:val="28"/>
      <w:lang w:val="en-US" w:eastAsia="zh-CN" w:bidi="ar-SA"/>
    </w:rPr>
  </w:style>
  <w:style w:type="paragraph" w:customStyle="1" w:styleId="44">
    <w:name w:val="段落"/>
    <w:qFormat/>
    <w:uiPriority w:val="0"/>
    <w:pPr>
      <w:spacing w:after="156" w:afterLines="50" w:line="360" w:lineRule="auto"/>
      <w:ind w:firstLine="480" w:firstLineChars="200"/>
      <w:jc w:val="both"/>
    </w:pPr>
    <w:rPr>
      <w:rFonts w:ascii="Times New Roman" w:hAnsi="Times New Roman" w:eastAsia="宋体" w:cs="Times New Roman"/>
      <w:kern w:val="2"/>
      <w:sz w:val="24"/>
      <w:szCs w:val="22"/>
      <w:lang w:val="en-US" w:eastAsia="zh-CN" w:bidi="ar-SA"/>
    </w:rPr>
  </w:style>
  <w:style w:type="character" w:customStyle="1" w:styleId="45">
    <w:name w:val="15"/>
    <w:basedOn w:val="22"/>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33</Pages>
  <Words>12948</Words>
  <Characters>13248</Characters>
  <Lines>1</Lines>
  <Paragraphs>1</Paragraphs>
  <TotalTime>0</TotalTime>
  <ScaleCrop>false</ScaleCrop>
  <LinksUpToDate>false</LinksUpToDate>
  <CharactersWithSpaces>13349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2024-05-31T23:21:00Z</dcterms:created>
  <dc:creator>xiaofei li</dc:creator>
  <cp:lastModifiedBy>luxj</cp:lastModifiedBy>
  <dcterms:modified xsi:type="dcterms:W3CDTF">2025-12-10T09:54:43Z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2A8038A6C975576B9A8215697171DF37_43</vt:lpwstr>
  </property>
  <property fmtid="{D5CDD505-2E9C-101B-9397-08002B2CF9AE}" pid="4" name="KSOTemplateDocerSaveRecord">
    <vt:lpwstr>eyJoZGlkIjoiYzBlMjkzODU2ODY0MDVlNjk3YzRiZTAwZjgxNmY3MmUiLCJ1c2VySWQiOiIxNDc3OTk4NTQxIn0=</vt:lpwstr>
  </property>
</Properties>
</file>