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F3F64">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7125F576">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r>
        <w:rPr>
          <w:rFonts w:hint="eastAsia" w:ascii="宋体" w:hAnsi="宋体" w:eastAsia="宋体" w:cs="宋体"/>
          <w:b/>
          <w:bCs/>
          <w:color w:val="auto"/>
          <w:kern w:val="0"/>
          <w:sz w:val="60"/>
          <w:szCs w:val="60"/>
          <w:highlight w:val="none"/>
          <w:lang w:val="zh-CN"/>
        </w:rPr>
        <w:t>东莞市水务环境投资控股集团管网有限公司2026年运维维修工器具类物资采购项目</w:t>
      </w:r>
    </w:p>
    <w:p w14:paraId="03778CE0">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150DBD72">
      <w:pPr>
        <w:autoSpaceDE w:val="0"/>
        <w:autoSpaceDN w:val="0"/>
        <w:adjustRightInd w:val="0"/>
        <w:ind w:right="-23" w:rightChars="-11"/>
        <w:jc w:val="center"/>
        <w:rPr>
          <w:rFonts w:ascii="宋体" w:hAnsi="宋体" w:eastAsia="宋体" w:cs="Times New Roman"/>
          <w:b/>
          <w:bCs/>
          <w:color w:val="auto"/>
          <w:sz w:val="72"/>
          <w:szCs w:val="72"/>
          <w:highlight w:val="none"/>
        </w:rPr>
      </w:pPr>
    </w:p>
    <w:p w14:paraId="7D4AD439">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6A740FBB">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039FA080">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5511C2C7">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0FA07C04">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18ECEA72">
      <w:pPr>
        <w:autoSpaceDE w:val="0"/>
        <w:autoSpaceDN w:val="0"/>
        <w:adjustRightInd w:val="0"/>
        <w:spacing w:line="480" w:lineRule="auto"/>
        <w:ind w:left="0" w:leftChars="0" w:firstLine="1263" w:firstLineChars="393"/>
        <w:jc w:val="both"/>
        <w:rPr>
          <w:rFonts w:hint="eastAsia" w:ascii="宋体" w:hAnsi="宋体" w:eastAsia="宋体" w:cs="Times New Roman"/>
          <w:b/>
          <w:bCs/>
          <w:color w:val="auto"/>
          <w:sz w:val="32"/>
          <w:szCs w:val="32"/>
          <w:highlight w:val="none"/>
          <w:lang w:val="zh-CN" w:eastAsia="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
      </w:r>
      <w:r>
        <w:rPr>
          <w:rFonts w:hint="eastAsia" w:ascii="宋体" w:hAnsi="宋体" w:eastAsia="宋体" w:cs="Times New Roman"/>
          <w:b/>
          <w:bCs/>
          <w:color w:val="auto"/>
          <w:sz w:val="32"/>
          <w:szCs w:val="32"/>
          <w:highlight w:val="none"/>
          <w:lang w:val="en-US" w:eastAsia="zh-CN"/>
        </w:rPr>
        <w:t>YDZB25DGQY0136</w:t>
      </w:r>
    </w:p>
    <w:p w14:paraId="63AFBD29">
      <w:pPr>
        <w:autoSpaceDE w:val="0"/>
        <w:autoSpaceDN w:val="0"/>
        <w:adjustRightInd w:val="0"/>
        <w:spacing w:line="480" w:lineRule="auto"/>
        <w:ind w:left="0" w:leftChars="0" w:firstLine="1263" w:firstLineChars="393"/>
        <w:jc w:val="both"/>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 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人：东莞市水务环境投资控股集团管网有限公司</w:t>
      </w:r>
    </w:p>
    <w:p w14:paraId="74044760">
      <w:pPr>
        <w:autoSpaceDE w:val="0"/>
        <w:autoSpaceDN w:val="0"/>
        <w:adjustRightInd w:val="0"/>
        <w:spacing w:line="480" w:lineRule="auto"/>
        <w:ind w:left="0" w:leftChars="0" w:firstLine="1263" w:firstLineChars="393"/>
        <w:jc w:val="both"/>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w:t>
      </w:r>
      <w:r>
        <w:rPr>
          <w:rFonts w:hint="eastAsia" w:ascii="宋体" w:hAnsi="宋体" w:eastAsia="宋体" w:cs="Times New Roman"/>
          <w:b/>
          <w:bCs/>
          <w:color w:val="auto"/>
          <w:sz w:val="32"/>
          <w:szCs w:val="32"/>
          <w:highlight w:val="none"/>
          <w:lang w:val="zh-CN" w:eastAsia="zh-CN"/>
        </w:rPr>
        <w:t>代理</w:t>
      </w:r>
      <w:r>
        <w:rPr>
          <w:rFonts w:hint="eastAsia" w:ascii="宋体" w:hAnsi="宋体" w:eastAsia="宋体" w:cs="Times New Roman"/>
          <w:b/>
          <w:bCs/>
          <w:color w:val="auto"/>
          <w:sz w:val="32"/>
          <w:szCs w:val="32"/>
          <w:highlight w:val="none"/>
          <w:lang w:val="zh-CN"/>
        </w:rPr>
        <w:t>机构：广东有德招标采购有限公司</w:t>
      </w:r>
    </w:p>
    <w:p w14:paraId="2BE3185E">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46C14230">
      <w:pPr>
        <w:pStyle w:val="2"/>
        <w:rPr>
          <w:color w:val="auto"/>
          <w:highlight w:val="none"/>
          <w:lang w:val="zh-CN"/>
        </w:rPr>
      </w:pPr>
    </w:p>
    <w:p w14:paraId="462B54BF">
      <w:pPr>
        <w:autoSpaceDE w:val="0"/>
        <w:autoSpaceDN w:val="0"/>
        <w:adjustRightInd w:val="0"/>
        <w:spacing w:line="360" w:lineRule="auto"/>
        <w:ind w:left="0" w:leftChars="0" w:right="-23" w:rightChars="-11" w:firstLine="0" w:firstLineChars="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rPr>
        <w:t>202</w:t>
      </w:r>
      <w:r>
        <w:rPr>
          <w:rFonts w:hint="eastAsia" w:ascii="宋体" w:hAnsi="宋体" w:eastAsia="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11</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27</w:t>
      </w:r>
      <w:r>
        <w:rPr>
          <w:rFonts w:hint="eastAsia" w:ascii="宋体" w:hAnsi="宋体" w:eastAsia="宋体" w:cs="宋体"/>
          <w:b/>
          <w:bCs/>
          <w:color w:val="auto"/>
          <w:sz w:val="32"/>
          <w:szCs w:val="32"/>
          <w:highlight w:val="none"/>
          <w:lang w:val="zh-CN"/>
        </w:rPr>
        <w:t>日</w:t>
      </w:r>
    </w:p>
    <w:sdt>
      <w:sdtPr>
        <w:rPr>
          <w:rFonts w:ascii="宋体" w:hAnsi="宋体" w:eastAsia="宋体" w:cstheme="minorBidi"/>
          <w:b/>
          <w:bCs/>
          <w:color w:val="auto"/>
          <w:kern w:val="2"/>
          <w:sz w:val="24"/>
          <w:szCs w:val="28"/>
          <w:highlight w:val="none"/>
          <w:lang w:val="en-US" w:eastAsia="zh-CN" w:bidi="ar-SA"/>
        </w:rPr>
        <w:id w:val="147450978"/>
        <w15:color w:val="DBDBDB"/>
        <w:docPartObj>
          <w:docPartGallery w:val="Table of Contents"/>
          <w:docPartUnique/>
        </w:docPartObj>
      </w:sdtPr>
      <w:sdtEndPr>
        <w:rPr>
          <w:rFonts w:ascii="宋体" w:hAnsi="宋体" w:eastAsia="宋体" w:cstheme="minorBidi"/>
          <w:b/>
          <w:bCs/>
          <w:color w:val="auto"/>
          <w:kern w:val="2"/>
          <w:sz w:val="21"/>
          <w:szCs w:val="22"/>
          <w:highlight w:val="none"/>
          <w:lang w:val="en-US" w:eastAsia="zh-CN" w:bidi="ar-SA"/>
        </w:rPr>
      </w:sdtEndPr>
      <w:sdtContent>
        <w:p w14:paraId="26017610">
          <w:pPr>
            <w:keepNext w:val="0"/>
            <w:keepLines w:val="0"/>
            <w:pageBreakBefore/>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b/>
              <w:bCs/>
              <w:color w:val="auto"/>
              <w:sz w:val="24"/>
              <w:szCs w:val="28"/>
              <w:highlight w:val="none"/>
            </w:rPr>
          </w:pPr>
          <w:r>
            <w:rPr>
              <w:rFonts w:ascii="宋体" w:hAnsi="宋体" w:eastAsia="宋体"/>
              <w:b/>
              <w:bCs/>
              <w:color w:val="auto"/>
              <w:sz w:val="24"/>
              <w:szCs w:val="28"/>
              <w:highlight w:val="none"/>
            </w:rPr>
            <w:t>目录</w:t>
          </w:r>
        </w:p>
        <w:p w14:paraId="7606E772">
          <w:pPr>
            <w:pStyle w:val="3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_Toc26213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w:t>
          </w:r>
          <w:r>
            <w:rPr>
              <w:rFonts w:hint="eastAsia" w:ascii="宋体" w:hAnsi="宋体" w:eastAsia="宋体" w:cs="宋体"/>
              <w:b/>
              <w:bCs/>
              <w:color w:val="auto"/>
              <w:kern w:val="44"/>
              <w:sz w:val="21"/>
              <w:szCs w:val="21"/>
              <w:highlight w:val="none"/>
              <w:lang w:val="en-US" w:eastAsia="zh-CN"/>
            </w:rPr>
            <w:t>一</w:t>
          </w:r>
          <w:r>
            <w:rPr>
              <w:rFonts w:hint="eastAsia" w:ascii="宋体" w:hAnsi="宋体" w:eastAsia="宋体" w:cs="宋体"/>
              <w:b/>
              <w:bCs/>
              <w:color w:val="auto"/>
              <w:kern w:val="44"/>
              <w:sz w:val="21"/>
              <w:szCs w:val="21"/>
              <w:highlight w:val="none"/>
              <w:lang w:val="zh-CN"/>
            </w:rPr>
            <w:t>篇</w:t>
          </w:r>
          <w:r>
            <w:rPr>
              <w:rFonts w:hint="eastAsia" w:ascii="宋体" w:hAnsi="宋体" w:eastAsia="宋体" w:cs="宋体"/>
              <w:b/>
              <w:bCs/>
              <w:color w:val="auto"/>
              <w:kern w:val="44"/>
              <w:sz w:val="21"/>
              <w:szCs w:val="21"/>
              <w:highlight w:val="none"/>
            </w:rPr>
            <w:t xml:space="preserve"> </w:t>
          </w:r>
          <w:r>
            <w:rPr>
              <w:rFonts w:hint="eastAsia" w:ascii="宋体" w:hAnsi="宋体" w:eastAsia="宋体" w:cs="宋体"/>
              <w:b/>
              <w:bCs/>
              <w:color w:val="auto"/>
              <w:kern w:val="44"/>
              <w:sz w:val="21"/>
              <w:szCs w:val="21"/>
              <w:highlight w:val="none"/>
              <w:lang w:val="en-US" w:eastAsia="zh-CN"/>
            </w:rPr>
            <w:t>招标公告</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_Toc26213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024C2B56">
          <w:pPr>
            <w:pStyle w:val="3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_Toc31962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第二篇</w:t>
          </w:r>
          <w:r>
            <w:rPr>
              <w:rFonts w:hint="eastAsia" w:ascii="宋体" w:hAnsi="宋体" w:eastAsia="宋体" w:cs="宋体"/>
              <w:b/>
              <w:bCs/>
              <w:color w:val="auto"/>
              <w:kern w:val="44"/>
              <w:sz w:val="21"/>
              <w:szCs w:val="21"/>
              <w:highlight w:val="none"/>
            </w:rPr>
            <w:t xml:space="preserve"> </w:t>
          </w:r>
          <w:r>
            <w:rPr>
              <w:rFonts w:hint="eastAsia" w:ascii="宋体" w:hAnsi="宋体" w:eastAsia="宋体" w:cs="宋体"/>
              <w:b/>
              <w:bCs/>
              <w:color w:val="auto"/>
              <w:kern w:val="44"/>
              <w:sz w:val="21"/>
              <w:szCs w:val="21"/>
              <w:highlight w:val="none"/>
              <w:lang w:val="zh-CN"/>
            </w:rPr>
            <w:t>投标人须知</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_Toc31962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6</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7A179376">
          <w:pPr>
            <w:pStyle w:val="3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_Toc12365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一、总则</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_Toc12365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6</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0162171E">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_Toc31733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 资金来源：企业自筹资金。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_Toc31733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CD4FAC7">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_Toc18347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 合格的投标人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_Toc18347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362BDFB">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_Toc30315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 合格的货物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_Toc30315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AC5714E">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_Toc6832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4 其它说明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_Toc6832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A9C9237">
          <w:pPr>
            <w:pStyle w:val="3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_Toc10690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二、招标文件</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_Toc10690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4E3F190C">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_Toc8342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5 招标文件的构成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_Toc8342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08D1549">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_Toc18672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6 招标文件的异议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_Toc18672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6D249D9">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_Toc32407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7 招标文件的澄清及修改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_Toc32407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F4C9706">
          <w:pPr>
            <w:pStyle w:val="3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_Toc4593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三、投标文件的编制</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_Toc4593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9</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01AAAC21">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_Toc14754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8 投标使用的文字及度量衡单位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_Toc14754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B9258F8">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_Toc24896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9 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_Toc24896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2773261">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_Toc648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10 投标函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_Toc648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B20763D">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_Toc14778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11 投标报价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_Toc14778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FCEC14B">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_Toc22711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12 投标报价货币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_Toc22711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AFD0168">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_Toc11509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13 证明投标人的合格性和资格的声明文件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_Toc11509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2BC43C7">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_Toc24520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14 证明货物的合格性并符合招标文件规定的声明文件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_Toc24520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3D823F5">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_Toc12062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15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_Toc12062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3A3BC29">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_Toc26204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16 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_Toc26204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B8B4222">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_Toc31437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17 投标文件的式样和签署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_Toc31437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B576901">
          <w:pPr>
            <w:pStyle w:val="3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_Toc20779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四、投标文件的递交</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_Toc20779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14</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67ED2B26">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18 投标文件的密封和标记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_Toc3186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872164F">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_Toc29481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19 递交投标文件的截止日期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_Toc29481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A581577">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_Toc14928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20 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_Toc14928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71863AA">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_Toc25642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21 投标文件的修改和撤回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_Toc25642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DFF84B9">
          <w:pPr>
            <w:pStyle w:val="3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_Toc21787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五、开标与评标</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_Toc21787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15</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23AC1B1C">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_Toc12666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22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_Toc12666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D263F6C">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_Toc24243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 xml:space="preserve">23 </w:t>
          </w:r>
          <w:r>
            <w:rPr>
              <w:rFonts w:hint="eastAsia" w:ascii="宋体" w:hAnsi="宋体" w:eastAsia="宋体" w:cs="宋体"/>
              <w:color w:val="auto"/>
              <w:kern w:val="0"/>
              <w:sz w:val="21"/>
              <w:szCs w:val="21"/>
              <w:highlight w:val="none"/>
            </w:rPr>
            <w:t>评标过程的保密性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_Toc24243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1C3A4B7">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_Toc24630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24 评标委员会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_Toc24630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664BB52">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_Toc3991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25 投标文件的初审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_Toc3991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AF017E7">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_Toc14187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26 投标文件的澄清</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_Toc14187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D109348">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_Toc26877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27 对投标文件的比较和评价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_Toc26877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B0D3865">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_Toc14412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28 评标原则及方法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_Toc14412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026C641">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_Toc16573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9 </w:t>
          </w:r>
          <w:r>
            <w:rPr>
              <w:rFonts w:hint="eastAsia" w:ascii="宋体" w:hAnsi="宋体" w:eastAsia="宋体" w:cs="宋体"/>
              <w:color w:val="auto"/>
              <w:sz w:val="21"/>
              <w:szCs w:val="21"/>
              <w:highlight w:val="none"/>
              <w:lang w:val="zh-CN"/>
            </w:rPr>
            <w:t>评标结果公示及异议、投诉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_Toc16573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0641D30">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_Toc7424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CN"/>
            </w:rPr>
            <w:t xml:space="preserve"> 真实性审查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_Toc7424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EE7BC28">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_Toc23912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评标委员会和招标人接受或拒绝任何投标或所有投标的权利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_Toc23912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2D2756F">
          <w:pPr>
            <w:pStyle w:val="3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_Toc15050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六、授予合同</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_Toc15050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18</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07A0C832">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_Toc11333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 xml:space="preserve"> 授予合同的准则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_Toc11333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7AC4B52">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_Toc19107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33 中标通知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_Toc19107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08F6F6E">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_Toc10250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签署合同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_Toc10250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8105DCB">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_Toc29569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val="zh-CN"/>
            </w:rPr>
            <w:t>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_Toc29569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9836481">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_Toc32394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在合同履行中变更采购范围的权利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_Toc32394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5A60932">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zh-CN"/>
            </w:rPr>
            <w:t xml:space="preserve"> 中标服务费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AAE2B94">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_Toc13492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发票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_Toc13492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8E272D0">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_Toc29707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 招标相关补充约定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_Toc29707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B59E076">
          <w:pPr>
            <w:pStyle w:val="23"/>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_Toc17295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 本次招标活动的最终解释权归招标代理机构及招标人所有。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_Toc17295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337047E">
          <w:pPr>
            <w:pStyle w:val="3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_Toc14876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第三篇 用户需求书</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_Toc14876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23</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470FC1AC">
          <w:pPr>
            <w:pStyle w:val="3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_Toc25900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第四篇 合同条款格式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_Toc25900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34</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63A37889">
          <w:pPr>
            <w:pStyle w:val="3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_Toc14277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lang w:val="zh-CN"/>
            </w:rPr>
            <w:t>第五篇 相关保函格式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_Toc14277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53</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25F5963E">
          <w:pPr>
            <w:pStyle w:val="3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_Toc4646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第六篇 投标文件格式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_Toc4646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56</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4231B8DC">
          <w:pPr>
            <w:pStyle w:val="3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_Toc20948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附件一：评标工作大纲</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_Toc20948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132</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2E98AFA1">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 w:val="21"/>
              <w:szCs w:val="21"/>
              <w:highlight w:val="none"/>
            </w:rPr>
            <w:fldChar w:fldCharType="end"/>
          </w:r>
        </w:p>
      </w:sdtContent>
    </w:sdt>
    <w:p w14:paraId="0D1DCFAA">
      <w:pPr>
        <w:rPr>
          <w:color w:val="auto"/>
          <w:highlight w:val="none"/>
        </w:rPr>
      </w:pPr>
    </w:p>
    <w:p w14:paraId="0B350CC4">
      <w:pPr>
        <w:pageBreakBefore/>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color w:val="auto"/>
          <w:kern w:val="44"/>
          <w:sz w:val="32"/>
          <w:szCs w:val="32"/>
          <w:highlight w:val="none"/>
          <w:lang w:val="en-US" w:eastAsia="zh-CN"/>
        </w:rPr>
      </w:pPr>
      <w:bookmarkStart w:id="0" w:name="_Toc26213"/>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一</w:t>
      </w:r>
      <w:r>
        <w:rPr>
          <w:rFonts w:hint="eastAsia" w:ascii="宋体" w:hAnsi="宋体" w:eastAsia="宋体" w:cs="宋体"/>
          <w:b/>
          <w:bCs/>
          <w:color w:val="auto"/>
          <w:kern w:val="44"/>
          <w:sz w:val="32"/>
          <w:szCs w:val="32"/>
          <w:highlight w:val="none"/>
          <w:lang w:val="zh-CN"/>
        </w:rPr>
        <w:t>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招标公告</w:t>
      </w:r>
      <w:bookmarkEnd w:id="0"/>
    </w:p>
    <w:p w14:paraId="3F7127B5">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宋体"/>
          <w:color w:val="auto"/>
          <w:kern w:val="0"/>
          <w:szCs w:val="21"/>
          <w:highlight w:val="none"/>
        </w:rPr>
        <w:t>广东有德招标采购有限公司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东莞市水务环境投资控股集团管网有限公司</w:t>
      </w:r>
      <w:r>
        <w:rPr>
          <w:rFonts w:ascii="宋体" w:hAnsi="宋体" w:eastAsia="宋体" w:cs="Times New Roman"/>
          <w:color w:val="auto"/>
          <w:szCs w:val="21"/>
          <w:highlight w:val="none"/>
          <w:lang w:val="zh-CN"/>
        </w:rPr>
        <w:t>（以下简称“招标人”）的委托，对</w:t>
      </w:r>
      <w:bookmarkStart w:id="1" w:name="_Hlk41903390"/>
      <w:r>
        <w:rPr>
          <w:rFonts w:hint="eastAsia" w:ascii="宋体" w:hAnsi="宋体" w:eastAsia="宋体" w:cs="Times New Roman"/>
          <w:color w:val="auto"/>
          <w:kern w:val="0"/>
          <w:szCs w:val="21"/>
          <w:highlight w:val="none"/>
          <w:lang w:eastAsia="zh-CN"/>
        </w:rPr>
        <w:t>东莞市水务环境投资控股集团管网有限公司2026年运维维修工器具类物资采购项目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YDZB25DGQY0136</w:t>
      </w:r>
      <w:r>
        <w:rPr>
          <w:rFonts w:ascii="宋体" w:hAnsi="宋体" w:eastAsia="宋体" w:cs="Times New Roman"/>
          <w:color w:val="auto"/>
          <w:szCs w:val="21"/>
          <w:highlight w:val="none"/>
          <w:lang w:val="zh-CN"/>
        </w:rPr>
        <w:t>)</w:t>
      </w:r>
      <w:bookmarkEnd w:id="1"/>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5569786F">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5658392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招标范围：在供货期内，负责招标人及其下属子公司的运维维修工器具类物资的</w:t>
      </w:r>
      <w:r>
        <w:rPr>
          <w:rFonts w:hint="eastAsia" w:ascii="宋体" w:hAnsi="宋体" w:eastAsia="宋体" w:cs="Times New Roman"/>
          <w:color w:val="auto"/>
          <w:szCs w:val="21"/>
          <w:highlight w:val="none"/>
        </w:rPr>
        <w:t>供货</w:t>
      </w:r>
      <w:r>
        <w:rPr>
          <w:rFonts w:hint="eastAsia" w:ascii="宋体" w:hAnsi="宋体" w:eastAsia="宋体" w:cs="Times New Roman"/>
          <w:color w:val="auto"/>
          <w:szCs w:val="21"/>
          <w:highlight w:val="none"/>
          <w:lang w:val="zh-CN"/>
        </w:rPr>
        <w:t>。（具体内容详见：第三篇用户需求书）。</w:t>
      </w:r>
    </w:p>
    <w:p w14:paraId="19ED6699">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4A2FE942">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58030F70">
      <w:pPr>
        <w:pStyle w:val="164"/>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29021E82">
      <w:pPr>
        <w:pStyle w:val="164"/>
        <w:spacing w:line="360" w:lineRule="auto"/>
        <w:ind w:left="422" w:right="-29" w:rightChars="-14" w:hanging="422" w:hangingChars="200"/>
        <w:jc w:val="both"/>
        <w:rPr>
          <w:rFonts w:hAnsi="宋体" w:eastAsia="宋体"/>
          <w:b/>
          <w:color w:val="auto"/>
          <w:sz w:val="21"/>
          <w:szCs w:val="21"/>
          <w:highlight w:val="none"/>
        </w:rPr>
      </w:pPr>
      <w:bookmarkStart w:id="2" w:name="_Toc25819"/>
      <w:r>
        <w:rPr>
          <w:rFonts w:hint="eastAsia" w:hAnsi="宋体" w:eastAsia="宋体"/>
          <w:b/>
          <w:color w:val="auto"/>
          <w:sz w:val="21"/>
          <w:szCs w:val="21"/>
          <w:highlight w:val="none"/>
          <w:lang w:val="zh-CN"/>
        </w:rPr>
        <w:t>2.2 投标人</w:t>
      </w:r>
      <w:r>
        <w:rPr>
          <w:rFonts w:hint="eastAsia" w:hAnsi="宋体" w:eastAsia="宋体"/>
          <w:b/>
          <w:color w:val="auto"/>
          <w:sz w:val="21"/>
          <w:szCs w:val="21"/>
          <w:highlight w:val="none"/>
        </w:rPr>
        <w:t>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日以来具有一份</w:t>
      </w:r>
      <w:r>
        <w:rPr>
          <w:rFonts w:hint="eastAsia" w:hAnsi="宋体" w:eastAsia="宋体"/>
          <w:b/>
          <w:color w:val="auto"/>
          <w:sz w:val="21"/>
          <w:szCs w:val="21"/>
          <w:highlight w:val="none"/>
        </w:rPr>
        <w:t>运维维修工器具类物资在国内的销售业绩</w:t>
      </w:r>
      <w:r>
        <w:rPr>
          <w:rFonts w:hint="eastAsia" w:hAnsi="宋体" w:eastAsia="宋体"/>
          <w:b/>
          <w:color w:val="auto"/>
          <w:sz w:val="21"/>
          <w:szCs w:val="21"/>
          <w:highlight w:val="none"/>
          <w:lang w:val="zh-CN"/>
        </w:rPr>
        <w:t>（合同签订日期为</w:t>
      </w:r>
      <w:r>
        <w:rPr>
          <w:rFonts w:hint="eastAsia" w:hAnsi="宋体" w:eastAsia="宋体"/>
          <w:b/>
          <w:color w:val="auto"/>
          <w:sz w:val="21"/>
          <w:szCs w:val="21"/>
          <w:highlight w:val="none"/>
        </w:rPr>
        <w:t>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日或以后）；</w:t>
      </w:r>
    </w:p>
    <w:p w14:paraId="3BDDA7DF">
      <w:pPr>
        <w:pStyle w:val="164"/>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rPr>
        <w:t xml:space="preserve">2.3 </w:t>
      </w:r>
      <w:r>
        <w:rPr>
          <w:rFonts w:hint="eastAsia" w:hAnsi="宋体" w:eastAsia="宋体"/>
          <w:b/>
          <w:color w:val="auto"/>
          <w:sz w:val="21"/>
          <w:szCs w:val="21"/>
          <w:highlight w:val="none"/>
          <w:lang w:val="zh-CN"/>
        </w:rPr>
        <w:t>本项目不接受联合体投标。</w:t>
      </w:r>
      <w:bookmarkEnd w:id="2"/>
    </w:p>
    <w:p w14:paraId="6CC47B2A">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58A41601">
      <w:pPr>
        <w:pStyle w:val="182"/>
        <w:numPr>
          <w:ilvl w:val="0"/>
          <w:numId w:val="1"/>
        </w:numPr>
        <w:spacing w:line="360" w:lineRule="auto"/>
        <w:ind w:left="426" w:right="-34" w:hanging="426" w:firstLineChars="0"/>
        <w:rPr>
          <w:rFonts w:ascii="宋体" w:hAnsi="宋体" w:cs="宋体"/>
          <w:color w:val="auto"/>
          <w:szCs w:val="21"/>
          <w:highlight w:val="none"/>
        </w:rPr>
      </w:pPr>
      <w:r>
        <w:rPr>
          <w:rFonts w:ascii="宋体" w:hAnsi="宋体"/>
          <w:color w:val="auto"/>
          <w:szCs w:val="21"/>
          <w:highlight w:val="none"/>
          <w:lang w:val="zh-CN"/>
        </w:rPr>
        <w:t>获取招标文件</w:t>
      </w:r>
      <w:r>
        <w:rPr>
          <w:rFonts w:hint="eastAsia" w:ascii="宋体" w:hAnsi="宋体" w:cs="宋体"/>
          <w:color w:val="auto"/>
          <w:szCs w:val="21"/>
          <w:highlight w:val="none"/>
        </w:rPr>
        <w:t>方式：本项目采用“不记名网上下载”的方式发布招标文件，有意向的投标人可于本项目投标截止时间前，在本项目招标信息发布媒介【详见本招标公告第7点（除中国招标投标公共服务平台外）】下载招标文件。</w:t>
      </w:r>
    </w:p>
    <w:p w14:paraId="657A51CE">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49BD67C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16F9E6B4">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2A8955B2">
      <w:pPr>
        <w:numPr>
          <w:ilvl w:val="0"/>
          <w:numId w:val="1"/>
        </w:numPr>
        <w:autoSpaceDE w:val="0"/>
        <w:autoSpaceDN w:val="0"/>
        <w:adjustRightInd w:val="0"/>
        <w:snapToGrid w:val="0"/>
        <w:spacing w:line="360" w:lineRule="auto"/>
        <w:ind w:right="-34"/>
        <w:jc w:val="both"/>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4A23926F">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12</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18</w:t>
      </w:r>
      <w:r>
        <w:rPr>
          <w:rFonts w:hint="eastAsia" w:ascii="宋体" w:hAnsi="宋体" w:eastAsia="宋体" w:cs="Times New Roman"/>
          <w:bCs/>
          <w:color w:val="auto"/>
          <w:kern w:val="0"/>
          <w:szCs w:val="21"/>
          <w:highlight w:val="none"/>
        </w:rPr>
        <w:t>日</w:t>
      </w:r>
      <w:r>
        <w:rPr>
          <w:rFonts w:hint="eastAsia" w:ascii="宋体" w:hAnsi="宋体" w:eastAsia="宋体" w:cs="宋体"/>
          <w:color w:val="auto"/>
          <w:szCs w:val="21"/>
          <w:highlight w:val="none"/>
          <w:u w:val="single"/>
          <w:lang w:val="en-US" w:eastAsia="zh-CN"/>
        </w:rPr>
        <w:t>13：30</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u w:val="single"/>
          <w:lang w:val="en-US" w:eastAsia="zh-CN"/>
        </w:rPr>
        <w:t>14：00</w:t>
      </w:r>
      <w:r>
        <w:rPr>
          <w:rFonts w:hint="eastAsia" w:ascii="宋体" w:hAnsi="宋体" w:eastAsia="宋体" w:cs="Times New Roman"/>
          <w:bCs/>
          <w:color w:val="auto"/>
          <w:kern w:val="0"/>
          <w:szCs w:val="21"/>
          <w:highlight w:val="none"/>
        </w:rPr>
        <w:t>；</w:t>
      </w:r>
    </w:p>
    <w:p w14:paraId="3B7186DF">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12</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18</w:t>
      </w:r>
      <w:r>
        <w:rPr>
          <w:rFonts w:hint="eastAsia" w:ascii="宋体" w:hAnsi="宋体" w:eastAsia="宋体" w:cs="Times New Roman"/>
          <w:bCs/>
          <w:color w:val="auto"/>
          <w:kern w:val="0"/>
          <w:szCs w:val="21"/>
          <w:highlight w:val="none"/>
        </w:rPr>
        <w:t>日</w:t>
      </w:r>
      <w:r>
        <w:rPr>
          <w:rFonts w:hint="eastAsia" w:ascii="宋体" w:hAnsi="宋体" w:eastAsia="宋体" w:cs="宋体"/>
          <w:color w:val="auto"/>
          <w:szCs w:val="21"/>
          <w:highlight w:val="none"/>
          <w:u w:val="single"/>
          <w:lang w:val="en-US" w:eastAsia="zh-CN"/>
        </w:rPr>
        <w:t>14：00</w:t>
      </w:r>
      <w:r>
        <w:rPr>
          <w:rFonts w:hint="eastAsia" w:ascii="宋体" w:hAnsi="宋体" w:eastAsia="宋体" w:cs="Times New Roman"/>
          <w:bCs/>
          <w:color w:val="auto"/>
          <w:kern w:val="0"/>
          <w:szCs w:val="21"/>
          <w:highlight w:val="none"/>
        </w:rPr>
        <w:t>；</w:t>
      </w:r>
      <w:bookmarkStart w:id="710" w:name="_GoBack"/>
      <w:bookmarkEnd w:id="710"/>
    </w:p>
    <w:p w14:paraId="3680A794">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lang w:val="zh-CN"/>
        </w:rPr>
        <w:t>广东省东莞市东城街道新源路海德琥珀台6栋1703室</w:t>
      </w:r>
      <w:r>
        <w:rPr>
          <w:rFonts w:hint="eastAsia" w:ascii="宋体" w:hAnsi="宋体" w:eastAsia="宋体" w:cs="Times New Roman"/>
          <w:color w:val="auto"/>
          <w:kern w:val="0"/>
          <w:szCs w:val="21"/>
          <w:highlight w:val="none"/>
        </w:rPr>
        <w:t>。</w:t>
      </w:r>
    </w:p>
    <w:p w14:paraId="55CFD576">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167F281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6BEA169C">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022E6A66">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本项目相关公告在以下媒介发布：广东省公共资源交易平台（ygp.gdzwfw.gov.cn）、中国招标投标公共服务平台（www.cebpubservice.com）、</w:t>
      </w:r>
      <w:r>
        <w:rPr>
          <w:rFonts w:hint="eastAsia" w:ascii="宋体" w:hAnsi="宋体" w:eastAsia="宋体" w:cs="Times New Roman"/>
          <w:bCs/>
          <w:color w:val="auto"/>
          <w:szCs w:val="21"/>
          <w:highlight w:val="none"/>
          <w:lang w:eastAsia="zh-CN"/>
        </w:rPr>
        <w:t>东莞市水务环境投资控股集团有限公司</w:t>
      </w:r>
      <w:r>
        <w:rPr>
          <w:rFonts w:hint="eastAsia" w:ascii="宋体" w:hAnsi="宋体" w:eastAsia="宋体" w:cs="Times New Roman"/>
          <w:bCs/>
          <w:color w:val="auto"/>
          <w:szCs w:val="21"/>
          <w:highlight w:val="none"/>
        </w:rPr>
        <w:t>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rPr>
        <w:t>机构</w:t>
      </w:r>
      <w:r>
        <w:rPr>
          <w:rFonts w:hint="eastAsia" w:ascii="宋体" w:hAnsi="宋体" w:eastAsia="宋体" w:cs="Times New Roman"/>
          <w:color w:val="auto"/>
          <w:szCs w:val="21"/>
          <w:highlight w:val="none"/>
          <w:lang w:val="zh-CN"/>
        </w:rPr>
        <w:t>网站（www.youde.net</w:t>
      </w:r>
      <w:r>
        <w:rPr>
          <w:rFonts w:ascii="宋体" w:hAnsi="宋体" w:eastAsia="宋体" w:cs="Times New Roman"/>
          <w:color w:val="auto"/>
          <w:szCs w:val="21"/>
          <w:highlight w:val="none"/>
          <w:lang w:val="zh-CN"/>
        </w:rPr>
        <w:t>）。</w:t>
      </w:r>
    </w:p>
    <w:p w14:paraId="07D634FA">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07D18D0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4FC270DC">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东莞市水务环境投资控股集团管网有限公司</w:t>
      </w:r>
    </w:p>
    <w:p w14:paraId="1664D3B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广东省东莞市东城街道东城运河路5号</w:t>
      </w:r>
    </w:p>
    <w:p w14:paraId="52E2936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：王晓华</w:t>
      </w:r>
    </w:p>
    <w:p w14:paraId="12510697">
      <w:pPr>
        <w:widowControl/>
        <w:autoSpaceDE w:val="0"/>
        <w:autoSpaceDN w:val="0"/>
        <w:adjustRightInd w:val="0"/>
        <w:spacing w:line="360" w:lineRule="auto"/>
        <w:ind w:right="-31" w:rightChars="-15" w:firstLine="424" w:firstLineChars="202"/>
        <w:jc w:val="left"/>
        <w:textAlignment w:val="bottom"/>
        <w:rPr>
          <w:rFonts w:ascii="宋体" w:hAnsi="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（0769）22001387</w:t>
      </w:r>
    </w:p>
    <w:p w14:paraId="56663377">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20C6C69D">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lang w:val="en-US" w:eastAsia="zh-CN"/>
        </w:rPr>
        <w:t>及异议受理</w:t>
      </w:r>
      <w:r>
        <w:rPr>
          <w:rFonts w:ascii="宋体" w:hAnsi="宋体" w:eastAsia="宋体" w:cs="Times New Roman"/>
          <w:color w:val="auto"/>
          <w:szCs w:val="21"/>
          <w:highlight w:val="none"/>
        </w:rPr>
        <w:t>联系方式</w:t>
      </w:r>
    </w:p>
    <w:p w14:paraId="42AB3B5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bookmarkStart w:id="3" w:name="_Toc31764_WPSOffice_Level1"/>
      <w:bookmarkStart w:id="4" w:name="_Toc450662847"/>
      <w:bookmarkStart w:id="5" w:name="_Toc486167661"/>
      <w:r>
        <w:rPr>
          <w:rFonts w:ascii="宋体" w:hAnsi="宋体" w:eastAsia="宋体" w:cs="Times New Roman"/>
          <w:color w:val="auto"/>
          <w:kern w:val="0"/>
          <w:szCs w:val="21"/>
          <w:highlight w:val="none"/>
        </w:rPr>
        <w:t>招标代理机构：</w:t>
      </w:r>
      <w:r>
        <w:rPr>
          <w:rFonts w:hint="eastAsia" w:ascii="宋体" w:hAnsi="宋体" w:eastAsia="宋体" w:cs="宋体"/>
          <w:color w:val="auto"/>
          <w:kern w:val="0"/>
          <w:szCs w:val="21"/>
          <w:highlight w:val="none"/>
        </w:rPr>
        <w:t>广东有德招标采购有限公司</w:t>
      </w:r>
    </w:p>
    <w:p w14:paraId="255D5A7F">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宋体"/>
          <w:color w:val="auto"/>
          <w:kern w:val="0"/>
          <w:szCs w:val="21"/>
          <w:highlight w:val="none"/>
        </w:rPr>
        <w:t>广东省东莞市东城街道新源路海德琥珀台6栋1703室</w:t>
      </w:r>
    </w:p>
    <w:p w14:paraId="709DD53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宋体"/>
          <w:color w:val="auto"/>
          <w:kern w:val="0"/>
          <w:szCs w:val="21"/>
          <w:highlight w:val="none"/>
        </w:rPr>
        <w:t>郑翠婷</w:t>
      </w:r>
    </w:p>
    <w:p w14:paraId="5E1B35F9">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宋体"/>
          <w:color w:val="auto"/>
          <w:kern w:val="0"/>
          <w:szCs w:val="21"/>
          <w:highlight w:val="none"/>
        </w:rPr>
        <w:t>（0769）23362836-8019</w:t>
      </w:r>
    </w:p>
    <w:p w14:paraId="3BC84483">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6" w:name="_Toc142508311"/>
      <w:bookmarkStart w:id="7" w:name="_Toc12475"/>
      <w:bookmarkStart w:id="8" w:name="_Toc31962"/>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
      <w:bookmarkEnd w:id="4"/>
      <w:bookmarkEnd w:id="5"/>
      <w:bookmarkEnd w:id="6"/>
      <w:bookmarkEnd w:id="7"/>
      <w:bookmarkEnd w:id="8"/>
    </w:p>
    <w:p w14:paraId="0100BA5C">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 w:name="_Toc16098"/>
      <w:bookmarkStart w:id="10" w:name="_Toc142508312"/>
      <w:bookmarkStart w:id="11" w:name="_Toc12365"/>
      <w:bookmarkStart w:id="12" w:name="_Toc486167662"/>
      <w:bookmarkStart w:id="13" w:name="_Toc15366_WPSOffice_Level2"/>
      <w:bookmarkStart w:id="14" w:name="_Toc140596871"/>
      <w:bookmarkStart w:id="15" w:name="_Toc450662848"/>
      <w:r>
        <w:rPr>
          <w:rFonts w:hint="eastAsia" w:ascii="宋体" w:hAnsi="宋体" w:eastAsia="宋体" w:cs="宋体"/>
          <w:b/>
          <w:bCs/>
          <w:color w:val="auto"/>
          <w:kern w:val="44"/>
          <w:szCs w:val="21"/>
          <w:highlight w:val="none"/>
          <w:lang w:val="zh-CN"/>
        </w:rPr>
        <w:t>一、总则</w:t>
      </w:r>
      <w:bookmarkEnd w:id="9"/>
      <w:bookmarkEnd w:id="10"/>
      <w:bookmarkEnd w:id="11"/>
      <w:bookmarkEnd w:id="12"/>
      <w:bookmarkEnd w:id="13"/>
      <w:bookmarkEnd w:id="14"/>
      <w:bookmarkEnd w:id="15"/>
    </w:p>
    <w:p w14:paraId="0A96B03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 w:name="_Toc31733"/>
      <w:bookmarkStart w:id="17" w:name="_Toc142508313"/>
      <w:bookmarkStart w:id="18" w:name="_Toc486167663"/>
      <w:bookmarkStart w:id="19" w:name="_Toc21710_WPSOffice_Level3"/>
      <w:bookmarkStart w:id="20" w:name="_Toc16700"/>
      <w:bookmarkStart w:id="21" w:name="_Toc450662849"/>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16"/>
      <w:bookmarkEnd w:id="17"/>
      <w:bookmarkEnd w:id="18"/>
      <w:bookmarkEnd w:id="19"/>
      <w:bookmarkEnd w:id="20"/>
      <w:bookmarkEnd w:id="21"/>
    </w:p>
    <w:p w14:paraId="326A849B">
      <w:pPr>
        <w:autoSpaceDE w:val="0"/>
        <w:autoSpaceDN w:val="0"/>
        <w:adjustRightInd w:val="0"/>
        <w:jc w:val="left"/>
        <w:rPr>
          <w:rFonts w:ascii="宋体" w:hAnsi="宋体" w:eastAsia="宋体" w:cs="宋体"/>
          <w:color w:val="auto"/>
          <w:kern w:val="0"/>
          <w:sz w:val="24"/>
          <w:szCs w:val="24"/>
          <w:highlight w:val="none"/>
        </w:rPr>
      </w:pPr>
    </w:p>
    <w:p w14:paraId="25C3EB8B">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2" w:name="_Toc80_WPSOffice_Level3"/>
      <w:bookmarkStart w:id="23" w:name="_Toc18347"/>
      <w:bookmarkStart w:id="24" w:name="_Toc142508314"/>
      <w:bookmarkStart w:id="25" w:name="_Toc450662850"/>
      <w:bookmarkStart w:id="26" w:name="_Toc486167664"/>
      <w:bookmarkStart w:id="27" w:name="_Toc5550"/>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2"/>
      <w:bookmarkEnd w:id="23"/>
      <w:bookmarkEnd w:id="24"/>
      <w:bookmarkEnd w:id="25"/>
      <w:bookmarkEnd w:id="26"/>
      <w:bookmarkEnd w:id="27"/>
    </w:p>
    <w:p w14:paraId="0DE02CC7">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rPr>
        <w:t>2.5</w:t>
      </w:r>
      <w:r>
        <w:rPr>
          <w:rFonts w:hint="eastAsia" w:ascii="宋体" w:hAnsi="宋体" w:eastAsia="宋体" w:cs="宋体"/>
          <w:b/>
          <w:color w:val="auto"/>
          <w:szCs w:val="21"/>
          <w:highlight w:val="none"/>
          <w:lang w:val="zh-CN"/>
        </w:rPr>
        <w:t>款的通用要求。</w:t>
      </w:r>
    </w:p>
    <w:p w14:paraId="1D7EB2D0">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06369ABC">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4C8F2DEF">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highlight w:val="none"/>
        </w:rPr>
        <w:t>。</w:t>
      </w:r>
    </w:p>
    <w:p w14:paraId="74646BE8">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2F37C70C">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2E1171A9">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8" w:name="_Toc142508315"/>
      <w:bookmarkStart w:id="29" w:name="_Toc30315"/>
      <w:bookmarkStart w:id="30" w:name="_Toc23847_WPSOffice_Level3"/>
      <w:bookmarkStart w:id="31" w:name="_Toc8199"/>
      <w:bookmarkStart w:id="32" w:name="_Toc486167665"/>
      <w:bookmarkStart w:id="33"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28"/>
      <w:bookmarkEnd w:id="29"/>
      <w:bookmarkEnd w:id="30"/>
      <w:bookmarkEnd w:id="31"/>
    </w:p>
    <w:p w14:paraId="718DD1F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673D697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34" w:name="_Toc1977663"/>
      <w:bookmarkStart w:id="35" w:name="_Toc5337080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34"/>
    <w:bookmarkEnd w:id="35"/>
    <w:p w14:paraId="0223BC1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36" w:name="_Toc1977664"/>
      <w:bookmarkStart w:id="37" w:name="_Toc533708064"/>
      <w:r>
        <w:rPr>
          <w:rFonts w:hint="eastAsia" w:ascii="宋体" w:hAnsi="宋体" w:eastAsia="宋体" w:cs="宋体"/>
          <w:color w:val="auto"/>
          <w:szCs w:val="21"/>
          <w:highlight w:val="none"/>
          <w:lang w:val="zh-CN"/>
        </w:rPr>
        <w:t xml:space="preserve">3.3  </w:t>
      </w:r>
      <w:bookmarkEnd w:id="36"/>
      <w:bookmarkEnd w:id="37"/>
      <w:bookmarkStart w:id="38" w:name="_Toc1977665"/>
      <w:bookmarkStart w:id="39"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38"/>
      <w:bookmarkEnd w:id="39"/>
    </w:p>
    <w:p w14:paraId="2B02058D">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40" w:name="_Toc533708066"/>
      <w:bookmarkStart w:id="41"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0"/>
    <w:bookmarkEnd w:id="41"/>
    <w:p w14:paraId="09B418B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2" w:name="_Toc1977667"/>
      <w:bookmarkStart w:id="43"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2"/>
      <w:bookmarkEnd w:id="43"/>
    </w:p>
    <w:p w14:paraId="1C2BEEE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4" w:name="_Toc1977668"/>
      <w:bookmarkStart w:id="45"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highlight w:val="none"/>
          <w:lang w:val="zh-CN"/>
        </w:rPr>
        <w:t>。</w:t>
      </w:r>
      <w:bookmarkEnd w:id="44"/>
      <w:bookmarkEnd w:id="45"/>
    </w:p>
    <w:p w14:paraId="0D325581">
      <w:pPr>
        <w:autoSpaceDE w:val="0"/>
        <w:autoSpaceDN w:val="0"/>
        <w:adjustRightInd w:val="0"/>
        <w:spacing w:line="360" w:lineRule="auto"/>
        <w:jc w:val="left"/>
        <w:rPr>
          <w:rFonts w:ascii="宋体" w:hAnsi="宋体" w:eastAsia="宋体" w:cs="宋体"/>
          <w:color w:val="auto"/>
          <w:szCs w:val="21"/>
          <w:highlight w:val="none"/>
          <w:lang w:val="zh-CN"/>
        </w:rPr>
      </w:pPr>
    </w:p>
    <w:p w14:paraId="5F4B4FD2">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6" w:name="_Toc6832"/>
      <w:bookmarkStart w:id="47" w:name="_Toc142508316"/>
      <w:bookmarkStart w:id="48" w:name="_Toc9658_WPSOffice_Level3"/>
      <w:bookmarkStart w:id="49" w:name="_Toc23394"/>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46"/>
      <w:bookmarkEnd w:id="47"/>
      <w:bookmarkEnd w:id="48"/>
      <w:bookmarkEnd w:id="49"/>
    </w:p>
    <w:p w14:paraId="1B2EF89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0" w:name="_Toc1977670"/>
      <w:bookmarkStart w:id="51" w:name="_Toc533708070"/>
      <w:r>
        <w:rPr>
          <w:rFonts w:hint="eastAsia" w:ascii="宋体" w:hAnsi="宋体" w:eastAsia="宋体" w:cs="宋体"/>
          <w:color w:val="auto"/>
          <w:szCs w:val="21"/>
          <w:highlight w:val="none"/>
          <w:lang w:val="zh-CN"/>
        </w:rPr>
        <w:t>4.1  投标费用</w:t>
      </w:r>
      <w:bookmarkEnd w:id="50"/>
      <w:bookmarkEnd w:id="51"/>
    </w:p>
    <w:p w14:paraId="67733832">
      <w:pPr>
        <w:autoSpaceDE w:val="0"/>
        <w:autoSpaceDN w:val="0"/>
        <w:adjustRightInd w:val="0"/>
        <w:spacing w:line="360" w:lineRule="auto"/>
        <w:ind w:left="0" w:leftChars="0" w:firstLine="420" w:firstLineChars="200"/>
        <w:rPr>
          <w:rFonts w:ascii="宋体" w:hAnsi="宋体" w:eastAsia="宋体" w:cs="宋体"/>
          <w:color w:val="auto"/>
          <w:szCs w:val="21"/>
          <w:highlight w:val="none"/>
          <w:lang w:val="zh-CN"/>
        </w:rPr>
      </w:pPr>
      <w:bookmarkStart w:id="52" w:name="_Toc533708072"/>
      <w:bookmarkStart w:id="53"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52"/>
      <w:bookmarkEnd w:id="53"/>
    </w:p>
    <w:p w14:paraId="72D1EFE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4" w:name="_Toc533708073"/>
      <w:bookmarkStart w:id="55" w:name="_Toc1977673"/>
      <w:r>
        <w:rPr>
          <w:rFonts w:hint="eastAsia" w:ascii="宋体" w:hAnsi="宋体" w:eastAsia="宋体" w:cs="宋体"/>
          <w:color w:val="auto"/>
          <w:szCs w:val="21"/>
          <w:highlight w:val="none"/>
          <w:lang w:val="zh-CN"/>
        </w:rPr>
        <w:t>4.2  踏勘现场</w:t>
      </w:r>
      <w:bookmarkEnd w:id="54"/>
      <w:bookmarkEnd w:id="55"/>
    </w:p>
    <w:p w14:paraId="7CFBC1E4">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56" w:name="_Toc533708076"/>
      <w:bookmarkStart w:id="57"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2E43D42E">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644B3713">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7F1CF0E3">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14C437A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2"/>
      <w:bookmarkEnd w:id="33"/>
      <w:bookmarkEnd w:id="56"/>
      <w:bookmarkEnd w:id="57"/>
    </w:p>
    <w:p w14:paraId="68E134D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7D56FD3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275CBD4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14:paraId="4C3762D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01B1B52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2C2571B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3225B691">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3DC63154">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58" w:name="_Toc1482"/>
      <w:bookmarkStart w:id="59" w:name="_Toc10690"/>
      <w:bookmarkStart w:id="60" w:name="_Toc142508317"/>
      <w:bookmarkStart w:id="61" w:name="_Toc30507_WPSOffice_Level2"/>
      <w:bookmarkStart w:id="62" w:name="_Toc486167667"/>
      <w:bookmarkStart w:id="63" w:name="_Toc140596876"/>
      <w:bookmarkStart w:id="64" w:name="_Toc450662853"/>
      <w:r>
        <w:rPr>
          <w:rFonts w:hint="eastAsia" w:ascii="宋体" w:hAnsi="宋体" w:eastAsia="宋体" w:cs="宋体"/>
          <w:b/>
          <w:bCs/>
          <w:color w:val="auto"/>
          <w:kern w:val="44"/>
          <w:szCs w:val="21"/>
          <w:highlight w:val="none"/>
          <w:lang w:val="zh-CN"/>
        </w:rPr>
        <w:t>二、招标文件</w:t>
      </w:r>
      <w:bookmarkEnd w:id="58"/>
      <w:bookmarkEnd w:id="59"/>
      <w:bookmarkEnd w:id="60"/>
      <w:bookmarkEnd w:id="61"/>
      <w:bookmarkEnd w:id="62"/>
      <w:bookmarkEnd w:id="63"/>
      <w:bookmarkEnd w:id="64"/>
    </w:p>
    <w:p w14:paraId="36D5755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65" w:name="_Toc8342"/>
      <w:bookmarkStart w:id="66" w:name="_Toc486167668"/>
      <w:bookmarkStart w:id="67" w:name="_Toc450662854"/>
      <w:bookmarkStart w:id="68" w:name="_Toc142508318"/>
      <w:bookmarkStart w:id="69" w:name="_Toc26635_WPSOffice_Level3"/>
      <w:bookmarkStart w:id="70" w:name="_Toc28179"/>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65"/>
      <w:bookmarkEnd w:id="66"/>
      <w:bookmarkEnd w:id="67"/>
      <w:bookmarkEnd w:id="68"/>
      <w:bookmarkEnd w:id="69"/>
      <w:bookmarkEnd w:id="70"/>
    </w:p>
    <w:p w14:paraId="5F8C65D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43E77F2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1CD85D7E">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0A5CEF1B">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7C2577F1">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7B44732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5B73803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53C0432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77874577">
      <w:pPr>
        <w:autoSpaceDE w:val="0"/>
        <w:autoSpaceDN w:val="0"/>
        <w:adjustRightInd w:val="0"/>
        <w:spacing w:line="360" w:lineRule="auto"/>
        <w:ind w:left="356" w:leftChars="-99" w:hanging="564" w:hangingChars="269"/>
        <w:rPr>
          <w:rFonts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5CED2875">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4CED8CF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东莞市水务环境投资控股集团管网有限公司</w:t>
      </w:r>
      <w:r>
        <w:rPr>
          <w:rFonts w:hint="eastAsia" w:ascii="宋体" w:hAnsi="宋体" w:eastAsia="宋体" w:cs="Times New Roman"/>
          <w:color w:val="auto"/>
          <w:kern w:val="0"/>
          <w:szCs w:val="21"/>
          <w:highlight w:val="none"/>
        </w:rPr>
        <w:t>；</w:t>
      </w:r>
    </w:p>
    <w:p w14:paraId="254E80C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宋体"/>
          <w:color w:val="auto"/>
          <w:kern w:val="0"/>
          <w:szCs w:val="21"/>
          <w:highlight w:val="none"/>
        </w:rPr>
        <w:t>广东有德招标采购有限公司</w:t>
      </w:r>
      <w:r>
        <w:rPr>
          <w:rFonts w:hint="eastAsia" w:ascii="宋体" w:hAnsi="宋体" w:eastAsia="宋体" w:cs="Times New Roman"/>
          <w:color w:val="auto"/>
          <w:kern w:val="0"/>
          <w:szCs w:val="21"/>
          <w:highlight w:val="none"/>
        </w:rPr>
        <w:t>；</w:t>
      </w:r>
    </w:p>
    <w:p w14:paraId="2B5910D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w:t>
      </w:r>
      <w:r>
        <w:rPr>
          <w:rFonts w:hint="eastAsia" w:ascii="宋体" w:hAnsi="宋体" w:eastAsia="宋体" w:cs="Times New Roman"/>
          <w:color w:val="auto"/>
          <w:kern w:val="0"/>
          <w:szCs w:val="21"/>
          <w:highlight w:val="none"/>
          <w:lang w:eastAsia="zh-CN"/>
        </w:rPr>
        <w:t>东莞市水务环境投资控股集团管网有限公司2026年运维维修工器具类物资采购项目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14:paraId="7B27CB9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0303457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0FAA14E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东莞市水务环境投资控股集团管网有限公司</w:t>
      </w:r>
      <w:r>
        <w:rPr>
          <w:rFonts w:hint="eastAsia" w:ascii="宋体" w:hAnsi="宋体" w:eastAsia="宋体" w:cs="Times New Roman"/>
          <w:color w:val="auto"/>
          <w:kern w:val="0"/>
          <w:szCs w:val="21"/>
          <w:highlight w:val="none"/>
        </w:rPr>
        <w:t>（含其下属子公司）；</w:t>
      </w:r>
    </w:p>
    <w:p w14:paraId="1FA2A3A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4A59E2C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14:paraId="1BF6078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2C50617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46ED8B5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3334186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6A47C82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3ADABCE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062DA32C">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62A1803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1" w:name="_Toc142508319"/>
      <w:bookmarkStart w:id="72" w:name="_Toc450662855"/>
      <w:bookmarkStart w:id="73" w:name="_Toc18407"/>
      <w:bookmarkStart w:id="74" w:name="_Toc18672"/>
      <w:bookmarkStart w:id="75" w:name="_Toc486167669"/>
      <w:bookmarkStart w:id="76" w:name="_Toc29125_WPSOffice_Level3"/>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71"/>
      <w:bookmarkEnd w:id="72"/>
      <w:bookmarkEnd w:id="73"/>
      <w:bookmarkEnd w:id="74"/>
      <w:bookmarkEnd w:id="75"/>
      <w:bookmarkEnd w:id="76"/>
    </w:p>
    <w:p w14:paraId="2D272CD6">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128D5181">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0B7922E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7" w:name="_Toc26320"/>
      <w:bookmarkStart w:id="78" w:name="_Toc450662856"/>
      <w:bookmarkStart w:id="79" w:name="_Toc23483_WPSOffice_Level3"/>
      <w:bookmarkStart w:id="80" w:name="_Toc32407"/>
      <w:bookmarkStart w:id="81" w:name="_Toc142508320"/>
      <w:bookmarkStart w:id="82" w:name="_Toc48616767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77"/>
      <w:bookmarkEnd w:id="78"/>
      <w:bookmarkEnd w:id="79"/>
      <w:bookmarkEnd w:id="80"/>
      <w:bookmarkEnd w:id="81"/>
      <w:bookmarkEnd w:id="82"/>
    </w:p>
    <w:p w14:paraId="6B6F8AC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0DCEE2C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46FAE3A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东莞市水务环境投资控股集团有限公司</w:t>
      </w:r>
      <w:r>
        <w:rPr>
          <w:rFonts w:ascii="宋体" w:hAnsi="宋体" w:eastAsia="宋体" w:cs="Times New Roman"/>
          <w:color w:val="auto"/>
          <w:szCs w:val="21"/>
          <w:highlight w:val="none"/>
          <w:lang w:val="zh-CN"/>
        </w:rPr>
        <w:t>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9"/>
          <w:rFonts w:ascii="宋体" w:hAnsi="宋体" w:eastAsia="宋体" w:cs="Times New Roman"/>
          <w:color w:val="auto"/>
          <w:sz w:val="21"/>
          <w:szCs w:val="21"/>
          <w:highlight w:val="none"/>
        </w:rPr>
        <w:t>www.dgswjt.cn）</w:t>
      </w:r>
      <w:r>
        <w:rPr>
          <w:rStyle w:val="49"/>
          <w:rFonts w:ascii="宋体" w:hAnsi="宋体" w:eastAsia="宋体" w:cs="Times New Roman"/>
          <w:color w:val="auto"/>
          <w:sz w:val="21"/>
          <w:szCs w:val="21"/>
          <w:highlight w:val="none"/>
          <w:lang w:val="zh-CN"/>
        </w:rPr>
        <w:t>、</w:t>
      </w:r>
      <w:r>
        <w:rPr>
          <w:rStyle w:val="49"/>
          <w:rFonts w:hint="eastAsia" w:ascii="宋体" w:hAnsi="宋体" w:eastAsia="宋体" w:cs="Times New Roman"/>
          <w:bCs/>
          <w:color w:val="auto"/>
          <w:kern w:val="0"/>
          <w:sz w:val="21"/>
          <w:szCs w:val="21"/>
          <w:highlight w:val="none"/>
        </w:rPr>
        <w:t>招标代理机构网站（</w:t>
      </w:r>
      <w:r>
        <w:rPr>
          <w:rStyle w:val="49"/>
          <w:rFonts w:hint="eastAsia" w:ascii="宋体" w:hAnsi="宋体" w:eastAsia="宋体" w:cs="Times New Roman"/>
          <w:bCs/>
          <w:color w:val="auto"/>
          <w:kern w:val="0"/>
          <w:sz w:val="21"/>
          <w:szCs w:val="21"/>
          <w:highlight w:val="none"/>
          <w:lang w:eastAsia="zh-CN"/>
        </w:rPr>
        <w:t>www.youde.net</w:t>
      </w:r>
      <w:r>
        <w:rPr>
          <w:rStyle w:val="49"/>
          <w:rFonts w:ascii="宋体" w:hAnsi="宋体" w:eastAsia="宋体" w:cs="Times New Roman"/>
          <w:bCs/>
          <w:color w:val="auto"/>
          <w:kern w:val="0"/>
          <w:sz w:val="21"/>
          <w:szCs w:val="21"/>
          <w:highlight w:val="none"/>
        </w:rPr>
        <w:t>）</w:t>
      </w:r>
      <w:r>
        <w:rPr>
          <w:rStyle w:val="49"/>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07B27B8A">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8FDF483">
      <w:pPr>
        <w:autoSpaceDE w:val="0"/>
        <w:autoSpaceDN w:val="0"/>
        <w:adjustRightInd w:val="0"/>
        <w:spacing w:line="360" w:lineRule="auto"/>
        <w:ind w:left="357" w:leftChars="-100" w:hanging="567"/>
        <w:rPr>
          <w:rFonts w:ascii="宋体" w:hAnsi="宋体" w:eastAsia="宋体" w:cs="宋体"/>
          <w:color w:val="auto"/>
          <w:szCs w:val="21"/>
          <w:highlight w:val="none"/>
        </w:rPr>
      </w:pPr>
    </w:p>
    <w:p w14:paraId="4E94CDE0">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83" w:name="_Toc29659_WPSOffice_Level2"/>
      <w:bookmarkStart w:id="84" w:name="_Toc450662857"/>
      <w:bookmarkStart w:id="85" w:name="_Toc486167671"/>
      <w:bookmarkStart w:id="86" w:name="_Toc6039"/>
      <w:bookmarkStart w:id="87" w:name="_Toc4593"/>
      <w:bookmarkStart w:id="88" w:name="_Toc142508321"/>
      <w:bookmarkStart w:id="89" w:name="_Toc140596880"/>
      <w:r>
        <w:rPr>
          <w:rFonts w:hint="eastAsia" w:ascii="宋体" w:hAnsi="宋体" w:eastAsia="宋体" w:cs="宋体"/>
          <w:b/>
          <w:bCs/>
          <w:color w:val="auto"/>
          <w:kern w:val="44"/>
          <w:szCs w:val="21"/>
          <w:highlight w:val="none"/>
          <w:lang w:val="zh-CN"/>
        </w:rPr>
        <w:t>三、投标文件的编制</w:t>
      </w:r>
      <w:bookmarkEnd w:id="83"/>
      <w:bookmarkEnd w:id="84"/>
      <w:bookmarkEnd w:id="85"/>
      <w:bookmarkEnd w:id="86"/>
      <w:bookmarkEnd w:id="87"/>
      <w:bookmarkEnd w:id="88"/>
      <w:bookmarkEnd w:id="89"/>
    </w:p>
    <w:p w14:paraId="775A4970">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0" w:name="_Toc25773"/>
      <w:bookmarkStart w:id="91" w:name="_Toc450662858"/>
      <w:bookmarkStart w:id="92" w:name="_Toc486167672"/>
      <w:bookmarkStart w:id="93" w:name="_Toc14754"/>
      <w:bookmarkStart w:id="94" w:name="_Toc10015_WPSOffice_Level3"/>
      <w:bookmarkStart w:id="95" w:name="_Toc142508322"/>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90"/>
      <w:bookmarkEnd w:id="91"/>
      <w:bookmarkEnd w:id="92"/>
      <w:bookmarkEnd w:id="93"/>
      <w:bookmarkEnd w:id="94"/>
      <w:bookmarkEnd w:id="95"/>
    </w:p>
    <w:p w14:paraId="07E33D0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0D97DB4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74F3879D">
      <w:pPr>
        <w:autoSpaceDE w:val="0"/>
        <w:autoSpaceDN w:val="0"/>
        <w:adjustRightInd w:val="0"/>
        <w:spacing w:line="360" w:lineRule="auto"/>
        <w:rPr>
          <w:rFonts w:ascii="宋体" w:hAnsi="宋体" w:eastAsia="宋体" w:cs="宋体"/>
          <w:color w:val="auto"/>
          <w:szCs w:val="21"/>
          <w:highlight w:val="none"/>
          <w:lang w:val="zh-CN"/>
        </w:rPr>
      </w:pPr>
    </w:p>
    <w:p w14:paraId="1F5CBFD3">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96" w:name="_Toc486167673"/>
      <w:bookmarkStart w:id="97" w:name="_Toc24916_WPSOffice_Level3"/>
      <w:bookmarkStart w:id="98" w:name="_Toc24896"/>
      <w:bookmarkStart w:id="99" w:name="_Toc142508323"/>
      <w:bookmarkStart w:id="100" w:name="_Toc450662859"/>
      <w:bookmarkStart w:id="101" w:name="_Toc187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96"/>
      <w:bookmarkEnd w:id="97"/>
      <w:bookmarkEnd w:id="98"/>
      <w:bookmarkEnd w:id="99"/>
      <w:bookmarkEnd w:id="100"/>
      <w:bookmarkEnd w:id="101"/>
    </w:p>
    <w:p w14:paraId="40411276">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010BB4CC">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64668ABA">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38A4BFB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794710A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219A1E2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5496746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）投标报价表；</w:t>
      </w:r>
    </w:p>
    <w:p w14:paraId="5CB3CD9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）投标人资格证明文件：</w:t>
      </w:r>
    </w:p>
    <w:p w14:paraId="7CA69B6E">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1D85F3F1">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5BE4DFB9">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09695712">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资格业绩【投标人提供一份202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年1月1日以来运维维修工器具类物资在国内的销售业绩（合同签订日期为202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年1月1日或以后），资格业绩证明材料提交要求详见招标文件第六篇投标文件格式</w:t>
      </w:r>
      <w:r>
        <w:rPr>
          <w:rFonts w:hint="eastAsia" w:ascii="宋体" w:hAnsi="宋体" w:eastAsia="宋体"/>
          <w:color w:val="auto"/>
          <w:szCs w:val="21"/>
          <w:highlight w:val="none"/>
          <w:u w:val="single"/>
        </w:rPr>
        <w:t>5.4</w:t>
      </w:r>
      <w:r>
        <w:rPr>
          <w:rFonts w:hint="eastAsia" w:ascii="宋体" w:hAnsi="宋体" w:eastAsia="宋体"/>
          <w:color w:val="auto"/>
          <w:szCs w:val="21"/>
          <w:highlight w:val="none"/>
        </w:rPr>
        <w:t>】；</w:t>
      </w:r>
    </w:p>
    <w:p w14:paraId="30E46130">
      <w:pPr>
        <w:autoSpaceDE w:val="0"/>
        <w:autoSpaceDN w:val="0"/>
        <w:adjustRightInd w:val="0"/>
        <w:spacing w:line="360" w:lineRule="auto"/>
        <w:ind w:left="913" w:hanging="913" w:hangingChars="435"/>
        <w:rPr>
          <w:rFonts w:ascii="宋体" w:hAnsi="宋体" w:eastAsia="宋体" w:cs="宋体"/>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757F3CC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）投标人基本情况一览表；</w:t>
      </w:r>
    </w:p>
    <w:p w14:paraId="2B318AF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）投标人财务状况表；</w:t>
      </w:r>
    </w:p>
    <w:p w14:paraId="2D071738">
      <w:pPr>
        <w:tabs>
          <w:tab w:val="left" w:pos="567"/>
        </w:tabs>
        <w:autoSpaceDE w:val="0"/>
        <w:autoSpaceDN w:val="0"/>
        <w:adjustRightInd w:val="0"/>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r>
        <w:rPr>
          <w:rFonts w:hint="eastAsia" w:ascii="宋体" w:hAnsi="宋体" w:eastAsia="宋体" w:cs="宋体"/>
          <w:color w:val="auto"/>
          <w:szCs w:val="21"/>
          <w:highlight w:val="none"/>
          <w:lang w:val="zh-CN"/>
        </w:rPr>
        <w:t>标准化体系认证；</w:t>
      </w:r>
    </w:p>
    <w:p w14:paraId="6ADF737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rPr>
        <w:t>合同条款响应程度（合同条款偏离表）；</w:t>
      </w:r>
    </w:p>
    <w:p w14:paraId="50DFEC8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zh-CN"/>
        </w:rPr>
        <w:t>）业绩表；</w:t>
      </w:r>
    </w:p>
    <w:p w14:paraId="7AC02C4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zh-CN"/>
        </w:rPr>
        <w:t>）投标保证金汇入情况说明；</w:t>
      </w:r>
    </w:p>
    <w:p w14:paraId="6D54CFAA">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CN"/>
        </w:rPr>
        <w:t>中标服务费承诺书；</w:t>
      </w:r>
    </w:p>
    <w:p w14:paraId="09736B47">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rPr>
        <w:t>及有关</w:t>
      </w:r>
      <w:r>
        <w:rPr>
          <w:rFonts w:hint="eastAsia" w:ascii="宋体" w:hAnsi="宋体" w:eastAsia="宋体" w:cs="宋体"/>
          <w:color w:val="auto"/>
          <w:szCs w:val="21"/>
          <w:highlight w:val="none"/>
          <w:lang w:val="zh-CN"/>
        </w:rPr>
        <w:t>服务能力的有关其它商务文件（不做强制要求）。</w:t>
      </w:r>
    </w:p>
    <w:p w14:paraId="3F79B598">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407611FC">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5916DC12">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.1用户需求偏离表格式）；</w:t>
      </w:r>
    </w:p>
    <w:p w14:paraId="7E77A4F4">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（2）投标品牌表</w:t>
      </w:r>
      <w:r>
        <w:rPr>
          <w:rFonts w:hint="eastAsia" w:ascii="宋体" w:hAnsi="宋体" w:eastAsia="宋体" w:cs="Times New Roman"/>
          <w:color w:val="auto"/>
          <w:kern w:val="0"/>
          <w:szCs w:val="21"/>
          <w:highlight w:val="none"/>
          <w:lang w:val="zh-CN"/>
        </w:rPr>
        <w:t>；</w:t>
      </w:r>
    </w:p>
    <w:p w14:paraId="1108F57B">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（3）整体供货服务流程（投标人自行编写）；</w:t>
      </w:r>
    </w:p>
    <w:p w14:paraId="5D5BC462">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（4）供货计划及进度保证措施方案（投标人自行编写）；</w:t>
      </w:r>
    </w:p>
    <w:p w14:paraId="1A028C57">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（5）售后服务质量保证和承诺（投标人自行编写）；</w:t>
      </w:r>
    </w:p>
    <w:p w14:paraId="54B582B5">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投标人认为有必要提供的其它材料（不做强制要求）。</w:t>
      </w:r>
    </w:p>
    <w:p w14:paraId="3EDF7BDC">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 xml:space="preserve">9.1.3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5ADFF122">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3038445C">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146578E0">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24951897">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27B5C9B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6FDBC7C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69FE0AB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39984B8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2" w:name="_Toc8675_WPSOffice_Level3"/>
      <w:bookmarkStart w:id="103" w:name="_Toc142508324"/>
      <w:bookmarkStart w:id="104" w:name="_Toc450662860"/>
      <w:bookmarkStart w:id="105" w:name="_Toc648"/>
      <w:bookmarkStart w:id="106" w:name="_Toc486167674"/>
      <w:bookmarkStart w:id="107" w:name="_Toc18697"/>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02"/>
      <w:bookmarkEnd w:id="103"/>
      <w:bookmarkEnd w:id="104"/>
      <w:bookmarkEnd w:id="105"/>
      <w:bookmarkEnd w:id="106"/>
      <w:bookmarkEnd w:id="107"/>
    </w:p>
    <w:p w14:paraId="485EC15D">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183342B3">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336AEF6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8" w:name="_Toc4385_WPSOffice_Level3"/>
      <w:bookmarkStart w:id="109" w:name="_Toc486167675"/>
      <w:bookmarkStart w:id="110" w:name="_Toc450662861"/>
      <w:bookmarkStart w:id="111" w:name="_Toc142508325"/>
      <w:bookmarkStart w:id="112" w:name="_Toc14778"/>
      <w:bookmarkStart w:id="113" w:name="_Toc28822"/>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08"/>
      <w:bookmarkEnd w:id="109"/>
      <w:bookmarkEnd w:id="110"/>
      <w:bookmarkEnd w:id="111"/>
      <w:bookmarkEnd w:id="112"/>
      <w:bookmarkEnd w:id="113"/>
    </w:p>
    <w:p w14:paraId="41601E1E">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本项目的投标报价采用填报投标折扣系数的方式，</w:t>
      </w:r>
      <w:r>
        <w:rPr>
          <w:rFonts w:hint="eastAsia" w:ascii="宋体" w:hAnsi="宋体" w:eastAsia="宋体" w:cs="Times New Roman"/>
          <w:b/>
          <w:color w:val="auto"/>
          <w:szCs w:val="21"/>
          <w:highlight w:val="none"/>
          <w:lang w:val="zh-CN"/>
        </w:rPr>
        <w:t>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4D52B3C6">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0200129F">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076040A7">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本项目的投标报价采用统一折扣系数报价，合同履约过程中，采购清单中物资不含税中标综合单价按以下方式计算：不含税中标综合单价=不含税</w:t>
      </w:r>
      <w:r>
        <w:rPr>
          <w:rFonts w:hint="eastAsia" w:ascii="宋体" w:hAnsi="宋体" w:eastAsia="宋体" w:cs="宋体"/>
          <w:b/>
          <w:bCs/>
          <w:color w:val="auto"/>
          <w:szCs w:val="21"/>
          <w:highlight w:val="none"/>
          <w:u w:val="single"/>
        </w:rPr>
        <w:t>预算</w:t>
      </w:r>
      <w:r>
        <w:rPr>
          <w:rFonts w:hint="eastAsia" w:ascii="宋体" w:hAnsi="宋体" w:eastAsia="宋体" w:cs="宋体"/>
          <w:b/>
          <w:bCs/>
          <w:color w:val="auto"/>
          <w:szCs w:val="21"/>
          <w:highlight w:val="none"/>
          <w:u w:val="single"/>
          <w:lang w:val="zh-CN"/>
        </w:rPr>
        <w:t>综合单价×中标折扣系数，以实际供货数量进行结算，不含税中标综合单价出现小数点，保留小数点后两位，从小数点后第3位四舍五入。</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 xml:space="preserve">本采购项目投标报价已含投标人履行本招标内容全部义务的一切费用，包括但不限于： </w:t>
      </w:r>
    </w:p>
    <w:p w14:paraId="2F54151B">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及用户需求书采购清单中要求每项货物及其配备的附件、备品备件的采购、制造、检测、试验、送货、搬运（含二次搬运至招标人指定仓储地点）、包装费、运费、保险、现场仓储、质保、中标人销项税额以外的税费等相关服务的全部费用；</w:t>
      </w:r>
    </w:p>
    <w:p w14:paraId="4A90DB2D">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（2）货物验收合格前发生的安全事故所产生的一切费用；</w:t>
      </w:r>
    </w:p>
    <w:p w14:paraId="3E0DC00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（3）投标货物及其工艺所有制造方、使用方应支付的对专有技术、商标权、专利权和版权、设计或其他知识产权而需要向其他方支付的版税；</w:t>
      </w:r>
    </w:p>
    <w:p w14:paraId="59FBDC8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）日常技术指导，免费的质保服务，包括但不限于免费现场质量问题处理或更换无效产品；</w:t>
      </w:r>
    </w:p>
    <w:p w14:paraId="5F4589D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）合理利润、</w:t>
      </w:r>
      <w:r>
        <w:rPr>
          <w:rFonts w:hint="eastAsia" w:ascii="宋体" w:hAnsi="宋体" w:eastAsia="宋体" w:cs="宋体"/>
          <w:color w:val="auto"/>
          <w:szCs w:val="21"/>
          <w:highlight w:val="none"/>
          <w:lang w:val="en-US" w:eastAsia="zh-CN"/>
        </w:rPr>
        <w:t>中标服务费</w:t>
      </w:r>
      <w:r>
        <w:rPr>
          <w:rFonts w:hint="eastAsia" w:ascii="宋体" w:hAnsi="宋体" w:eastAsia="宋体" w:cs="宋体"/>
          <w:color w:val="auto"/>
          <w:szCs w:val="21"/>
          <w:highlight w:val="none"/>
          <w:lang w:val="zh-CN"/>
        </w:rPr>
        <w:t>；</w:t>
      </w:r>
    </w:p>
    <w:p w14:paraId="50CB273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（6）法律法规、商业公认、招标文件规定由投标人承担的其他直接及间接费用。</w:t>
      </w:r>
    </w:p>
    <w:p w14:paraId="0871831B">
      <w:pPr>
        <w:autoSpaceDE w:val="0"/>
        <w:autoSpaceDN w:val="0"/>
        <w:adjustRightInd w:val="0"/>
        <w:spacing w:line="360" w:lineRule="auto"/>
        <w:ind w:left="357" w:leftChars="-100" w:hanging="567"/>
        <w:rPr>
          <w:color w:val="auto"/>
          <w:highlight w:val="none"/>
          <w:lang w:val="zh-CN"/>
        </w:rPr>
      </w:pPr>
    </w:p>
    <w:p w14:paraId="21734BFB">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46D86829">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01090E39">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rPr>
        <w:t>有关</w:t>
      </w:r>
      <w:r>
        <w:rPr>
          <w:rFonts w:hint="eastAsia" w:ascii="宋体" w:hAnsi="宋体" w:eastAsia="宋体" w:cs="Times New Roman"/>
          <w:b/>
          <w:bCs/>
          <w:color w:val="auto"/>
          <w:szCs w:val="21"/>
          <w:highlight w:val="none"/>
          <w:lang w:val="zh-CN"/>
        </w:rPr>
        <w:t>服务所需的费用，投标人都应计入投标报价总价。</w:t>
      </w:r>
    </w:p>
    <w:p w14:paraId="51052CB7">
      <w:pPr>
        <w:autoSpaceDE w:val="0"/>
        <w:autoSpaceDN w:val="0"/>
        <w:adjustRightInd w:val="0"/>
        <w:spacing w:line="360" w:lineRule="auto"/>
        <w:ind w:left="357" w:leftChars="-100" w:hanging="567"/>
        <w:rPr>
          <w:rFonts w:ascii="宋体" w:hAnsi="宋体" w:eastAsia="宋体" w:cs="宋体"/>
          <w:color w:val="auto"/>
          <w:szCs w:val="21"/>
          <w:highlight w:val="none"/>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bookmarkStart w:id="114" w:name="_Hlk63152986"/>
      <w:r>
        <w:rPr>
          <w:rFonts w:hint="eastAsia" w:ascii="宋体" w:hAnsi="宋体" w:eastAsia="宋体" w:cs="宋体"/>
          <w:b/>
          <w:color w:val="auto"/>
          <w:szCs w:val="21"/>
          <w:highlight w:val="none"/>
          <w:u w:val="single"/>
          <w:lang w:val="zh-CN"/>
        </w:rPr>
        <w:t>投标人的</w:t>
      </w:r>
      <w:bookmarkEnd w:id="114"/>
      <w:r>
        <w:rPr>
          <w:rFonts w:hint="eastAsia" w:ascii="宋体" w:hAnsi="宋体" w:eastAsia="宋体" w:cs="宋体"/>
          <w:b/>
          <w:color w:val="auto"/>
          <w:szCs w:val="21"/>
          <w:highlight w:val="none"/>
          <w:u w:val="single"/>
          <w:lang w:val="zh-CN"/>
        </w:rPr>
        <w:t>报价范围为（0</w:t>
      </w:r>
      <w:r>
        <w:rPr>
          <w:rFonts w:hint="eastAsia" w:ascii="宋体" w:hAnsi="宋体" w:eastAsia="宋体" w:cs="宋体"/>
          <w:b/>
          <w:color w:val="auto"/>
          <w:szCs w:val="21"/>
          <w:highlight w:val="none"/>
          <w:u w:val="single"/>
        </w:rPr>
        <w:t>.00</w:t>
      </w:r>
      <w:r>
        <w:rPr>
          <w:rFonts w:hint="eastAsia" w:ascii="宋体" w:hAnsi="宋体" w:eastAsia="宋体" w:cs="宋体"/>
          <w:b/>
          <w:color w:val="auto"/>
          <w:szCs w:val="21"/>
          <w:highlight w:val="none"/>
          <w:u w:val="single"/>
          <w:lang w:val="zh-CN"/>
        </w:rPr>
        <w:t>，1.00]（保留小数点后两位），</w:t>
      </w:r>
      <w:r>
        <w:rPr>
          <w:rFonts w:hint="eastAsia" w:ascii="宋体" w:hAnsi="宋体" w:eastAsia="宋体" w:cs="宋体"/>
          <w:b/>
          <w:color w:val="auto"/>
          <w:szCs w:val="21"/>
          <w:highlight w:val="none"/>
          <w:u w:val="single"/>
        </w:rPr>
        <w:t>即投标人的折扣系数报价不得超过1.00，且不能为0.00或负数。</w:t>
      </w:r>
      <w:r>
        <w:rPr>
          <w:rFonts w:hint="eastAsia" w:ascii="宋体" w:hAnsi="宋体" w:eastAsia="宋体" w:cs="宋体"/>
          <w:b/>
          <w:color w:val="auto"/>
          <w:szCs w:val="21"/>
          <w:highlight w:val="none"/>
          <w:u w:val="single"/>
          <w:lang w:val="zh-CN"/>
        </w:rPr>
        <w:t>投标人未按招标文件要求进行折扣系数报价的，将被视为无效投标。本项目的不含税</w:t>
      </w:r>
      <w:r>
        <w:rPr>
          <w:rFonts w:hint="eastAsia" w:ascii="宋体" w:hAnsi="宋体" w:eastAsia="宋体" w:cs="宋体"/>
          <w:b/>
          <w:color w:val="auto"/>
          <w:szCs w:val="21"/>
          <w:highlight w:val="none"/>
          <w:u w:val="single"/>
        </w:rPr>
        <w:t>暂定采购金额</w:t>
      </w:r>
      <w:r>
        <w:rPr>
          <w:rFonts w:hint="eastAsia" w:ascii="宋体" w:hAnsi="宋体" w:eastAsia="宋体" w:cs="宋体"/>
          <w:b/>
          <w:bCs/>
          <w:color w:val="auto"/>
          <w:szCs w:val="21"/>
          <w:highlight w:val="none"/>
          <w:u w:val="single"/>
          <w:lang w:val="zh-CN"/>
        </w:rPr>
        <w:t>为</w:t>
      </w:r>
      <w:r>
        <w:rPr>
          <w:rFonts w:hint="eastAsia" w:ascii="宋体" w:hAnsi="宋体" w:eastAsia="宋体" w:cs="宋体"/>
          <w:b/>
          <w:bCs/>
          <w:color w:val="auto"/>
          <w:szCs w:val="21"/>
          <w:highlight w:val="none"/>
          <w:u w:val="single"/>
          <w:lang w:val="en-US" w:eastAsia="zh-CN"/>
        </w:rPr>
        <w:t>3,115,395.22 元</w:t>
      </w:r>
      <w:r>
        <w:rPr>
          <w:rFonts w:hint="eastAsia" w:ascii="宋体" w:hAnsi="宋体" w:eastAsia="宋体" w:cs="宋体"/>
          <w:b/>
          <w:bCs/>
          <w:color w:val="auto"/>
          <w:szCs w:val="21"/>
          <w:highlight w:val="none"/>
          <w:u w:val="single"/>
          <w:lang w:val="zh-CN"/>
        </w:rPr>
        <w:t>（大写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叁佰壹拾壹万伍仟叁佰玖拾伍元贰角贰分</w:t>
      </w:r>
      <w:r>
        <w:rPr>
          <w:rFonts w:hint="eastAsia" w:ascii="宋体" w:hAnsi="宋体" w:eastAsia="宋体" w:cs="宋体"/>
          <w:b/>
          <w:color w:val="auto"/>
          <w:szCs w:val="21"/>
          <w:highlight w:val="none"/>
          <w:u w:val="single"/>
          <w:lang w:val="zh-CN"/>
        </w:rPr>
        <w:t>）。</w:t>
      </w:r>
    </w:p>
    <w:p w14:paraId="1FF385D2">
      <w:pPr>
        <w:autoSpaceDE w:val="0"/>
        <w:autoSpaceDN w:val="0"/>
        <w:adjustRightInd w:val="0"/>
        <w:spacing w:line="360" w:lineRule="auto"/>
        <w:rPr>
          <w:rFonts w:ascii="宋体" w:hAnsi="宋体" w:eastAsia="宋体" w:cs="宋体"/>
          <w:b/>
          <w:color w:val="auto"/>
          <w:szCs w:val="21"/>
          <w:highlight w:val="none"/>
          <w:lang w:val="zh-CN"/>
        </w:rPr>
      </w:pPr>
    </w:p>
    <w:p w14:paraId="3FB02D1A">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15" w:name="_Toc30042_WPSOffice_Level3"/>
      <w:bookmarkStart w:id="116" w:name="_Toc450662862"/>
      <w:bookmarkStart w:id="117" w:name="_Toc486167676"/>
      <w:bookmarkStart w:id="118" w:name="_Toc14068"/>
      <w:bookmarkStart w:id="119" w:name="_Toc142508326"/>
      <w:bookmarkStart w:id="120" w:name="_Toc22711"/>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15"/>
      <w:bookmarkEnd w:id="116"/>
      <w:bookmarkEnd w:id="117"/>
      <w:bookmarkEnd w:id="118"/>
      <w:bookmarkEnd w:id="119"/>
      <w:bookmarkEnd w:id="120"/>
    </w:p>
    <w:p w14:paraId="740579F6">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1B65663B">
      <w:pPr>
        <w:autoSpaceDE w:val="0"/>
        <w:autoSpaceDN w:val="0"/>
        <w:adjustRightInd w:val="0"/>
        <w:spacing w:line="360" w:lineRule="auto"/>
        <w:ind w:left="265" w:leftChars="119" w:hanging="15"/>
        <w:rPr>
          <w:rFonts w:ascii="宋体" w:hAnsi="宋体" w:eastAsia="宋体" w:cs="宋体"/>
          <w:color w:val="auto"/>
          <w:szCs w:val="21"/>
          <w:highlight w:val="none"/>
        </w:rPr>
      </w:pPr>
    </w:p>
    <w:p w14:paraId="507B3783">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1" w:name="_Toc25596"/>
      <w:bookmarkStart w:id="122" w:name="_Toc9411_WPSOffice_Level3"/>
      <w:bookmarkStart w:id="123" w:name="_Toc11509"/>
      <w:bookmarkStart w:id="124" w:name="_Toc486167677"/>
      <w:bookmarkStart w:id="125" w:name="_Toc450662863"/>
      <w:bookmarkStart w:id="126" w:name="_Toc142508327"/>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21"/>
      <w:bookmarkEnd w:id="122"/>
      <w:bookmarkEnd w:id="123"/>
      <w:bookmarkEnd w:id="124"/>
      <w:bookmarkEnd w:id="125"/>
      <w:bookmarkEnd w:id="126"/>
    </w:p>
    <w:p w14:paraId="5DC3652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543A2229">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47F050B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4CB9795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32D1947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3F8A0BEB">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46BD8A3C">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33B6260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7" w:name="_Toc142508328"/>
      <w:bookmarkStart w:id="128" w:name="_Toc486167678"/>
      <w:bookmarkStart w:id="129" w:name="_Toc27771_WPSOffice_Level3"/>
      <w:bookmarkStart w:id="130" w:name="_Toc24520"/>
      <w:bookmarkStart w:id="131" w:name="_Toc450662864"/>
      <w:bookmarkStart w:id="132" w:name="_Toc30441"/>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27"/>
      <w:bookmarkEnd w:id="128"/>
      <w:bookmarkEnd w:id="129"/>
      <w:bookmarkEnd w:id="130"/>
      <w:bookmarkEnd w:id="131"/>
      <w:bookmarkEnd w:id="132"/>
    </w:p>
    <w:p w14:paraId="7A9A5F49">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54E6E86A">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05A969CD">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7E61E8DB">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327E79A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3" w:name="_Toc5356_WPSOffice_Level3"/>
      <w:bookmarkStart w:id="134" w:name="_Toc486167679"/>
      <w:bookmarkStart w:id="135" w:name="_Toc142508329"/>
      <w:bookmarkStart w:id="136" w:name="_Toc24774"/>
      <w:bookmarkStart w:id="137" w:name="_Toc12062"/>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33"/>
      <w:bookmarkEnd w:id="134"/>
      <w:bookmarkEnd w:id="135"/>
      <w:bookmarkEnd w:id="136"/>
      <w:bookmarkEnd w:id="137"/>
    </w:p>
    <w:p w14:paraId="3EC57360">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7</w:t>
      </w:r>
      <w:r>
        <w:rPr>
          <w:rFonts w:hint="eastAsia" w:ascii="宋体" w:hAnsi="宋体" w:eastAsia="宋体" w:cs="宋体"/>
          <w:b/>
          <w:bCs/>
          <w:color w:val="auto"/>
          <w:kern w:val="0"/>
          <w:szCs w:val="21"/>
          <w:highlight w:val="none"/>
          <w:u w:val="single"/>
        </w:rPr>
        <w:t>0,000.00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柒万元</w:t>
      </w:r>
      <w:r>
        <w:rPr>
          <w:rFonts w:hint="eastAsia" w:ascii="宋体" w:hAnsi="宋体" w:eastAsia="宋体" w:cs="宋体"/>
          <w:b/>
          <w:color w:val="auto"/>
          <w:kern w:val="0"/>
          <w:szCs w:val="21"/>
          <w:highlight w:val="none"/>
          <w:u w:val="single"/>
        </w:rPr>
        <w:t>整）</w:t>
      </w:r>
      <w:r>
        <w:rPr>
          <w:rFonts w:hint="eastAsia" w:ascii="宋体" w:hAnsi="宋体" w:eastAsia="宋体" w:cs="宋体"/>
          <w:b/>
          <w:color w:val="auto"/>
          <w:kern w:val="0"/>
          <w:szCs w:val="21"/>
          <w:highlight w:val="none"/>
        </w:rPr>
        <w:t>。</w:t>
      </w:r>
    </w:p>
    <w:p w14:paraId="11C21878">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65D9ACF7">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102B50D7">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rPr>
        <w:t>并注明招标编号</w:t>
      </w:r>
      <w:r>
        <w:rPr>
          <w:rFonts w:hint="eastAsia" w:ascii="宋体" w:hAnsi="宋体" w:eastAsia="宋体" w:cs="宋体"/>
          <w:color w:val="auto"/>
          <w:kern w:val="0"/>
          <w:szCs w:val="21"/>
          <w:highlight w:val="none"/>
        </w:rPr>
        <w:t>。</w:t>
      </w:r>
    </w:p>
    <w:p w14:paraId="38EBAC30">
      <w:pPr>
        <w:autoSpaceDE w:val="0"/>
        <w:autoSpaceDN w:val="0"/>
        <w:adjustRightInd w:val="0"/>
        <w:spacing w:line="360" w:lineRule="auto"/>
        <w:ind w:left="225" w:leftChars="107" w:firstLine="491" w:firstLineChars="233"/>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开户名称：东莞市水务环境投资控股集团管网有限公司</w:t>
      </w:r>
    </w:p>
    <w:p w14:paraId="1E3BD6ED">
      <w:pPr>
        <w:autoSpaceDE w:val="0"/>
        <w:autoSpaceDN w:val="0"/>
        <w:adjustRightInd w:val="0"/>
        <w:spacing w:line="360" w:lineRule="auto"/>
        <w:ind w:left="225" w:leftChars="107" w:firstLine="491" w:firstLineChars="233"/>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开户银行：中信银行东莞分行营业部</w:t>
      </w:r>
      <w:r>
        <w:rPr>
          <w:rFonts w:ascii="宋体" w:hAnsi="宋体" w:eastAsia="宋体" w:cs="Times New Roman"/>
          <w:b/>
          <w:bCs/>
          <w:color w:val="auto"/>
          <w:kern w:val="0"/>
          <w:szCs w:val="21"/>
          <w:highlight w:val="none"/>
          <w:lang w:val="zh-CN"/>
        </w:rPr>
        <w:t xml:space="preserve"> </w:t>
      </w:r>
    </w:p>
    <w:p w14:paraId="547F7D71">
      <w:pPr>
        <w:autoSpaceDE w:val="0"/>
        <w:autoSpaceDN w:val="0"/>
        <w:adjustRightInd w:val="0"/>
        <w:spacing w:line="360" w:lineRule="auto"/>
        <w:ind w:left="225" w:leftChars="107" w:firstLine="491" w:firstLineChars="233"/>
        <w:jc w:val="left"/>
        <w:rPr>
          <w:rFonts w:ascii="宋体" w:hAnsi="宋体" w:eastAsia="宋体" w:cs="Times New Roman"/>
          <w:b/>
          <w:bCs/>
          <w:color w:val="auto"/>
          <w:kern w:val="0"/>
          <w:szCs w:val="21"/>
          <w:highlight w:val="none"/>
          <w:u w:val="single"/>
        </w:rPr>
      </w:pPr>
      <w:r>
        <w:rPr>
          <w:rFonts w:hint="eastAsia" w:ascii="宋体" w:hAnsi="宋体" w:eastAsia="宋体" w:cs="Times New Roman"/>
          <w:b/>
          <w:bCs/>
          <w:color w:val="auto"/>
          <w:kern w:val="0"/>
          <w:szCs w:val="21"/>
          <w:highlight w:val="none"/>
          <w:lang w:val="zh-CN"/>
        </w:rPr>
        <w:t>银行账号：8114801014000043052</w:t>
      </w:r>
    </w:p>
    <w:p w14:paraId="64842777">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0A80ED2E">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24FC8621">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1AB7DBC2">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14:paraId="78EDD8F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700984AD">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275CDF1F">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5EB199D8">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34C3636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5C89C2C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0473B03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61E790A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22571602">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6A911885">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2185D52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8" w:name="_Toc10550"/>
      <w:bookmarkStart w:id="139" w:name="_Toc22649_WPSOffice_Level3"/>
      <w:bookmarkStart w:id="140" w:name="_Toc26204"/>
      <w:bookmarkStart w:id="141" w:name="_Toc142508330"/>
      <w:bookmarkStart w:id="142" w:name="_Toc486167680"/>
      <w:bookmarkStart w:id="143" w:name="_Toc450662865"/>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38"/>
      <w:bookmarkEnd w:id="139"/>
      <w:bookmarkEnd w:id="140"/>
      <w:bookmarkEnd w:id="141"/>
      <w:bookmarkEnd w:id="142"/>
      <w:bookmarkEnd w:id="143"/>
    </w:p>
    <w:p w14:paraId="344231E5">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38DEBF2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4C55AAD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6A9D4B2C">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41986F7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4" w:name="_Toc13311"/>
      <w:bookmarkStart w:id="145" w:name="_Toc486167681"/>
      <w:bookmarkStart w:id="146" w:name="_Toc25637_WPSOffice_Level3"/>
      <w:bookmarkStart w:id="147" w:name="_Toc31437"/>
      <w:bookmarkStart w:id="148" w:name="_Toc142508331"/>
      <w:bookmarkStart w:id="149" w:name="_Toc450662866"/>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44"/>
      <w:bookmarkEnd w:id="145"/>
      <w:bookmarkEnd w:id="146"/>
      <w:bookmarkEnd w:id="147"/>
      <w:bookmarkEnd w:id="148"/>
      <w:bookmarkEnd w:id="149"/>
    </w:p>
    <w:p w14:paraId="2665B3D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18242C2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hint="eastAsia" w:ascii="宋体" w:hAnsi="宋体" w:eastAsia="宋体" w:cs="宋体"/>
          <w:bCs/>
          <w:color w:val="auto"/>
          <w:szCs w:val="21"/>
          <w:highlight w:val="none"/>
          <w:lang w:val="zh-CN"/>
        </w:rPr>
        <w:t>“</w:t>
      </w:r>
      <w:r>
        <w:rPr>
          <w:rFonts w:hint="eastAsia" w:ascii="宋体" w:hAnsi="宋体" w:eastAsia="宋体" w:cs="宋体"/>
          <w:color w:val="auto"/>
          <w:szCs w:val="21"/>
          <w:highlight w:val="none"/>
          <w:lang w:val="zh-CN"/>
        </w:rPr>
        <w:t>法定代表人授权书</w:t>
      </w:r>
      <w:r>
        <w:rPr>
          <w:rFonts w:hint="eastAsia" w:ascii="宋体" w:hAnsi="宋体" w:eastAsia="宋体" w:cs="宋体"/>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3A3BA10F">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17137A65">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w:t>
      </w:r>
      <w:r>
        <w:rPr>
          <w:rFonts w:hint="eastAsia" w:ascii="宋体" w:hAnsi="宋体" w:eastAsia="宋体" w:cs="宋体"/>
          <w:color w:val="auto"/>
          <w:szCs w:val="21"/>
          <w:highlight w:val="none"/>
          <w:lang w:val="en-US" w:eastAsia="zh-CN"/>
        </w:rPr>
        <w:t>单位</w:t>
      </w:r>
      <w:r>
        <w:rPr>
          <w:rFonts w:hint="eastAsia" w:ascii="宋体" w:hAnsi="宋体" w:eastAsia="宋体" w:cs="宋体"/>
          <w:color w:val="auto"/>
          <w:szCs w:val="21"/>
          <w:highlight w:val="none"/>
          <w:lang w:val="zh-CN"/>
        </w:rPr>
        <w:t>名称、投标日期等”。</w:t>
      </w:r>
    </w:p>
    <w:p w14:paraId="2350DFB7">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399457E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67BF54A0">
      <w:pPr>
        <w:autoSpaceDE w:val="0"/>
        <w:autoSpaceDN w:val="0"/>
        <w:adjustRightInd w:val="0"/>
        <w:jc w:val="left"/>
        <w:rPr>
          <w:rFonts w:ascii="宋体" w:hAnsi="宋体" w:eastAsia="宋体" w:cs="宋体"/>
          <w:color w:val="auto"/>
          <w:kern w:val="0"/>
          <w:sz w:val="24"/>
          <w:szCs w:val="24"/>
          <w:highlight w:val="none"/>
        </w:rPr>
      </w:pPr>
      <w:bookmarkStart w:id="150" w:name="_Toc450662867"/>
    </w:p>
    <w:p w14:paraId="02CCF69B">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51" w:name="_Toc486167682"/>
      <w:bookmarkStart w:id="152" w:name="_Toc142508332"/>
      <w:bookmarkStart w:id="153" w:name="_Toc20779"/>
      <w:bookmarkStart w:id="154" w:name="_Toc140596891"/>
      <w:bookmarkStart w:id="155" w:name="_Toc22356_WPSOffice_Level2"/>
      <w:bookmarkStart w:id="156" w:name="_Toc17608"/>
      <w:r>
        <w:rPr>
          <w:rFonts w:hint="eastAsia" w:ascii="宋体" w:hAnsi="宋体" w:eastAsia="宋体" w:cs="宋体"/>
          <w:b/>
          <w:bCs/>
          <w:color w:val="auto"/>
          <w:kern w:val="44"/>
          <w:szCs w:val="21"/>
          <w:highlight w:val="none"/>
          <w:lang w:val="zh-CN"/>
        </w:rPr>
        <w:t>四、投标文件的递交</w:t>
      </w:r>
      <w:bookmarkEnd w:id="150"/>
      <w:bookmarkEnd w:id="151"/>
      <w:bookmarkEnd w:id="152"/>
      <w:bookmarkEnd w:id="153"/>
      <w:bookmarkEnd w:id="154"/>
      <w:bookmarkEnd w:id="155"/>
      <w:bookmarkEnd w:id="156"/>
    </w:p>
    <w:p w14:paraId="4F7B676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7" w:name="_Toc3186"/>
      <w:bookmarkStart w:id="158" w:name="_Toc12192_WPSOffice_Level3"/>
      <w:bookmarkStart w:id="159" w:name="_Toc9900"/>
      <w:bookmarkStart w:id="160" w:name="_Toc486167683"/>
      <w:bookmarkStart w:id="161" w:name="_Toc142508333"/>
      <w:bookmarkStart w:id="162" w:name="_Toc450662868"/>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57"/>
      <w:bookmarkEnd w:id="158"/>
      <w:bookmarkEnd w:id="159"/>
      <w:bookmarkEnd w:id="160"/>
      <w:bookmarkEnd w:id="161"/>
      <w:bookmarkEnd w:id="162"/>
    </w:p>
    <w:p w14:paraId="05EDD59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5BD3B6B4">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21AD66F6">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60BD674F">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2913E637">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57FEB168">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17CE4C96">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112CBB9C">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25CC8519">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1370ED0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3" w:name="_Toc450662869"/>
      <w:bookmarkStart w:id="164" w:name="_Toc29665_WPSOffice_Level3"/>
      <w:bookmarkStart w:id="165" w:name="_Toc486167684"/>
      <w:bookmarkStart w:id="166" w:name="_Toc142508334"/>
      <w:bookmarkStart w:id="167" w:name="_Toc3384"/>
      <w:bookmarkStart w:id="168" w:name="_Toc29481"/>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63"/>
      <w:bookmarkEnd w:id="164"/>
      <w:bookmarkEnd w:id="165"/>
      <w:bookmarkEnd w:id="166"/>
      <w:bookmarkEnd w:id="167"/>
      <w:bookmarkEnd w:id="168"/>
    </w:p>
    <w:p w14:paraId="296E158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172E38E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5D1B3717">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4BC96E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69" w:name="_Toc450662870"/>
      <w:bookmarkStart w:id="170" w:name="_Toc22431_WPSOffice_Level3"/>
      <w:bookmarkStart w:id="171" w:name="_Toc14928"/>
      <w:bookmarkStart w:id="172" w:name="_Toc142508335"/>
      <w:bookmarkStart w:id="173" w:name="_Toc6684"/>
      <w:bookmarkStart w:id="174" w:name="_Toc486167685"/>
      <w:r>
        <w:rPr>
          <w:rFonts w:hint="eastAsia" w:ascii="宋体" w:hAnsi="宋体" w:eastAsia="宋体" w:cs="宋体"/>
          <w:color w:val="auto"/>
          <w:szCs w:val="21"/>
          <w:highlight w:val="none"/>
          <w:lang w:val="zh-CN"/>
        </w:rPr>
        <w:t>20 迟交的投标文件</w:t>
      </w:r>
      <w:bookmarkEnd w:id="169"/>
      <w:bookmarkEnd w:id="170"/>
      <w:bookmarkEnd w:id="171"/>
      <w:bookmarkEnd w:id="172"/>
      <w:bookmarkEnd w:id="173"/>
      <w:bookmarkEnd w:id="174"/>
    </w:p>
    <w:p w14:paraId="54D0ECA8">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3CF0BB4D">
      <w:pPr>
        <w:autoSpaceDE w:val="0"/>
        <w:autoSpaceDN w:val="0"/>
        <w:adjustRightInd w:val="0"/>
        <w:jc w:val="left"/>
        <w:rPr>
          <w:rFonts w:ascii="宋体" w:hAnsi="宋体" w:eastAsia="宋体" w:cs="宋体"/>
          <w:color w:val="auto"/>
          <w:kern w:val="0"/>
          <w:sz w:val="24"/>
          <w:szCs w:val="24"/>
          <w:highlight w:val="none"/>
        </w:rPr>
      </w:pPr>
    </w:p>
    <w:p w14:paraId="1F3923C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5" w:name="_Toc450662871"/>
      <w:bookmarkStart w:id="176" w:name="_Toc486167686"/>
      <w:bookmarkStart w:id="177" w:name="_Toc4883_WPSOffice_Level3"/>
      <w:bookmarkStart w:id="178" w:name="_Toc25642"/>
      <w:bookmarkStart w:id="179" w:name="_Toc142508336"/>
      <w:bookmarkStart w:id="180" w:name="_Toc16964"/>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175"/>
      <w:bookmarkEnd w:id="176"/>
      <w:bookmarkEnd w:id="177"/>
      <w:bookmarkEnd w:id="178"/>
      <w:bookmarkEnd w:id="179"/>
      <w:bookmarkEnd w:id="180"/>
    </w:p>
    <w:p w14:paraId="367FDC3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7FE0C7FD">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464A51E5">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139B4D61">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将按第15.7款（1）规定不予退还其投标保证金。</w:t>
      </w:r>
    </w:p>
    <w:p w14:paraId="7BA7902B">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4AD6FCDF">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81" w:name="_Toc1049_WPSOffice_Level2"/>
      <w:bookmarkStart w:id="182" w:name="_Toc27648"/>
      <w:bookmarkStart w:id="183" w:name="_Toc142508337"/>
      <w:bookmarkStart w:id="184" w:name="_Toc140596896"/>
      <w:bookmarkStart w:id="185" w:name="_Toc21787"/>
      <w:bookmarkStart w:id="186" w:name="_Toc486167687"/>
      <w:bookmarkStart w:id="187" w:name="_Toc450662872"/>
      <w:r>
        <w:rPr>
          <w:rFonts w:hint="eastAsia" w:ascii="宋体" w:hAnsi="宋体" w:eastAsia="宋体" w:cs="宋体"/>
          <w:b/>
          <w:bCs/>
          <w:color w:val="auto"/>
          <w:kern w:val="44"/>
          <w:szCs w:val="21"/>
          <w:highlight w:val="none"/>
          <w:lang w:val="zh-CN"/>
        </w:rPr>
        <w:t>五、开标与评标</w:t>
      </w:r>
      <w:bookmarkEnd w:id="181"/>
      <w:bookmarkEnd w:id="182"/>
      <w:bookmarkEnd w:id="183"/>
      <w:bookmarkEnd w:id="184"/>
      <w:bookmarkEnd w:id="185"/>
      <w:bookmarkEnd w:id="186"/>
      <w:bookmarkEnd w:id="187"/>
    </w:p>
    <w:p w14:paraId="7F1C811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8" w:name="_Toc144_WPSOffice_Level3"/>
      <w:bookmarkStart w:id="189" w:name="_Toc450662873"/>
      <w:bookmarkStart w:id="190" w:name="_Toc12666"/>
      <w:bookmarkStart w:id="191" w:name="_Toc7200"/>
      <w:bookmarkStart w:id="192" w:name="_Toc486167688"/>
      <w:bookmarkStart w:id="193" w:name="_Toc142508338"/>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188"/>
      <w:bookmarkEnd w:id="189"/>
      <w:bookmarkEnd w:id="190"/>
      <w:bookmarkEnd w:id="191"/>
      <w:bookmarkEnd w:id="192"/>
      <w:bookmarkEnd w:id="193"/>
    </w:p>
    <w:p w14:paraId="2455C3C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招标代理机构在投标人代表自愿出席的情况下，在第一篇“招标公告”规定的地点和时间开标，出席代表需登记以示出席。</w:t>
      </w:r>
    </w:p>
    <w:p w14:paraId="4EDE973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2A508AA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rPr>
        <w:t>相关内容</w:t>
      </w:r>
      <w:r>
        <w:rPr>
          <w:rFonts w:hint="eastAsia" w:ascii="宋体" w:hAnsi="宋体" w:eastAsia="宋体" w:cs="宋体"/>
          <w:color w:val="auto"/>
          <w:szCs w:val="21"/>
          <w:highlight w:val="none"/>
          <w:lang w:val="zh-CN"/>
        </w:rPr>
        <w:t>。若投标人现场未提出异议，则视为投标人确认宣读的结果。</w:t>
      </w:r>
    </w:p>
    <w:p w14:paraId="29549D5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投标文件的投标报价以数字表示的报价系数与文字表示的报价系数不一致时，以文字表示的报价系数为准。对不同文字文本投标文件的解释发生异议的，以中文文本为准。</w:t>
      </w:r>
    </w:p>
    <w:p w14:paraId="0480DBA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4E8B5AE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6F941D3B">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349DDA3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4" w:name="_Toc450662874"/>
      <w:bookmarkStart w:id="195" w:name="_Toc486167689"/>
      <w:bookmarkStart w:id="196" w:name="_Toc12165_WPSOffice_Level3"/>
      <w:bookmarkStart w:id="197" w:name="_Toc24243"/>
      <w:bookmarkStart w:id="198" w:name="_Toc142508339"/>
      <w:bookmarkStart w:id="199" w:name="_Toc2038"/>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194"/>
      <w:bookmarkEnd w:id="195"/>
      <w:bookmarkEnd w:id="196"/>
      <w:bookmarkEnd w:id="197"/>
      <w:bookmarkEnd w:id="198"/>
      <w:bookmarkEnd w:id="199"/>
    </w:p>
    <w:p w14:paraId="60C761B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0C4BE4E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72B9144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670ED10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0" w:name="_Toc15565_WPSOffice_Level3"/>
      <w:bookmarkStart w:id="201" w:name="_Toc142508340"/>
      <w:bookmarkStart w:id="202" w:name="_Toc833"/>
      <w:bookmarkStart w:id="203" w:name="_Toc486167690"/>
      <w:bookmarkStart w:id="204" w:name="_Toc450662875"/>
      <w:bookmarkStart w:id="205" w:name="_Toc24630"/>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00"/>
      <w:bookmarkEnd w:id="201"/>
      <w:bookmarkEnd w:id="202"/>
      <w:bookmarkEnd w:id="203"/>
      <w:bookmarkEnd w:id="204"/>
      <w:bookmarkEnd w:id="205"/>
    </w:p>
    <w:p w14:paraId="645D4CF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0F4321F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631A0BED">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6D9D90C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06" w:name="_Toc28910_WPSOffice_Level3"/>
      <w:bookmarkStart w:id="207" w:name="_Toc450662876"/>
      <w:bookmarkStart w:id="208" w:name="_Toc142508341"/>
      <w:bookmarkStart w:id="209" w:name="_Toc31399"/>
      <w:bookmarkStart w:id="210" w:name="_Toc3991"/>
      <w:bookmarkStart w:id="211" w:name="_Toc486167691"/>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06"/>
      <w:bookmarkEnd w:id="207"/>
      <w:bookmarkEnd w:id="208"/>
      <w:bookmarkEnd w:id="209"/>
      <w:bookmarkEnd w:id="210"/>
      <w:bookmarkEnd w:id="211"/>
    </w:p>
    <w:p w14:paraId="69208A92">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1263970C">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23B5ACEA">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42B90E97">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2" w:name="_Toc338_WPSOffice_Level3"/>
      <w:bookmarkStart w:id="213" w:name="_Toc10130"/>
      <w:bookmarkStart w:id="214" w:name="_Toc142508342"/>
      <w:bookmarkStart w:id="215" w:name="_Toc450662877"/>
      <w:bookmarkStart w:id="216" w:name="_Toc486167692"/>
      <w:bookmarkStart w:id="217" w:name="_Toc14187"/>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12"/>
      <w:bookmarkEnd w:id="213"/>
      <w:bookmarkEnd w:id="214"/>
      <w:bookmarkEnd w:id="215"/>
      <w:bookmarkEnd w:id="216"/>
      <w:bookmarkEnd w:id="217"/>
    </w:p>
    <w:p w14:paraId="2B4011B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5519312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18"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18"/>
    <w:p w14:paraId="6E47BCB7">
      <w:pPr>
        <w:tabs>
          <w:tab w:val="left" w:pos="525"/>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19" w:name="_Toc522047355"/>
      <w:bookmarkStart w:id="220" w:name="_Toc521918096"/>
      <w:bookmarkStart w:id="221" w:name="_Toc142508343"/>
      <w:bookmarkStart w:id="222" w:name="_Toc18368_WPSOffice_Level3"/>
    </w:p>
    <w:p w14:paraId="50003DED">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3" w:name="_Toc26877"/>
      <w:bookmarkStart w:id="224" w:name="_Toc1502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19"/>
      <w:bookmarkEnd w:id="220"/>
      <w:bookmarkEnd w:id="221"/>
      <w:bookmarkEnd w:id="222"/>
      <w:bookmarkEnd w:id="223"/>
      <w:bookmarkEnd w:id="224"/>
    </w:p>
    <w:p w14:paraId="799A7B20">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399089B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7B7BCBED">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74AEF021">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3507653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2D954B0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61E59690">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25" w:name="_Toc521918097"/>
      <w:bookmarkStart w:id="226" w:name="_Toc522047356"/>
    </w:p>
    <w:p w14:paraId="7E14287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7" w:name="_Toc142508344"/>
      <w:bookmarkStart w:id="228" w:name="_Toc21460_WPSOffice_Level3"/>
      <w:bookmarkStart w:id="229" w:name="_Toc14412"/>
      <w:bookmarkStart w:id="230" w:name="_Toc31279"/>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25"/>
      <w:bookmarkEnd w:id="226"/>
      <w:bookmarkEnd w:id="227"/>
      <w:bookmarkEnd w:id="228"/>
      <w:bookmarkEnd w:id="229"/>
      <w:bookmarkEnd w:id="230"/>
    </w:p>
    <w:p w14:paraId="62A40E0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032BECB9">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52C86EAF">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32AA6C10">
      <w:pPr>
        <w:autoSpaceDE w:val="0"/>
        <w:autoSpaceDN w:val="0"/>
        <w:adjustRightInd w:val="0"/>
        <w:spacing w:line="360" w:lineRule="auto"/>
        <w:ind w:left="441" w:leftChars="-60"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093C8AEC">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6840C1FB">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1" w:name="_Toc486167694"/>
      <w:bookmarkStart w:id="232" w:name="_Toc142508345"/>
      <w:bookmarkStart w:id="233" w:name="_Toc15841"/>
      <w:bookmarkStart w:id="234" w:name="_Toc465358969"/>
      <w:bookmarkStart w:id="235" w:name="_Toc16573"/>
      <w:bookmarkStart w:id="236" w:name="_Toc32498_WPSOffice_Level3"/>
      <w:bookmarkStart w:id="237" w:name="_Toc46688201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31"/>
      <w:bookmarkEnd w:id="232"/>
      <w:bookmarkEnd w:id="233"/>
      <w:bookmarkEnd w:id="234"/>
      <w:bookmarkEnd w:id="235"/>
      <w:bookmarkEnd w:id="236"/>
      <w:bookmarkEnd w:id="237"/>
    </w:p>
    <w:p w14:paraId="26ABB79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688A4E64">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56362657">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6AA66FA2">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3ADDC44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22345E9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7A1980B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5E1D452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3573B88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1C8B61D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69AC5AD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7BA1B94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18E01D2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4021E3D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监督部门：东莞市水务环境投资控股集团有限公司，联系人：莫先生，联系电话：0769-28823251。</w:t>
      </w:r>
    </w:p>
    <w:p w14:paraId="397F28D7">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47D62BBC">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38" w:name="_Toc465358970"/>
      <w:bookmarkStart w:id="239" w:name="_Toc142508346"/>
      <w:bookmarkStart w:id="240" w:name="_Toc26138"/>
      <w:bookmarkStart w:id="241" w:name="_Toc486167695"/>
      <w:bookmarkStart w:id="242" w:name="_Toc466882018"/>
      <w:bookmarkStart w:id="243" w:name="_Toc1848_WPSOffice_Level3"/>
      <w:bookmarkStart w:id="244" w:name="_Toc7424"/>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38"/>
      <w:bookmarkEnd w:id="239"/>
      <w:bookmarkEnd w:id="240"/>
      <w:bookmarkEnd w:id="241"/>
      <w:bookmarkEnd w:id="242"/>
      <w:bookmarkEnd w:id="243"/>
      <w:bookmarkEnd w:id="244"/>
    </w:p>
    <w:p w14:paraId="73998264">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F54DF7D">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D489EDF">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14:paraId="459035EA">
      <w:pPr>
        <w:autoSpaceDE w:val="0"/>
        <w:autoSpaceDN w:val="0"/>
        <w:adjustRightInd w:val="0"/>
        <w:snapToGrid w:val="0"/>
        <w:spacing w:line="360" w:lineRule="auto"/>
        <w:jc w:val="left"/>
        <w:rPr>
          <w:rFonts w:ascii="宋体" w:hAnsi="宋体" w:eastAsia="宋体" w:cs="宋体"/>
          <w:color w:val="auto"/>
          <w:szCs w:val="21"/>
          <w:highlight w:val="none"/>
        </w:rPr>
      </w:pPr>
      <w:bookmarkStart w:id="245" w:name="_Toc466882019"/>
      <w:bookmarkStart w:id="246" w:name="_Toc465358971"/>
    </w:p>
    <w:p w14:paraId="22CC0AF9">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47" w:name="_Toc23912"/>
      <w:bookmarkStart w:id="248" w:name="_Toc142508347"/>
      <w:bookmarkStart w:id="249" w:name="_Toc26035"/>
      <w:bookmarkStart w:id="250" w:name="_Toc10867_WPSOffice_Level3"/>
      <w:bookmarkStart w:id="251" w:name="_Toc486167696"/>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45"/>
      <w:bookmarkEnd w:id="246"/>
      <w:bookmarkEnd w:id="247"/>
      <w:bookmarkEnd w:id="248"/>
      <w:bookmarkEnd w:id="249"/>
      <w:bookmarkEnd w:id="250"/>
      <w:bookmarkEnd w:id="251"/>
    </w:p>
    <w:p w14:paraId="5876C92C">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6F1BE41E">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52" w:name="_Toc450662880"/>
    </w:p>
    <w:p w14:paraId="550C716E">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53" w:name="_Toc18316"/>
      <w:bookmarkStart w:id="254" w:name="_Toc15050"/>
      <w:bookmarkStart w:id="255" w:name="_Toc142508348"/>
      <w:bookmarkStart w:id="256" w:name="_Toc486167697"/>
      <w:bookmarkStart w:id="257" w:name="_Toc16848_WPSOffice_Level2"/>
      <w:bookmarkStart w:id="258" w:name="_Toc140596907"/>
      <w:r>
        <w:rPr>
          <w:rFonts w:hint="eastAsia" w:ascii="宋体" w:hAnsi="宋体" w:eastAsia="宋体" w:cs="宋体"/>
          <w:b/>
          <w:bCs/>
          <w:color w:val="auto"/>
          <w:kern w:val="44"/>
          <w:szCs w:val="21"/>
          <w:highlight w:val="none"/>
          <w:lang w:val="zh-CN"/>
        </w:rPr>
        <w:t>六、授予合同</w:t>
      </w:r>
      <w:bookmarkEnd w:id="252"/>
      <w:bookmarkEnd w:id="253"/>
      <w:bookmarkEnd w:id="254"/>
      <w:bookmarkEnd w:id="255"/>
      <w:bookmarkEnd w:id="256"/>
      <w:bookmarkEnd w:id="257"/>
      <w:bookmarkEnd w:id="258"/>
    </w:p>
    <w:p w14:paraId="15A7442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9" w:name="_Toc6401_WPSOffice_Level3"/>
      <w:bookmarkStart w:id="260" w:name="_Toc11333"/>
      <w:bookmarkStart w:id="261" w:name="_Toc25540"/>
      <w:bookmarkStart w:id="262" w:name="_Toc142508349"/>
      <w:bookmarkStart w:id="263" w:name="_Toc450662881"/>
      <w:bookmarkStart w:id="264" w:name="_Toc486167698"/>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59"/>
      <w:bookmarkEnd w:id="260"/>
      <w:bookmarkEnd w:id="261"/>
      <w:bookmarkEnd w:id="262"/>
      <w:bookmarkEnd w:id="263"/>
      <w:bookmarkEnd w:id="264"/>
    </w:p>
    <w:p w14:paraId="232C3890">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1CF66B77">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30FF20FE">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48E1579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65" w:name="_Toc450662885"/>
    </w:p>
    <w:p w14:paraId="7E1EC7BA">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6" w:name="_Toc486167699"/>
      <w:bookmarkStart w:id="267" w:name="_Toc142508350"/>
      <w:bookmarkStart w:id="268" w:name="_Toc24266"/>
      <w:bookmarkStart w:id="269" w:name="_Toc19107"/>
      <w:bookmarkStart w:id="270" w:name="_Toc6726_WPSOffice_Level3"/>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265"/>
      <w:bookmarkEnd w:id="266"/>
      <w:bookmarkEnd w:id="267"/>
      <w:bookmarkEnd w:id="268"/>
      <w:bookmarkEnd w:id="269"/>
      <w:bookmarkEnd w:id="270"/>
    </w:p>
    <w:p w14:paraId="1A2879A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71"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2CE5766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4308263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5D96B37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2" w:name="_Toc10250"/>
      <w:bookmarkStart w:id="273" w:name="_Toc486167700"/>
      <w:bookmarkStart w:id="274" w:name="_Toc9694_WPSOffice_Level3"/>
      <w:bookmarkStart w:id="275" w:name="_Toc142508351"/>
      <w:bookmarkStart w:id="276" w:name="_Toc32732"/>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271"/>
      <w:bookmarkEnd w:id="272"/>
      <w:bookmarkEnd w:id="273"/>
      <w:bookmarkEnd w:id="274"/>
      <w:bookmarkEnd w:id="275"/>
      <w:bookmarkEnd w:id="276"/>
    </w:p>
    <w:p w14:paraId="1CC035CF">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71F5A01A">
      <w:pPr>
        <w:tabs>
          <w:tab w:val="left" w:pos="360"/>
        </w:tabs>
        <w:autoSpaceDE w:val="0"/>
        <w:autoSpaceDN w:val="0"/>
        <w:adjustRightInd w:val="0"/>
        <w:spacing w:line="360" w:lineRule="auto"/>
        <w:ind w:left="357" w:leftChars="-100" w:hanging="567"/>
        <w:jc w:val="left"/>
        <w:rPr>
          <w:rFonts w:ascii="宋体" w:hAnsi="宋体" w:eastAsia="宋体" w:cs="宋体"/>
          <w:color w:val="auto"/>
          <w:szCs w:val="21"/>
          <w:highlight w:val="none"/>
        </w:rPr>
      </w:pPr>
      <w:bookmarkStart w:id="277" w:name="_Toc142508352"/>
      <w:bookmarkStart w:id="278" w:name="_Toc10513_WPSOffice_Level3"/>
      <w:bookmarkStart w:id="279" w:name="_Toc450662887"/>
      <w:bookmarkStart w:id="280" w:name="_Toc486167701"/>
    </w:p>
    <w:p w14:paraId="1DD1714A">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1" w:name="_Toc29569"/>
      <w:bookmarkStart w:id="282" w:name="_Toc8873"/>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277"/>
      <w:bookmarkEnd w:id="278"/>
      <w:bookmarkEnd w:id="279"/>
      <w:bookmarkEnd w:id="280"/>
      <w:bookmarkEnd w:id="281"/>
      <w:bookmarkEnd w:id="282"/>
    </w:p>
    <w:p w14:paraId="787945F4">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283" w:name="_Toc465358977"/>
      <w:bookmarkStart w:id="284"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中标人应在签订合同前且中标通知书发出之日起30日内，按本招标文件规定金额及形式要求，向招标人（含其下属子公司）提交不可撤销的银行履约保函（或履约保证金</w:t>
      </w:r>
      <w:r>
        <w:rPr>
          <w:rFonts w:hint="eastAsia" w:ascii="宋体" w:hAnsi="宋体" w:eastAsia="宋体" w:cs="宋体"/>
          <w:b/>
          <w:bCs/>
          <w:color w:val="auto"/>
          <w:szCs w:val="21"/>
          <w:highlight w:val="none"/>
          <w:u w:val="single"/>
          <w:lang w:val="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或担保公司履约担保书），作为履约担保（所需费用由中标人自行承担），否则招标人可取消中标人的中标资格，不予退还其投标保证金。</w:t>
      </w:r>
      <w:r>
        <w:rPr>
          <w:rFonts w:hint="eastAsia" w:ascii="宋体" w:hAnsi="宋体" w:eastAsia="宋体" w:cs="Times New Roman"/>
          <w:b/>
          <w:bCs/>
          <w:color w:val="auto"/>
          <w:szCs w:val="21"/>
          <w:highlight w:val="none"/>
          <w:u w:val="single"/>
        </w:rPr>
        <w:t>其中</w:t>
      </w:r>
      <w:r>
        <w:rPr>
          <w:rFonts w:hint="eastAsia" w:ascii="宋体" w:hAnsi="宋体" w:eastAsia="宋体" w:cs="Times New Roman"/>
          <w:b/>
          <w:bCs/>
          <w:color w:val="auto"/>
          <w:szCs w:val="21"/>
          <w:highlight w:val="none"/>
          <w:u w:val="single"/>
          <w:lang w:val="zh-CN"/>
        </w:rPr>
        <w:t>采用履约保证金（银行转账形式）的金额为暂定合同价的5%，统一由东莞市水务环境投资控股集团管网有限公司收取；采用不可撤销银行履约保函</w:t>
      </w:r>
      <w:r>
        <w:rPr>
          <w:rFonts w:hint="eastAsia" w:ascii="宋体" w:hAnsi="宋体" w:eastAsia="宋体" w:cs="宋体"/>
          <w:b/>
          <w:bCs/>
          <w:color w:val="auto"/>
          <w:szCs w:val="21"/>
          <w:highlight w:val="none"/>
          <w:u w:val="single"/>
          <w:lang w:val="zh-CN"/>
        </w:rPr>
        <w:t>(或履约保证保险)</w:t>
      </w:r>
      <w:r>
        <w:rPr>
          <w:rFonts w:hint="eastAsia" w:ascii="宋体" w:hAnsi="宋体" w:eastAsia="宋体" w:cs="Times New Roman"/>
          <w:b/>
          <w:bCs/>
          <w:color w:val="auto"/>
          <w:szCs w:val="21"/>
          <w:highlight w:val="none"/>
          <w:u w:val="single"/>
          <w:lang w:val="zh-CN"/>
        </w:rPr>
        <w:t>形式的金额为暂定合同价的8%，中标人需开具一份受益人为东莞市水务环境投资控股集团管网有限公司、东莞市莞泽水环境投资有限公司、东莞市东信水环境投资有限公司、东莞市东泽水环境投资有限公司、东莞市清泽水环境投资有限公司、东莞市莞清水环境投资有限公司和东莞市东江水环境投资有限公司的不可撤销银行履约保函</w:t>
      </w:r>
      <w:r>
        <w:rPr>
          <w:rFonts w:hint="eastAsia" w:ascii="宋体" w:hAnsi="宋体" w:eastAsia="宋体" w:cs="宋体"/>
          <w:b/>
          <w:bCs/>
          <w:color w:val="auto"/>
          <w:szCs w:val="21"/>
          <w:highlight w:val="none"/>
          <w:u w:val="single"/>
          <w:lang w:val="zh-CN"/>
        </w:rPr>
        <w:t>(或履约保证保险)</w:t>
      </w:r>
      <w:r>
        <w:rPr>
          <w:rFonts w:hint="eastAsia" w:ascii="宋体" w:hAnsi="宋体" w:eastAsia="宋体" w:cs="Times New Roman"/>
          <w:b/>
          <w:bCs/>
          <w:color w:val="auto"/>
          <w:szCs w:val="21"/>
          <w:highlight w:val="none"/>
          <w:u w:val="single"/>
          <w:lang w:val="zh-CN"/>
        </w:rPr>
        <w:t>；采用担保公司履约担保书形式的金额为暂定合同价的10%，中标人需开具一份受益人为东莞市水务环境投资控股集团管网有限公司、东莞市莞泽水环境投资有限公司、东莞市东信水环境投资有限公司、东莞市东泽水环境投资有限公司、东莞市清泽水环境投资有限公司、东莞市莞清水环境投资有限公司和东莞市东江水环境投资有限公司的履约担保书。任何一个合同甲方均有权就全部的担保金额进行索赔。</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给招标人（含其下属子公司）造成的损失超过履约担保数额的，中标人还应当对超过部分予以赔偿，招标人（含其下属子公司）并依法追究中标人的相应责任。</w:t>
      </w:r>
    </w:p>
    <w:p w14:paraId="2BDD3ABA">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w:t>
      </w:r>
      <w:r>
        <w:rPr>
          <w:rFonts w:hint="eastAsia" w:ascii="宋体" w:hAnsi="宋体" w:eastAsia="宋体" w:cs="Arial"/>
          <w:color w:val="auto"/>
          <w:kern w:val="0"/>
          <w:szCs w:val="24"/>
          <w:highlight w:val="none"/>
        </w:rPr>
        <w:t>（含其下属子公司）</w:t>
      </w:r>
      <w:r>
        <w:rPr>
          <w:rFonts w:hint="eastAsia" w:ascii="宋体" w:hAnsi="宋体" w:eastAsia="宋体" w:cs="Times New Roman"/>
          <w:color w:val="auto"/>
          <w:kern w:val="0"/>
          <w:szCs w:val="21"/>
          <w:highlight w:val="none"/>
        </w:rPr>
        <w:t>因中标人不能完全履行其合同义务而蒙受的损失或其他合同约定的事项。如发生下列任一情况时，招标人</w:t>
      </w:r>
      <w:r>
        <w:rPr>
          <w:rFonts w:hint="eastAsia" w:ascii="宋体" w:hAnsi="宋体" w:eastAsia="宋体" w:cs="Arial"/>
          <w:color w:val="auto"/>
          <w:kern w:val="0"/>
          <w:szCs w:val="24"/>
          <w:highlight w:val="none"/>
        </w:rPr>
        <w:t>（含其下属子公司）</w:t>
      </w:r>
      <w:r>
        <w:rPr>
          <w:rFonts w:hint="eastAsia" w:ascii="宋体" w:hAnsi="宋体" w:eastAsia="宋体" w:cs="Times New Roman"/>
          <w:color w:val="auto"/>
          <w:kern w:val="0"/>
          <w:szCs w:val="21"/>
          <w:highlight w:val="none"/>
        </w:rPr>
        <w:t>有权依合同追究违约责任外，同时有权提取履约担保并进行相应处理</w:t>
      </w:r>
      <w:r>
        <w:rPr>
          <w:rFonts w:hint="eastAsia" w:ascii="宋体" w:hAnsi="宋体" w:eastAsia="宋体" w:cs="宋体"/>
          <w:color w:val="auto"/>
          <w:kern w:val="0"/>
          <w:szCs w:val="21"/>
          <w:highlight w:val="none"/>
        </w:rPr>
        <w:t>：</w:t>
      </w:r>
    </w:p>
    <w:p w14:paraId="121C39B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w:t>
      </w:r>
      <w:r>
        <w:rPr>
          <w:rFonts w:hint="eastAsia" w:ascii="宋体" w:hAnsi="宋体" w:eastAsia="宋体" w:cs="Arial"/>
          <w:color w:val="auto"/>
          <w:kern w:val="0"/>
          <w:szCs w:val="24"/>
          <w:highlight w:val="none"/>
        </w:rPr>
        <w:t>（含其下属子公司）</w:t>
      </w:r>
      <w:r>
        <w:rPr>
          <w:rFonts w:hint="eastAsia" w:ascii="宋体" w:hAnsi="宋体" w:eastAsia="宋体" w:cs="Times New Roman"/>
          <w:color w:val="auto"/>
          <w:kern w:val="0"/>
          <w:szCs w:val="21"/>
          <w:highlight w:val="none"/>
        </w:rPr>
        <w:t>书面同意将部分权利义务转让给第三方的，招标人</w:t>
      </w:r>
      <w:r>
        <w:rPr>
          <w:rFonts w:hint="eastAsia" w:ascii="宋体" w:hAnsi="宋体" w:eastAsia="宋体" w:cs="Arial"/>
          <w:color w:val="auto"/>
          <w:kern w:val="0"/>
          <w:szCs w:val="24"/>
          <w:highlight w:val="none"/>
        </w:rPr>
        <w:t>（含其下属子公司）</w:t>
      </w:r>
      <w:r>
        <w:rPr>
          <w:rFonts w:hint="eastAsia" w:ascii="宋体" w:hAnsi="宋体" w:eastAsia="宋体" w:cs="Times New Roman"/>
          <w:color w:val="auto"/>
          <w:kern w:val="0"/>
          <w:szCs w:val="21"/>
          <w:highlight w:val="none"/>
        </w:rPr>
        <w:t>有权没收其履约担保。</w:t>
      </w:r>
    </w:p>
    <w:p w14:paraId="4F59D2A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w:t>
      </w:r>
      <w:r>
        <w:rPr>
          <w:rFonts w:hint="eastAsia" w:ascii="宋体" w:hAnsi="宋体" w:eastAsia="宋体" w:cs="Arial"/>
          <w:color w:val="auto"/>
          <w:kern w:val="0"/>
          <w:szCs w:val="24"/>
          <w:highlight w:val="none"/>
        </w:rPr>
        <w:t>（含其下属子公司）</w:t>
      </w:r>
      <w:r>
        <w:rPr>
          <w:rFonts w:hint="eastAsia" w:ascii="宋体" w:hAnsi="宋体" w:eastAsia="宋体" w:cs="Times New Roman"/>
          <w:color w:val="auto"/>
          <w:kern w:val="0"/>
          <w:szCs w:val="21"/>
          <w:highlight w:val="none"/>
        </w:rPr>
        <w:t>通知或要求承担违约金后仍拒不改正的，招标人</w:t>
      </w:r>
      <w:r>
        <w:rPr>
          <w:rFonts w:hint="eastAsia" w:ascii="宋体" w:hAnsi="宋体" w:eastAsia="宋体" w:cs="Arial"/>
          <w:color w:val="auto"/>
          <w:kern w:val="0"/>
          <w:szCs w:val="24"/>
          <w:highlight w:val="none"/>
        </w:rPr>
        <w:t>（含其下属子公司）</w:t>
      </w:r>
      <w:r>
        <w:rPr>
          <w:rFonts w:hint="eastAsia" w:ascii="宋体" w:hAnsi="宋体" w:eastAsia="宋体" w:cs="Times New Roman"/>
          <w:color w:val="auto"/>
          <w:kern w:val="0"/>
          <w:szCs w:val="21"/>
          <w:highlight w:val="none"/>
        </w:rPr>
        <w:t>有权没收其履约担保。</w:t>
      </w:r>
    </w:p>
    <w:p w14:paraId="6691E70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w:t>
      </w: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包括但不限于招标人</w:t>
      </w:r>
      <w:r>
        <w:rPr>
          <w:rFonts w:hint="eastAsia" w:ascii="宋体" w:hAnsi="宋体" w:eastAsia="宋体" w:cs="Arial"/>
          <w:color w:val="auto"/>
          <w:kern w:val="0"/>
          <w:szCs w:val="24"/>
          <w:highlight w:val="none"/>
        </w:rPr>
        <w:t>（含其下属子公司）</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拖欠原材料供应商货款或与其所雇用员工发生劳资纠纷、上访、闹事或其他影响招标人</w:t>
      </w:r>
      <w:r>
        <w:rPr>
          <w:rFonts w:hint="eastAsia" w:ascii="宋体" w:hAnsi="宋体" w:eastAsia="宋体" w:cs="Arial"/>
          <w:color w:val="auto"/>
          <w:kern w:val="0"/>
          <w:szCs w:val="24"/>
          <w:highlight w:val="none"/>
        </w:rPr>
        <w:t>（含其下属子公司）</w:t>
      </w:r>
      <w:r>
        <w:rPr>
          <w:rFonts w:hint="eastAsia" w:ascii="宋体" w:hAnsi="宋体" w:eastAsia="宋体" w:cs="Times New Roman"/>
          <w:color w:val="auto"/>
          <w:kern w:val="0"/>
          <w:szCs w:val="21"/>
          <w:highlight w:val="none"/>
        </w:rPr>
        <w:t>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w:t>
      </w:r>
      <w:r>
        <w:rPr>
          <w:rFonts w:hint="eastAsia" w:ascii="宋体" w:hAnsi="宋体" w:eastAsia="宋体" w:cs="Arial"/>
          <w:color w:val="auto"/>
          <w:kern w:val="0"/>
          <w:szCs w:val="24"/>
          <w:highlight w:val="none"/>
        </w:rPr>
        <w:t>（含其下属子公司）</w:t>
      </w:r>
      <w:r>
        <w:rPr>
          <w:rFonts w:hint="eastAsia" w:ascii="宋体" w:hAnsi="宋体" w:eastAsia="宋体" w:cs="Times New Roman"/>
          <w:color w:val="auto"/>
          <w:kern w:val="0"/>
          <w:szCs w:val="21"/>
          <w:highlight w:val="none"/>
        </w:rPr>
        <w:t>有权使用履约担保予以支付或作出相应处理，由此产生的一切法律后果由中标人承担。</w:t>
      </w:r>
    </w:p>
    <w:p w14:paraId="0760D76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w:t>
      </w:r>
      <w:r>
        <w:rPr>
          <w:rFonts w:hint="eastAsia" w:ascii="宋体" w:hAnsi="宋体" w:eastAsia="宋体" w:cs="Arial"/>
          <w:color w:val="auto"/>
          <w:kern w:val="0"/>
          <w:szCs w:val="24"/>
          <w:highlight w:val="none"/>
        </w:rPr>
        <w:t>（含其下属子公司）</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2F04E2A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w:t>
      </w:r>
      <w:r>
        <w:rPr>
          <w:rFonts w:hint="eastAsia" w:ascii="宋体" w:hAnsi="宋体" w:eastAsia="宋体" w:cs="Arial"/>
          <w:color w:val="auto"/>
          <w:kern w:val="0"/>
          <w:szCs w:val="24"/>
          <w:highlight w:val="none"/>
        </w:rPr>
        <w:t>（含其下属子公司）</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116AD80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w:t>
      </w:r>
      <w:r>
        <w:rPr>
          <w:rFonts w:hint="eastAsia" w:ascii="宋体" w:hAnsi="宋体" w:eastAsia="宋体" w:cs="Arial"/>
          <w:color w:val="auto"/>
          <w:kern w:val="0"/>
          <w:szCs w:val="24"/>
          <w:highlight w:val="none"/>
        </w:rPr>
        <w:t>（含其下属子公司）</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74471E49">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17597CF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w:t>
      </w:r>
      <w:r>
        <w:rPr>
          <w:rFonts w:hint="eastAsia" w:ascii="宋体" w:hAnsi="宋体" w:eastAsia="宋体" w:cs="Arial"/>
          <w:color w:val="auto"/>
          <w:kern w:val="0"/>
          <w:szCs w:val="24"/>
          <w:highlight w:val="none"/>
        </w:rPr>
        <w:t>（含其下属子公司）</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3ADDDA6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（或履约保证保险或担保公司履约担保书）</w:t>
      </w:r>
      <w:r>
        <w:rPr>
          <w:rFonts w:ascii="宋体" w:hAnsi="宋体" w:eastAsia="宋体" w:cs="Times New Roman"/>
          <w:color w:val="auto"/>
          <w:kern w:val="0"/>
          <w:szCs w:val="21"/>
          <w:highlight w:val="none"/>
        </w:rPr>
        <w:t>，须事先经招标人</w:t>
      </w:r>
      <w:r>
        <w:rPr>
          <w:rFonts w:hint="eastAsia" w:ascii="宋体" w:hAnsi="宋体" w:eastAsia="宋体" w:cs="Arial"/>
          <w:color w:val="auto"/>
          <w:kern w:val="0"/>
          <w:szCs w:val="24"/>
          <w:highlight w:val="none"/>
        </w:rPr>
        <w:t>（含其下属子公司）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4728374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）提供担保的担保机构经济性质须为东莞市国有企业，或政府性融资担保机构（中标人须提供能证明其属于政府性融资担保机构的证明文件），并经招标人</w:t>
      </w:r>
      <w:r>
        <w:rPr>
          <w:rFonts w:hint="eastAsia" w:ascii="宋体" w:hAnsi="宋体" w:eastAsia="宋体" w:cs="Arial"/>
          <w:color w:val="auto"/>
          <w:kern w:val="0"/>
          <w:szCs w:val="24"/>
          <w:highlight w:val="none"/>
        </w:rPr>
        <w:t>（含其下属子公司）</w:t>
      </w:r>
      <w:r>
        <w:rPr>
          <w:rFonts w:hint="eastAsia" w:ascii="宋体" w:hAnsi="宋体" w:eastAsia="宋体" w:cs="Times New Roman"/>
          <w:color w:val="auto"/>
          <w:kern w:val="0"/>
          <w:szCs w:val="21"/>
          <w:highlight w:val="none"/>
        </w:rPr>
        <w:t>同意，执行本款时所发生的费用由中标人承担。如招标人（含其下属子公司）合同条款接受担保公司预付款担保函的，对担保机构要求参照本条执行</w:t>
      </w:r>
      <w:r>
        <w:rPr>
          <w:rFonts w:ascii="宋体" w:hAnsi="宋体" w:eastAsia="宋体" w:cs="Times New Roman"/>
          <w:color w:val="auto"/>
          <w:kern w:val="0"/>
          <w:szCs w:val="21"/>
          <w:highlight w:val="none"/>
        </w:rPr>
        <w:t>。</w:t>
      </w:r>
    </w:p>
    <w:p w14:paraId="1CC452B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w:t>
      </w:r>
      <w:r>
        <w:rPr>
          <w:rFonts w:hint="eastAsia" w:ascii="宋体" w:hAnsi="宋体" w:eastAsia="宋体" w:cs="Arial"/>
          <w:color w:val="auto"/>
          <w:kern w:val="0"/>
          <w:szCs w:val="24"/>
          <w:highlight w:val="none"/>
        </w:rPr>
        <w:t>（含其下属子公司）</w:t>
      </w:r>
      <w:r>
        <w:rPr>
          <w:rFonts w:hint="eastAsia" w:ascii="宋体" w:hAnsi="宋体" w:eastAsia="宋体" w:cs="Times New Roman"/>
          <w:color w:val="auto"/>
          <w:kern w:val="0"/>
          <w:szCs w:val="21"/>
          <w:highlight w:val="none"/>
        </w:rPr>
        <w:t>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w:t>
      </w:r>
      <w:r>
        <w:rPr>
          <w:rFonts w:hint="eastAsia" w:ascii="宋体" w:hAnsi="宋体" w:eastAsia="宋体" w:cs="Arial"/>
          <w:color w:val="auto"/>
          <w:kern w:val="0"/>
          <w:szCs w:val="24"/>
          <w:highlight w:val="none"/>
        </w:rPr>
        <w:t>（含其下属子公司）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在不可撤销银行履约保函（或履约保证保险或担保公司履约担保书）到期后中标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w:t>
      </w:r>
      <w:r>
        <w:rPr>
          <w:rFonts w:hint="eastAsia" w:ascii="宋体" w:hAnsi="宋体" w:eastAsia="宋体" w:cs="Arial"/>
          <w:color w:val="auto"/>
          <w:kern w:val="0"/>
          <w:szCs w:val="24"/>
          <w:highlight w:val="none"/>
        </w:rPr>
        <w:t>（含其下属子公司）</w:t>
      </w:r>
      <w:r>
        <w:rPr>
          <w:rFonts w:hint="eastAsia" w:ascii="宋体" w:hAnsi="宋体" w:eastAsia="宋体" w:cs="Times New Roman"/>
          <w:color w:val="auto"/>
          <w:kern w:val="0"/>
          <w:szCs w:val="21"/>
          <w:highlight w:val="none"/>
        </w:rPr>
        <w:t>要求重新提供的，招标人</w:t>
      </w:r>
      <w:r>
        <w:rPr>
          <w:rFonts w:hint="eastAsia" w:ascii="宋体" w:hAnsi="宋体" w:eastAsia="宋体" w:cs="Arial"/>
          <w:color w:val="auto"/>
          <w:kern w:val="0"/>
          <w:szCs w:val="24"/>
          <w:highlight w:val="none"/>
        </w:rPr>
        <w:t>（含其下属子公司）</w:t>
      </w:r>
      <w:r>
        <w:rPr>
          <w:rFonts w:hint="eastAsia" w:ascii="宋体" w:hAnsi="宋体" w:eastAsia="宋体" w:cs="Times New Roman"/>
          <w:color w:val="auto"/>
          <w:kern w:val="0"/>
          <w:szCs w:val="21"/>
          <w:highlight w:val="none"/>
        </w:rPr>
        <w:t>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6B69B37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w:t>
      </w:r>
      <w:r>
        <w:rPr>
          <w:rFonts w:hint="eastAsia" w:ascii="宋体" w:hAnsi="宋体" w:eastAsia="宋体" w:cs="Arial"/>
          <w:color w:val="auto"/>
          <w:kern w:val="0"/>
          <w:szCs w:val="24"/>
          <w:highlight w:val="none"/>
        </w:rPr>
        <w:t>（含其下属子公司）</w:t>
      </w:r>
      <w:r>
        <w:rPr>
          <w:rFonts w:hint="eastAsia" w:ascii="宋体" w:hAnsi="宋体" w:eastAsia="宋体" w:cs="Times New Roman"/>
          <w:color w:val="auto"/>
          <w:kern w:val="0"/>
          <w:szCs w:val="21"/>
          <w:highlight w:val="none"/>
        </w:rPr>
        <w:t>有权按需补足的金额要求中标人承担违约金，并要求限期补足。如中标人仍不补足的，招标人</w:t>
      </w:r>
      <w:r>
        <w:rPr>
          <w:rFonts w:hint="eastAsia" w:ascii="宋体" w:hAnsi="宋体" w:eastAsia="宋体" w:cs="Arial"/>
          <w:color w:val="auto"/>
          <w:kern w:val="0"/>
          <w:szCs w:val="24"/>
          <w:highlight w:val="none"/>
        </w:rPr>
        <w:t>（含其下属子公司）</w:t>
      </w:r>
      <w:r>
        <w:rPr>
          <w:rFonts w:hint="eastAsia" w:ascii="宋体" w:hAnsi="宋体" w:eastAsia="宋体" w:cs="Times New Roman"/>
          <w:color w:val="auto"/>
          <w:kern w:val="0"/>
          <w:szCs w:val="21"/>
          <w:highlight w:val="none"/>
        </w:rPr>
        <w:t>有权单方解除合同，违约金可直接从未付合同款或履约担保中扣除。</w:t>
      </w:r>
    </w:p>
    <w:p w14:paraId="23F8EF1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可撤销银行履约保函（或履约保证保险或担保公司履约担保书）应从合同期限届满并完成全部供货（含最终验收合格）且结算完毕之后二十八（28）日内保持有效</w:t>
      </w:r>
      <w:r>
        <w:rPr>
          <w:rFonts w:hint="eastAsia" w:ascii="宋体" w:hAnsi="宋体" w:eastAsia="宋体" w:cs="宋体"/>
          <w:color w:val="auto"/>
          <w:kern w:val="0"/>
          <w:szCs w:val="21"/>
          <w:highlight w:val="none"/>
        </w:rPr>
        <w:t>。</w:t>
      </w:r>
    </w:p>
    <w:p w14:paraId="5087824E">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p>
    <w:p w14:paraId="14C1D90C">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362D2082">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w:t>
      </w:r>
      <w:r>
        <w:rPr>
          <w:rFonts w:hint="eastAsia" w:ascii="宋体" w:hAnsi="宋体" w:eastAsia="宋体" w:cs="Times New Roman"/>
          <w:color w:val="auto"/>
          <w:kern w:val="0"/>
          <w:szCs w:val="21"/>
          <w:highlight w:val="none"/>
        </w:rPr>
        <w:t>（含其下属子公司）</w:t>
      </w:r>
      <w:r>
        <w:rPr>
          <w:rFonts w:ascii="宋体" w:hAnsi="宋体" w:eastAsia="宋体" w:cs="Times New Roman"/>
          <w:color w:val="auto"/>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0CCB685B">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381F235F">
      <w:pPr>
        <w:snapToGrid w:val="0"/>
        <w:spacing w:line="360" w:lineRule="auto"/>
        <w:ind w:firstLine="420" w:firstLineChars="200"/>
        <w:rPr>
          <w:rFonts w:hint="eastAsia" w:ascii="宋体" w:hAnsi="宋体" w:eastAsia="宋体" w:cs="宋体"/>
          <w:b/>
          <w:bCs/>
          <w:color w:val="auto"/>
          <w:highlight w:val="none"/>
          <w:lang w:eastAsia="zh-CN"/>
        </w:rPr>
      </w:pPr>
      <w:r>
        <w:rPr>
          <w:rFonts w:hint="eastAsia" w:ascii="宋体" w:hAnsi="宋体" w:eastAsia="宋体" w:cs="宋体"/>
          <w:color w:val="auto"/>
          <w:szCs w:val="21"/>
          <w:highlight w:val="none"/>
        </w:rPr>
        <w:t xml:space="preserve"> </w:t>
      </w:r>
      <w:r>
        <w:rPr>
          <w:rFonts w:hint="eastAsia" w:ascii="宋体" w:hAnsi="宋体" w:eastAsia="宋体" w:cs="宋体"/>
          <w:b/>
          <w:bCs/>
          <w:color w:val="auto"/>
          <w:highlight w:val="none"/>
        </w:rPr>
        <w:t>开户名称：</w:t>
      </w:r>
      <w:r>
        <w:rPr>
          <w:rFonts w:hint="eastAsia" w:ascii="宋体" w:hAnsi="宋体" w:eastAsia="宋体" w:cs="宋体"/>
          <w:b/>
          <w:bCs/>
          <w:color w:val="auto"/>
          <w:highlight w:val="none"/>
          <w:lang w:eastAsia="zh-CN"/>
        </w:rPr>
        <w:t>东莞市水务环境投资控股集团管网有限公司</w:t>
      </w:r>
    </w:p>
    <w:p w14:paraId="24C199DB">
      <w:pPr>
        <w:snapToGrid w:val="0"/>
        <w:spacing w:line="360" w:lineRule="auto"/>
        <w:ind w:firstLine="420" w:firstLineChars="200"/>
        <w:rPr>
          <w:rFonts w:ascii="宋体" w:hAnsi="宋体" w:eastAsia="宋体" w:cs="宋体"/>
          <w:b/>
          <w:bCs/>
          <w:color w:val="auto"/>
          <w:highlight w:val="none"/>
        </w:rPr>
      </w:pPr>
      <w:r>
        <w:rPr>
          <w:rFonts w:hint="eastAsia" w:ascii="宋体" w:hAnsi="宋体" w:eastAsia="宋体" w:cs="宋体"/>
          <w:color w:val="auto"/>
          <w:szCs w:val="21"/>
          <w:highlight w:val="none"/>
        </w:rPr>
        <w:t xml:space="preserve"> </w:t>
      </w:r>
      <w:r>
        <w:rPr>
          <w:rFonts w:hint="eastAsia" w:ascii="宋体" w:hAnsi="宋体" w:eastAsia="宋体" w:cs="宋体"/>
          <w:b/>
          <w:bCs/>
          <w:color w:val="auto"/>
          <w:highlight w:val="none"/>
        </w:rPr>
        <w:t>银行账号：8114801014000043052</w:t>
      </w:r>
    </w:p>
    <w:p w14:paraId="28E319EB">
      <w:pPr>
        <w:snapToGrid w:val="0"/>
        <w:spacing w:line="360" w:lineRule="auto"/>
        <w:ind w:firstLine="420" w:firstLineChars="200"/>
        <w:rPr>
          <w:rFonts w:ascii="宋体" w:hAnsi="宋体" w:eastAsia="宋体" w:cs="宋体"/>
          <w:b/>
          <w:bCs/>
          <w:color w:val="auto"/>
          <w:highlight w:val="none"/>
        </w:rPr>
      </w:pPr>
      <w:r>
        <w:rPr>
          <w:rFonts w:hint="eastAsia" w:ascii="宋体" w:hAnsi="宋体" w:eastAsia="宋体" w:cs="宋体"/>
          <w:color w:val="auto"/>
          <w:szCs w:val="21"/>
          <w:highlight w:val="none"/>
        </w:rPr>
        <w:t xml:space="preserve"> </w:t>
      </w:r>
      <w:r>
        <w:rPr>
          <w:rFonts w:hint="eastAsia" w:ascii="宋体" w:hAnsi="宋体" w:eastAsia="宋体" w:cs="宋体"/>
          <w:b/>
          <w:bCs/>
          <w:color w:val="auto"/>
          <w:highlight w:val="none"/>
        </w:rPr>
        <w:t>开户银行：中信银行东莞分行营业部</w:t>
      </w:r>
    </w:p>
    <w:p w14:paraId="189B9390">
      <w:pPr>
        <w:pStyle w:val="3"/>
        <w:spacing w:line="360" w:lineRule="auto"/>
        <w:ind w:right="-28" w:firstLine="632" w:firstLineChars="300"/>
        <w:jc w:val="both"/>
        <w:rPr>
          <w:rFonts w:hAnsi="宋体" w:cs="宋体"/>
          <w:color w:val="auto"/>
          <w:sz w:val="21"/>
          <w:szCs w:val="21"/>
          <w:highlight w:val="none"/>
          <w:lang w:val="en-US"/>
        </w:rPr>
      </w:pPr>
      <w:r>
        <w:rPr>
          <w:rFonts w:hint="eastAsia" w:hAnsi="宋体" w:cs="宋体"/>
          <w:color w:val="auto"/>
          <w:sz w:val="21"/>
          <w:szCs w:val="21"/>
          <w:highlight w:val="none"/>
          <w:lang w:val="en-US"/>
        </w:rPr>
        <w:t>特别约定：任何一个合同甲方（</w:t>
      </w:r>
      <w:r>
        <w:rPr>
          <w:rFonts w:hint="eastAsia" w:hAnsi="宋体" w:cs="宋体"/>
          <w:color w:val="auto"/>
          <w:sz w:val="21"/>
          <w:szCs w:val="21"/>
          <w:highlight w:val="none"/>
          <w:lang w:val="en-US" w:eastAsia="zh-CN"/>
        </w:rPr>
        <w:t>东莞市水务环境投资控股集团管网有限公司</w:t>
      </w:r>
      <w:r>
        <w:rPr>
          <w:rFonts w:hint="eastAsia" w:hAnsi="宋体" w:cs="宋体"/>
          <w:color w:val="auto"/>
          <w:sz w:val="21"/>
          <w:szCs w:val="21"/>
          <w:highlight w:val="none"/>
          <w:lang w:val="en-US"/>
        </w:rPr>
        <w:t>、东莞市莞泽水环境投资有限公司、东莞市东信水环境投资有限公司、东莞市东泽水环境投资有限公司、东莞市清泽水环境投资有限公司、东莞市莞清水环境投资有限公司和东莞市东江水环境投资有限公司）均有权就全部的履约保证金金额进行索赔。</w:t>
      </w:r>
    </w:p>
    <w:p w14:paraId="0ED1B769">
      <w:pPr>
        <w:pStyle w:val="3"/>
        <w:spacing w:line="360" w:lineRule="auto"/>
        <w:ind w:right="-28" w:firstLine="632" w:firstLineChars="300"/>
        <w:jc w:val="both"/>
        <w:rPr>
          <w:rFonts w:hAnsi="宋体" w:cs="宋体"/>
          <w:b w:val="0"/>
          <w:bCs w:val="0"/>
          <w:color w:val="auto"/>
          <w:sz w:val="21"/>
          <w:szCs w:val="21"/>
          <w:highlight w:val="none"/>
          <w:lang w:val="en-US"/>
        </w:rPr>
      </w:pPr>
      <w:r>
        <w:rPr>
          <w:rFonts w:hint="eastAsia" w:hAnsi="宋体" w:cs="宋体"/>
          <w:color w:val="auto"/>
          <w:sz w:val="21"/>
          <w:szCs w:val="21"/>
          <w:highlight w:val="none"/>
          <w:lang w:val="en-US"/>
        </w:rPr>
        <w:t>发生违约行为时，中标人应当按照合同约定和合同甲方的要求向对应的合同甲方支付违约金；否则，相应的合同甲方有权从履约保证金中扣除违约金，并由</w:t>
      </w:r>
      <w:r>
        <w:rPr>
          <w:rFonts w:hint="eastAsia" w:hAnsi="宋体" w:cs="宋体"/>
          <w:color w:val="auto"/>
          <w:sz w:val="21"/>
          <w:szCs w:val="21"/>
          <w:highlight w:val="none"/>
          <w:lang w:val="en-US" w:eastAsia="zh-CN"/>
        </w:rPr>
        <w:t>东莞市水务环境投资控股集团管网有限公司</w:t>
      </w:r>
      <w:r>
        <w:rPr>
          <w:rFonts w:hint="eastAsia" w:hAnsi="宋体" w:cs="宋体"/>
          <w:color w:val="auto"/>
          <w:sz w:val="21"/>
          <w:szCs w:val="21"/>
          <w:highlight w:val="none"/>
          <w:lang w:val="en-US"/>
        </w:rPr>
        <w:t>将对应金额转入相应甲方的银行账户，同时中标人应在招标人指定期限内及时补足履约保证金金额。</w:t>
      </w:r>
    </w:p>
    <w:p w14:paraId="29906062">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4B24BD8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在依法完成本项目的所有合同义务，且</w:t>
      </w:r>
      <w:r>
        <w:rPr>
          <w:rFonts w:hint="eastAsia" w:ascii="宋体" w:hAnsi="宋体" w:eastAsia="宋体" w:cs="宋体"/>
          <w:color w:val="auto"/>
          <w:kern w:val="0"/>
          <w:szCs w:val="21"/>
          <w:highlight w:val="none"/>
          <w:lang w:val="zh-CN"/>
        </w:rPr>
        <w:t>结算完毕满</w:t>
      </w:r>
      <w:r>
        <w:rPr>
          <w:rFonts w:hint="eastAsia" w:ascii="宋体" w:hAnsi="宋体" w:eastAsia="宋体" w:cs="宋体"/>
          <w:color w:val="auto"/>
          <w:kern w:val="0"/>
          <w:szCs w:val="21"/>
          <w:highlight w:val="none"/>
        </w:rPr>
        <w:t>二十八</w:t>
      </w:r>
      <w:r>
        <w:rPr>
          <w:rFonts w:hint="eastAsia" w:ascii="宋体" w:hAnsi="宋体" w:eastAsia="宋体" w:cs="Times New Roman"/>
          <w:color w:val="auto"/>
          <w:kern w:val="0"/>
          <w:szCs w:val="21"/>
          <w:highlight w:val="none"/>
        </w:rPr>
        <w:t>（28）</w:t>
      </w:r>
      <w:r>
        <w:rPr>
          <w:rFonts w:hint="eastAsia" w:ascii="宋体" w:hAnsi="宋体" w:eastAsia="宋体" w:cs="宋体"/>
          <w:color w:val="auto"/>
          <w:kern w:val="0"/>
          <w:szCs w:val="21"/>
          <w:highlight w:val="none"/>
          <w:lang w:val="zh-CN"/>
        </w:rPr>
        <w:t>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，经招标人确认，中标人可向招标人提交退回履约担保的申请。招标人审核无异议后，办理履约担保退还手续，退回时一律以银行转账的形式无息退回到中标人的账户。</w:t>
      </w:r>
    </w:p>
    <w:p w14:paraId="489A057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03C713F3">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5" w:name="_Toc32394"/>
      <w:bookmarkStart w:id="286" w:name="_Toc486167702"/>
      <w:bookmarkStart w:id="287" w:name="_Toc13033"/>
      <w:bookmarkStart w:id="288" w:name="_Toc14250835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283"/>
      <w:bookmarkEnd w:id="284"/>
      <w:bookmarkEnd w:id="285"/>
      <w:bookmarkEnd w:id="286"/>
      <w:bookmarkEnd w:id="287"/>
      <w:bookmarkEnd w:id="288"/>
    </w:p>
    <w:p w14:paraId="05A12924">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Arial"/>
          <w:color w:val="auto"/>
          <w:kern w:val="0"/>
          <w:szCs w:val="24"/>
          <w:highlight w:val="none"/>
        </w:rPr>
        <w:t>（含其下属子公司）</w:t>
      </w:r>
      <w:r>
        <w:rPr>
          <w:rFonts w:hint="eastAsia" w:ascii="宋体" w:hAnsi="宋体" w:eastAsia="宋体" w:cs="宋体"/>
          <w:color w:val="auto"/>
          <w:kern w:val="0"/>
          <w:szCs w:val="21"/>
          <w:highlight w:val="none"/>
        </w:rPr>
        <w:t>在合同约定的范围内，招标人</w:t>
      </w:r>
      <w:r>
        <w:rPr>
          <w:rFonts w:hint="eastAsia" w:ascii="宋体" w:hAnsi="宋体" w:eastAsia="宋体" w:cs="Arial"/>
          <w:color w:val="auto"/>
          <w:kern w:val="0"/>
          <w:szCs w:val="24"/>
          <w:highlight w:val="none"/>
        </w:rPr>
        <w:t>（含其下属子公司）</w:t>
      </w:r>
      <w:r>
        <w:rPr>
          <w:rFonts w:hint="eastAsia" w:ascii="宋体" w:hAnsi="宋体" w:eastAsia="宋体" w:cs="宋体"/>
          <w:color w:val="auto"/>
          <w:kern w:val="0"/>
          <w:szCs w:val="21"/>
          <w:highlight w:val="none"/>
        </w:rPr>
        <w:t>有权根据项目实际情况及有关法律法规、政策的规定对采购范围进行变更调整，变更采购范围后，投标人应遵照执行。</w:t>
      </w:r>
    </w:p>
    <w:p w14:paraId="760B344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89" w:name="_Toc450662888"/>
    </w:p>
    <w:p w14:paraId="68333408">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0" w:name="_Toc28921_WPSOffice_Level3"/>
      <w:bookmarkStart w:id="291" w:name="_Toc142508354"/>
      <w:bookmarkStart w:id="292" w:name="_Toc14372"/>
      <w:bookmarkStart w:id="293" w:name="_Toc486167703"/>
      <w:bookmarkStart w:id="294" w:name="_Toc3028"/>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289"/>
      <w:bookmarkEnd w:id="290"/>
      <w:bookmarkEnd w:id="291"/>
      <w:bookmarkEnd w:id="292"/>
      <w:bookmarkEnd w:id="293"/>
      <w:bookmarkEnd w:id="294"/>
    </w:p>
    <w:p w14:paraId="40C73060">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37.1 </w:t>
      </w:r>
      <w:r>
        <w:rPr>
          <w:rFonts w:hint="eastAsia" w:ascii="宋体" w:hAnsi="宋体" w:eastAsia="宋体" w:cs="宋体"/>
          <w:color w:val="auto"/>
          <w:szCs w:val="21"/>
          <w:highlight w:val="none"/>
        </w:rPr>
        <w:t>中标人应按37.2款规定在领取《中标通知书》原件之前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以本项目的中标折扣系数计算得出的不含税暂定总价金额为计费额，本项目业务性质：按货物类招标代理服务收费）</w:t>
      </w:r>
      <w:r>
        <w:rPr>
          <w:rFonts w:hint="eastAsia" w:ascii="宋体" w:hAnsi="宋体" w:eastAsia="宋体" w:cs="宋体"/>
          <w:color w:val="auto"/>
          <w:szCs w:val="21"/>
          <w:highlight w:val="none"/>
          <w:lang w:val="zh-CN"/>
        </w:rPr>
        <w:t>。</w:t>
      </w:r>
    </w:p>
    <w:p w14:paraId="7179C5DC">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 中标人收到中标通知后，须在15日内向招标代理机构交纳中标服务费用及领取《中标通知书》原件，否则视为放弃中标权利和义务。</w:t>
      </w:r>
    </w:p>
    <w:p w14:paraId="2FF14966">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 中标服务费只接受以银行转账、电汇方式交纳</w:t>
      </w:r>
    </w:p>
    <w:p w14:paraId="39E6E879">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中标服务费汇入账号</w:t>
      </w:r>
      <w:r>
        <w:rPr>
          <w:rFonts w:hint="eastAsia" w:ascii="宋体" w:hAnsi="宋体" w:eastAsia="宋体" w:cs="宋体"/>
          <w:b/>
          <w:bCs/>
          <w:color w:val="auto"/>
          <w:szCs w:val="21"/>
          <w:highlight w:val="none"/>
        </w:rPr>
        <w:t>（特别提醒，本账户非投标保证金汇入账户)</w:t>
      </w:r>
      <w:r>
        <w:rPr>
          <w:rFonts w:hint="eastAsia" w:ascii="宋体" w:hAnsi="宋体" w:eastAsia="宋体" w:cs="宋体"/>
          <w:color w:val="auto"/>
          <w:szCs w:val="21"/>
          <w:highlight w:val="none"/>
        </w:rPr>
        <w:t>：</w:t>
      </w:r>
    </w:p>
    <w:p w14:paraId="3E738949">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开户名称：广东有德招标采购有限公司东莞分公司</w:t>
      </w:r>
    </w:p>
    <w:p w14:paraId="1845F19E">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银行</w:t>
      </w:r>
      <w:r>
        <w:rPr>
          <w:rFonts w:hint="eastAsia" w:ascii="宋体" w:hAnsi="宋体" w:eastAsia="宋体" w:cs="宋体"/>
          <w:color w:val="auto"/>
          <w:szCs w:val="21"/>
          <w:highlight w:val="none"/>
          <w:lang w:eastAsia="zh-CN"/>
        </w:rPr>
        <w:t>账号</w:t>
      </w:r>
      <w:r>
        <w:rPr>
          <w:rFonts w:hint="eastAsia" w:ascii="宋体" w:hAnsi="宋体" w:eastAsia="宋体" w:cs="宋体"/>
          <w:color w:val="auto"/>
          <w:szCs w:val="21"/>
          <w:highlight w:val="none"/>
        </w:rPr>
        <w:t>：44001776040053011261</w:t>
      </w:r>
    </w:p>
    <w:p w14:paraId="00B14D59">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开户银行：建行东莞南城支行</w:t>
      </w:r>
    </w:p>
    <w:p w14:paraId="5516B743">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.4 中标人如未按第3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.1款、第3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.2款规定办理，将不予退还其投标保证金。</w:t>
      </w:r>
    </w:p>
    <w:p w14:paraId="523A51E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95" w:name="_Toc450662889"/>
    </w:p>
    <w:p w14:paraId="53644E6F">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6" w:name="_Toc142508355"/>
      <w:bookmarkStart w:id="297" w:name="_Toc26292"/>
      <w:bookmarkStart w:id="298" w:name="_Toc486167704"/>
      <w:bookmarkStart w:id="299" w:name="_Toc6764_WPSOffice_Level3"/>
      <w:bookmarkStart w:id="300" w:name="_Toc13492"/>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295"/>
      <w:bookmarkEnd w:id="296"/>
      <w:bookmarkEnd w:id="297"/>
      <w:bookmarkEnd w:id="298"/>
      <w:bookmarkEnd w:id="299"/>
      <w:bookmarkEnd w:id="300"/>
    </w:p>
    <w:p w14:paraId="2C413C3C">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w:t>
      </w:r>
      <w:r>
        <w:rPr>
          <w:rFonts w:hint="eastAsia" w:ascii="宋体" w:hAnsi="宋体" w:eastAsia="宋体" w:cs="Arial"/>
          <w:color w:val="auto"/>
          <w:kern w:val="0"/>
          <w:szCs w:val="24"/>
          <w:highlight w:val="none"/>
        </w:rPr>
        <w:t>（含其下属子公司）</w:t>
      </w:r>
      <w:r>
        <w:rPr>
          <w:rFonts w:hint="eastAsia" w:ascii="宋体" w:hAnsi="宋体" w:eastAsia="宋体" w:cs="Times New Roman"/>
          <w:color w:val="auto"/>
          <w:szCs w:val="21"/>
          <w:highlight w:val="none"/>
          <w:lang w:val="zh-CN"/>
        </w:rPr>
        <w:t>出具的发票必须是由中标人开具，不得以其他单位或个人名义出具，本项目中标人向招标人</w:t>
      </w:r>
      <w:r>
        <w:rPr>
          <w:rFonts w:hint="eastAsia" w:ascii="宋体" w:hAnsi="宋体" w:eastAsia="宋体" w:cs="Arial"/>
          <w:color w:val="auto"/>
          <w:kern w:val="0"/>
          <w:szCs w:val="24"/>
          <w:highlight w:val="none"/>
        </w:rPr>
        <w:t>（含其下属子公司）</w:t>
      </w:r>
      <w:r>
        <w:rPr>
          <w:rFonts w:hint="eastAsia" w:ascii="宋体" w:hAnsi="宋体" w:eastAsia="宋体" w:cs="Times New Roman"/>
          <w:color w:val="auto"/>
          <w:szCs w:val="21"/>
          <w:highlight w:val="none"/>
          <w:lang w:val="zh-CN"/>
        </w:rPr>
        <w:t>出具的发票类型为增值税专用发票。</w:t>
      </w:r>
      <w:bookmarkStart w:id="301" w:name="_Toc31106_WPSOffice_Level3"/>
      <w:bookmarkStart w:id="302" w:name="_Toc486167705"/>
    </w:p>
    <w:p w14:paraId="74BE59F0">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p>
    <w:p w14:paraId="5B1DBCB6">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03" w:name="_Toc16304"/>
      <w:bookmarkStart w:id="304" w:name="_Toc29707"/>
      <w:bookmarkStart w:id="305" w:name="_Toc142508356"/>
      <w:r>
        <w:rPr>
          <w:rFonts w:ascii="宋体" w:hAnsi="宋体" w:eastAsia="宋体" w:cs="宋体"/>
          <w:b/>
          <w:color w:val="auto"/>
          <w:szCs w:val="21"/>
          <w:highlight w:val="none"/>
        </w:rPr>
        <w:t>39 招标相关补充约定</w:t>
      </w:r>
      <w:bookmarkEnd w:id="303"/>
      <w:bookmarkEnd w:id="304"/>
      <w:bookmarkEnd w:id="305"/>
    </w:p>
    <w:p w14:paraId="7573D466">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24649EAD">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2948B3A1">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06" w:name="_Toc26725"/>
      <w:bookmarkStart w:id="307" w:name="_Toc17295"/>
      <w:bookmarkStart w:id="308" w:name="_Toc142508357"/>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01"/>
      <w:bookmarkEnd w:id="302"/>
      <w:bookmarkEnd w:id="306"/>
      <w:bookmarkEnd w:id="307"/>
      <w:bookmarkEnd w:id="308"/>
    </w:p>
    <w:p w14:paraId="51925A6E">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309" w:name="_Toc142508358"/>
      <w:bookmarkStart w:id="310" w:name="_Toc486167706"/>
      <w:bookmarkStart w:id="311" w:name="_Toc14876"/>
      <w:bookmarkStart w:id="312" w:name="_Toc450662891"/>
      <w:bookmarkStart w:id="313" w:name="_Toc28218"/>
      <w:bookmarkStart w:id="314" w:name="_Toc27939_WPSOffice_Level1"/>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09"/>
      <w:bookmarkEnd w:id="310"/>
      <w:bookmarkEnd w:id="311"/>
      <w:bookmarkEnd w:id="312"/>
      <w:bookmarkEnd w:id="313"/>
      <w:bookmarkEnd w:id="314"/>
    </w:p>
    <w:p w14:paraId="650695B0">
      <w:pPr>
        <w:keepNext w:val="0"/>
        <w:keepLines w:val="0"/>
        <w:pageBreakBefore w:val="0"/>
        <w:kinsoku/>
        <w:wordWrap/>
        <w:overflowPunct/>
        <w:topLinePunct w:val="0"/>
        <w:autoSpaceDE/>
        <w:autoSpaceDN/>
        <w:bidi w:val="0"/>
        <w:adjustRightInd/>
        <w:snapToGrid/>
        <w:spacing w:line="360" w:lineRule="auto"/>
        <w:jc w:val="both"/>
        <w:outlineLvl w:val="1"/>
        <w:rPr>
          <w:rFonts w:hint="eastAsia" w:ascii="宋体" w:hAnsi="宋体" w:eastAsia="宋体" w:cs="宋体"/>
          <w:b/>
          <w:color w:val="auto"/>
          <w:kern w:val="2"/>
          <w:sz w:val="21"/>
          <w:szCs w:val="21"/>
          <w:highlight w:val="none"/>
        </w:rPr>
      </w:pPr>
      <w:bookmarkStart w:id="315" w:name="_Toc15899"/>
      <w:r>
        <w:rPr>
          <w:rFonts w:hint="eastAsia" w:ascii="宋体" w:hAnsi="宋体" w:eastAsia="宋体" w:cs="宋体"/>
          <w:b/>
          <w:color w:val="auto"/>
          <w:kern w:val="2"/>
          <w:sz w:val="21"/>
          <w:szCs w:val="21"/>
          <w:highlight w:val="none"/>
          <w:lang w:val="en-US" w:eastAsia="zh-CN"/>
        </w:rPr>
        <w:t>一</w:t>
      </w:r>
      <w:r>
        <w:rPr>
          <w:rFonts w:hint="eastAsia" w:ascii="宋体" w:hAnsi="宋体" w:eastAsia="宋体" w:cs="宋体"/>
          <w:b/>
          <w:color w:val="auto"/>
          <w:kern w:val="2"/>
          <w:sz w:val="21"/>
          <w:szCs w:val="21"/>
          <w:highlight w:val="none"/>
        </w:rPr>
        <w:t>、货物采购需求</w:t>
      </w:r>
      <w:bookmarkEnd w:id="315"/>
    </w:p>
    <w:p w14:paraId="6856946D">
      <w:pPr>
        <w:keepNext w:val="0"/>
        <w:keepLines w:val="0"/>
        <w:pageBreakBefore w:val="0"/>
        <w:kinsoku/>
        <w:wordWrap/>
        <w:overflowPunct/>
        <w:topLinePunct w:val="0"/>
        <w:autoSpaceDE/>
        <w:autoSpaceDN/>
        <w:bidi w:val="0"/>
        <w:adjustRightInd/>
        <w:snapToGrid/>
        <w:spacing w:line="360" w:lineRule="auto"/>
        <w:ind w:firstLine="420"/>
        <w:jc w:val="both"/>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1.1采购货物情况</w:t>
      </w:r>
    </w:p>
    <w:p w14:paraId="18A418DC">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（1）采购货物清单：详见《</w:t>
      </w:r>
      <w:r>
        <w:rPr>
          <w:rFonts w:hint="eastAsia" w:ascii="宋体" w:hAnsi="宋体" w:eastAsia="宋体" w:cs="宋体"/>
          <w:color w:val="auto"/>
          <w:kern w:val="2"/>
          <w:sz w:val="21"/>
          <w:szCs w:val="21"/>
          <w:highlight w:val="none"/>
          <w:lang w:eastAsia="zh-CN"/>
        </w:rPr>
        <w:t>东莞市水务环境投资控股集团管网有限公司</w:t>
      </w:r>
      <w:r>
        <w:rPr>
          <w:rFonts w:hint="eastAsia" w:ascii="宋体" w:hAnsi="宋体" w:eastAsia="宋体" w:cs="宋体"/>
          <w:color w:val="auto"/>
          <w:kern w:val="2"/>
          <w:sz w:val="21"/>
          <w:szCs w:val="21"/>
          <w:highlight w:val="none"/>
        </w:rPr>
        <w:t>202</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年运维维修工器具类物资采购项目清单》。</w:t>
      </w:r>
    </w:p>
    <w:p w14:paraId="469615CE">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（2）暂定采购总金额：不含税</w:t>
      </w:r>
      <w:r>
        <w:rPr>
          <w:rFonts w:hint="eastAsia" w:ascii="宋体" w:hAnsi="宋体" w:eastAsia="宋体" w:cs="宋体"/>
          <w:color w:val="auto"/>
          <w:kern w:val="2"/>
          <w:sz w:val="21"/>
          <w:szCs w:val="21"/>
          <w:highlight w:val="none"/>
          <w:lang w:val="en-US" w:eastAsia="zh-CN"/>
        </w:rPr>
        <w:t>3,115,395.22</w:t>
      </w:r>
      <w:r>
        <w:rPr>
          <w:rFonts w:hint="eastAsia" w:ascii="宋体" w:hAnsi="宋体" w:eastAsia="宋体" w:cs="宋体"/>
          <w:color w:val="auto"/>
          <w:kern w:val="2"/>
          <w:sz w:val="21"/>
          <w:szCs w:val="21"/>
          <w:highlight w:val="none"/>
        </w:rPr>
        <w:t>元，其中税率为13％，含税</w:t>
      </w:r>
      <w:r>
        <w:rPr>
          <w:rFonts w:hint="eastAsia" w:ascii="宋体" w:hAnsi="宋体" w:eastAsia="宋体" w:cs="宋体"/>
          <w:b w:val="0"/>
          <w:bCs w:val="0"/>
          <w:i w:val="0"/>
          <w:iCs w:val="0"/>
          <w:color w:val="auto"/>
          <w:kern w:val="0"/>
          <w:sz w:val="21"/>
          <w:szCs w:val="21"/>
          <w:highlight w:val="none"/>
          <w:u w:val="none"/>
          <w:lang w:val="en-US" w:eastAsia="zh-CN" w:bidi="ar"/>
        </w:rPr>
        <w:t>3,520,396.60</w:t>
      </w:r>
      <w:r>
        <w:rPr>
          <w:rFonts w:hint="eastAsia" w:ascii="宋体" w:hAnsi="宋体" w:eastAsia="宋体" w:cs="宋体"/>
          <w:color w:val="auto"/>
          <w:kern w:val="2"/>
          <w:sz w:val="21"/>
          <w:szCs w:val="21"/>
          <w:highlight w:val="none"/>
        </w:rPr>
        <w:t>元。</w:t>
      </w:r>
    </w:p>
    <w:tbl>
      <w:tblPr>
        <w:tblStyle w:val="209"/>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176"/>
        <w:gridCol w:w="1385"/>
        <w:gridCol w:w="1746"/>
        <w:gridCol w:w="1641"/>
      </w:tblGrid>
      <w:tr w14:paraId="4DAA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1" w:type="dxa"/>
            <w:vAlign w:val="center"/>
          </w:tcPr>
          <w:p w14:paraId="7B649428">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color w:val="auto"/>
                <w:kern w:val="2"/>
                <w:sz w:val="21"/>
                <w:szCs w:val="21"/>
                <w:highlight w:val="none"/>
              </w:rPr>
            </w:pPr>
            <w:bookmarkStart w:id="316" w:name="_Toc30302"/>
            <w:r>
              <w:rPr>
                <w:rFonts w:hint="eastAsia" w:ascii="宋体" w:hAnsi="宋体" w:eastAsia="宋体" w:cs="宋体"/>
                <w:b w:val="0"/>
                <w:bCs w:val="0"/>
                <w:color w:val="auto"/>
                <w:kern w:val="2"/>
                <w:sz w:val="21"/>
                <w:szCs w:val="21"/>
                <w:highlight w:val="none"/>
              </w:rPr>
              <w:t>序号</w:t>
            </w:r>
            <w:bookmarkEnd w:id="316"/>
          </w:p>
        </w:tc>
        <w:tc>
          <w:tcPr>
            <w:tcW w:w="3176" w:type="dxa"/>
            <w:vAlign w:val="center"/>
          </w:tcPr>
          <w:p w14:paraId="5F369E54">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color w:val="auto"/>
                <w:kern w:val="2"/>
                <w:sz w:val="21"/>
                <w:szCs w:val="21"/>
                <w:highlight w:val="none"/>
              </w:rPr>
            </w:pPr>
            <w:bookmarkStart w:id="317" w:name="_Toc20288"/>
            <w:r>
              <w:rPr>
                <w:rFonts w:hint="eastAsia" w:ascii="宋体" w:hAnsi="宋体" w:eastAsia="宋体" w:cs="宋体"/>
                <w:b w:val="0"/>
                <w:bCs w:val="0"/>
                <w:color w:val="auto"/>
                <w:kern w:val="2"/>
                <w:sz w:val="21"/>
                <w:szCs w:val="21"/>
                <w:highlight w:val="none"/>
              </w:rPr>
              <w:t>公司名称</w:t>
            </w:r>
            <w:bookmarkEnd w:id="317"/>
          </w:p>
        </w:tc>
        <w:tc>
          <w:tcPr>
            <w:tcW w:w="1385" w:type="dxa"/>
            <w:vAlign w:val="center"/>
          </w:tcPr>
          <w:p w14:paraId="2B1C99A2">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color w:val="auto"/>
                <w:kern w:val="2"/>
                <w:sz w:val="21"/>
                <w:szCs w:val="21"/>
                <w:highlight w:val="none"/>
              </w:rPr>
            </w:pPr>
            <w:bookmarkStart w:id="318" w:name="_Toc5186"/>
            <w:r>
              <w:rPr>
                <w:rFonts w:hint="eastAsia" w:ascii="宋体" w:hAnsi="宋体" w:eastAsia="宋体" w:cs="宋体"/>
                <w:b w:val="0"/>
                <w:bCs w:val="0"/>
                <w:color w:val="auto"/>
                <w:kern w:val="2"/>
                <w:sz w:val="21"/>
                <w:szCs w:val="21"/>
                <w:highlight w:val="none"/>
              </w:rPr>
              <w:t>分摊比例</w:t>
            </w:r>
            <w:bookmarkEnd w:id="318"/>
          </w:p>
        </w:tc>
        <w:tc>
          <w:tcPr>
            <w:tcW w:w="1746" w:type="dxa"/>
            <w:vAlign w:val="center"/>
          </w:tcPr>
          <w:p w14:paraId="11F3E551">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color w:val="auto"/>
                <w:kern w:val="2"/>
                <w:sz w:val="21"/>
                <w:szCs w:val="21"/>
                <w:highlight w:val="none"/>
              </w:rPr>
            </w:pPr>
            <w:bookmarkStart w:id="319" w:name="_Toc6197"/>
            <w:r>
              <w:rPr>
                <w:rFonts w:hint="eastAsia" w:ascii="宋体" w:hAnsi="宋体" w:eastAsia="宋体" w:cs="宋体"/>
                <w:b w:val="0"/>
                <w:bCs w:val="0"/>
                <w:color w:val="auto"/>
                <w:kern w:val="2"/>
                <w:sz w:val="21"/>
                <w:szCs w:val="21"/>
                <w:highlight w:val="none"/>
              </w:rPr>
              <w:t>分摊金额</w:t>
            </w:r>
            <w:bookmarkEnd w:id="319"/>
          </w:p>
          <w:p w14:paraId="62E60A63">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color w:val="auto"/>
                <w:kern w:val="2"/>
                <w:sz w:val="21"/>
                <w:szCs w:val="21"/>
                <w:highlight w:val="none"/>
              </w:rPr>
            </w:pPr>
            <w:bookmarkStart w:id="320" w:name="_Toc3490"/>
            <w:r>
              <w:rPr>
                <w:rFonts w:hint="eastAsia" w:ascii="宋体" w:hAnsi="宋体" w:eastAsia="宋体" w:cs="宋体"/>
                <w:b w:val="0"/>
                <w:bCs w:val="0"/>
                <w:color w:val="auto"/>
                <w:kern w:val="2"/>
                <w:sz w:val="21"/>
                <w:szCs w:val="21"/>
                <w:highlight w:val="none"/>
              </w:rPr>
              <w:t>（元，不含税）</w:t>
            </w:r>
            <w:bookmarkEnd w:id="320"/>
          </w:p>
        </w:tc>
        <w:tc>
          <w:tcPr>
            <w:tcW w:w="1641" w:type="dxa"/>
            <w:vAlign w:val="center"/>
          </w:tcPr>
          <w:p w14:paraId="3962E25C">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color w:val="auto"/>
                <w:sz w:val="21"/>
                <w:szCs w:val="21"/>
                <w:highlight w:val="none"/>
                <w:lang w:val="en-US" w:eastAsia="zh-CN"/>
              </w:rPr>
            </w:pPr>
            <w:bookmarkStart w:id="321" w:name="_Toc31483"/>
            <w:r>
              <w:rPr>
                <w:rFonts w:hint="eastAsia" w:ascii="宋体" w:hAnsi="宋体" w:eastAsia="宋体" w:cs="宋体"/>
                <w:b w:val="0"/>
                <w:bCs w:val="0"/>
                <w:color w:val="auto"/>
                <w:sz w:val="21"/>
                <w:szCs w:val="21"/>
                <w:highlight w:val="none"/>
                <w:lang w:val="en-US" w:eastAsia="zh-CN"/>
              </w:rPr>
              <w:t>分摊金额</w:t>
            </w:r>
            <w:bookmarkEnd w:id="321"/>
          </w:p>
          <w:p w14:paraId="3F4B4353">
            <w:pPr>
              <w:pStyle w:val="2"/>
              <w:keepNext w:val="0"/>
              <w:keepLines w:val="0"/>
              <w:pageBreakBefore w:val="0"/>
              <w:kinsoku/>
              <w:wordWrap/>
              <w:overflowPunct/>
              <w:topLinePunct w:val="0"/>
              <w:bidi w:val="0"/>
              <w:snapToGrid/>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（元，含税）</w:t>
            </w:r>
          </w:p>
        </w:tc>
      </w:tr>
      <w:tr w14:paraId="2266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1" w:type="dxa"/>
            <w:vAlign w:val="center"/>
          </w:tcPr>
          <w:p w14:paraId="4F988BB5">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color w:val="auto"/>
                <w:kern w:val="2"/>
                <w:sz w:val="21"/>
                <w:szCs w:val="21"/>
                <w:highlight w:val="none"/>
              </w:rPr>
            </w:pPr>
            <w:bookmarkStart w:id="322" w:name="_Toc5570"/>
            <w:bookmarkStart w:id="323" w:name="OLE_LINK12" w:colFirst="2" w:colLast="3"/>
            <w:r>
              <w:rPr>
                <w:rFonts w:hint="eastAsia" w:ascii="宋体" w:hAnsi="宋体" w:eastAsia="宋体" w:cs="宋体"/>
                <w:b w:val="0"/>
                <w:bCs w:val="0"/>
                <w:color w:val="auto"/>
                <w:kern w:val="2"/>
                <w:sz w:val="21"/>
                <w:szCs w:val="21"/>
                <w:highlight w:val="none"/>
              </w:rPr>
              <w:t>1</w:t>
            </w:r>
            <w:bookmarkEnd w:id="322"/>
          </w:p>
        </w:tc>
        <w:tc>
          <w:tcPr>
            <w:tcW w:w="3176" w:type="dxa"/>
            <w:vAlign w:val="center"/>
          </w:tcPr>
          <w:p w14:paraId="33550C78">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color w:val="auto"/>
                <w:kern w:val="2"/>
                <w:sz w:val="21"/>
                <w:szCs w:val="21"/>
                <w:highlight w:val="none"/>
                <w:lang w:eastAsia="zh-CN"/>
              </w:rPr>
            </w:pPr>
            <w:bookmarkStart w:id="324" w:name="_Toc31206"/>
            <w:r>
              <w:rPr>
                <w:rFonts w:hint="eastAsia" w:ascii="宋体" w:hAnsi="宋体" w:eastAsia="宋体" w:cs="宋体"/>
                <w:b w:val="0"/>
                <w:bCs w:val="0"/>
                <w:color w:val="auto"/>
                <w:kern w:val="2"/>
                <w:sz w:val="21"/>
                <w:szCs w:val="21"/>
                <w:highlight w:val="none"/>
                <w:lang w:eastAsia="zh-CN"/>
              </w:rPr>
              <w:t>东莞市水务环境投资控股集团管网有限公司</w:t>
            </w:r>
            <w:bookmarkEnd w:id="324"/>
          </w:p>
        </w:tc>
        <w:tc>
          <w:tcPr>
            <w:tcW w:w="1385" w:type="dxa"/>
            <w:vAlign w:val="center"/>
          </w:tcPr>
          <w:p w14:paraId="782CF0F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53.82%</w:t>
            </w:r>
          </w:p>
        </w:tc>
        <w:tc>
          <w:tcPr>
            <w:tcW w:w="1746" w:type="dxa"/>
            <w:vAlign w:val="center"/>
          </w:tcPr>
          <w:p w14:paraId="4B4EBA39">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1676705.71</w:t>
            </w:r>
          </w:p>
        </w:tc>
        <w:tc>
          <w:tcPr>
            <w:tcW w:w="1641" w:type="dxa"/>
            <w:vAlign w:val="center"/>
          </w:tcPr>
          <w:p w14:paraId="402B5DA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1894677.45</w:t>
            </w:r>
          </w:p>
        </w:tc>
      </w:tr>
      <w:tr w14:paraId="6DAF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1" w:type="dxa"/>
            <w:vAlign w:val="center"/>
          </w:tcPr>
          <w:p w14:paraId="0C32BCA6">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color w:val="auto"/>
                <w:kern w:val="2"/>
                <w:sz w:val="21"/>
                <w:szCs w:val="21"/>
                <w:highlight w:val="none"/>
              </w:rPr>
            </w:pPr>
            <w:bookmarkStart w:id="325" w:name="_Toc22848"/>
            <w:r>
              <w:rPr>
                <w:rFonts w:hint="eastAsia" w:ascii="宋体" w:hAnsi="宋体" w:eastAsia="宋体" w:cs="宋体"/>
                <w:b w:val="0"/>
                <w:bCs w:val="0"/>
                <w:color w:val="auto"/>
                <w:kern w:val="2"/>
                <w:sz w:val="21"/>
                <w:szCs w:val="21"/>
                <w:highlight w:val="none"/>
              </w:rPr>
              <w:t>2</w:t>
            </w:r>
            <w:bookmarkEnd w:id="325"/>
          </w:p>
        </w:tc>
        <w:tc>
          <w:tcPr>
            <w:tcW w:w="3176" w:type="dxa"/>
            <w:vAlign w:val="center"/>
          </w:tcPr>
          <w:p w14:paraId="30D1140C">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color w:val="auto"/>
                <w:kern w:val="2"/>
                <w:sz w:val="21"/>
                <w:szCs w:val="21"/>
                <w:highlight w:val="none"/>
              </w:rPr>
            </w:pPr>
            <w:bookmarkStart w:id="326" w:name="_Toc23631"/>
            <w:r>
              <w:rPr>
                <w:rFonts w:hint="eastAsia" w:ascii="宋体" w:hAnsi="宋体" w:eastAsia="宋体" w:cs="宋体"/>
                <w:b w:val="0"/>
                <w:bCs w:val="0"/>
                <w:color w:val="auto"/>
                <w:kern w:val="2"/>
                <w:sz w:val="21"/>
                <w:szCs w:val="21"/>
                <w:highlight w:val="none"/>
              </w:rPr>
              <w:t>东莞市莞泽水环境投资有限公司</w:t>
            </w:r>
            <w:bookmarkEnd w:id="326"/>
          </w:p>
        </w:tc>
        <w:tc>
          <w:tcPr>
            <w:tcW w:w="1385" w:type="dxa"/>
            <w:vAlign w:val="center"/>
          </w:tcPr>
          <w:p w14:paraId="78628F8F">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8.24%</w:t>
            </w:r>
          </w:p>
        </w:tc>
        <w:tc>
          <w:tcPr>
            <w:tcW w:w="1746" w:type="dxa"/>
            <w:vAlign w:val="center"/>
          </w:tcPr>
          <w:p w14:paraId="7812F888">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256708.57</w:t>
            </w:r>
          </w:p>
        </w:tc>
        <w:tc>
          <w:tcPr>
            <w:tcW w:w="1641" w:type="dxa"/>
            <w:vAlign w:val="center"/>
          </w:tcPr>
          <w:p w14:paraId="5809BF3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290080.69</w:t>
            </w:r>
          </w:p>
        </w:tc>
      </w:tr>
      <w:tr w14:paraId="5583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1" w:type="dxa"/>
            <w:vAlign w:val="center"/>
          </w:tcPr>
          <w:p w14:paraId="0920753C">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color w:val="auto"/>
                <w:kern w:val="2"/>
                <w:sz w:val="21"/>
                <w:szCs w:val="21"/>
                <w:highlight w:val="none"/>
              </w:rPr>
            </w:pPr>
            <w:bookmarkStart w:id="327" w:name="_Toc25211"/>
            <w:r>
              <w:rPr>
                <w:rFonts w:hint="eastAsia" w:ascii="宋体" w:hAnsi="宋体" w:eastAsia="宋体" w:cs="宋体"/>
                <w:b w:val="0"/>
                <w:bCs w:val="0"/>
                <w:color w:val="auto"/>
                <w:kern w:val="2"/>
                <w:sz w:val="21"/>
                <w:szCs w:val="21"/>
                <w:highlight w:val="none"/>
              </w:rPr>
              <w:t>3</w:t>
            </w:r>
            <w:bookmarkEnd w:id="327"/>
          </w:p>
        </w:tc>
        <w:tc>
          <w:tcPr>
            <w:tcW w:w="3176" w:type="dxa"/>
            <w:vAlign w:val="center"/>
          </w:tcPr>
          <w:p w14:paraId="612C4CB3">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color w:val="auto"/>
                <w:kern w:val="2"/>
                <w:sz w:val="21"/>
                <w:szCs w:val="21"/>
                <w:highlight w:val="none"/>
              </w:rPr>
            </w:pPr>
            <w:bookmarkStart w:id="328" w:name="_Toc2524"/>
            <w:r>
              <w:rPr>
                <w:rFonts w:hint="eastAsia" w:ascii="宋体" w:hAnsi="宋体" w:eastAsia="宋体" w:cs="宋体"/>
                <w:b w:val="0"/>
                <w:bCs w:val="0"/>
                <w:color w:val="auto"/>
                <w:kern w:val="2"/>
                <w:sz w:val="21"/>
                <w:szCs w:val="21"/>
                <w:highlight w:val="none"/>
              </w:rPr>
              <w:t>东莞市</w:t>
            </w:r>
            <w:r>
              <w:rPr>
                <w:rFonts w:hint="eastAsia" w:ascii="宋体" w:hAnsi="宋体" w:eastAsia="宋体" w:cs="宋体"/>
                <w:b w:val="0"/>
                <w:bCs w:val="0"/>
                <w:color w:val="auto"/>
                <w:kern w:val="2"/>
                <w:sz w:val="21"/>
                <w:szCs w:val="21"/>
                <w:highlight w:val="none"/>
                <w:lang w:val="en-US" w:eastAsia="zh-CN"/>
              </w:rPr>
              <w:t>东信</w:t>
            </w:r>
            <w:r>
              <w:rPr>
                <w:rFonts w:hint="eastAsia" w:ascii="宋体" w:hAnsi="宋体" w:eastAsia="宋体" w:cs="宋体"/>
                <w:b w:val="0"/>
                <w:bCs w:val="0"/>
                <w:color w:val="auto"/>
                <w:kern w:val="2"/>
                <w:sz w:val="21"/>
                <w:szCs w:val="21"/>
                <w:highlight w:val="none"/>
              </w:rPr>
              <w:t>水环境投资有限公司</w:t>
            </w:r>
            <w:bookmarkEnd w:id="328"/>
          </w:p>
        </w:tc>
        <w:tc>
          <w:tcPr>
            <w:tcW w:w="1385" w:type="dxa"/>
            <w:vAlign w:val="center"/>
          </w:tcPr>
          <w:p w14:paraId="42D1567C">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10.16%</w:t>
            </w:r>
          </w:p>
        </w:tc>
        <w:tc>
          <w:tcPr>
            <w:tcW w:w="1746" w:type="dxa"/>
            <w:vAlign w:val="center"/>
          </w:tcPr>
          <w:p w14:paraId="4BA61695">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316524.15</w:t>
            </w:r>
          </w:p>
        </w:tc>
        <w:tc>
          <w:tcPr>
            <w:tcW w:w="1641" w:type="dxa"/>
            <w:vAlign w:val="center"/>
          </w:tcPr>
          <w:p w14:paraId="22D16F3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357672.29</w:t>
            </w:r>
          </w:p>
        </w:tc>
      </w:tr>
      <w:tr w14:paraId="4E64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1" w:type="dxa"/>
            <w:vAlign w:val="center"/>
          </w:tcPr>
          <w:p w14:paraId="38D7D8ED">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color w:val="auto"/>
                <w:kern w:val="2"/>
                <w:sz w:val="21"/>
                <w:szCs w:val="21"/>
                <w:highlight w:val="none"/>
              </w:rPr>
            </w:pPr>
            <w:bookmarkStart w:id="329" w:name="_Toc28220"/>
            <w:r>
              <w:rPr>
                <w:rFonts w:hint="eastAsia" w:ascii="宋体" w:hAnsi="宋体" w:eastAsia="宋体" w:cs="宋体"/>
                <w:b w:val="0"/>
                <w:bCs w:val="0"/>
                <w:color w:val="auto"/>
                <w:kern w:val="2"/>
                <w:sz w:val="21"/>
                <w:szCs w:val="21"/>
                <w:highlight w:val="none"/>
              </w:rPr>
              <w:t>4</w:t>
            </w:r>
            <w:bookmarkEnd w:id="329"/>
          </w:p>
        </w:tc>
        <w:tc>
          <w:tcPr>
            <w:tcW w:w="3176" w:type="dxa"/>
            <w:vAlign w:val="center"/>
          </w:tcPr>
          <w:p w14:paraId="6B2C5BB8">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color w:val="auto"/>
                <w:kern w:val="2"/>
                <w:sz w:val="21"/>
                <w:szCs w:val="21"/>
                <w:highlight w:val="none"/>
              </w:rPr>
            </w:pPr>
            <w:bookmarkStart w:id="330" w:name="_Toc22788"/>
            <w:r>
              <w:rPr>
                <w:rFonts w:hint="eastAsia" w:ascii="宋体" w:hAnsi="宋体" w:eastAsia="宋体" w:cs="宋体"/>
                <w:b w:val="0"/>
                <w:bCs w:val="0"/>
                <w:color w:val="auto"/>
                <w:kern w:val="2"/>
                <w:sz w:val="21"/>
                <w:szCs w:val="21"/>
                <w:highlight w:val="none"/>
              </w:rPr>
              <w:t>东莞市</w:t>
            </w:r>
            <w:r>
              <w:rPr>
                <w:rFonts w:hint="eastAsia" w:ascii="宋体" w:hAnsi="宋体" w:eastAsia="宋体" w:cs="宋体"/>
                <w:b w:val="0"/>
                <w:bCs w:val="0"/>
                <w:color w:val="auto"/>
                <w:kern w:val="2"/>
                <w:sz w:val="21"/>
                <w:szCs w:val="21"/>
                <w:highlight w:val="none"/>
                <w:lang w:val="en-US" w:eastAsia="zh-CN"/>
              </w:rPr>
              <w:t>东泽</w:t>
            </w:r>
            <w:r>
              <w:rPr>
                <w:rFonts w:hint="eastAsia" w:ascii="宋体" w:hAnsi="宋体" w:eastAsia="宋体" w:cs="宋体"/>
                <w:b w:val="0"/>
                <w:bCs w:val="0"/>
                <w:color w:val="auto"/>
                <w:kern w:val="2"/>
                <w:sz w:val="21"/>
                <w:szCs w:val="21"/>
                <w:highlight w:val="none"/>
              </w:rPr>
              <w:t>水环境投资有限公司</w:t>
            </w:r>
            <w:bookmarkEnd w:id="330"/>
          </w:p>
        </w:tc>
        <w:tc>
          <w:tcPr>
            <w:tcW w:w="1385" w:type="dxa"/>
            <w:vAlign w:val="center"/>
          </w:tcPr>
          <w:p w14:paraId="7EDD610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11.73%</w:t>
            </w:r>
          </w:p>
        </w:tc>
        <w:tc>
          <w:tcPr>
            <w:tcW w:w="1746" w:type="dxa"/>
            <w:vAlign w:val="center"/>
          </w:tcPr>
          <w:p w14:paraId="0569C619">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365435.86</w:t>
            </w:r>
          </w:p>
        </w:tc>
        <w:tc>
          <w:tcPr>
            <w:tcW w:w="1641" w:type="dxa"/>
            <w:vAlign w:val="center"/>
          </w:tcPr>
          <w:p w14:paraId="29BAE12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412942.52</w:t>
            </w:r>
          </w:p>
        </w:tc>
      </w:tr>
      <w:tr w14:paraId="0F4D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1" w:type="dxa"/>
            <w:vAlign w:val="center"/>
          </w:tcPr>
          <w:p w14:paraId="547D4575">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color w:val="auto"/>
                <w:kern w:val="2"/>
                <w:sz w:val="21"/>
                <w:szCs w:val="21"/>
                <w:highlight w:val="none"/>
              </w:rPr>
            </w:pPr>
            <w:bookmarkStart w:id="331" w:name="_Toc6824"/>
            <w:r>
              <w:rPr>
                <w:rFonts w:hint="eastAsia" w:ascii="宋体" w:hAnsi="宋体" w:eastAsia="宋体" w:cs="宋体"/>
                <w:b w:val="0"/>
                <w:bCs w:val="0"/>
                <w:color w:val="auto"/>
                <w:kern w:val="2"/>
                <w:sz w:val="21"/>
                <w:szCs w:val="21"/>
                <w:highlight w:val="none"/>
              </w:rPr>
              <w:t>5</w:t>
            </w:r>
            <w:bookmarkEnd w:id="331"/>
          </w:p>
        </w:tc>
        <w:tc>
          <w:tcPr>
            <w:tcW w:w="3176" w:type="dxa"/>
            <w:vAlign w:val="center"/>
          </w:tcPr>
          <w:p w14:paraId="23058ECB">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color w:val="auto"/>
                <w:kern w:val="2"/>
                <w:sz w:val="21"/>
                <w:szCs w:val="21"/>
                <w:highlight w:val="none"/>
              </w:rPr>
            </w:pPr>
            <w:bookmarkStart w:id="332" w:name="_Toc12984"/>
            <w:r>
              <w:rPr>
                <w:rFonts w:hint="eastAsia" w:ascii="宋体" w:hAnsi="宋体" w:eastAsia="宋体" w:cs="宋体"/>
                <w:b w:val="0"/>
                <w:bCs w:val="0"/>
                <w:color w:val="auto"/>
                <w:kern w:val="2"/>
                <w:sz w:val="21"/>
                <w:szCs w:val="21"/>
                <w:highlight w:val="none"/>
              </w:rPr>
              <w:t>东莞市</w:t>
            </w:r>
            <w:r>
              <w:rPr>
                <w:rFonts w:hint="eastAsia" w:ascii="宋体" w:hAnsi="宋体" w:eastAsia="宋体" w:cs="宋体"/>
                <w:b w:val="0"/>
                <w:bCs w:val="0"/>
                <w:color w:val="auto"/>
                <w:kern w:val="2"/>
                <w:sz w:val="21"/>
                <w:szCs w:val="21"/>
                <w:highlight w:val="none"/>
                <w:lang w:val="en-US" w:eastAsia="zh-CN"/>
              </w:rPr>
              <w:t>清泽</w:t>
            </w:r>
            <w:r>
              <w:rPr>
                <w:rFonts w:hint="eastAsia" w:ascii="宋体" w:hAnsi="宋体" w:eastAsia="宋体" w:cs="宋体"/>
                <w:b w:val="0"/>
                <w:bCs w:val="0"/>
                <w:color w:val="auto"/>
                <w:kern w:val="2"/>
                <w:sz w:val="21"/>
                <w:szCs w:val="21"/>
                <w:highlight w:val="none"/>
              </w:rPr>
              <w:t>水环境投资有限公司</w:t>
            </w:r>
            <w:bookmarkEnd w:id="332"/>
          </w:p>
        </w:tc>
        <w:tc>
          <w:tcPr>
            <w:tcW w:w="1385" w:type="dxa"/>
            <w:vAlign w:val="center"/>
          </w:tcPr>
          <w:p w14:paraId="43D85295">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7.60%</w:t>
            </w:r>
          </w:p>
        </w:tc>
        <w:tc>
          <w:tcPr>
            <w:tcW w:w="1746" w:type="dxa"/>
            <w:vAlign w:val="center"/>
          </w:tcPr>
          <w:p w14:paraId="10AEC857">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236770.04</w:t>
            </w:r>
          </w:p>
        </w:tc>
        <w:tc>
          <w:tcPr>
            <w:tcW w:w="1641" w:type="dxa"/>
            <w:vAlign w:val="center"/>
          </w:tcPr>
          <w:p w14:paraId="7E7E42E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267550.14</w:t>
            </w:r>
          </w:p>
        </w:tc>
      </w:tr>
      <w:tr w14:paraId="798F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1" w:type="dxa"/>
            <w:vAlign w:val="center"/>
          </w:tcPr>
          <w:p w14:paraId="5A37077E">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color w:val="auto"/>
                <w:kern w:val="2"/>
                <w:sz w:val="21"/>
                <w:szCs w:val="21"/>
                <w:highlight w:val="none"/>
              </w:rPr>
            </w:pPr>
            <w:bookmarkStart w:id="333" w:name="_Toc27332"/>
            <w:r>
              <w:rPr>
                <w:rFonts w:hint="eastAsia" w:ascii="宋体" w:hAnsi="宋体" w:eastAsia="宋体" w:cs="宋体"/>
                <w:b w:val="0"/>
                <w:bCs w:val="0"/>
                <w:color w:val="auto"/>
                <w:kern w:val="2"/>
                <w:sz w:val="21"/>
                <w:szCs w:val="21"/>
                <w:highlight w:val="none"/>
              </w:rPr>
              <w:t>6</w:t>
            </w:r>
            <w:bookmarkEnd w:id="333"/>
          </w:p>
        </w:tc>
        <w:tc>
          <w:tcPr>
            <w:tcW w:w="3176" w:type="dxa"/>
            <w:vAlign w:val="center"/>
          </w:tcPr>
          <w:p w14:paraId="4333E166">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color w:val="auto"/>
                <w:kern w:val="2"/>
                <w:sz w:val="21"/>
                <w:szCs w:val="21"/>
                <w:highlight w:val="none"/>
              </w:rPr>
            </w:pPr>
            <w:bookmarkStart w:id="334" w:name="_Toc15451"/>
            <w:r>
              <w:rPr>
                <w:rFonts w:hint="eastAsia" w:ascii="宋体" w:hAnsi="宋体" w:eastAsia="宋体" w:cs="宋体"/>
                <w:b w:val="0"/>
                <w:bCs w:val="0"/>
                <w:color w:val="auto"/>
                <w:kern w:val="2"/>
                <w:sz w:val="21"/>
                <w:szCs w:val="21"/>
                <w:highlight w:val="none"/>
              </w:rPr>
              <w:t>东莞市莞清水环境投资有限公司</w:t>
            </w:r>
            <w:bookmarkEnd w:id="334"/>
          </w:p>
        </w:tc>
        <w:tc>
          <w:tcPr>
            <w:tcW w:w="1385" w:type="dxa"/>
            <w:vAlign w:val="center"/>
          </w:tcPr>
          <w:p w14:paraId="2410A53D">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5.19%</w:t>
            </w:r>
          </w:p>
        </w:tc>
        <w:tc>
          <w:tcPr>
            <w:tcW w:w="1746" w:type="dxa"/>
            <w:vAlign w:val="center"/>
          </w:tcPr>
          <w:p w14:paraId="5A76773D">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161689.01</w:t>
            </w:r>
          </w:p>
        </w:tc>
        <w:tc>
          <w:tcPr>
            <w:tcW w:w="1641" w:type="dxa"/>
            <w:vAlign w:val="center"/>
          </w:tcPr>
          <w:p w14:paraId="389601A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182708.58</w:t>
            </w:r>
          </w:p>
        </w:tc>
      </w:tr>
      <w:tr w14:paraId="3B2E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41" w:type="dxa"/>
            <w:vAlign w:val="center"/>
          </w:tcPr>
          <w:p w14:paraId="451B9F12">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color w:val="auto"/>
                <w:kern w:val="2"/>
                <w:sz w:val="21"/>
                <w:szCs w:val="21"/>
                <w:highlight w:val="none"/>
              </w:rPr>
            </w:pPr>
            <w:bookmarkStart w:id="335" w:name="_Toc11025"/>
            <w:r>
              <w:rPr>
                <w:rFonts w:hint="eastAsia" w:ascii="宋体" w:hAnsi="宋体" w:eastAsia="宋体" w:cs="宋体"/>
                <w:b w:val="0"/>
                <w:bCs w:val="0"/>
                <w:color w:val="auto"/>
                <w:kern w:val="2"/>
                <w:sz w:val="21"/>
                <w:szCs w:val="21"/>
                <w:highlight w:val="none"/>
              </w:rPr>
              <w:t>7</w:t>
            </w:r>
            <w:bookmarkEnd w:id="335"/>
          </w:p>
        </w:tc>
        <w:tc>
          <w:tcPr>
            <w:tcW w:w="3176" w:type="dxa"/>
            <w:vAlign w:val="center"/>
          </w:tcPr>
          <w:p w14:paraId="4B3FEF36">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color w:val="auto"/>
                <w:kern w:val="2"/>
                <w:sz w:val="21"/>
                <w:szCs w:val="21"/>
                <w:highlight w:val="none"/>
              </w:rPr>
            </w:pPr>
            <w:bookmarkStart w:id="336" w:name="_Toc622"/>
            <w:r>
              <w:rPr>
                <w:rFonts w:hint="eastAsia" w:ascii="宋体" w:hAnsi="宋体" w:eastAsia="宋体" w:cs="宋体"/>
                <w:b w:val="0"/>
                <w:bCs w:val="0"/>
                <w:color w:val="auto"/>
                <w:kern w:val="2"/>
                <w:sz w:val="21"/>
                <w:szCs w:val="21"/>
                <w:highlight w:val="none"/>
              </w:rPr>
              <w:t>东莞市东江水环境投资有限公司</w:t>
            </w:r>
            <w:bookmarkEnd w:id="336"/>
          </w:p>
        </w:tc>
        <w:tc>
          <w:tcPr>
            <w:tcW w:w="1385" w:type="dxa"/>
            <w:vAlign w:val="center"/>
          </w:tcPr>
          <w:p w14:paraId="0EE9F48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3.26%</w:t>
            </w:r>
          </w:p>
        </w:tc>
        <w:tc>
          <w:tcPr>
            <w:tcW w:w="1746" w:type="dxa"/>
            <w:vAlign w:val="center"/>
          </w:tcPr>
          <w:p w14:paraId="017F07A7">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101561.88</w:t>
            </w:r>
          </w:p>
        </w:tc>
        <w:tc>
          <w:tcPr>
            <w:tcW w:w="1641" w:type="dxa"/>
            <w:vAlign w:val="center"/>
          </w:tcPr>
          <w:p w14:paraId="12EFC4C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114764.93</w:t>
            </w:r>
          </w:p>
        </w:tc>
      </w:tr>
      <w:tr w14:paraId="65BE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917" w:type="dxa"/>
            <w:gridSpan w:val="2"/>
            <w:vAlign w:val="center"/>
          </w:tcPr>
          <w:p w14:paraId="30B35F41">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color w:val="auto"/>
                <w:kern w:val="2"/>
                <w:sz w:val="21"/>
                <w:szCs w:val="21"/>
                <w:highlight w:val="none"/>
              </w:rPr>
            </w:pPr>
            <w:bookmarkStart w:id="337" w:name="_Toc26633"/>
            <w:bookmarkStart w:id="338" w:name="OLE_LINK8" w:colFirst="1" w:colLast="2"/>
            <w:bookmarkStart w:id="339" w:name="OLE_LINK5" w:colFirst="2" w:colLast="3"/>
            <w:r>
              <w:rPr>
                <w:rFonts w:hint="eastAsia" w:ascii="宋体" w:hAnsi="宋体" w:eastAsia="宋体" w:cs="宋体"/>
                <w:b w:val="0"/>
                <w:bCs w:val="0"/>
                <w:color w:val="auto"/>
                <w:kern w:val="2"/>
                <w:sz w:val="21"/>
                <w:szCs w:val="21"/>
                <w:highlight w:val="none"/>
              </w:rPr>
              <w:t>合计</w:t>
            </w:r>
            <w:bookmarkEnd w:id="337"/>
          </w:p>
        </w:tc>
        <w:tc>
          <w:tcPr>
            <w:tcW w:w="1385" w:type="dxa"/>
            <w:vAlign w:val="center"/>
          </w:tcPr>
          <w:p w14:paraId="77414D7E">
            <w:pPr>
              <w:keepNext w:val="0"/>
              <w:keepLines w:val="0"/>
              <w:pageBreakBefore w:val="0"/>
              <w:kinsoku/>
              <w:wordWrap/>
              <w:overflowPunct/>
              <w:topLinePunct w:val="0"/>
              <w:autoSpaceDE/>
              <w:autoSpaceDN/>
              <w:bidi w:val="0"/>
              <w:adjustRightInd/>
              <w:snapToGrid/>
              <w:spacing w:line="360" w:lineRule="auto"/>
              <w:jc w:val="center"/>
              <w:outlineLvl w:val="2"/>
              <w:rPr>
                <w:rFonts w:hint="eastAsia" w:ascii="宋体" w:hAnsi="宋体" w:eastAsia="宋体" w:cs="宋体"/>
                <w:b w:val="0"/>
                <w:bCs w:val="0"/>
                <w:color w:val="auto"/>
                <w:kern w:val="2"/>
                <w:sz w:val="21"/>
                <w:szCs w:val="21"/>
                <w:highlight w:val="none"/>
                <w:lang w:bidi="ar"/>
              </w:rPr>
            </w:pPr>
            <w:bookmarkStart w:id="340" w:name="_Toc12694"/>
            <w:r>
              <w:rPr>
                <w:rFonts w:hint="eastAsia" w:ascii="宋体" w:hAnsi="宋体" w:eastAsia="宋体" w:cs="宋体"/>
                <w:b w:val="0"/>
                <w:bCs w:val="0"/>
                <w:color w:val="auto"/>
                <w:kern w:val="2"/>
                <w:sz w:val="21"/>
                <w:szCs w:val="21"/>
                <w:highlight w:val="none"/>
                <w:lang w:bidi="ar"/>
              </w:rPr>
              <w:t>100%</w:t>
            </w:r>
            <w:bookmarkEnd w:id="340"/>
          </w:p>
        </w:tc>
        <w:tc>
          <w:tcPr>
            <w:tcW w:w="1746" w:type="dxa"/>
            <w:vAlign w:val="center"/>
          </w:tcPr>
          <w:p w14:paraId="1BACD3B7">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3115395.22</w:t>
            </w:r>
          </w:p>
        </w:tc>
        <w:tc>
          <w:tcPr>
            <w:tcW w:w="1641" w:type="dxa"/>
            <w:vAlign w:val="center"/>
          </w:tcPr>
          <w:p w14:paraId="4AEA0C58">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3520396.60</w:t>
            </w:r>
          </w:p>
        </w:tc>
      </w:tr>
      <w:bookmarkEnd w:id="323"/>
      <w:bookmarkEnd w:id="338"/>
      <w:bookmarkEnd w:id="339"/>
    </w:tbl>
    <w:p w14:paraId="51B73B6C">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（3）本招标文件中采购数量为暂定数量，仅为便于计算暂定合同价使用，不作为招标人最终采购数量的保证。实际需求数量以招标人具体供货通知为准，按实结算。</w:t>
      </w:r>
      <w:r>
        <w:rPr>
          <w:rFonts w:hint="eastAsia" w:ascii="宋体" w:hAnsi="宋体" w:eastAsia="宋体" w:cs="宋体"/>
          <w:color w:val="auto"/>
          <w:kern w:val="2"/>
          <w:sz w:val="21"/>
          <w:szCs w:val="21"/>
          <w:highlight w:val="none"/>
          <w:lang w:val="en-US" w:eastAsia="zh-CN"/>
        </w:rPr>
        <w:t>中标</w:t>
      </w:r>
      <w:r>
        <w:rPr>
          <w:rFonts w:hint="eastAsia" w:ascii="宋体" w:hAnsi="宋体" w:eastAsia="宋体" w:cs="宋体"/>
          <w:color w:val="auto"/>
          <w:kern w:val="2"/>
          <w:sz w:val="21"/>
          <w:szCs w:val="21"/>
          <w:highlight w:val="none"/>
        </w:rPr>
        <w:t>折扣系数及不含税中标综合单价不随数量的变化而增减。投标人不得因招标人实际采购数量的减少或增加而要求提供任何形式的补偿或赔偿，</w:t>
      </w:r>
      <w:r>
        <w:rPr>
          <w:rFonts w:hint="eastAsia" w:ascii="宋体" w:hAnsi="宋体" w:eastAsia="宋体" w:cs="宋体"/>
          <w:color w:val="auto"/>
          <w:kern w:val="2"/>
          <w:sz w:val="21"/>
          <w:szCs w:val="21"/>
          <w:highlight w:val="none"/>
          <w:lang w:eastAsia="zh-CN"/>
        </w:rPr>
        <w:t>亦不得</w:t>
      </w:r>
      <w:r>
        <w:rPr>
          <w:rFonts w:hint="eastAsia" w:ascii="宋体" w:hAnsi="宋体" w:eastAsia="宋体" w:cs="宋体"/>
          <w:color w:val="auto"/>
          <w:kern w:val="2"/>
          <w:sz w:val="21"/>
          <w:szCs w:val="21"/>
          <w:highlight w:val="none"/>
        </w:rPr>
        <w:t>要求按暂定数量采购相应货物</w:t>
      </w:r>
      <w:r>
        <w:rPr>
          <w:rFonts w:hint="eastAsia" w:ascii="宋体" w:hAnsi="宋体" w:eastAsia="宋体" w:cs="宋体"/>
          <w:color w:val="auto"/>
          <w:kern w:val="2"/>
          <w:sz w:val="21"/>
          <w:szCs w:val="21"/>
          <w:highlight w:val="none"/>
          <w:lang w:eastAsia="zh-CN"/>
        </w:rPr>
        <w:t>；投标人不得以原材料、运输或市场价格波动为由主张调整</w:t>
      </w:r>
      <w:r>
        <w:rPr>
          <w:rFonts w:hint="eastAsia" w:ascii="宋体" w:hAnsi="宋体" w:eastAsia="宋体" w:cs="宋体"/>
          <w:color w:val="auto"/>
          <w:kern w:val="2"/>
          <w:sz w:val="21"/>
          <w:szCs w:val="21"/>
          <w:highlight w:val="none"/>
          <w:lang w:val="en-US" w:eastAsia="zh-CN"/>
        </w:rPr>
        <w:t>折扣系数或者综合</w:t>
      </w:r>
      <w:r>
        <w:rPr>
          <w:rFonts w:hint="eastAsia" w:ascii="宋体" w:hAnsi="宋体" w:eastAsia="宋体" w:cs="宋体"/>
          <w:color w:val="auto"/>
          <w:kern w:val="2"/>
          <w:sz w:val="21"/>
          <w:szCs w:val="21"/>
          <w:highlight w:val="none"/>
          <w:lang w:eastAsia="zh-CN"/>
        </w:rPr>
        <w:t>单价</w:t>
      </w:r>
      <w:r>
        <w:rPr>
          <w:rFonts w:hint="eastAsia" w:ascii="宋体" w:hAnsi="宋体" w:eastAsia="宋体" w:cs="宋体"/>
          <w:color w:val="auto"/>
          <w:kern w:val="2"/>
          <w:sz w:val="21"/>
          <w:szCs w:val="21"/>
          <w:highlight w:val="none"/>
        </w:rPr>
        <w:t>。</w:t>
      </w:r>
    </w:p>
    <w:p w14:paraId="41FDCE1B">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1.2交货要求</w:t>
      </w:r>
    </w:p>
    <w:p w14:paraId="18ADA76C">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bCs/>
          <w:color w:val="auto"/>
          <w:sz w:val="21"/>
          <w:szCs w:val="21"/>
          <w:highlight w:val="none"/>
          <w:lang w:bidi="ar"/>
        </w:rPr>
        <w:t>供货期：</w:t>
      </w:r>
      <w:r>
        <w:rPr>
          <w:rFonts w:hint="eastAsia" w:ascii="宋体" w:hAnsi="宋体" w:eastAsia="宋体" w:cs="宋体"/>
          <w:bCs/>
          <w:color w:val="auto"/>
          <w:sz w:val="21"/>
          <w:szCs w:val="21"/>
          <w:highlight w:val="none"/>
          <w:lang w:val="en-US" w:eastAsia="zh-CN" w:bidi="ar"/>
        </w:rPr>
        <w:t>自合同签订之日起一年。</w:t>
      </w:r>
    </w:p>
    <w:p w14:paraId="0CDE71C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contextualSpacing/>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交货期：</w:t>
      </w:r>
    </w:p>
    <w:p w14:paraId="04DC3962">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①月度配送：每月10日前招标人根据实际需求通过电子邮箱发出供货通知至中标人电子邮箱，供货通知书送达中标人指定邮箱后，视中标人已接收到供货通知。中标人自接到供货通知后，需提前联系招标人核实供货货物规格，并在【1</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】个工作日内发出供货清单并送达货物，经各</w:t>
      </w:r>
      <w:r>
        <w:rPr>
          <w:rFonts w:hint="eastAsia" w:ascii="宋体" w:hAnsi="宋体" w:eastAsia="宋体" w:cs="宋体"/>
          <w:color w:val="auto"/>
          <w:kern w:val="2"/>
          <w:sz w:val="21"/>
          <w:szCs w:val="21"/>
          <w:highlight w:val="none"/>
          <w:lang w:val="en-US" w:eastAsia="zh-CN"/>
        </w:rPr>
        <w:t>地区</w:t>
      </w:r>
      <w:r>
        <w:rPr>
          <w:rFonts w:hint="eastAsia" w:ascii="宋体" w:hAnsi="宋体" w:eastAsia="宋体" w:cs="宋体"/>
          <w:color w:val="auto"/>
          <w:kern w:val="2"/>
          <w:sz w:val="21"/>
          <w:szCs w:val="21"/>
          <w:highlight w:val="none"/>
        </w:rPr>
        <w:t>联系人验收合格后，由双方签字确认。</w:t>
      </w:r>
    </w:p>
    <w:p w14:paraId="10F9BD48">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②临时紧急配送：如遇临时紧急配送，供货通知书送达中标人指定邮箱后，需在</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个工作日内按招标人发出供货清单并送达货物，经验收合格后，由双方签字确认，供货是否为紧急配送，以招标人各</w:t>
      </w:r>
      <w:r>
        <w:rPr>
          <w:rFonts w:hint="eastAsia" w:ascii="宋体" w:hAnsi="宋体" w:eastAsia="宋体" w:cs="宋体"/>
          <w:color w:val="auto"/>
          <w:kern w:val="2"/>
          <w:sz w:val="21"/>
          <w:szCs w:val="21"/>
          <w:highlight w:val="none"/>
          <w:lang w:val="en-US" w:eastAsia="zh-CN"/>
        </w:rPr>
        <w:t>地区</w:t>
      </w:r>
      <w:r>
        <w:rPr>
          <w:rFonts w:hint="eastAsia" w:ascii="宋体" w:hAnsi="宋体" w:eastAsia="宋体" w:cs="宋体"/>
          <w:color w:val="auto"/>
          <w:kern w:val="2"/>
          <w:sz w:val="21"/>
          <w:szCs w:val="21"/>
          <w:highlight w:val="none"/>
        </w:rPr>
        <w:t>书面通知为准。</w:t>
      </w:r>
    </w:p>
    <w:p w14:paraId="5CDE01B6">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③交货延期要求：出现货源不充足需要订购的货物，</w:t>
      </w:r>
      <w:r>
        <w:rPr>
          <w:rFonts w:hint="eastAsia" w:ascii="宋体" w:hAnsi="宋体" w:eastAsia="宋体" w:cs="宋体"/>
          <w:color w:val="auto"/>
          <w:kern w:val="2"/>
          <w:sz w:val="21"/>
          <w:szCs w:val="21"/>
          <w:highlight w:val="none"/>
          <w:lang w:val="en-US" w:eastAsia="zh-CN"/>
        </w:rPr>
        <w:t>中</w:t>
      </w:r>
      <w:r>
        <w:rPr>
          <w:rFonts w:hint="eastAsia" w:ascii="宋体" w:hAnsi="宋体" w:eastAsia="宋体" w:cs="宋体"/>
          <w:color w:val="auto"/>
          <w:kern w:val="2"/>
          <w:sz w:val="21"/>
          <w:szCs w:val="21"/>
          <w:highlight w:val="none"/>
        </w:rPr>
        <w:t>标人须在收到招标人</w:t>
      </w:r>
      <w:r>
        <w:rPr>
          <w:rFonts w:hint="eastAsia" w:ascii="宋体" w:hAnsi="宋体" w:eastAsia="宋体" w:cs="宋体"/>
          <w:color w:val="auto"/>
          <w:kern w:val="2"/>
          <w:sz w:val="21"/>
          <w:szCs w:val="21"/>
          <w:highlight w:val="none"/>
          <w:lang w:eastAsia="zh-CN"/>
        </w:rPr>
        <w:t>各地区</w:t>
      </w:r>
      <w:r>
        <w:rPr>
          <w:rFonts w:hint="eastAsia" w:ascii="宋体" w:hAnsi="宋体" w:eastAsia="宋体" w:cs="宋体"/>
          <w:color w:val="auto"/>
          <w:kern w:val="2"/>
          <w:sz w:val="21"/>
          <w:szCs w:val="21"/>
          <w:highlight w:val="none"/>
        </w:rPr>
        <w:t>的供货通知后24小时内与</w:t>
      </w:r>
      <w:r>
        <w:rPr>
          <w:rFonts w:hint="eastAsia" w:ascii="宋体" w:hAnsi="宋体" w:eastAsia="宋体" w:cs="宋体"/>
          <w:color w:val="auto"/>
          <w:kern w:val="2"/>
          <w:sz w:val="21"/>
          <w:szCs w:val="21"/>
          <w:highlight w:val="none"/>
          <w:lang w:eastAsia="zh-CN"/>
        </w:rPr>
        <w:t>各地区</w:t>
      </w:r>
      <w:r>
        <w:rPr>
          <w:rFonts w:hint="eastAsia" w:ascii="宋体" w:hAnsi="宋体" w:eastAsia="宋体" w:cs="宋体"/>
          <w:color w:val="auto"/>
          <w:kern w:val="2"/>
          <w:sz w:val="21"/>
          <w:szCs w:val="21"/>
          <w:highlight w:val="none"/>
        </w:rPr>
        <w:t>联系人进行沟通并经招标人</w:t>
      </w:r>
      <w:r>
        <w:rPr>
          <w:rFonts w:hint="eastAsia" w:ascii="宋体" w:hAnsi="宋体" w:eastAsia="宋体" w:cs="宋体"/>
          <w:color w:val="auto"/>
          <w:kern w:val="2"/>
          <w:sz w:val="21"/>
          <w:szCs w:val="21"/>
          <w:highlight w:val="none"/>
          <w:lang w:eastAsia="zh-CN"/>
        </w:rPr>
        <w:t>各地区</w:t>
      </w:r>
      <w:r>
        <w:rPr>
          <w:rFonts w:hint="eastAsia" w:ascii="宋体" w:hAnsi="宋体" w:eastAsia="宋体" w:cs="宋体"/>
          <w:color w:val="auto"/>
          <w:kern w:val="2"/>
          <w:sz w:val="21"/>
          <w:szCs w:val="21"/>
          <w:highlight w:val="none"/>
        </w:rPr>
        <w:t>书面同意后，可延长交货期。</w:t>
      </w:r>
      <w:r>
        <w:rPr>
          <w:rFonts w:hint="eastAsia" w:ascii="宋体" w:hAnsi="宋体" w:eastAsia="宋体" w:cs="宋体"/>
          <w:color w:val="auto"/>
          <w:kern w:val="2"/>
          <w:sz w:val="21"/>
          <w:szCs w:val="21"/>
          <w:highlight w:val="none"/>
          <w:lang w:eastAsia="zh-CN"/>
        </w:rPr>
        <w:t>各地区</w:t>
      </w:r>
      <w:r>
        <w:rPr>
          <w:rFonts w:hint="eastAsia" w:ascii="宋体" w:hAnsi="宋体" w:eastAsia="宋体" w:cs="宋体"/>
          <w:color w:val="auto"/>
          <w:kern w:val="2"/>
          <w:sz w:val="21"/>
          <w:szCs w:val="21"/>
          <w:highlight w:val="none"/>
        </w:rPr>
        <w:t>联系人不同意延长交货期的，</w:t>
      </w:r>
      <w:r>
        <w:rPr>
          <w:rFonts w:hint="eastAsia" w:ascii="宋体" w:hAnsi="宋体" w:eastAsia="宋体" w:cs="宋体"/>
          <w:color w:val="auto"/>
          <w:kern w:val="2"/>
          <w:sz w:val="21"/>
          <w:szCs w:val="21"/>
          <w:highlight w:val="none"/>
          <w:lang w:val="en-US" w:eastAsia="zh-CN"/>
        </w:rPr>
        <w:t>按</w:t>
      </w:r>
      <w:r>
        <w:rPr>
          <w:rFonts w:hint="eastAsia" w:ascii="宋体" w:hAnsi="宋体" w:eastAsia="宋体" w:cs="宋体"/>
          <w:color w:val="auto"/>
          <w:kern w:val="2"/>
          <w:sz w:val="21"/>
          <w:szCs w:val="21"/>
          <w:highlight w:val="none"/>
        </w:rPr>
        <w:t>逾期供货处理，每逾期一个工作日中标人需向招标人支付1000元违约金，招标人有权从履约担保中扣除。若逾期供货达到10次</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含10次</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及以上，</w:t>
      </w:r>
      <w:r>
        <w:rPr>
          <w:rFonts w:hint="eastAsia" w:ascii="宋体" w:hAnsi="宋体" w:eastAsia="宋体" w:cs="宋体"/>
          <w:color w:val="auto"/>
          <w:kern w:val="2"/>
          <w:sz w:val="21"/>
          <w:szCs w:val="21"/>
          <w:highlight w:val="none"/>
          <w:lang w:val="en-US" w:eastAsia="zh-CN"/>
        </w:rPr>
        <w:t>且</w:t>
      </w:r>
      <w:r>
        <w:rPr>
          <w:rFonts w:hint="eastAsia" w:ascii="宋体" w:hAnsi="宋体" w:eastAsia="宋体" w:cs="宋体"/>
          <w:color w:val="auto"/>
          <w:kern w:val="2"/>
          <w:sz w:val="21"/>
          <w:szCs w:val="21"/>
          <w:highlight w:val="none"/>
        </w:rPr>
        <w:t>严重影响招标人生产经营的，招标人有权没收履约担保并单方面</w:t>
      </w:r>
      <w:r>
        <w:rPr>
          <w:rFonts w:hint="eastAsia" w:ascii="宋体" w:hAnsi="宋体" w:eastAsia="宋体" w:cs="宋体"/>
          <w:color w:val="auto"/>
          <w:kern w:val="2"/>
          <w:sz w:val="21"/>
          <w:szCs w:val="21"/>
          <w:highlight w:val="none"/>
          <w:lang w:val="en-US" w:eastAsia="zh-CN"/>
        </w:rPr>
        <w:t>解除</w:t>
      </w:r>
      <w:r>
        <w:rPr>
          <w:rFonts w:hint="eastAsia" w:ascii="宋体" w:hAnsi="宋体" w:eastAsia="宋体" w:cs="宋体"/>
          <w:color w:val="auto"/>
          <w:kern w:val="2"/>
          <w:sz w:val="21"/>
          <w:szCs w:val="21"/>
          <w:highlight w:val="none"/>
        </w:rPr>
        <w:t>合同。</w:t>
      </w:r>
    </w:p>
    <w:p w14:paraId="42CBB903">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④合同履约过程中，若出现因厂家停产或其他不可抗力因素等情况导致无法供应对应货物的，中标人应当提交材料说明情况，经招标人确认情况属实后，中标人需提供不低于</w:t>
      </w:r>
      <w:r>
        <w:rPr>
          <w:rFonts w:hint="eastAsia" w:ascii="宋体" w:hAnsi="宋体" w:eastAsia="宋体" w:cs="宋体"/>
          <w:color w:val="auto"/>
          <w:kern w:val="2"/>
          <w:sz w:val="21"/>
          <w:szCs w:val="21"/>
          <w:highlight w:val="none"/>
          <w:lang w:val="en-US" w:eastAsia="zh-CN"/>
        </w:rPr>
        <w:t>同</w:t>
      </w:r>
      <w:r>
        <w:rPr>
          <w:rFonts w:hint="eastAsia" w:ascii="宋体" w:hAnsi="宋体" w:eastAsia="宋体" w:cs="宋体"/>
          <w:color w:val="auto"/>
          <w:kern w:val="2"/>
          <w:sz w:val="21"/>
          <w:szCs w:val="21"/>
          <w:highlight w:val="none"/>
        </w:rPr>
        <w:t>等质量的货物，综合单价不作变更。</w:t>
      </w:r>
    </w:p>
    <w:p w14:paraId="7935FF22">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⑤</w:t>
      </w:r>
      <w:r>
        <w:rPr>
          <w:rFonts w:hint="eastAsia" w:ascii="宋体" w:hAnsi="宋体" w:eastAsia="宋体" w:cs="宋体"/>
          <w:bCs/>
          <w:color w:val="auto"/>
          <w:sz w:val="21"/>
          <w:szCs w:val="21"/>
          <w:highlight w:val="none"/>
          <w:lang w:bidi="ar"/>
        </w:rPr>
        <w:t>合同期内，</w:t>
      </w:r>
      <w:r>
        <w:rPr>
          <w:rFonts w:hint="eastAsia" w:ascii="宋体" w:hAnsi="宋体" w:eastAsia="宋体" w:cs="宋体"/>
          <w:color w:val="auto"/>
          <w:kern w:val="2"/>
          <w:sz w:val="21"/>
          <w:szCs w:val="21"/>
          <w:highlight w:val="none"/>
        </w:rPr>
        <w:t>招标人有权对合同项下的货物数量进行调整，调整后</w:t>
      </w:r>
      <w:r>
        <w:rPr>
          <w:rFonts w:hint="eastAsia" w:ascii="宋体" w:hAnsi="宋体" w:eastAsia="宋体" w:cs="宋体"/>
          <w:bCs/>
          <w:color w:val="auto"/>
          <w:sz w:val="21"/>
          <w:szCs w:val="21"/>
          <w:highlight w:val="none"/>
          <w:lang w:bidi="ar"/>
        </w:rPr>
        <w:t>供货金额不得超过合同暂定</w:t>
      </w:r>
      <w:r>
        <w:rPr>
          <w:rFonts w:hint="eastAsia" w:ascii="宋体" w:hAnsi="宋体" w:eastAsia="宋体" w:cs="宋体"/>
          <w:bCs/>
          <w:color w:val="auto"/>
          <w:sz w:val="21"/>
          <w:szCs w:val="21"/>
          <w:highlight w:val="none"/>
          <w:lang w:val="en-US" w:eastAsia="zh-CN" w:bidi="ar"/>
        </w:rPr>
        <w:t>总</w:t>
      </w:r>
      <w:r>
        <w:rPr>
          <w:rFonts w:hint="eastAsia" w:ascii="宋体" w:hAnsi="宋体" w:eastAsia="宋体" w:cs="宋体"/>
          <w:bCs/>
          <w:color w:val="auto"/>
          <w:sz w:val="21"/>
          <w:szCs w:val="21"/>
          <w:highlight w:val="none"/>
          <w:lang w:bidi="ar"/>
        </w:rPr>
        <w:t>合同价（含税）的10%。</w:t>
      </w:r>
    </w:p>
    <w:p w14:paraId="24EA9FD5">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Cs/>
          <w:color w:val="auto"/>
          <w:sz w:val="21"/>
          <w:szCs w:val="21"/>
          <w:highlight w:val="none"/>
          <w:lang w:bidi="ar"/>
        </w:rPr>
        <w:t>⑥</w:t>
      </w:r>
      <w:r>
        <w:rPr>
          <w:rFonts w:hint="eastAsia" w:ascii="宋体" w:hAnsi="宋体" w:eastAsia="宋体" w:cs="宋体"/>
          <w:color w:val="auto"/>
          <w:kern w:val="2"/>
          <w:sz w:val="21"/>
          <w:szCs w:val="21"/>
          <w:highlight w:val="none"/>
        </w:rPr>
        <w:t>交货地点：</w:t>
      </w:r>
      <w:r>
        <w:rPr>
          <w:rFonts w:hint="eastAsia" w:ascii="宋体" w:hAnsi="宋体" w:eastAsia="宋体" w:cs="宋体"/>
          <w:color w:val="auto"/>
          <w:kern w:val="2"/>
          <w:sz w:val="21"/>
          <w:szCs w:val="21"/>
          <w:highlight w:val="none"/>
          <w:lang w:eastAsia="zh-CN"/>
        </w:rPr>
        <w:t>东莞市水务环境投资控股集团管网有限公司</w:t>
      </w:r>
      <w:r>
        <w:rPr>
          <w:rFonts w:hint="eastAsia" w:ascii="宋体" w:hAnsi="宋体" w:eastAsia="宋体" w:cs="宋体"/>
          <w:color w:val="auto"/>
          <w:kern w:val="2"/>
          <w:sz w:val="21"/>
          <w:szCs w:val="21"/>
          <w:highlight w:val="none"/>
        </w:rPr>
        <w:t>现有收货地址及联系人详见附件</w:t>
      </w:r>
      <w:r>
        <w:rPr>
          <w:rFonts w:hint="eastAsia" w:ascii="宋体" w:hAnsi="宋体" w:eastAsia="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rPr>
        <w:t>《</w:t>
      </w:r>
      <w:r>
        <w:rPr>
          <w:rFonts w:hint="eastAsia" w:ascii="宋体" w:hAnsi="宋体" w:eastAsia="宋体" w:cs="宋体"/>
          <w:b w:val="0"/>
          <w:bCs w:val="0"/>
          <w:color w:val="auto"/>
          <w:kern w:val="2"/>
          <w:sz w:val="21"/>
          <w:szCs w:val="21"/>
          <w:highlight w:val="none"/>
          <w:lang w:val="en-US" w:eastAsia="zh-CN"/>
        </w:rPr>
        <w:t>收</w:t>
      </w:r>
      <w:r>
        <w:rPr>
          <w:rFonts w:hint="eastAsia" w:ascii="宋体" w:hAnsi="宋体" w:eastAsia="宋体" w:cs="宋体"/>
          <w:b w:val="0"/>
          <w:bCs w:val="0"/>
          <w:color w:val="auto"/>
          <w:kern w:val="2"/>
          <w:sz w:val="21"/>
          <w:szCs w:val="21"/>
          <w:highlight w:val="none"/>
        </w:rPr>
        <w:t>货地址汇总表》。各收货地址联系人有权代表招标人执行货物验收等行为，如招标人有新增或更改收货地址（东莞市）/联系人的，以招标人实际通知为准，中标人需予以配合。</w:t>
      </w:r>
    </w:p>
    <w:p w14:paraId="652771E7">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bCs/>
          <w:color w:val="auto"/>
          <w:sz w:val="21"/>
          <w:szCs w:val="21"/>
          <w:highlight w:val="none"/>
          <w:lang w:bidi="ar"/>
        </w:rPr>
        <w:t>⑦</w:t>
      </w:r>
      <w:r>
        <w:rPr>
          <w:rFonts w:hint="eastAsia" w:ascii="宋体" w:hAnsi="宋体" w:eastAsia="宋体" w:cs="宋体"/>
          <w:color w:val="auto"/>
          <w:kern w:val="2"/>
          <w:sz w:val="21"/>
          <w:szCs w:val="21"/>
          <w:highlight w:val="none"/>
        </w:rPr>
        <w:t>交货方式与风险承担：在货物移交给招标人并经招标人最终验收合格前，货物的毁损、灭失</w:t>
      </w:r>
      <w:r>
        <w:rPr>
          <w:rFonts w:hint="eastAsia" w:ascii="宋体" w:hAnsi="宋体" w:eastAsia="宋体" w:cs="宋体"/>
          <w:color w:val="auto"/>
          <w:kern w:val="2"/>
          <w:sz w:val="21"/>
          <w:szCs w:val="21"/>
          <w:highlight w:val="none"/>
          <w:lang w:eastAsia="zh-CN"/>
        </w:rPr>
        <w:t>及短少</w:t>
      </w:r>
      <w:r>
        <w:rPr>
          <w:rFonts w:hint="eastAsia" w:ascii="宋体" w:hAnsi="宋体" w:eastAsia="宋体" w:cs="宋体"/>
          <w:color w:val="auto"/>
          <w:kern w:val="2"/>
          <w:sz w:val="21"/>
          <w:szCs w:val="21"/>
          <w:highlight w:val="none"/>
        </w:rPr>
        <w:t>的风险和责任均由投标人承担。</w:t>
      </w:r>
      <w:r>
        <w:rPr>
          <w:rFonts w:hint="eastAsia" w:ascii="宋体" w:hAnsi="宋体" w:eastAsia="宋体" w:cs="宋体"/>
          <w:color w:val="auto"/>
          <w:kern w:val="2"/>
          <w:sz w:val="21"/>
          <w:szCs w:val="21"/>
          <w:highlight w:val="none"/>
          <w:lang w:eastAsia="zh-CN"/>
        </w:rPr>
        <w:t>运输由投标人负责安排并承担相关费用与风险，投标人应确保承运人资质合规。非经招标人书面确认验收的到货不视为交付完成</w:t>
      </w:r>
      <w:r>
        <w:rPr>
          <w:rFonts w:hint="eastAsia" w:ascii="宋体" w:hAnsi="宋体" w:eastAsia="宋体" w:cs="宋体"/>
          <w:color w:val="auto"/>
          <w:kern w:val="2"/>
          <w:sz w:val="21"/>
          <w:szCs w:val="21"/>
          <w:highlight w:val="none"/>
        </w:rPr>
        <w:t xml:space="preserve">。 </w:t>
      </w:r>
    </w:p>
    <w:p w14:paraId="19CDDB7C">
      <w:pPr>
        <w:keepNext w:val="0"/>
        <w:keepLines w:val="0"/>
        <w:pageBreakBefore w:val="0"/>
        <w:kinsoku/>
        <w:wordWrap/>
        <w:overflowPunct/>
        <w:topLinePunct w:val="0"/>
        <w:autoSpaceDE/>
        <w:autoSpaceDN/>
        <w:bidi w:val="0"/>
        <w:adjustRightInd/>
        <w:snapToGrid/>
        <w:spacing w:line="360" w:lineRule="auto"/>
        <w:ind w:firstLine="422" w:firstLineChars="200"/>
        <w:jc w:val="both"/>
        <w:outlineLvl w:val="1"/>
        <w:rPr>
          <w:rFonts w:hint="eastAsia" w:ascii="宋体" w:hAnsi="宋体" w:eastAsia="宋体" w:cs="宋体"/>
          <w:b/>
          <w:color w:val="auto"/>
          <w:kern w:val="2"/>
          <w:sz w:val="21"/>
          <w:szCs w:val="21"/>
          <w:highlight w:val="none"/>
        </w:rPr>
      </w:pPr>
      <w:bookmarkStart w:id="341" w:name="_Toc28035"/>
      <w:r>
        <w:rPr>
          <w:rFonts w:hint="eastAsia" w:ascii="宋体" w:hAnsi="宋体" w:eastAsia="宋体" w:cs="宋体"/>
          <w:b/>
          <w:color w:val="auto"/>
          <w:kern w:val="2"/>
          <w:sz w:val="21"/>
          <w:szCs w:val="21"/>
          <w:highlight w:val="none"/>
          <w:lang w:val="en-US" w:eastAsia="zh-CN"/>
        </w:rPr>
        <w:t>1.3</w:t>
      </w:r>
      <w:r>
        <w:rPr>
          <w:rFonts w:hint="eastAsia" w:ascii="宋体" w:hAnsi="宋体" w:eastAsia="宋体" w:cs="宋体"/>
          <w:b/>
          <w:color w:val="auto"/>
          <w:kern w:val="2"/>
          <w:sz w:val="21"/>
          <w:szCs w:val="21"/>
          <w:highlight w:val="none"/>
        </w:rPr>
        <w:t>货物质量要求</w:t>
      </w:r>
      <w:bookmarkEnd w:id="341"/>
    </w:p>
    <w:p w14:paraId="4BE747EF">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bCs/>
          <w:color w:val="auto"/>
          <w:sz w:val="21"/>
          <w:szCs w:val="21"/>
          <w:highlight w:val="none"/>
          <w:lang w:bidi="ar"/>
        </w:rPr>
        <w:t>投</w:t>
      </w:r>
      <w:r>
        <w:rPr>
          <w:rFonts w:hint="eastAsia" w:ascii="宋体" w:hAnsi="宋体" w:eastAsia="宋体" w:cs="宋体"/>
          <w:color w:val="auto"/>
          <w:kern w:val="2"/>
          <w:sz w:val="21"/>
          <w:szCs w:val="21"/>
          <w:highlight w:val="none"/>
        </w:rPr>
        <w:t>标人所供货物必须满足或优于采购清单中的规格参数。采购清单的货物有品牌、规格要求的，</w:t>
      </w:r>
      <w:r>
        <w:rPr>
          <w:rFonts w:hint="eastAsia" w:ascii="宋体" w:hAnsi="宋体" w:eastAsia="宋体" w:cs="宋体"/>
          <w:bCs/>
          <w:color w:val="auto"/>
          <w:sz w:val="21"/>
          <w:szCs w:val="21"/>
          <w:highlight w:val="none"/>
          <w:lang w:bidi="ar"/>
        </w:rPr>
        <w:t>投</w:t>
      </w:r>
      <w:r>
        <w:rPr>
          <w:rFonts w:hint="eastAsia" w:ascii="宋体" w:hAnsi="宋体" w:eastAsia="宋体" w:cs="宋体"/>
          <w:color w:val="auto"/>
          <w:kern w:val="2"/>
          <w:sz w:val="21"/>
          <w:szCs w:val="21"/>
          <w:highlight w:val="none"/>
        </w:rPr>
        <w:t>标人优先采用采购清单中的推荐品牌、规格供货。若投标人所供货物的品牌其质量同等或优于推荐品牌，综合单价或总价均不</w:t>
      </w:r>
      <w:r>
        <w:rPr>
          <w:rFonts w:hint="eastAsia" w:ascii="宋体" w:hAnsi="宋体" w:eastAsia="宋体" w:cs="宋体"/>
          <w:b w:val="0"/>
          <w:bCs w:val="0"/>
          <w:color w:val="auto"/>
          <w:kern w:val="2"/>
          <w:sz w:val="21"/>
          <w:szCs w:val="21"/>
          <w:highlight w:val="none"/>
        </w:rPr>
        <w:t>作出变更。</w:t>
      </w:r>
    </w:p>
    <w:p w14:paraId="57235004">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2）投标人所提供的货物必须符合国家现行有效的法律法规、行业规范及相关的质量标准并保证其产品使用质量，满足招标人的实际使用需求。如在货物送货时发现货物破损或者发生质量问题，招标人有权要求投标人在收到通知后【3】日内退还或更换相应的货物；如因货物质量问题在安装使用后导致设备损坏无法正常使用，由投标人负责对该设备进行维修，因此产生的费用由投标人承担。</w:t>
      </w:r>
    </w:p>
    <w:p w14:paraId="2DE19622">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bCs/>
          <w:color w:val="auto"/>
          <w:sz w:val="21"/>
          <w:szCs w:val="21"/>
          <w:highlight w:val="none"/>
          <w:lang w:bidi="ar"/>
        </w:rPr>
        <w:t>投</w:t>
      </w:r>
      <w:r>
        <w:rPr>
          <w:rFonts w:hint="eastAsia" w:ascii="宋体" w:hAnsi="宋体" w:eastAsia="宋体" w:cs="宋体"/>
          <w:color w:val="auto"/>
          <w:kern w:val="2"/>
          <w:sz w:val="21"/>
          <w:szCs w:val="21"/>
          <w:highlight w:val="none"/>
        </w:rPr>
        <w:t>标人提供的货物必须是原厂生产的、非组装的、全新的、未使用过的产品(含零部件、配件、随机工具等)，表面无划伤、无碰撞的痕迹。有原厂包装的，应附有合格证、货物出厂质量合格证明书、技术说明等。</w:t>
      </w:r>
    </w:p>
    <w:p w14:paraId="34292D28">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bCs/>
          <w:color w:val="auto"/>
          <w:sz w:val="21"/>
          <w:szCs w:val="21"/>
          <w:highlight w:val="none"/>
          <w:lang w:bidi="ar"/>
        </w:rPr>
        <w:t>投</w:t>
      </w:r>
      <w:r>
        <w:rPr>
          <w:rFonts w:hint="eastAsia" w:ascii="宋体" w:hAnsi="宋体" w:eastAsia="宋体" w:cs="宋体"/>
          <w:color w:val="auto"/>
          <w:kern w:val="2"/>
          <w:sz w:val="21"/>
          <w:szCs w:val="21"/>
          <w:highlight w:val="none"/>
        </w:rPr>
        <w:t>标人必须提供目前市场上技术较先进、成熟的原装产品，其质量、规格及技术特征符合采购清单的要求，并符合国家有关标准。</w:t>
      </w:r>
    </w:p>
    <w:p w14:paraId="49F0475E">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（5）如货物属于国家规定的特种劳动防护用品的，投标人应在交货时提供相关产品检验报告等质量证明文件。</w:t>
      </w:r>
    </w:p>
    <w:p w14:paraId="2F250654">
      <w:pPr>
        <w:keepNext w:val="0"/>
        <w:keepLines w:val="0"/>
        <w:pageBreakBefore w:val="0"/>
        <w:kinsoku/>
        <w:wordWrap/>
        <w:overflowPunct/>
        <w:topLinePunct w:val="0"/>
        <w:autoSpaceDE/>
        <w:autoSpaceDN/>
        <w:bidi w:val="0"/>
        <w:adjustRightInd/>
        <w:snapToGrid/>
        <w:spacing w:line="360" w:lineRule="auto"/>
        <w:ind w:firstLine="420" w:firstLineChars="200"/>
        <w:contextualSpacing/>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（6）所供货物若出现质量不符合采购清单要求或招标人实际使用要求的，</w:t>
      </w:r>
      <w:r>
        <w:rPr>
          <w:rFonts w:hint="eastAsia" w:ascii="宋体" w:hAnsi="宋体" w:eastAsia="宋体" w:cs="宋体"/>
          <w:color w:val="auto"/>
          <w:kern w:val="2"/>
          <w:sz w:val="21"/>
          <w:szCs w:val="21"/>
          <w:highlight w:val="none"/>
          <w:lang w:val="en-US" w:eastAsia="zh-CN"/>
        </w:rPr>
        <w:t>招</w:t>
      </w:r>
      <w:r>
        <w:rPr>
          <w:rFonts w:hint="eastAsia" w:ascii="宋体" w:hAnsi="宋体" w:eastAsia="宋体" w:cs="宋体"/>
          <w:color w:val="auto"/>
          <w:kern w:val="2"/>
          <w:sz w:val="21"/>
          <w:szCs w:val="21"/>
          <w:highlight w:val="none"/>
        </w:rPr>
        <w:t>标人有权要求</w:t>
      </w:r>
      <w:r>
        <w:rPr>
          <w:rFonts w:hint="eastAsia" w:ascii="宋体" w:hAnsi="宋体" w:eastAsia="宋体" w:cs="宋体"/>
          <w:color w:val="auto"/>
          <w:kern w:val="2"/>
          <w:sz w:val="21"/>
          <w:szCs w:val="21"/>
          <w:highlight w:val="none"/>
          <w:lang w:val="en-US" w:eastAsia="zh-CN"/>
        </w:rPr>
        <w:t>投</w:t>
      </w:r>
      <w:r>
        <w:rPr>
          <w:rFonts w:hint="eastAsia" w:ascii="宋体" w:hAnsi="宋体" w:eastAsia="宋体" w:cs="宋体"/>
          <w:color w:val="auto"/>
          <w:kern w:val="2"/>
          <w:sz w:val="21"/>
          <w:szCs w:val="21"/>
          <w:highlight w:val="none"/>
        </w:rPr>
        <w:t>标人选用综合单价不变，质量符合要求的货物替换该项货物。若投标人投标时的货物出现停产、断货等情况，投标人可向招标人书面申请调整供货的货物，经招标人同意调整后的货物必须同等或优于原投标时货物，综合单价或总价均不做出变更。</w:t>
      </w:r>
    </w:p>
    <w:p w14:paraId="189D8BEC">
      <w:pPr>
        <w:keepNext w:val="0"/>
        <w:keepLines w:val="0"/>
        <w:pageBreakBefore w:val="0"/>
        <w:kinsoku/>
        <w:wordWrap/>
        <w:overflowPunct/>
        <w:topLinePunct w:val="0"/>
        <w:autoSpaceDE/>
        <w:autoSpaceDN/>
        <w:bidi w:val="0"/>
        <w:adjustRightInd/>
        <w:snapToGrid/>
        <w:spacing w:line="360" w:lineRule="auto"/>
        <w:jc w:val="both"/>
        <w:outlineLvl w:val="1"/>
        <w:rPr>
          <w:rFonts w:hint="eastAsia" w:ascii="宋体" w:hAnsi="宋体" w:eastAsia="宋体" w:cs="宋体"/>
          <w:b/>
          <w:color w:val="auto"/>
          <w:kern w:val="2"/>
          <w:sz w:val="21"/>
          <w:szCs w:val="21"/>
          <w:highlight w:val="none"/>
        </w:rPr>
      </w:pPr>
      <w:bookmarkStart w:id="342" w:name="_Toc6382"/>
      <w:r>
        <w:rPr>
          <w:rFonts w:hint="eastAsia" w:ascii="宋体" w:hAnsi="宋体" w:eastAsia="宋体" w:cs="宋体"/>
          <w:b/>
          <w:color w:val="auto"/>
          <w:kern w:val="2"/>
          <w:sz w:val="21"/>
          <w:szCs w:val="21"/>
          <w:highlight w:val="none"/>
          <w:lang w:val="en-US" w:eastAsia="zh-CN"/>
        </w:rPr>
        <w:t>二</w:t>
      </w:r>
      <w:r>
        <w:rPr>
          <w:rFonts w:hint="eastAsia" w:ascii="宋体" w:hAnsi="宋体" w:eastAsia="宋体" w:cs="宋体"/>
          <w:b/>
          <w:color w:val="auto"/>
          <w:kern w:val="2"/>
          <w:sz w:val="21"/>
          <w:szCs w:val="21"/>
          <w:highlight w:val="none"/>
        </w:rPr>
        <w:t>、验收要求</w:t>
      </w:r>
      <w:bookmarkEnd w:id="342"/>
    </w:p>
    <w:p w14:paraId="17266408">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2.1</w:t>
      </w:r>
      <w:r>
        <w:rPr>
          <w:rFonts w:hint="eastAsia" w:ascii="宋体" w:hAnsi="宋体" w:eastAsia="宋体" w:cs="宋体"/>
          <w:color w:val="auto"/>
          <w:kern w:val="2"/>
          <w:sz w:val="21"/>
          <w:szCs w:val="21"/>
          <w:highlight w:val="none"/>
        </w:rPr>
        <w:t>每次货物到达收货地点后，招标人各收货地联系人（含招标人委托的第三方）、投标人代表共同清点及验货，招标人应提供《到货验收单》（附件</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招标人按照合同、货物清单及《到货验收单》、国家相关法律法规以及规范的要求等相关的规定，对货物的品种、品牌、产地、规格型号、数量、外观质量、资料进行清点和全面的检验，并作详细的记录，验收完成后双方于《到货验收单》签字确认。</w:t>
      </w:r>
    </w:p>
    <w:p w14:paraId="19096956">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货期内投标人需安排固定的代表人员与招标人对接，并在本项目合同中提供代表人员的姓名、职务、联系方式信息。服务期间投标人不得随意变更其代表人员，如投标人需变更其代表人员的，应当在下一次供货前【3】日内将书面的变更申请提交至招标人。否则招标人有权依据本合同项下投标人代表人员名单对相关货物进行检验或确认，由此产生的责任均由投标人自行承担。</w:t>
      </w:r>
    </w:p>
    <w:p w14:paraId="6C18C708">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2.2</w:t>
      </w:r>
      <w:r>
        <w:rPr>
          <w:rFonts w:hint="eastAsia" w:ascii="宋体" w:hAnsi="宋体" w:eastAsia="宋体" w:cs="宋体"/>
          <w:color w:val="auto"/>
          <w:kern w:val="2"/>
          <w:sz w:val="21"/>
          <w:szCs w:val="21"/>
          <w:highlight w:val="none"/>
        </w:rPr>
        <w:t>投标人的货物应当按照招标人要求送到</w:t>
      </w:r>
      <w:r>
        <w:rPr>
          <w:rFonts w:hint="eastAsia" w:ascii="宋体" w:hAnsi="宋体" w:eastAsia="宋体" w:cs="宋体"/>
          <w:color w:val="auto"/>
          <w:kern w:val="2"/>
          <w:sz w:val="21"/>
          <w:szCs w:val="21"/>
          <w:highlight w:val="none"/>
          <w:lang w:val="en-US" w:eastAsia="zh-CN"/>
        </w:rPr>
        <w:t>并卸货到</w:t>
      </w:r>
      <w:r>
        <w:rPr>
          <w:rFonts w:hint="eastAsia" w:ascii="宋体" w:hAnsi="宋体" w:eastAsia="宋体" w:cs="宋体"/>
          <w:color w:val="auto"/>
          <w:kern w:val="2"/>
          <w:sz w:val="21"/>
          <w:szCs w:val="21"/>
          <w:highlight w:val="none"/>
        </w:rPr>
        <w:t>指定的地点，由于使用第三方送货服务导致货物未能经过双方共同验收、未送到指定地点的，招标人有权拒绝收货。</w:t>
      </w:r>
    </w:p>
    <w:p w14:paraId="00783C16">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2.3</w:t>
      </w:r>
      <w:r>
        <w:rPr>
          <w:rFonts w:hint="eastAsia" w:ascii="宋体" w:hAnsi="宋体" w:eastAsia="宋体" w:cs="宋体"/>
          <w:color w:val="auto"/>
          <w:kern w:val="2"/>
          <w:sz w:val="21"/>
          <w:szCs w:val="21"/>
          <w:highlight w:val="none"/>
        </w:rPr>
        <w:t>未经招标人同意，投标人或投标人委托的第三方送货服务仅将货物放置在门口/门卫室，而没有送货至招标人指定的地点的，视为投标人未履行送货义务，招标人有权拒绝接收货物且不予支付货款。上述情况下招标人不负保管责任，货物未按照招标人要求放置而造成的损毁、灭失风险概由投标人承担。</w:t>
      </w:r>
    </w:p>
    <w:p w14:paraId="14E3809E">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2.4</w:t>
      </w:r>
      <w:r>
        <w:rPr>
          <w:rFonts w:hint="eastAsia" w:ascii="宋体" w:hAnsi="宋体" w:eastAsia="宋体" w:cs="宋体"/>
          <w:color w:val="auto"/>
          <w:kern w:val="2"/>
          <w:sz w:val="21"/>
          <w:szCs w:val="21"/>
          <w:highlight w:val="none"/>
        </w:rPr>
        <w:t>若投标人所提供的货物是国外制造的，应提供原产地证书、报关资料等必备证明资料。根据法律法规的规定，在货物入境过程中需要实施检验检疫的入境商品，经入境管理部门检验后，如有相关证明的，投标人应提供入境货物检验检疫证明。</w:t>
      </w:r>
    </w:p>
    <w:p w14:paraId="1E6D5108">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2.5</w:t>
      </w:r>
      <w:r>
        <w:rPr>
          <w:rFonts w:hint="eastAsia" w:ascii="宋体" w:hAnsi="宋体" w:eastAsia="宋体" w:cs="宋体"/>
          <w:color w:val="auto"/>
          <w:kern w:val="2"/>
          <w:sz w:val="21"/>
          <w:szCs w:val="21"/>
          <w:highlight w:val="none"/>
        </w:rPr>
        <w:t>如发现货物的品种、规格型号、数量、外观质量、品牌与合同及供货清单不符，或货物短缺、质次、损坏等问题，应作详细记录，且招标人有权拒绝收货及拒绝付款，投标人应在收到招标人通知后【3】日内，无条件为招标人免费更换、补齐或无条件退货，更换或补齐后的货物，招标人有权按照本条有关验收的约定进行验收，由此产生的制造、修理、运费及保险费等费用均应由投标人承担，与招标人无关。</w:t>
      </w:r>
    </w:p>
    <w:p w14:paraId="7EBB002B">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2.6</w:t>
      </w:r>
      <w:r>
        <w:rPr>
          <w:rFonts w:hint="eastAsia" w:ascii="宋体" w:hAnsi="宋体" w:eastAsia="宋体" w:cs="宋体"/>
          <w:color w:val="auto"/>
          <w:kern w:val="2"/>
          <w:sz w:val="21"/>
          <w:szCs w:val="21"/>
          <w:highlight w:val="none"/>
        </w:rPr>
        <w:t xml:space="preserve">由于非招标人原因而引起货物的修理或更换的，应以不影响招标人生产为原则，且修理或更换应在招标人许可的时限内完成。交接并验收合格后，投标人向招标人出具相关签收手续。 </w:t>
      </w:r>
    </w:p>
    <w:p w14:paraId="5006A3A6">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2.7</w:t>
      </w:r>
      <w:r>
        <w:rPr>
          <w:rFonts w:hint="eastAsia" w:ascii="宋体" w:hAnsi="宋体" w:eastAsia="宋体" w:cs="宋体"/>
          <w:color w:val="auto"/>
          <w:kern w:val="2"/>
          <w:sz w:val="21"/>
          <w:szCs w:val="21"/>
          <w:highlight w:val="none"/>
        </w:rPr>
        <w:t>货物经验收合格后，投标人仍应在质保期内对产品质量承担保证责任。</w:t>
      </w:r>
    </w:p>
    <w:p w14:paraId="1F90CAA0">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2.8</w:t>
      </w:r>
      <w:r>
        <w:rPr>
          <w:rFonts w:hint="eastAsia" w:ascii="宋体" w:hAnsi="宋体" w:eastAsia="宋体" w:cs="宋体"/>
          <w:color w:val="auto"/>
          <w:kern w:val="2"/>
          <w:sz w:val="21"/>
          <w:szCs w:val="21"/>
          <w:highlight w:val="none"/>
        </w:rPr>
        <w:t>招标人根据本条约定对货物所做出的验收，仅作为付款及起算质保期之用，不视为招标人对于货物质量的最终认定。</w:t>
      </w:r>
    </w:p>
    <w:p w14:paraId="1689C62B">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2.9</w:t>
      </w:r>
      <w:r>
        <w:rPr>
          <w:rFonts w:hint="eastAsia" w:ascii="宋体" w:hAnsi="宋体" w:eastAsia="宋体" w:cs="宋体"/>
          <w:color w:val="auto"/>
          <w:kern w:val="2"/>
          <w:sz w:val="21"/>
          <w:szCs w:val="21"/>
          <w:highlight w:val="none"/>
        </w:rPr>
        <w:t>货物在全部经招标人</w:t>
      </w:r>
      <w:r>
        <w:rPr>
          <w:rFonts w:hint="eastAsia" w:ascii="宋体" w:hAnsi="宋体" w:eastAsia="宋体" w:cs="宋体"/>
          <w:color w:val="auto"/>
          <w:kern w:val="2"/>
          <w:sz w:val="21"/>
          <w:szCs w:val="21"/>
          <w:highlight w:val="none"/>
          <w:lang w:eastAsia="zh-CN"/>
        </w:rPr>
        <w:t>各地区</w:t>
      </w:r>
      <w:r>
        <w:rPr>
          <w:rFonts w:hint="eastAsia" w:ascii="宋体" w:hAnsi="宋体" w:eastAsia="宋体" w:cs="宋体"/>
          <w:color w:val="auto"/>
          <w:kern w:val="2"/>
          <w:sz w:val="21"/>
          <w:szCs w:val="21"/>
          <w:highlight w:val="none"/>
        </w:rPr>
        <w:t>验收合格前，其损耗、毁损、灭失等风险及责任由投标人承担，如因发生前述情形，导致投标人所供应的货物不能通过招标人验收的，投标人应按招标人</w:t>
      </w:r>
      <w:r>
        <w:rPr>
          <w:rFonts w:hint="eastAsia" w:ascii="宋体" w:hAnsi="宋体" w:eastAsia="宋体" w:cs="宋体"/>
          <w:color w:val="auto"/>
          <w:kern w:val="2"/>
          <w:sz w:val="21"/>
          <w:szCs w:val="21"/>
          <w:highlight w:val="none"/>
          <w:lang w:eastAsia="zh-CN"/>
        </w:rPr>
        <w:t>各地区</w:t>
      </w:r>
      <w:r>
        <w:rPr>
          <w:rFonts w:hint="eastAsia" w:ascii="宋体" w:hAnsi="宋体" w:eastAsia="宋体" w:cs="宋体"/>
          <w:color w:val="auto"/>
          <w:kern w:val="2"/>
          <w:sz w:val="21"/>
          <w:szCs w:val="21"/>
          <w:highlight w:val="none"/>
        </w:rPr>
        <w:t>要求予以免费更换、补齐或无条件退货。</w:t>
      </w:r>
    </w:p>
    <w:p w14:paraId="53918299">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2.10</w:t>
      </w:r>
      <w:r>
        <w:rPr>
          <w:rFonts w:hint="eastAsia" w:ascii="宋体" w:hAnsi="宋体" w:eastAsia="宋体" w:cs="宋体"/>
          <w:color w:val="auto"/>
          <w:kern w:val="2"/>
          <w:sz w:val="21"/>
          <w:szCs w:val="21"/>
          <w:highlight w:val="none"/>
        </w:rPr>
        <w:t>验收过程中，如对检验记录不能取得一致意见时，招标人或投标人任意一方可委托货物交付地有资质的第三方检验机构联合进行检验。检验结果具有约束力，检验费用由责任方承担。</w:t>
      </w:r>
    </w:p>
    <w:p w14:paraId="6CFD29F0">
      <w:pPr>
        <w:pStyle w:val="3"/>
        <w:keepNext w:val="0"/>
        <w:keepLines w:val="0"/>
        <w:pageBreakBefore w:val="0"/>
        <w:kinsoku/>
        <w:wordWrap/>
        <w:overflowPunct/>
        <w:topLinePunct w:val="0"/>
        <w:bidi w:val="0"/>
        <w:snapToGrid/>
        <w:spacing w:line="360" w:lineRule="auto"/>
        <w:rPr>
          <w:rFonts w:hint="eastAsia" w:ascii="宋体" w:hAnsi="宋体" w:eastAsia="宋体" w:cs="宋体"/>
          <w:color w:val="auto"/>
          <w:sz w:val="21"/>
          <w:szCs w:val="21"/>
          <w:highlight w:val="none"/>
        </w:rPr>
      </w:pPr>
    </w:p>
    <w:p w14:paraId="5A3115AA">
      <w:pPr>
        <w:keepNext w:val="0"/>
        <w:keepLines w:val="0"/>
        <w:pageBreakBefore w:val="0"/>
        <w:kinsoku/>
        <w:wordWrap/>
        <w:overflowPunct/>
        <w:topLinePunct w:val="0"/>
        <w:autoSpaceDE/>
        <w:autoSpaceDN/>
        <w:bidi w:val="0"/>
        <w:adjustRightInd/>
        <w:snapToGrid/>
        <w:spacing w:line="360" w:lineRule="auto"/>
        <w:jc w:val="both"/>
        <w:outlineLvl w:val="1"/>
        <w:rPr>
          <w:rFonts w:hint="eastAsia" w:ascii="宋体" w:hAnsi="宋体" w:eastAsia="宋体" w:cs="宋体"/>
          <w:b/>
          <w:color w:val="auto"/>
          <w:kern w:val="2"/>
          <w:sz w:val="21"/>
          <w:szCs w:val="21"/>
          <w:highlight w:val="none"/>
        </w:rPr>
      </w:pPr>
      <w:bookmarkStart w:id="343" w:name="_Toc15949"/>
      <w:r>
        <w:rPr>
          <w:rFonts w:hint="eastAsia" w:ascii="宋体" w:hAnsi="宋体" w:eastAsia="宋体" w:cs="宋体"/>
          <w:b/>
          <w:color w:val="auto"/>
          <w:kern w:val="2"/>
          <w:sz w:val="21"/>
          <w:szCs w:val="21"/>
          <w:highlight w:val="none"/>
          <w:lang w:val="en-US" w:eastAsia="zh-CN"/>
        </w:rPr>
        <w:t>三</w:t>
      </w:r>
      <w:r>
        <w:rPr>
          <w:rFonts w:hint="eastAsia" w:ascii="宋体" w:hAnsi="宋体" w:eastAsia="宋体" w:cs="宋体"/>
          <w:b/>
          <w:color w:val="auto"/>
          <w:kern w:val="2"/>
          <w:sz w:val="21"/>
          <w:szCs w:val="21"/>
          <w:highlight w:val="none"/>
        </w:rPr>
        <w:t>、质保及售后要求</w:t>
      </w:r>
      <w:bookmarkEnd w:id="343"/>
    </w:p>
    <w:p w14:paraId="4FE4A5D1">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3.1</w:t>
      </w:r>
      <w:r>
        <w:rPr>
          <w:rFonts w:hint="eastAsia" w:ascii="宋体" w:hAnsi="宋体" w:eastAsia="宋体" w:cs="宋体"/>
          <w:color w:val="auto"/>
          <w:kern w:val="2"/>
          <w:sz w:val="21"/>
          <w:szCs w:val="21"/>
          <w:highlight w:val="none"/>
        </w:rPr>
        <w:t xml:space="preserve">由招标人负责所供货物的安装工作，招标人在安装、使用货物时所遇技术问题，投标人应按招标人要求及时向招标人提供技术指导服务。 </w:t>
      </w:r>
    </w:p>
    <w:p w14:paraId="0CF84356">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3.2</w:t>
      </w:r>
      <w:r>
        <w:rPr>
          <w:rFonts w:hint="eastAsia" w:ascii="宋体" w:hAnsi="宋体" w:eastAsia="宋体" w:cs="宋体"/>
          <w:color w:val="auto"/>
          <w:kern w:val="2"/>
          <w:sz w:val="21"/>
          <w:szCs w:val="21"/>
          <w:highlight w:val="none"/>
        </w:rPr>
        <w:t>质保期为三个月，自投标人完成每次配送清单的所有货物并经招标人最终验收合格之日起计算。若货物厂家出厂时承诺更长的质保期限或更高标准的质保义务的，投标人需按厂家承诺提供质保服务。若投标人逾期提供质保服务或未能对具有质量问题的货物进行维护的，招标人有权另行委托第三方对上述货物进行维护，因此产生的所有费用均由投标人承担。</w:t>
      </w:r>
    </w:p>
    <w:p w14:paraId="24D77949">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3.3</w:t>
      </w:r>
      <w:r>
        <w:rPr>
          <w:rFonts w:hint="eastAsia" w:ascii="宋体" w:hAnsi="宋体" w:eastAsia="宋体" w:cs="宋体"/>
          <w:color w:val="auto"/>
          <w:kern w:val="2"/>
          <w:sz w:val="21"/>
          <w:szCs w:val="21"/>
          <w:highlight w:val="none"/>
        </w:rPr>
        <w:t>质保期内，若货物经1次维修或维修时间超过1个月，仍不能正常使用的，投标人应免费给予更换，被更换的货物的质保期为从更换日起重新计算。</w:t>
      </w:r>
    </w:p>
    <w:p w14:paraId="50C4D045">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3.4</w:t>
      </w:r>
      <w:r>
        <w:rPr>
          <w:rFonts w:hint="eastAsia" w:ascii="宋体" w:hAnsi="宋体" w:eastAsia="宋体" w:cs="宋体"/>
          <w:color w:val="auto"/>
          <w:kern w:val="2"/>
          <w:sz w:val="21"/>
          <w:szCs w:val="21"/>
          <w:highlight w:val="none"/>
        </w:rPr>
        <w:t>在合同规定的质保期内，当货物出现质量问题时，投标人接到招标人通知后4小时内响应，24小时内赶到现场维修或更换，保证货物的正常使用。</w:t>
      </w:r>
    </w:p>
    <w:p w14:paraId="2208FB2F">
      <w:pPr>
        <w:keepNext w:val="0"/>
        <w:keepLines w:val="0"/>
        <w:pageBreakBefore w:val="0"/>
        <w:widowControl/>
        <w:kinsoku/>
        <w:wordWrap/>
        <w:overflowPunct/>
        <w:topLinePunct w:val="0"/>
        <w:autoSpaceDE/>
        <w:autoSpaceDN/>
        <w:bidi w:val="0"/>
        <w:adjustRightInd/>
        <w:snapToGrid/>
        <w:spacing w:line="360" w:lineRule="auto"/>
        <w:jc w:val="both"/>
        <w:outlineLvl w:val="1"/>
        <w:rPr>
          <w:rFonts w:hint="eastAsia" w:ascii="宋体" w:hAnsi="宋体" w:eastAsia="宋体" w:cs="宋体"/>
          <w:color w:val="auto"/>
          <w:kern w:val="2"/>
          <w:sz w:val="21"/>
          <w:szCs w:val="21"/>
          <w:highlight w:val="none"/>
          <w:lang w:val="en-US" w:eastAsia="zh-CN"/>
        </w:rPr>
      </w:pPr>
    </w:p>
    <w:p w14:paraId="24C6C6E2">
      <w:pPr>
        <w:keepNext w:val="0"/>
        <w:keepLines w:val="0"/>
        <w:pageBreakBefore w:val="0"/>
        <w:widowControl/>
        <w:kinsoku/>
        <w:wordWrap/>
        <w:overflowPunct/>
        <w:topLinePunct w:val="0"/>
        <w:autoSpaceDE/>
        <w:autoSpaceDN/>
        <w:bidi w:val="0"/>
        <w:adjustRightInd/>
        <w:snapToGrid/>
        <w:spacing w:line="360" w:lineRule="auto"/>
        <w:jc w:val="both"/>
        <w:outlineLvl w:val="1"/>
        <w:rPr>
          <w:rFonts w:hint="eastAsia" w:ascii="宋体" w:hAnsi="宋体" w:eastAsia="宋体" w:cs="宋体"/>
          <w:b/>
          <w:bCs/>
          <w:color w:val="auto"/>
          <w:kern w:val="2"/>
          <w:sz w:val="21"/>
          <w:szCs w:val="21"/>
          <w:highlight w:val="none"/>
        </w:rPr>
      </w:pPr>
      <w:bookmarkStart w:id="344" w:name="_Toc18363"/>
      <w:r>
        <w:rPr>
          <w:rFonts w:hint="eastAsia" w:ascii="宋体" w:hAnsi="宋体" w:eastAsia="宋体" w:cs="宋体"/>
          <w:b/>
          <w:bCs/>
          <w:color w:val="auto"/>
          <w:kern w:val="2"/>
          <w:sz w:val="21"/>
          <w:szCs w:val="21"/>
          <w:highlight w:val="none"/>
          <w:lang w:val="en-US" w:eastAsia="zh-CN"/>
        </w:rPr>
        <w:t>四</w:t>
      </w:r>
      <w:r>
        <w:rPr>
          <w:rFonts w:hint="eastAsia" w:ascii="宋体" w:hAnsi="宋体" w:eastAsia="宋体" w:cs="宋体"/>
          <w:b/>
          <w:bCs/>
          <w:color w:val="auto"/>
          <w:kern w:val="2"/>
          <w:sz w:val="21"/>
          <w:szCs w:val="21"/>
          <w:highlight w:val="none"/>
        </w:rPr>
        <w:t>、履约要求</w:t>
      </w:r>
      <w:bookmarkEnd w:id="344"/>
    </w:p>
    <w:p w14:paraId="0CFEC91B">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4.1</w:t>
      </w:r>
      <w:r>
        <w:rPr>
          <w:rFonts w:hint="eastAsia" w:ascii="宋体" w:hAnsi="宋体" w:eastAsia="宋体" w:cs="宋体"/>
          <w:bCs/>
          <w:color w:val="auto"/>
          <w:sz w:val="21"/>
          <w:szCs w:val="21"/>
          <w:highlight w:val="none"/>
          <w:lang w:bidi="ar"/>
        </w:rPr>
        <w:t>投</w:t>
      </w:r>
      <w:r>
        <w:rPr>
          <w:rFonts w:hint="eastAsia" w:ascii="宋体" w:hAnsi="宋体" w:eastAsia="宋体" w:cs="宋体"/>
          <w:color w:val="auto"/>
          <w:kern w:val="2"/>
          <w:sz w:val="21"/>
          <w:szCs w:val="21"/>
          <w:highlight w:val="none"/>
        </w:rPr>
        <w:t>标人有义务接受招标人的监督、评价及考核</w:t>
      </w:r>
      <w:r>
        <w:rPr>
          <w:rFonts w:hint="eastAsia" w:ascii="宋体" w:hAnsi="宋体" w:eastAsia="宋体" w:cs="宋体"/>
          <w:color w:val="auto"/>
          <w:kern w:val="2"/>
          <w:sz w:val="21"/>
          <w:szCs w:val="21"/>
          <w:highlight w:val="none"/>
          <w:lang w:eastAsia="zh-CN"/>
        </w:rPr>
        <w:t>，并应按要求配合提供相关资料、证明及整改计划；拒不配合或整改不达标的，招标人有权暂停结算直至整改完成</w:t>
      </w:r>
      <w:r>
        <w:rPr>
          <w:rFonts w:hint="eastAsia" w:ascii="宋体" w:hAnsi="宋体" w:eastAsia="宋体" w:cs="宋体"/>
          <w:color w:val="auto"/>
          <w:kern w:val="2"/>
          <w:sz w:val="21"/>
          <w:szCs w:val="21"/>
          <w:highlight w:val="none"/>
        </w:rPr>
        <w:t>。</w:t>
      </w:r>
    </w:p>
    <w:p w14:paraId="2D66E856">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4.2</w:t>
      </w:r>
      <w:r>
        <w:rPr>
          <w:rFonts w:hint="eastAsia" w:ascii="宋体" w:hAnsi="宋体" w:eastAsia="宋体" w:cs="宋体"/>
          <w:bCs/>
          <w:color w:val="auto"/>
          <w:sz w:val="21"/>
          <w:szCs w:val="21"/>
          <w:highlight w:val="none"/>
          <w:lang w:bidi="ar"/>
        </w:rPr>
        <w:t>投</w:t>
      </w:r>
      <w:r>
        <w:rPr>
          <w:rFonts w:hint="eastAsia" w:ascii="宋体" w:hAnsi="宋体" w:eastAsia="宋体" w:cs="宋体"/>
          <w:color w:val="auto"/>
          <w:kern w:val="2"/>
          <w:sz w:val="21"/>
          <w:szCs w:val="21"/>
          <w:highlight w:val="none"/>
        </w:rPr>
        <w:t>标人必须清楚理解：本项目不具排他性，本采购结果仅作为</w:t>
      </w:r>
      <w:r>
        <w:rPr>
          <w:rFonts w:hint="eastAsia" w:ascii="宋体" w:hAnsi="宋体" w:eastAsia="宋体" w:cs="宋体"/>
          <w:bCs/>
          <w:color w:val="auto"/>
          <w:sz w:val="21"/>
          <w:szCs w:val="21"/>
          <w:highlight w:val="none"/>
          <w:lang w:bidi="ar"/>
        </w:rPr>
        <w:t>投</w:t>
      </w:r>
      <w:r>
        <w:rPr>
          <w:rFonts w:hint="eastAsia" w:ascii="宋体" w:hAnsi="宋体" w:eastAsia="宋体" w:cs="宋体"/>
          <w:color w:val="auto"/>
          <w:kern w:val="2"/>
          <w:sz w:val="21"/>
          <w:szCs w:val="21"/>
          <w:highlight w:val="none"/>
        </w:rPr>
        <w:t>标人在合同期限内取得向招标人供应</w:t>
      </w:r>
      <w:r>
        <w:rPr>
          <w:rFonts w:hint="eastAsia" w:ascii="宋体" w:hAnsi="宋体" w:eastAsia="宋体" w:cs="宋体"/>
          <w:color w:val="auto"/>
          <w:kern w:val="2"/>
          <w:sz w:val="21"/>
          <w:szCs w:val="21"/>
          <w:highlight w:val="none"/>
          <w:lang w:val="zh-CN"/>
        </w:rPr>
        <w:t>物资</w:t>
      </w:r>
      <w:r>
        <w:rPr>
          <w:rFonts w:hint="eastAsia" w:ascii="宋体" w:hAnsi="宋体" w:eastAsia="宋体" w:cs="宋体"/>
          <w:color w:val="auto"/>
          <w:kern w:val="2"/>
          <w:sz w:val="21"/>
          <w:szCs w:val="21"/>
          <w:highlight w:val="none"/>
        </w:rPr>
        <w:t>的资格，但并不代表</w:t>
      </w:r>
      <w:r>
        <w:rPr>
          <w:rFonts w:hint="eastAsia" w:ascii="宋体" w:hAnsi="宋体" w:eastAsia="宋体" w:cs="宋体"/>
          <w:bCs/>
          <w:color w:val="auto"/>
          <w:sz w:val="21"/>
          <w:szCs w:val="21"/>
          <w:highlight w:val="none"/>
          <w:lang w:bidi="ar"/>
        </w:rPr>
        <w:t>投</w:t>
      </w:r>
      <w:r>
        <w:rPr>
          <w:rFonts w:hint="eastAsia" w:ascii="宋体" w:hAnsi="宋体" w:eastAsia="宋体" w:cs="宋体"/>
          <w:color w:val="auto"/>
          <w:kern w:val="2"/>
          <w:sz w:val="21"/>
          <w:szCs w:val="21"/>
          <w:highlight w:val="none"/>
        </w:rPr>
        <w:t>标人必然取得该项目供货的权利。招标人根据</w:t>
      </w:r>
      <w:r>
        <w:rPr>
          <w:rFonts w:hint="eastAsia" w:ascii="宋体" w:hAnsi="宋体" w:eastAsia="宋体" w:cs="宋体"/>
          <w:bCs/>
          <w:color w:val="auto"/>
          <w:sz w:val="21"/>
          <w:szCs w:val="21"/>
          <w:highlight w:val="none"/>
          <w:lang w:bidi="ar"/>
        </w:rPr>
        <w:t>投</w:t>
      </w:r>
      <w:r>
        <w:rPr>
          <w:rFonts w:hint="eastAsia" w:ascii="宋体" w:hAnsi="宋体" w:eastAsia="宋体" w:cs="宋体"/>
          <w:color w:val="auto"/>
          <w:kern w:val="2"/>
          <w:sz w:val="21"/>
          <w:szCs w:val="21"/>
          <w:highlight w:val="none"/>
        </w:rPr>
        <w:t>标人资质条件、履约能力和实际履约情况，及招标人的实际需求仍有权另行采购其他第三方进行本次合同范围内的货物供货服务。</w:t>
      </w:r>
    </w:p>
    <w:p w14:paraId="26AD7951">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4.3</w:t>
      </w:r>
      <w:r>
        <w:rPr>
          <w:rFonts w:hint="eastAsia" w:ascii="宋体" w:hAnsi="宋体" w:eastAsia="宋体" w:cs="宋体"/>
          <w:color w:val="auto"/>
          <w:kern w:val="2"/>
          <w:sz w:val="21"/>
          <w:szCs w:val="21"/>
          <w:highlight w:val="none"/>
        </w:rPr>
        <w:t>招标人（含其下属子公司）在每</w:t>
      </w:r>
      <w:r>
        <w:rPr>
          <w:rFonts w:hint="eastAsia" w:ascii="宋体" w:hAnsi="宋体" w:eastAsia="宋体" w:cs="宋体"/>
          <w:bCs/>
          <w:color w:val="auto"/>
          <w:sz w:val="21"/>
          <w:szCs w:val="21"/>
          <w:highlight w:val="none"/>
          <w:lang w:bidi="ar"/>
        </w:rPr>
        <w:t>季度</w:t>
      </w:r>
      <w:r>
        <w:rPr>
          <w:rFonts w:hint="eastAsia" w:ascii="宋体" w:hAnsi="宋体" w:eastAsia="宋体" w:cs="宋体"/>
          <w:color w:val="auto"/>
          <w:kern w:val="2"/>
          <w:sz w:val="21"/>
          <w:szCs w:val="21"/>
          <w:highlight w:val="none"/>
        </w:rPr>
        <w:t>付款手续前对投标人的履约情况进行评价，填写</w:t>
      </w:r>
      <w:r>
        <w:rPr>
          <w:rFonts w:hint="eastAsia" w:ascii="宋体" w:hAnsi="宋体" w:eastAsia="宋体" w:cs="宋体"/>
          <w:b w:val="0"/>
          <w:bCs w:val="0"/>
          <w:color w:val="auto"/>
          <w:kern w:val="2"/>
          <w:sz w:val="21"/>
          <w:szCs w:val="21"/>
          <w:highlight w:val="none"/>
        </w:rPr>
        <w:t>《供应商履约评价表》</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。供应商履约评价表满分为100分，其中，评价得分80分(含80分)以上的为良好，招标人</w:t>
      </w:r>
      <w:r>
        <w:rPr>
          <w:rFonts w:hint="eastAsia" w:ascii="宋体" w:hAnsi="宋体" w:eastAsia="宋体" w:cs="宋体"/>
          <w:color w:val="auto"/>
          <w:sz w:val="21"/>
          <w:szCs w:val="21"/>
          <w:highlight w:val="none"/>
        </w:rPr>
        <w:t>（含其下属子公司）</w:t>
      </w:r>
      <w:r>
        <w:rPr>
          <w:rFonts w:hint="eastAsia" w:ascii="宋体" w:hAnsi="宋体" w:eastAsia="宋体" w:cs="宋体"/>
          <w:color w:val="auto"/>
          <w:kern w:val="2"/>
          <w:sz w:val="21"/>
          <w:szCs w:val="21"/>
          <w:highlight w:val="none"/>
        </w:rPr>
        <w:t>支付</w:t>
      </w:r>
      <w:r>
        <w:rPr>
          <w:rFonts w:hint="eastAsia" w:ascii="宋体" w:hAnsi="宋体" w:eastAsia="宋体" w:cs="宋体"/>
          <w:bCs/>
          <w:color w:val="auto"/>
          <w:sz w:val="21"/>
          <w:szCs w:val="21"/>
          <w:highlight w:val="none"/>
          <w:lang w:bidi="ar"/>
        </w:rPr>
        <w:t>当季度</w:t>
      </w:r>
      <w:r>
        <w:rPr>
          <w:rFonts w:hint="eastAsia" w:ascii="宋体" w:hAnsi="宋体" w:eastAsia="宋体" w:cs="宋体"/>
          <w:color w:val="auto"/>
          <w:kern w:val="2"/>
          <w:sz w:val="21"/>
          <w:szCs w:val="21"/>
          <w:highlight w:val="none"/>
        </w:rPr>
        <w:t>货物100%的供货费用；评价得分80分(不含80分)-60分(含60分)的为合格，招标人</w:t>
      </w:r>
      <w:r>
        <w:rPr>
          <w:rFonts w:hint="eastAsia" w:ascii="宋体" w:hAnsi="宋体" w:eastAsia="宋体" w:cs="宋体"/>
          <w:color w:val="auto"/>
          <w:sz w:val="21"/>
          <w:szCs w:val="21"/>
          <w:highlight w:val="none"/>
        </w:rPr>
        <w:t>（含其下属子公司）</w:t>
      </w:r>
      <w:r>
        <w:rPr>
          <w:rFonts w:hint="eastAsia" w:ascii="宋体" w:hAnsi="宋体" w:eastAsia="宋体" w:cs="宋体"/>
          <w:color w:val="auto"/>
          <w:kern w:val="2"/>
          <w:sz w:val="21"/>
          <w:szCs w:val="21"/>
          <w:highlight w:val="none"/>
        </w:rPr>
        <w:t>只支付</w:t>
      </w:r>
      <w:r>
        <w:rPr>
          <w:rFonts w:hint="eastAsia" w:ascii="宋体" w:hAnsi="宋体" w:eastAsia="宋体" w:cs="宋体"/>
          <w:bCs/>
          <w:color w:val="auto"/>
          <w:sz w:val="21"/>
          <w:szCs w:val="21"/>
          <w:highlight w:val="none"/>
          <w:lang w:bidi="ar"/>
        </w:rPr>
        <w:t>当季度</w:t>
      </w:r>
      <w:r>
        <w:rPr>
          <w:rFonts w:hint="eastAsia" w:ascii="宋体" w:hAnsi="宋体" w:eastAsia="宋体" w:cs="宋体"/>
          <w:color w:val="auto"/>
          <w:kern w:val="2"/>
          <w:sz w:val="21"/>
          <w:szCs w:val="21"/>
          <w:highlight w:val="none"/>
        </w:rPr>
        <w:t>货物90%的供货费用；评价分数得分60分以下</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不含60分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的为不合格，招标人</w:t>
      </w:r>
      <w:r>
        <w:rPr>
          <w:rFonts w:hint="eastAsia" w:ascii="宋体" w:hAnsi="宋体" w:eastAsia="宋体" w:cs="宋体"/>
          <w:color w:val="auto"/>
          <w:sz w:val="21"/>
          <w:szCs w:val="21"/>
          <w:highlight w:val="none"/>
        </w:rPr>
        <w:t>（含其下属子公司）</w:t>
      </w:r>
      <w:r>
        <w:rPr>
          <w:rFonts w:hint="eastAsia" w:ascii="宋体" w:hAnsi="宋体" w:eastAsia="宋体" w:cs="宋体"/>
          <w:color w:val="auto"/>
          <w:kern w:val="2"/>
          <w:sz w:val="21"/>
          <w:szCs w:val="21"/>
          <w:highlight w:val="none"/>
        </w:rPr>
        <w:t>只支付</w:t>
      </w:r>
      <w:r>
        <w:rPr>
          <w:rFonts w:hint="eastAsia" w:ascii="宋体" w:hAnsi="宋体" w:eastAsia="宋体" w:cs="宋体"/>
          <w:bCs/>
          <w:color w:val="auto"/>
          <w:sz w:val="21"/>
          <w:szCs w:val="21"/>
          <w:highlight w:val="none"/>
          <w:lang w:bidi="ar"/>
        </w:rPr>
        <w:t>当季度</w:t>
      </w:r>
      <w:r>
        <w:rPr>
          <w:rFonts w:hint="eastAsia" w:ascii="宋体" w:hAnsi="宋体" w:eastAsia="宋体" w:cs="宋体"/>
          <w:color w:val="auto"/>
          <w:kern w:val="2"/>
          <w:sz w:val="21"/>
          <w:szCs w:val="21"/>
          <w:highlight w:val="none"/>
        </w:rPr>
        <w:t>货物80%的供货费用；若出现第二次评审结论为不合格的，招标人</w:t>
      </w:r>
      <w:r>
        <w:rPr>
          <w:rFonts w:hint="eastAsia" w:ascii="宋体" w:hAnsi="宋体" w:eastAsia="宋体" w:cs="宋体"/>
          <w:color w:val="auto"/>
          <w:sz w:val="21"/>
          <w:szCs w:val="21"/>
          <w:highlight w:val="none"/>
        </w:rPr>
        <w:t>（含其下属子公司）</w:t>
      </w:r>
      <w:r>
        <w:rPr>
          <w:rFonts w:hint="eastAsia" w:ascii="宋体" w:hAnsi="宋体" w:eastAsia="宋体" w:cs="宋体"/>
          <w:color w:val="auto"/>
          <w:kern w:val="2"/>
          <w:sz w:val="21"/>
          <w:szCs w:val="21"/>
          <w:highlight w:val="none"/>
        </w:rPr>
        <w:t>有权取消投标人的供货资格并单方解除本合同、没收履约担保。</w:t>
      </w:r>
    </w:p>
    <w:p w14:paraId="4E12875A">
      <w:pPr>
        <w:pStyle w:val="3"/>
        <w:keepNext w:val="0"/>
        <w:keepLines w:val="0"/>
        <w:pageBreakBefore w:val="0"/>
        <w:kinsoku/>
        <w:wordWrap/>
        <w:overflowPunct/>
        <w:topLinePunct w:val="0"/>
        <w:bidi w:val="0"/>
        <w:snapToGrid/>
        <w:spacing w:line="360" w:lineRule="auto"/>
        <w:rPr>
          <w:rFonts w:hint="eastAsia" w:ascii="宋体" w:hAnsi="宋体" w:eastAsia="宋体" w:cs="宋体"/>
          <w:color w:val="auto"/>
          <w:sz w:val="21"/>
          <w:szCs w:val="21"/>
          <w:highlight w:val="none"/>
        </w:rPr>
      </w:pPr>
    </w:p>
    <w:p w14:paraId="15B7541F">
      <w:pPr>
        <w:keepNext w:val="0"/>
        <w:keepLines w:val="0"/>
        <w:pageBreakBefore w:val="0"/>
        <w:widowControl/>
        <w:kinsoku/>
        <w:wordWrap/>
        <w:overflowPunct/>
        <w:topLinePunct w:val="0"/>
        <w:autoSpaceDE/>
        <w:autoSpaceDN/>
        <w:bidi w:val="0"/>
        <w:adjustRightInd/>
        <w:snapToGrid/>
        <w:spacing w:line="360" w:lineRule="auto"/>
        <w:jc w:val="both"/>
        <w:outlineLvl w:val="1"/>
        <w:rPr>
          <w:rFonts w:hint="eastAsia" w:ascii="宋体" w:hAnsi="宋体" w:eastAsia="宋体" w:cs="宋体"/>
          <w:b/>
          <w:color w:val="auto"/>
          <w:kern w:val="2"/>
          <w:sz w:val="21"/>
          <w:szCs w:val="21"/>
          <w:highlight w:val="none"/>
        </w:rPr>
      </w:pPr>
      <w:bookmarkStart w:id="345" w:name="_Toc11645"/>
      <w:r>
        <w:rPr>
          <w:rFonts w:hint="eastAsia" w:ascii="宋体" w:hAnsi="宋体" w:eastAsia="宋体" w:cs="宋体"/>
          <w:b/>
          <w:color w:val="auto"/>
          <w:kern w:val="2"/>
          <w:sz w:val="21"/>
          <w:szCs w:val="21"/>
          <w:highlight w:val="none"/>
          <w:lang w:val="en-US" w:eastAsia="zh-CN"/>
        </w:rPr>
        <w:t>五</w:t>
      </w:r>
      <w:r>
        <w:rPr>
          <w:rFonts w:hint="eastAsia" w:ascii="宋体" w:hAnsi="宋体" w:eastAsia="宋体" w:cs="宋体"/>
          <w:b/>
          <w:color w:val="auto"/>
          <w:kern w:val="2"/>
          <w:sz w:val="21"/>
          <w:szCs w:val="21"/>
          <w:highlight w:val="none"/>
        </w:rPr>
        <w:t>、价款要求</w:t>
      </w:r>
      <w:bookmarkEnd w:id="345"/>
    </w:p>
    <w:p w14:paraId="7FB0C08B">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5.1</w:t>
      </w:r>
      <w:r>
        <w:rPr>
          <w:rFonts w:hint="eastAsia" w:ascii="宋体" w:hAnsi="宋体" w:eastAsia="宋体" w:cs="宋体"/>
          <w:color w:val="auto"/>
          <w:kern w:val="2"/>
          <w:sz w:val="21"/>
          <w:szCs w:val="21"/>
          <w:highlight w:val="none"/>
        </w:rPr>
        <w:t>本项目的投标报价采用统一折扣系数报价，合同履约过程中，采购清单中物资不含税中标综合单价按以下方式计算：不含税中标综合单价=不含税预算综合单价×中标折扣系数，以实际供货数量进行结算，不含税中标综合单价出现小数点，保留小数点后两位，从小数点后第3位四舍五入。</w:t>
      </w:r>
    </w:p>
    <w:p w14:paraId="08014091">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不含税中标综合单价包含完成供货的全部费用，包括但不限于货物及用户需求书采购清单中要求每项货物及其配备的附件、备品备件的采购、制造、检测、试验、送货、搬运（含二次搬运至招标人指定仓储地点）、包装费、运费、保险、现场仓储、质保、中标人销项税额以外的税费等相关服务的全部费用。</w:t>
      </w:r>
    </w:p>
    <w:p w14:paraId="090D5E4A">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5.2</w:t>
      </w:r>
      <w:r>
        <w:rPr>
          <w:rFonts w:hint="eastAsia" w:ascii="宋体" w:hAnsi="宋体" w:eastAsia="宋体" w:cs="宋体"/>
          <w:color w:val="auto"/>
          <w:kern w:val="2"/>
          <w:sz w:val="21"/>
          <w:szCs w:val="21"/>
          <w:highlight w:val="none"/>
        </w:rPr>
        <w:t>合同签订后，每个季度全部货物交货完毕并经招标人（含其下属子公司）最终验收合格后，投标人向招标人（含其下属子公司）提交请款报告、供货清单、到货验收单和等额的合法、有效的增值税专用发票等相关请款资料，招标人（含其下属子公司）收到前述材料并确认无误后，依据</w:t>
      </w:r>
      <w:r>
        <w:rPr>
          <w:rFonts w:hint="eastAsia" w:ascii="宋体" w:hAnsi="宋体" w:eastAsia="宋体" w:cs="宋体"/>
          <w:color w:val="auto"/>
          <w:kern w:val="2"/>
          <w:sz w:val="21"/>
          <w:szCs w:val="21"/>
          <w:highlight w:val="none"/>
          <w:lang w:val="en-US" w:eastAsia="zh-CN"/>
        </w:rPr>
        <w:t>本季度</w:t>
      </w:r>
      <w:r>
        <w:rPr>
          <w:rFonts w:hint="eastAsia" w:ascii="宋体" w:hAnsi="宋体" w:eastAsia="宋体" w:cs="宋体"/>
          <w:color w:val="auto"/>
          <w:kern w:val="2"/>
          <w:sz w:val="21"/>
          <w:szCs w:val="21"/>
          <w:highlight w:val="none"/>
        </w:rPr>
        <w:t>《供应商履约评价表》评价分数进行本</w:t>
      </w:r>
      <w:r>
        <w:rPr>
          <w:rFonts w:hint="eastAsia" w:ascii="宋体" w:hAnsi="宋体" w:eastAsia="宋体" w:cs="宋体"/>
          <w:color w:val="auto"/>
          <w:kern w:val="2"/>
          <w:sz w:val="21"/>
          <w:szCs w:val="21"/>
          <w:highlight w:val="none"/>
          <w:lang w:val="en-US" w:eastAsia="zh-CN"/>
        </w:rPr>
        <w:t>季度</w:t>
      </w:r>
      <w:r>
        <w:rPr>
          <w:rFonts w:hint="eastAsia" w:ascii="宋体" w:hAnsi="宋体" w:eastAsia="宋体" w:cs="宋体"/>
          <w:color w:val="auto"/>
          <w:kern w:val="2"/>
          <w:sz w:val="21"/>
          <w:szCs w:val="21"/>
          <w:highlight w:val="none"/>
        </w:rPr>
        <w:t>货物供货的结算，在15个工作日内支付本季度应付货款的100%。</w:t>
      </w:r>
    </w:p>
    <w:p w14:paraId="153979A9">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kern w:val="2"/>
          <w:sz w:val="21"/>
          <w:szCs w:val="21"/>
          <w:highlight w:val="none"/>
          <w:lang w:val="en-US" w:eastAsia="zh-CN"/>
        </w:rPr>
        <w:t>5.3</w:t>
      </w:r>
      <w:r>
        <w:rPr>
          <w:rFonts w:hint="eastAsia" w:ascii="宋体" w:hAnsi="宋体" w:eastAsia="宋体" w:cs="宋体"/>
          <w:color w:val="auto"/>
          <w:kern w:val="2"/>
          <w:sz w:val="21"/>
          <w:szCs w:val="21"/>
          <w:highlight w:val="none"/>
        </w:rPr>
        <w:t>投标人按项目供货清单提供货物价款等额合法的增值税专用发票、请款报告等请款资料，逾期提交请款资料及发票或提交资料不符合招标人（含其下属子公司）要求的，招标人（含其下属子公司）付款时间顺延，并不承担逾期付款违约责任。由于中标人提供的发票不符合税法规定，给招标人（含其下属子公司）造成的损失由中标人承担赔偿责任。</w:t>
      </w:r>
      <w:r>
        <w:rPr>
          <w:rFonts w:hint="eastAsia" w:ascii="宋体" w:hAnsi="宋体" w:eastAsia="宋体" w:cs="宋体"/>
          <w:b/>
          <w:bCs/>
          <w:color w:val="auto"/>
          <w:kern w:val="2"/>
          <w:sz w:val="21"/>
          <w:szCs w:val="21"/>
          <w:highlight w:val="none"/>
        </w:rPr>
        <w:br w:type="page"/>
      </w:r>
    </w:p>
    <w:p w14:paraId="4A0E301B">
      <w:pPr>
        <w:keepNext w:val="0"/>
        <w:keepLines w:val="0"/>
        <w:pageBreakBefore w:val="0"/>
        <w:kinsoku/>
        <w:wordWrap/>
        <w:overflowPunct/>
        <w:topLinePunct w:val="0"/>
        <w:autoSpaceDE/>
        <w:autoSpaceDN/>
        <w:bidi w:val="0"/>
        <w:adjustRightInd/>
        <w:snapToGrid/>
        <w:spacing w:line="360" w:lineRule="auto"/>
        <w:contextualSpacing/>
        <w:jc w:val="both"/>
        <w:rPr>
          <w:rFonts w:hint="eastAsia" w:ascii="宋体" w:hAnsi="宋体" w:eastAsia="宋体" w:cs="宋体"/>
          <w:b/>
          <w:color w:val="auto"/>
          <w:kern w:val="2"/>
          <w:sz w:val="21"/>
          <w:szCs w:val="21"/>
          <w:highlight w:val="none"/>
        </w:rPr>
      </w:pPr>
      <w:r>
        <w:rPr>
          <w:rFonts w:hint="eastAsia" w:ascii="宋体" w:hAnsi="宋体" w:eastAsia="宋体" w:cs="宋体"/>
          <w:b w:val="0"/>
          <w:bCs w:val="0"/>
          <w:color w:val="auto"/>
          <w:kern w:val="2"/>
          <w:sz w:val="21"/>
          <w:szCs w:val="21"/>
          <w:highlight w:val="none"/>
        </w:rPr>
        <w:t>附件</w:t>
      </w:r>
      <w:r>
        <w:rPr>
          <w:rFonts w:hint="eastAsia" w:ascii="宋体" w:hAnsi="宋体" w:eastAsia="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rPr>
        <w:t>：收货地址汇总表</w:t>
      </w:r>
    </w:p>
    <w:p w14:paraId="5461C13B">
      <w:pPr>
        <w:keepNext w:val="0"/>
        <w:keepLines w:val="0"/>
        <w:pageBreakBefore w:val="0"/>
        <w:widowControl/>
        <w:kinsoku/>
        <w:wordWrap/>
        <w:overflowPunct/>
        <w:topLinePunct w:val="0"/>
        <w:autoSpaceDE/>
        <w:autoSpaceDN/>
        <w:bidi w:val="0"/>
        <w:adjustRightInd/>
        <w:snapToGrid/>
        <w:spacing w:line="360" w:lineRule="auto"/>
        <w:jc w:val="center"/>
        <w:outlineLvl w:val="1"/>
        <w:rPr>
          <w:rFonts w:hint="eastAsia" w:ascii="宋体" w:hAnsi="宋体" w:eastAsia="宋体" w:cs="宋体"/>
          <w:b/>
          <w:color w:val="auto"/>
          <w:kern w:val="2"/>
          <w:sz w:val="21"/>
          <w:szCs w:val="21"/>
          <w:highlight w:val="none"/>
        </w:rPr>
      </w:pPr>
      <w:bookmarkStart w:id="346" w:name="_Toc27140"/>
      <w:r>
        <w:rPr>
          <w:rFonts w:hint="eastAsia" w:ascii="宋体" w:hAnsi="宋体" w:eastAsia="宋体" w:cs="宋体"/>
          <w:b/>
          <w:color w:val="auto"/>
          <w:kern w:val="2"/>
          <w:sz w:val="21"/>
          <w:szCs w:val="21"/>
          <w:highlight w:val="none"/>
          <w:lang w:val="en-US" w:eastAsia="zh-CN"/>
        </w:rPr>
        <w:t>收</w:t>
      </w:r>
      <w:r>
        <w:rPr>
          <w:rFonts w:hint="eastAsia" w:ascii="宋体" w:hAnsi="宋体" w:eastAsia="宋体" w:cs="宋体"/>
          <w:b/>
          <w:color w:val="auto"/>
          <w:kern w:val="2"/>
          <w:sz w:val="21"/>
          <w:szCs w:val="21"/>
          <w:highlight w:val="none"/>
        </w:rPr>
        <w:t>货地址汇总表</w:t>
      </w:r>
      <w:bookmarkEnd w:id="346"/>
    </w:p>
    <w:tbl>
      <w:tblPr>
        <w:tblStyle w:val="44"/>
        <w:tblW w:w="10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8"/>
        <w:gridCol w:w="8203"/>
      </w:tblGrid>
      <w:tr w14:paraId="784D2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2DD3A5D0">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b/>
                <w:bCs/>
                <w:i w:val="0"/>
                <w:iCs w:val="0"/>
                <w:color w:val="auto"/>
                <w:kern w:val="0"/>
                <w:sz w:val="21"/>
                <w:szCs w:val="21"/>
                <w:highlight w:val="none"/>
                <w:u w:val="none"/>
                <w:lang w:val="en-US" w:eastAsia="zh-CN" w:bidi="ar"/>
              </w:rPr>
              <w:t>地点</w:t>
            </w:r>
          </w:p>
        </w:tc>
        <w:tc>
          <w:tcPr>
            <w:tcW w:w="8203" w:type="dxa"/>
            <w:noWrap w:val="0"/>
            <w:vAlign w:val="center"/>
          </w:tcPr>
          <w:p w14:paraId="2A4FC4C4">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b/>
                <w:bCs/>
                <w:i w:val="0"/>
                <w:iCs w:val="0"/>
                <w:color w:val="auto"/>
                <w:kern w:val="0"/>
                <w:sz w:val="21"/>
                <w:szCs w:val="21"/>
                <w:highlight w:val="none"/>
                <w:u w:val="none"/>
                <w:lang w:val="en-US" w:eastAsia="zh-CN" w:bidi="ar"/>
              </w:rPr>
              <w:t>收货地址</w:t>
            </w:r>
          </w:p>
        </w:tc>
      </w:tr>
      <w:tr w14:paraId="70E8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13363EA1">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管网本部办公楼</w:t>
            </w:r>
          </w:p>
        </w:tc>
        <w:tc>
          <w:tcPr>
            <w:tcW w:w="8203" w:type="dxa"/>
            <w:noWrap w:val="0"/>
            <w:vAlign w:val="center"/>
          </w:tcPr>
          <w:p w14:paraId="165A922A">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东莞市东城街道运河路5号</w:t>
            </w:r>
          </w:p>
        </w:tc>
      </w:tr>
      <w:tr w14:paraId="07D8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2D611C1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一分公司本部办公楼</w:t>
            </w:r>
          </w:p>
        </w:tc>
        <w:tc>
          <w:tcPr>
            <w:tcW w:w="8203" w:type="dxa"/>
            <w:noWrap w:val="0"/>
            <w:vAlign w:val="center"/>
          </w:tcPr>
          <w:p w14:paraId="693B99B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宋体" w:cs="Times New Roman"/>
                <w:color w:val="auto"/>
                <w:sz w:val="21"/>
                <w:szCs w:val="21"/>
                <w:highlight w:val="none"/>
                <w:vertAlign w:val="baseline"/>
                <w:lang w:eastAsia="zh"/>
              </w:rPr>
            </w:pPr>
            <w:r>
              <w:rPr>
                <w:rFonts w:hint="eastAsia" w:ascii="宋体" w:hAnsi="宋体" w:eastAsia="宋体" w:cs="宋体"/>
                <w:i w:val="0"/>
                <w:iCs w:val="0"/>
                <w:color w:val="auto"/>
                <w:sz w:val="21"/>
                <w:szCs w:val="21"/>
                <w:highlight w:val="none"/>
                <w:u w:val="none"/>
              </w:rPr>
              <w:t>东莞市东城街道周屋围</w:t>
            </w:r>
            <w:r>
              <w:rPr>
                <w:rFonts w:hint="eastAsia" w:ascii="宋体" w:hAnsi="宋体" w:eastAsia="宋体" w:cs="宋体"/>
                <w:i w:val="0"/>
                <w:iCs w:val="0"/>
                <w:color w:val="auto"/>
                <w:sz w:val="21"/>
                <w:szCs w:val="21"/>
                <w:highlight w:val="none"/>
                <w:u w:val="none"/>
                <w:lang w:eastAsia="zh"/>
              </w:rPr>
              <w:t>街</w:t>
            </w:r>
            <w:r>
              <w:rPr>
                <w:rFonts w:hint="eastAsia" w:ascii="宋体" w:hAnsi="宋体" w:eastAsia="宋体" w:cs="宋体"/>
                <w:i w:val="0"/>
                <w:iCs w:val="0"/>
                <w:color w:val="auto"/>
                <w:sz w:val="21"/>
                <w:szCs w:val="21"/>
                <w:highlight w:val="none"/>
                <w:u w:val="none"/>
              </w:rPr>
              <w:t>26号</w:t>
            </w:r>
            <w:r>
              <w:rPr>
                <w:rFonts w:hint="eastAsia" w:ascii="宋体" w:hAnsi="宋体" w:eastAsia="宋体" w:cs="宋体"/>
                <w:i w:val="0"/>
                <w:iCs w:val="0"/>
                <w:color w:val="auto"/>
                <w:sz w:val="21"/>
                <w:szCs w:val="21"/>
                <w:highlight w:val="none"/>
                <w:u w:val="none"/>
                <w:lang w:eastAsia="zh"/>
              </w:rPr>
              <w:t>（第二水厂）</w:t>
            </w:r>
          </w:p>
        </w:tc>
      </w:tr>
      <w:tr w14:paraId="37BB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1652418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一分公司南城驻点</w:t>
            </w:r>
          </w:p>
        </w:tc>
        <w:tc>
          <w:tcPr>
            <w:tcW w:w="8203" w:type="dxa"/>
            <w:noWrap w:val="0"/>
            <w:vAlign w:val="center"/>
          </w:tcPr>
          <w:p w14:paraId="70A08D80">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宋体" w:cs="Times New Roman"/>
                <w:color w:val="auto"/>
                <w:sz w:val="21"/>
                <w:szCs w:val="21"/>
                <w:highlight w:val="none"/>
                <w:vertAlign w:val="baseline"/>
                <w:lang w:eastAsia="zh"/>
              </w:rPr>
            </w:pPr>
            <w:r>
              <w:rPr>
                <w:rFonts w:hint="eastAsia" w:ascii="宋体" w:hAnsi="宋体" w:eastAsia="宋体" w:cs="宋体"/>
                <w:i w:val="0"/>
                <w:iCs w:val="0"/>
                <w:color w:val="auto"/>
                <w:kern w:val="0"/>
                <w:sz w:val="21"/>
                <w:szCs w:val="21"/>
                <w:highlight w:val="none"/>
                <w:u w:val="none"/>
                <w:lang w:val="en-US" w:eastAsia="zh" w:bidi="ar"/>
              </w:rPr>
              <w:t>东莞市南城街道科技路39号（东莞市福地饮用水有限公司）</w:t>
            </w:r>
          </w:p>
        </w:tc>
      </w:tr>
      <w:tr w14:paraId="4244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626748D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一分公司万江驻点</w:t>
            </w:r>
          </w:p>
        </w:tc>
        <w:tc>
          <w:tcPr>
            <w:tcW w:w="8203" w:type="dxa"/>
            <w:noWrap w:val="0"/>
            <w:vAlign w:val="center"/>
          </w:tcPr>
          <w:p w14:paraId="355851EA">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 w:bidi="ar"/>
              </w:rPr>
            </w:pPr>
            <w:r>
              <w:rPr>
                <w:rFonts w:hint="eastAsia" w:ascii="宋体" w:hAnsi="宋体" w:eastAsia="宋体" w:cs="宋体"/>
                <w:i w:val="0"/>
                <w:iCs w:val="0"/>
                <w:color w:val="auto"/>
                <w:kern w:val="0"/>
                <w:sz w:val="21"/>
                <w:szCs w:val="21"/>
                <w:highlight w:val="none"/>
                <w:u w:val="none"/>
                <w:lang w:val="en-US" w:eastAsia="zh" w:bidi="ar"/>
              </w:rPr>
              <w:t>东莞市万江街道汾溪河畔公园东50米(堤围路南)</w:t>
            </w:r>
          </w:p>
          <w:p w14:paraId="1EDB2A4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宋体" w:cs="Times New Roman"/>
                <w:color w:val="auto"/>
                <w:sz w:val="21"/>
                <w:szCs w:val="21"/>
                <w:highlight w:val="none"/>
                <w:vertAlign w:val="baseline"/>
                <w:lang w:eastAsia="zh"/>
              </w:rPr>
            </w:pPr>
            <w:r>
              <w:rPr>
                <w:rFonts w:hint="eastAsia" w:ascii="宋体" w:hAnsi="宋体" w:eastAsia="宋体" w:cs="宋体"/>
                <w:i w:val="0"/>
                <w:iCs w:val="0"/>
                <w:color w:val="auto"/>
                <w:kern w:val="0"/>
                <w:sz w:val="21"/>
                <w:szCs w:val="21"/>
                <w:highlight w:val="none"/>
                <w:u w:val="none"/>
                <w:lang w:val="en-US" w:eastAsia="zh" w:bidi="ar"/>
              </w:rPr>
              <w:t>（</w:t>
            </w:r>
            <w:r>
              <w:rPr>
                <w:rFonts w:hint="eastAsia" w:ascii="宋体" w:hAnsi="宋体" w:eastAsia="宋体" w:cs="宋体"/>
                <w:i w:val="0"/>
                <w:iCs w:val="0"/>
                <w:color w:val="auto"/>
                <w:kern w:val="0"/>
                <w:sz w:val="21"/>
                <w:szCs w:val="21"/>
                <w:highlight w:val="none"/>
                <w:u w:val="none"/>
                <w:lang w:val="en-US" w:eastAsia="zh-CN" w:bidi="ar"/>
              </w:rPr>
              <w:t>拔蛟窝汾溪路老虎滘排涝站旁</w:t>
            </w:r>
            <w:r>
              <w:rPr>
                <w:rFonts w:hint="eastAsia" w:ascii="宋体" w:hAnsi="宋体" w:eastAsia="宋体" w:cs="宋体"/>
                <w:i w:val="0"/>
                <w:iCs w:val="0"/>
                <w:color w:val="auto"/>
                <w:kern w:val="0"/>
                <w:sz w:val="21"/>
                <w:szCs w:val="21"/>
                <w:highlight w:val="none"/>
                <w:u w:val="none"/>
                <w:lang w:val="en-US" w:eastAsia="zh" w:bidi="ar"/>
              </w:rPr>
              <w:t>）</w:t>
            </w:r>
          </w:p>
        </w:tc>
      </w:tr>
      <w:tr w14:paraId="49B8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6B82DA4D">
            <w:pPr>
              <w:keepNext w:val="0"/>
              <w:keepLines w:val="0"/>
              <w:pageBreakBefore w:val="0"/>
              <w:widowControl/>
              <w:suppressLineNumbers w:val="0"/>
              <w:kinsoku/>
              <w:wordWrap/>
              <w:overflowPunct/>
              <w:topLinePunct w:val="0"/>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 w:bidi="ar"/>
              </w:rPr>
            </w:pPr>
            <w:r>
              <w:rPr>
                <w:rFonts w:hint="eastAsia" w:ascii="宋体" w:hAnsi="宋体" w:eastAsia="宋体" w:cs="宋体"/>
                <w:i w:val="0"/>
                <w:iCs w:val="0"/>
                <w:color w:val="auto"/>
                <w:kern w:val="0"/>
                <w:sz w:val="21"/>
                <w:szCs w:val="21"/>
                <w:highlight w:val="none"/>
                <w:u w:val="none"/>
                <w:lang w:val="en-US" w:eastAsia="zh" w:bidi="ar"/>
              </w:rPr>
              <w:t>一分公司高埗驻点</w:t>
            </w:r>
          </w:p>
        </w:tc>
        <w:tc>
          <w:tcPr>
            <w:tcW w:w="8203" w:type="dxa"/>
            <w:noWrap w:val="0"/>
            <w:vAlign w:val="center"/>
          </w:tcPr>
          <w:p w14:paraId="04CD41C5">
            <w:pPr>
              <w:keepNext w:val="0"/>
              <w:keepLines w:val="0"/>
              <w:pageBreakBefore w:val="0"/>
              <w:widowControl/>
              <w:suppressLineNumbers w:val="0"/>
              <w:kinsoku/>
              <w:wordWrap/>
              <w:overflowPunct/>
              <w:topLinePunct w:val="0"/>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 w:bidi="ar"/>
              </w:rPr>
            </w:pPr>
            <w:r>
              <w:rPr>
                <w:rFonts w:hint="eastAsia" w:ascii="宋体" w:hAnsi="宋体" w:eastAsia="宋体" w:cs="宋体"/>
                <w:i w:val="0"/>
                <w:iCs w:val="0"/>
                <w:color w:val="auto"/>
                <w:kern w:val="0"/>
                <w:sz w:val="21"/>
                <w:szCs w:val="21"/>
                <w:highlight w:val="none"/>
                <w:u w:val="none"/>
                <w:lang w:val="en-US" w:eastAsia="zh" w:bidi="ar"/>
              </w:rPr>
              <w:t>东莞市高埗镇洲头路11号（低松水质净化厂）</w:t>
            </w:r>
          </w:p>
        </w:tc>
      </w:tr>
      <w:tr w14:paraId="735F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25A87FD6">
            <w:pPr>
              <w:keepNext w:val="0"/>
              <w:keepLines w:val="0"/>
              <w:pageBreakBefore w:val="0"/>
              <w:widowControl/>
              <w:suppressLineNumbers w:val="0"/>
              <w:kinsoku/>
              <w:wordWrap/>
              <w:overflowPunct/>
              <w:topLinePunct w:val="0"/>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 w:bidi="ar"/>
              </w:rPr>
            </w:pPr>
            <w:r>
              <w:rPr>
                <w:rFonts w:hint="eastAsia" w:ascii="宋体" w:hAnsi="宋体" w:eastAsia="宋体" w:cs="宋体"/>
                <w:i w:val="0"/>
                <w:iCs w:val="0"/>
                <w:color w:val="auto"/>
                <w:kern w:val="0"/>
                <w:sz w:val="21"/>
                <w:szCs w:val="21"/>
                <w:highlight w:val="none"/>
                <w:u w:val="none"/>
                <w:lang w:val="en-US" w:eastAsia="zh" w:bidi="ar"/>
              </w:rPr>
              <w:t>一分公司石碣驻点</w:t>
            </w:r>
          </w:p>
        </w:tc>
        <w:tc>
          <w:tcPr>
            <w:tcW w:w="8203" w:type="dxa"/>
            <w:noWrap w:val="0"/>
            <w:vAlign w:val="center"/>
          </w:tcPr>
          <w:p w14:paraId="40593C00">
            <w:pPr>
              <w:keepNext w:val="0"/>
              <w:keepLines w:val="0"/>
              <w:pageBreakBefore w:val="0"/>
              <w:widowControl/>
              <w:suppressLineNumbers w:val="0"/>
              <w:kinsoku/>
              <w:wordWrap/>
              <w:overflowPunct/>
              <w:topLinePunct w:val="0"/>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 w:bidi="ar"/>
              </w:rPr>
            </w:pPr>
            <w:r>
              <w:rPr>
                <w:rFonts w:hint="eastAsia" w:ascii="宋体" w:hAnsi="宋体" w:eastAsia="宋体" w:cs="宋体"/>
                <w:i w:val="0"/>
                <w:iCs w:val="0"/>
                <w:color w:val="auto"/>
                <w:kern w:val="0"/>
                <w:sz w:val="21"/>
                <w:szCs w:val="21"/>
                <w:highlight w:val="none"/>
                <w:u w:val="none"/>
                <w:lang w:val="en-US" w:eastAsia="zh" w:bidi="ar"/>
              </w:rPr>
              <w:t>东莞市石碣镇同德路2号101室（东莞市水务</w:t>
            </w:r>
            <w:r>
              <w:rPr>
                <w:rFonts w:hint="eastAsia" w:ascii="宋体" w:hAnsi="宋体" w:eastAsia="宋体" w:cs="宋体"/>
                <w:i w:val="0"/>
                <w:iCs w:val="0"/>
                <w:color w:val="auto"/>
                <w:kern w:val="0"/>
                <w:sz w:val="21"/>
                <w:szCs w:val="21"/>
                <w:highlight w:val="none"/>
                <w:u w:val="none"/>
                <w:lang w:val="en-US" w:eastAsia="zh-CN" w:bidi="ar"/>
              </w:rPr>
              <w:t>环境</w:t>
            </w:r>
            <w:r>
              <w:rPr>
                <w:rFonts w:hint="eastAsia" w:ascii="宋体" w:hAnsi="宋体" w:eastAsia="宋体" w:cs="宋体"/>
                <w:i w:val="0"/>
                <w:iCs w:val="0"/>
                <w:color w:val="auto"/>
                <w:kern w:val="0"/>
                <w:sz w:val="21"/>
                <w:szCs w:val="21"/>
                <w:highlight w:val="none"/>
                <w:u w:val="none"/>
                <w:lang w:val="en-US" w:eastAsia="zh" w:bidi="ar"/>
              </w:rPr>
              <w:t>集团供水有限公司石碣分公司）</w:t>
            </w:r>
          </w:p>
        </w:tc>
      </w:tr>
      <w:tr w14:paraId="3C5F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0F8E83B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二分公司本部办公楼</w:t>
            </w:r>
          </w:p>
        </w:tc>
        <w:tc>
          <w:tcPr>
            <w:tcW w:w="8203" w:type="dxa"/>
            <w:noWrap w:val="0"/>
            <w:vAlign w:val="center"/>
          </w:tcPr>
          <w:p w14:paraId="6C35A91B">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宋体" w:cs="Times New Roman"/>
                <w:color w:val="auto"/>
                <w:sz w:val="21"/>
                <w:szCs w:val="21"/>
                <w:highlight w:val="none"/>
                <w:vertAlign w:val="baseline"/>
                <w:lang w:eastAsia="zh"/>
              </w:rPr>
            </w:pPr>
            <w:r>
              <w:rPr>
                <w:rFonts w:hint="eastAsia" w:ascii="宋体" w:hAnsi="宋体" w:eastAsia="宋体" w:cs="宋体"/>
                <w:i w:val="0"/>
                <w:iCs w:val="0"/>
                <w:color w:val="auto"/>
                <w:kern w:val="0"/>
                <w:sz w:val="21"/>
                <w:szCs w:val="21"/>
                <w:highlight w:val="none"/>
                <w:u w:val="none"/>
                <w:lang w:val="en-US" w:eastAsia="zh" w:bidi="ar"/>
              </w:rPr>
              <w:t>东莞市松山湖国际金融创新园C区10A</w:t>
            </w:r>
          </w:p>
        </w:tc>
      </w:tr>
      <w:tr w14:paraId="506F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4AE38B11">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二分公司大朗</w:t>
            </w:r>
            <w:r>
              <w:rPr>
                <w:rFonts w:hint="eastAsia" w:ascii="宋体" w:hAnsi="宋体" w:eastAsia="宋体" w:cs="宋体"/>
                <w:i w:val="0"/>
                <w:iCs w:val="0"/>
                <w:color w:val="auto"/>
                <w:kern w:val="0"/>
                <w:sz w:val="21"/>
                <w:szCs w:val="21"/>
                <w:highlight w:val="none"/>
                <w:u w:val="none"/>
                <w:lang w:val="en-US" w:eastAsia="zh" w:bidi="ar"/>
              </w:rPr>
              <w:t>、松山湖</w:t>
            </w:r>
            <w:r>
              <w:rPr>
                <w:rFonts w:hint="eastAsia" w:ascii="宋体" w:hAnsi="宋体" w:eastAsia="宋体" w:cs="宋体"/>
                <w:i w:val="0"/>
                <w:iCs w:val="0"/>
                <w:color w:val="auto"/>
                <w:kern w:val="0"/>
                <w:sz w:val="21"/>
                <w:szCs w:val="21"/>
                <w:highlight w:val="none"/>
                <w:u w:val="none"/>
                <w:lang w:val="en-US" w:eastAsia="zh-CN" w:bidi="ar"/>
              </w:rPr>
              <w:t>驻点</w:t>
            </w:r>
          </w:p>
        </w:tc>
        <w:tc>
          <w:tcPr>
            <w:tcW w:w="8203" w:type="dxa"/>
            <w:noWrap w:val="0"/>
            <w:vAlign w:val="center"/>
          </w:tcPr>
          <w:p w14:paraId="2814F3D4">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东莞市松佛路411号大朗现代信息服务创意产业园</w:t>
            </w:r>
          </w:p>
        </w:tc>
      </w:tr>
      <w:tr w14:paraId="3038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79FAA1E4">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二分公司大岭山驻点</w:t>
            </w:r>
          </w:p>
        </w:tc>
        <w:tc>
          <w:tcPr>
            <w:tcW w:w="8203" w:type="dxa"/>
            <w:noWrap w:val="0"/>
            <w:vAlign w:val="center"/>
          </w:tcPr>
          <w:p w14:paraId="669F8645">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宋体" w:cs="Times New Roman"/>
                <w:color w:val="auto"/>
                <w:sz w:val="21"/>
                <w:szCs w:val="21"/>
                <w:highlight w:val="none"/>
                <w:vertAlign w:val="baseline"/>
                <w:lang w:eastAsia="zh"/>
              </w:rPr>
            </w:pPr>
            <w:r>
              <w:rPr>
                <w:rFonts w:hint="eastAsia" w:ascii="宋体" w:hAnsi="宋体" w:eastAsia="宋体" w:cs="宋体"/>
                <w:i w:val="0"/>
                <w:iCs w:val="0"/>
                <w:color w:val="auto"/>
                <w:kern w:val="0"/>
                <w:sz w:val="21"/>
                <w:szCs w:val="21"/>
                <w:highlight w:val="none"/>
                <w:u w:val="none"/>
                <w:lang w:val="en-US" w:eastAsia="zh-CN" w:bidi="ar"/>
              </w:rPr>
              <w:t>东莞市</w:t>
            </w:r>
            <w:r>
              <w:rPr>
                <w:rFonts w:hint="eastAsia" w:ascii="宋体" w:hAnsi="宋体" w:eastAsia="宋体" w:cs="宋体"/>
                <w:i w:val="0"/>
                <w:iCs w:val="0"/>
                <w:color w:val="auto"/>
                <w:kern w:val="0"/>
                <w:sz w:val="21"/>
                <w:szCs w:val="21"/>
                <w:highlight w:val="none"/>
                <w:u w:val="none"/>
                <w:lang w:val="en-US" w:eastAsia="zh" w:bidi="ar"/>
              </w:rPr>
              <w:t>大岭山镇莞长路592号</w:t>
            </w:r>
          </w:p>
        </w:tc>
      </w:tr>
      <w:tr w14:paraId="3F33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55FF372D">
            <w:pPr>
              <w:keepNext w:val="0"/>
              <w:keepLines w:val="0"/>
              <w:pageBreakBefore w:val="0"/>
              <w:widowControl/>
              <w:suppressLineNumbers w:val="0"/>
              <w:kinsoku/>
              <w:wordWrap/>
              <w:overflowPunct/>
              <w:topLinePunct w:val="0"/>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 w:bidi="ar"/>
              </w:rPr>
            </w:pPr>
            <w:r>
              <w:rPr>
                <w:rFonts w:hint="eastAsia" w:ascii="宋体" w:hAnsi="宋体" w:eastAsia="宋体" w:cs="宋体"/>
                <w:i w:val="0"/>
                <w:iCs w:val="0"/>
                <w:color w:val="auto"/>
                <w:kern w:val="0"/>
                <w:sz w:val="21"/>
                <w:szCs w:val="21"/>
                <w:highlight w:val="none"/>
                <w:u w:val="none"/>
                <w:lang w:val="en-US" w:eastAsia="zh" w:bidi="ar"/>
              </w:rPr>
              <w:t>二公司寮步驻点</w:t>
            </w:r>
          </w:p>
        </w:tc>
        <w:tc>
          <w:tcPr>
            <w:tcW w:w="8203" w:type="dxa"/>
            <w:noWrap w:val="0"/>
            <w:vAlign w:val="center"/>
          </w:tcPr>
          <w:p w14:paraId="0F2FB76F">
            <w:pPr>
              <w:keepNext w:val="0"/>
              <w:keepLines w:val="0"/>
              <w:pageBreakBefore w:val="0"/>
              <w:widowControl/>
              <w:suppressLineNumbers w:val="0"/>
              <w:kinsoku/>
              <w:wordWrap/>
              <w:overflowPunct/>
              <w:topLinePunct w:val="0"/>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 w:bidi="ar"/>
              </w:rPr>
            </w:pPr>
            <w:r>
              <w:rPr>
                <w:rFonts w:hint="eastAsia" w:ascii="宋体" w:hAnsi="宋体" w:eastAsia="宋体" w:cs="宋体"/>
                <w:i w:val="0"/>
                <w:iCs w:val="0"/>
                <w:color w:val="auto"/>
                <w:kern w:val="0"/>
                <w:sz w:val="21"/>
                <w:szCs w:val="21"/>
                <w:highlight w:val="none"/>
                <w:u w:val="none"/>
                <w:lang w:val="en-US" w:eastAsia="zh" w:bidi="ar"/>
              </w:rPr>
              <w:t>东莞市寮步镇元英路净水公司寮步分公司竹园污水厂二期</w:t>
            </w:r>
          </w:p>
        </w:tc>
      </w:tr>
      <w:tr w14:paraId="6877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380A45D0">
            <w:pPr>
              <w:keepNext w:val="0"/>
              <w:keepLines w:val="0"/>
              <w:pageBreakBefore w:val="0"/>
              <w:widowControl/>
              <w:suppressLineNumbers w:val="0"/>
              <w:kinsoku/>
              <w:wordWrap/>
              <w:overflowPunct/>
              <w:topLinePunct w:val="0"/>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 w:bidi="ar"/>
              </w:rPr>
            </w:pPr>
            <w:r>
              <w:rPr>
                <w:rFonts w:hint="eastAsia" w:ascii="宋体" w:hAnsi="宋体" w:eastAsia="宋体" w:cs="宋体"/>
                <w:i w:val="0"/>
                <w:iCs w:val="0"/>
                <w:color w:val="auto"/>
                <w:kern w:val="0"/>
                <w:sz w:val="21"/>
                <w:szCs w:val="21"/>
                <w:highlight w:val="none"/>
                <w:u w:val="none"/>
                <w:lang w:val="en-US" w:eastAsia="zh" w:bidi="ar"/>
              </w:rPr>
              <w:t>二公司石排、茶山驻点</w:t>
            </w:r>
          </w:p>
        </w:tc>
        <w:tc>
          <w:tcPr>
            <w:tcW w:w="8203" w:type="dxa"/>
            <w:noWrap w:val="0"/>
            <w:vAlign w:val="center"/>
          </w:tcPr>
          <w:p w14:paraId="22B366AB">
            <w:pPr>
              <w:keepNext w:val="0"/>
              <w:keepLines w:val="0"/>
              <w:pageBreakBefore w:val="0"/>
              <w:widowControl/>
              <w:suppressLineNumbers w:val="0"/>
              <w:kinsoku/>
              <w:wordWrap/>
              <w:overflowPunct/>
              <w:topLinePunct w:val="0"/>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 w:bidi="ar"/>
              </w:rPr>
            </w:pPr>
            <w:r>
              <w:rPr>
                <w:rFonts w:hint="eastAsia" w:ascii="宋体" w:hAnsi="宋体" w:eastAsia="宋体" w:cs="宋体"/>
                <w:i w:val="0"/>
                <w:iCs w:val="0"/>
                <w:color w:val="auto"/>
                <w:kern w:val="0"/>
                <w:sz w:val="21"/>
                <w:szCs w:val="21"/>
                <w:highlight w:val="none"/>
                <w:u w:val="none"/>
                <w:lang w:val="en-US" w:eastAsia="zh" w:bidi="ar"/>
              </w:rPr>
              <w:t xml:space="preserve"> 东莞市茶山镇博头村安泰北路126号</w:t>
            </w:r>
          </w:p>
        </w:tc>
      </w:tr>
      <w:tr w14:paraId="7BD0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7B6FD564">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上元泵站</w:t>
            </w:r>
          </w:p>
        </w:tc>
        <w:tc>
          <w:tcPr>
            <w:tcW w:w="8203" w:type="dxa"/>
            <w:noWrap w:val="0"/>
            <w:vAlign w:val="center"/>
          </w:tcPr>
          <w:p w14:paraId="10D22551">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东莞市X246石大公路上元沙角工业区附近</w:t>
            </w:r>
          </w:p>
        </w:tc>
      </w:tr>
      <w:tr w14:paraId="6061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72498DCB">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石步泵站</w:t>
            </w:r>
          </w:p>
        </w:tc>
        <w:tc>
          <w:tcPr>
            <w:tcW w:w="8203" w:type="dxa"/>
            <w:noWrap w:val="0"/>
            <w:vAlign w:val="center"/>
          </w:tcPr>
          <w:p w14:paraId="28DF2BC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寮步镇石步村石横街旁</w:t>
            </w:r>
          </w:p>
        </w:tc>
      </w:tr>
      <w:tr w14:paraId="1D69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2C8A110B">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高英泵站</w:t>
            </w:r>
          </w:p>
        </w:tc>
        <w:tc>
          <w:tcPr>
            <w:tcW w:w="8203" w:type="dxa"/>
            <w:noWrap w:val="0"/>
            <w:vAlign w:val="center"/>
          </w:tcPr>
          <w:p w14:paraId="5C24720D">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大朗镇沿河东一路四海英才小学后面</w:t>
            </w:r>
          </w:p>
        </w:tc>
      </w:tr>
      <w:tr w14:paraId="43D9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4AA83633">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湖畔泵站</w:t>
            </w:r>
          </w:p>
        </w:tc>
        <w:tc>
          <w:tcPr>
            <w:tcW w:w="8203" w:type="dxa"/>
            <w:noWrap w:val="0"/>
            <w:vAlign w:val="center"/>
          </w:tcPr>
          <w:p w14:paraId="6877DB9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大岭山镇兴园路佛灵湖郊野公园旁</w:t>
            </w:r>
          </w:p>
        </w:tc>
      </w:tr>
      <w:tr w14:paraId="6BD9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2801351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金多港泵站</w:t>
            </w:r>
          </w:p>
        </w:tc>
        <w:tc>
          <w:tcPr>
            <w:tcW w:w="8203" w:type="dxa"/>
            <w:noWrap w:val="0"/>
            <w:vAlign w:val="center"/>
          </w:tcPr>
          <w:p w14:paraId="0E1159BE">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大岭山镇莞长路兴雄鞋厂旁</w:t>
            </w:r>
          </w:p>
        </w:tc>
      </w:tr>
      <w:tr w14:paraId="10E0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001AC21A">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月山泵站</w:t>
            </w:r>
          </w:p>
        </w:tc>
        <w:tc>
          <w:tcPr>
            <w:tcW w:w="8203" w:type="dxa"/>
            <w:noWrap w:val="0"/>
            <w:vAlign w:val="center"/>
          </w:tcPr>
          <w:p w14:paraId="4B2C72BD">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大岭山镇月山路粤宝幼儿园旁</w:t>
            </w:r>
          </w:p>
        </w:tc>
      </w:tr>
      <w:tr w14:paraId="1737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5154B58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杨屋泵站</w:t>
            </w:r>
          </w:p>
        </w:tc>
        <w:tc>
          <w:tcPr>
            <w:tcW w:w="8203" w:type="dxa"/>
            <w:noWrap w:val="0"/>
            <w:vAlign w:val="center"/>
          </w:tcPr>
          <w:p w14:paraId="4E796CE0">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大岭山镇健身街与长瑛路路口</w:t>
            </w:r>
          </w:p>
        </w:tc>
      </w:tr>
      <w:tr w14:paraId="4CBD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57B16D1D">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南畲朗泵站</w:t>
            </w:r>
          </w:p>
        </w:tc>
        <w:tc>
          <w:tcPr>
            <w:tcW w:w="8203" w:type="dxa"/>
            <w:noWrap w:val="0"/>
            <w:vAlign w:val="center"/>
          </w:tcPr>
          <w:p w14:paraId="41847131">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石排镇绿榕街中心小学旁中途提升泵站</w:t>
            </w:r>
          </w:p>
        </w:tc>
      </w:tr>
      <w:tr w14:paraId="1B2F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137E8635">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三分公司本部办公楼</w:t>
            </w:r>
          </w:p>
        </w:tc>
        <w:tc>
          <w:tcPr>
            <w:tcW w:w="8203" w:type="dxa"/>
            <w:noWrap w:val="0"/>
            <w:vAlign w:val="center"/>
          </w:tcPr>
          <w:p w14:paraId="07815230">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东莞市沙田镇稔洲山边路103号</w:t>
            </w:r>
          </w:p>
        </w:tc>
      </w:tr>
      <w:tr w14:paraId="03C8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275166F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四分公司本部办公楼</w:t>
            </w:r>
          </w:p>
        </w:tc>
        <w:tc>
          <w:tcPr>
            <w:tcW w:w="8203" w:type="dxa"/>
            <w:noWrap w:val="0"/>
            <w:vAlign w:val="center"/>
          </w:tcPr>
          <w:p w14:paraId="1A83B63B">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东莞市道滘镇华科城创新岛产业孵化园3号楼</w:t>
            </w:r>
          </w:p>
        </w:tc>
      </w:tr>
      <w:tr w14:paraId="4042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7498822C">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四分公司中堂驻点</w:t>
            </w:r>
          </w:p>
        </w:tc>
        <w:tc>
          <w:tcPr>
            <w:tcW w:w="8203" w:type="dxa"/>
            <w:noWrap w:val="0"/>
            <w:vAlign w:val="center"/>
          </w:tcPr>
          <w:p w14:paraId="160DD370">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东莞市中堂镇袁家涌西隅公园大街5号101、102</w:t>
            </w:r>
          </w:p>
        </w:tc>
      </w:tr>
      <w:tr w14:paraId="0B2B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6285E0B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四分公司望洪驻点</w:t>
            </w:r>
          </w:p>
        </w:tc>
        <w:tc>
          <w:tcPr>
            <w:tcW w:w="8203" w:type="dxa"/>
            <w:noWrap w:val="0"/>
            <w:vAlign w:val="center"/>
          </w:tcPr>
          <w:p w14:paraId="30673A74">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东莞市洪梅镇梅沙西三区十巷1号</w:t>
            </w:r>
          </w:p>
        </w:tc>
      </w:tr>
      <w:tr w14:paraId="1938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0EBE405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四分公司麻涌驻点</w:t>
            </w:r>
          </w:p>
        </w:tc>
        <w:tc>
          <w:tcPr>
            <w:tcW w:w="8203" w:type="dxa"/>
            <w:noWrap w:val="0"/>
            <w:vAlign w:val="center"/>
          </w:tcPr>
          <w:p w14:paraId="1852A38F">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东莞市麻涌镇麻三村西桥基一巷1号1楼</w:t>
            </w:r>
          </w:p>
        </w:tc>
      </w:tr>
      <w:tr w14:paraId="0773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1628858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新基泵站</w:t>
            </w:r>
          </w:p>
        </w:tc>
        <w:tc>
          <w:tcPr>
            <w:tcW w:w="8203" w:type="dxa"/>
            <w:noWrap w:val="0"/>
            <w:vAlign w:val="center"/>
          </w:tcPr>
          <w:p w14:paraId="45D0430C">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东莞市麻涌镇麻涌大道思媛幼儿园东向50米</w:t>
            </w:r>
          </w:p>
        </w:tc>
      </w:tr>
      <w:tr w14:paraId="568E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174D4BA5">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中心区泵站</w:t>
            </w:r>
          </w:p>
        </w:tc>
        <w:tc>
          <w:tcPr>
            <w:tcW w:w="8203" w:type="dxa"/>
            <w:noWrap w:val="0"/>
            <w:vAlign w:val="center"/>
          </w:tcPr>
          <w:p w14:paraId="248C76CE">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东莞市中心大道南坦西路交接路口</w:t>
            </w:r>
          </w:p>
        </w:tc>
      </w:tr>
      <w:tr w14:paraId="47FB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30864314">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幽静路泵站</w:t>
            </w:r>
          </w:p>
        </w:tc>
        <w:tc>
          <w:tcPr>
            <w:tcW w:w="8203" w:type="dxa"/>
            <w:noWrap w:val="0"/>
            <w:vAlign w:val="center"/>
          </w:tcPr>
          <w:p w14:paraId="0BF16A7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东莞市麻涌镇麻涌大道健明餐馆旁</w:t>
            </w:r>
          </w:p>
        </w:tc>
      </w:tr>
      <w:tr w14:paraId="6E95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60038DFA">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斗朗泵站</w:t>
            </w:r>
          </w:p>
        </w:tc>
        <w:tc>
          <w:tcPr>
            <w:tcW w:w="8203" w:type="dxa"/>
            <w:noWrap w:val="0"/>
            <w:vAlign w:val="center"/>
          </w:tcPr>
          <w:p w14:paraId="5158723B">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东莞市中堂镇滨河东路</w:t>
            </w:r>
          </w:p>
        </w:tc>
      </w:tr>
      <w:tr w14:paraId="3559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49F43495">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三涌泵站</w:t>
            </w:r>
          </w:p>
        </w:tc>
        <w:tc>
          <w:tcPr>
            <w:tcW w:w="8203" w:type="dxa"/>
            <w:noWrap w:val="0"/>
            <w:vAlign w:val="center"/>
          </w:tcPr>
          <w:p w14:paraId="1BC1650E">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东莞市中堂镇三潢一路西100米</w:t>
            </w:r>
          </w:p>
        </w:tc>
      </w:tr>
      <w:tr w14:paraId="28D9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6DF1429A">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槎滘泵站</w:t>
            </w:r>
          </w:p>
        </w:tc>
        <w:tc>
          <w:tcPr>
            <w:tcW w:w="8203" w:type="dxa"/>
            <w:noWrap w:val="0"/>
            <w:vAlign w:val="center"/>
          </w:tcPr>
          <w:p w14:paraId="791166E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东莞市中堂镇槎滘村乔丰木材旁</w:t>
            </w:r>
          </w:p>
        </w:tc>
      </w:tr>
      <w:tr w14:paraId="09C9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5664315D">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李屋泵站</w:t>
            </w:r>
          </w:p>
        </w:tc>
        <w:tc>
          <w:tcPr>
            <w:tcW w:w="8203" w:type="dxa"/>
            <w:noWrap w:val="0"/>
            <w:vAlign w:val="center"/>
          </w:tcPr>
          <w:p w14:paraId="2FA0DEF5">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小享路与望牛墩大道交界处</w:t>
            </w:r>
          </w:p>
        </w:tc>
      </w:tr>
      <w:tr w14:paraId="03F5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5761FA2B">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望联泵站</w:t>
            </w:r>
          </w:p>
        </w:tc>
        <w:tc>
          <w:tcPr>
            <w:tcW w:w="8203" w:type="dxa"/>
            <w:noWrap w:val="0"/>
            <w:vAlign w:val="center"/>
          </w:tcPr>
          <w:p w14:paraId="31D6BCDF">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望牛墩七夕公园旁</w:t>
            </w:r>
          </w:p>
        </w:tc>
      </w:tr>
      <w:tr w14:paraId="7D6E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4CA34D3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洲涡泵站</w:t>
            </w:r>
          </w:p>
        </w:tc>
        <w:tc>
          <w:tcPr>
            <w:tcW w:w="8203" w:type="dxa"/>
            <w:noWrap w:val="0"/>
            <w:vAlign w:val="center"/>
          </w:tcPr>
          <w:p w14:paraId="54B94EA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望牛墩横沥大桥旁</w:t>
            </w:r>
          </w:p>
        </w:tc>
      </w:tr>
      <w:tr w14:paraId="0D55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0C9CF17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长洲泵站</w:t>
            </w:r>
          </w:p>
        </w:tc>
        <w:tc>
          <w:tcPr>
            <w:tcW w:w="8203" w:type="dxa"/>
            <w:noWrap w:val="0"/>
            <w:vAlign w:val="center"/>
          </w:tcPr>
          <w:p w14:paraId="472D248F">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水乡大道桥底</w:t>
            </w:r>
          </w:p>
        </w:tc>
      </w:tr>
      <w:tr w14:paraId="1919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0FF00E7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南丫泵站</w:t>
            </w:r>
          </w:p>
        </w:tc>
        <w:tc>
          <w:tcPr>
            <w:tcW w:w="8203" w:type="dxa"/>
            <w:noWrap w:val="0"/>
            <w:vAlign w:val="center"/>
          </w:tcPr>
          <w:p w14:paraId="147F9C3B">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道滘镇南丫桥旁</w:t>
            </w:r>
          </w:p>
        </w:tc>
      </w:tr>
      <w:tr w14:paraId="7200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3D78047C">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五分公司本部办公楼</w:t>
            </w:r>
          </w:p>
        </w:tc>
        <w:tc>
          <w:tcPr>
            <w:tcW w:w="8203" w:type="dxa"/>
            <w:noWrap w:val="0"/>
            <w:vAlign w:val="center"/>
          </w:tcPr>
          <w:p w14:paraId="5B6A5408">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宋体" w:cs="Times New Roman"/>
                <w:color w:val="auto"/>
                <w:sz w:val="21"/>
                <w:szCs w:val="21"/>
                <w:highlight w:val="none"/>
                <w:vertAlign w:val="baseline"/>
                <w:lang w:eastAsia="zh"/>
              </w:rPr>
            </w:pPr>
            <w:r>
              <w:rPr>
                <w:rFonts w:hint="eastAsia" w:ascii="宋体" w:hAnsi="宋体" w:eastAsia="宋体" w:cs="宋体"/>
                <w:i w:val="0"/>
                <w:iCs w:val="0"/>
                <w:color w:val="auto"/>
                <w:kern w:val="0"/>
                <w:sz w:val="21"/>
                <w:szCs w:val="21"/>
                <w:highlight w:val="none"/>
                <w:u w:val="none"/>
                <w:lang w:val="en-US" w:eastAsia="zh" w:bidi="ar"/>
              </w:rPr>
              <w:t>广东省东莞市横沥镇东环路260号（东莞市水务</w:t>
            </w:r>
            <w:r>
              <w:rPr>
                <w:rFonts w:hint="eastAsia" w:ascii="宋体" w:hAnsi="宋体" w:eastAsia="宋体" w:cs="宋体"/>
                <w:i w:val="0"/>
                <w:iCs w:val="0"/>
                <w:color w:val="auto"/>
                <w:kern w:val="0"/>
                <w:sz w:val="21"/>
                <w:szCs w:val="21"/>
                <w:highlight w:val="none"/>
                <w:u w:val="none"/>
                <w:lang w:val="en-US" w:eastAsia="zh-CN" w:bidi="ar"/>
              </w:rPr>
              <w:t>环境</w:t>
            </w:r>
            <w:r>
              <w:rPr>
                <w:rFonts w:hint="eastAsia" w:ascii="宋体" w:hAnsi="宋体" w:eastAsia="宋体" w:cs="宋体"/>
                <w:i w:val="0"/>
                <w:iCs w:val="0"/>
                <w:color w:val="auto"/>
                <w:kern w:val="0"/>
                <w:sz w:val="21"/>
                <w:szCs w:val="21"/>
                <w:highlight w:val="none"/>
                <w:u w:val="none"/>
                <w:lang w:val="en-US" w:eastAsia="zh" w:bidi="ar"/>
              </w:rPr>
              <w:t>集团供水有限公司横沥分公司）</w:t>
            </w:r>
          </w:p>
        </w:tc>
      </w:tr>
      <w:tr w14:paraId="2230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7B22A928">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五分公司桥头驻点</w:t>
            </w:r>
          </w:p>
        </w:tc>
        <w:tc>
          <w:tcPr>
            <w:tcW w:w="8203" w:type="dxa"/>
            <w:noWrap w:val="0"/>
            <w:vAlign w:val="center"/>
          </w:tcPr>
          <w:p w14:paraId="5DEC433D">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宋体" w:cs="Times New Roman"/>
                <w:color w:val="auto"/>
                <w:sz w:val="21"/>
                <w:szCs w:val="21"/>
                <w:highlight w:val="none"/>
                <w:vertAlign w:val="baseline"/>
                <w:lang w:eastAsia="zh"/>
              </w:rPr>
            </w:pPr>
            <w:r>
              <w:rPr>
                <w:rFonts w:hint="eastAsia" w:ascii="宋体" w:hAnsi="宋体" w:eastAsia="宋体" w:cs="宋体"/>
                <w:i w:val="0"/>
                <w:iCs w:val="0"/>
                <w:color w:val="auto"/>
                <w:kern w:val="0"/>
                <w:sz w:val="21"/>
                <w:szCs w:val="21"/>
                <w:highlight w:val="none"/>
                <w:u w:val="none"/>
                <w:lang w:val="en-US" w:eastAsia="zh" w:bidi="ar"/>
              </w:rPr>
              <w:t>东莞市桥头镇湴湖村路南三巷9号</w:t>
            </w:r>
          </w:p>
        </w:tc>
      </w:tr>
      <w:tr w14:paraId="1163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3942F15D">
            <w:pPr>
              <w:keepNext w:val="0"/>
              <w:keepLines w:val="0"/>
              <w:pageBreakBefore w:val="0"/>
              <w:widowControl/>
              <w:suppressLineNumbers w:val="0"/>
              <w:kinsoku/>
              <w:wordWrap/>
              <w:overflowPunct/>
              <w:topLinePunct w:val="0"/>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五分公司黄江驻点</w:t>
            </w:r>
          </w:p>
        </w:tc>
        <w:tc>
          <w:tcPr>
            <w:tcW w:w="8203" w:type="dxa"/>
            <w:noWrap w:val="0"/>
            <w:vAlign w:val="center"/>
          </w:tcPr>
          <w:p w14:paraId="5B0AF0B9">
            <w:pPr>
              <w:keepNext w:val="0"/>
              <w:keepLines w:val="0"/>
              <w:pageBreakBefore w:val="0"/>
              <w:widowControl/>
              <w:suppressLineNumbers w:val="0"/>
              <w:kinsoku/>
              <w:wordWrap/>
              <w:overflowPunct/>
              <w:topLinePunct w:val="0"/>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 w:bidi="ar"/>
              </w:rPr>
            </w:pPr>
            <w:r>
              <w:rPr>
                <w:rFonts w:hint="eastAsia" w:ascii="宋体" w:hAnsi="宋体" w:eastAsia="宋体" w:cs="宋体"/>
                <w:i w:val="0"/>
                <w:iCs w:val="0"/>
                <w:color w:val="auto"/>
                <w:kern w:val="0"/>
                <w:sz w:val="21"/>
                <w:szCs w:val="21"/>
                <w:highlight w:val="none"/>
                <w:u w:val="none"/>
                <w:lang w:val="en-US" w:eastAsia="zh" w:bidi="ar"/>
              </w:rPr>
              <w:t>广东省东莞市黄江镇星光村富兴路黄江梅塘水质净化厂</w:t>
            </w:r>
          </w:p>
        </w:tc>
      </w:tr>
      <w:tr w14:paraId="441C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39C5EB5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五分公司黄江驻点</w:t>
            </w:r>
          </w:p>
        </w:tc>
        <w:tc>
          <w:tcPr>
            <w:tcW w:w="8203" w:type="dxa"/>
            <w:noWrap w:val="0"/>
            <w:vAlign w:val="center"/>
          </w:tcPr>
          <w:p w14:paraId="5332251F">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宋体" w:cs="Times New Roman"/>
                <w:color w:val="auto"/>
                <w:sz w:val="21"/>
                <w:szCs w:val="21"/>
                <w:highlight w:val="none"/>
                <w:vertAlign w:val="baseline"/>
                <w:lang w:eastAsia="zh"/>
              </w:rPr>
            </w:pPr>
            <w:r>
              <w:rPr>
                <w:rFonts w:hint="eastAsia" w:ascii="宋体" w:hAnsi="宋体" w:eastAsia="宋体" w:cs="宋体"/>
                <w:i w:val="0"/>
                <w:iCs w:val="0"/>
                <w:color w:val="auto"/>
                <w:kern w:val="0"/>
                <w:sz w:val="21"/>
                <w:szCs w:val="21"/>
                <w:highlight w:val="none"/>
                <w:u w:val="none"/>
                <w:lang w:val="en-US" w:eastAsia="zh-CN" w:bidi="ar"/>
              </w:rPr>
              <w:t>广东省东莞市东莞市黄江镇合路创业一路1号之103</w:t>
            </w:r>
            <w:r>
              <w:rPr>
                <w:rFonts w:hint="eastAsia" w:ascii="宋体" w:hAnsi="宋体" w:eastAsia="宋体" w:cs="宋体"/>
                <w:i w:val="0"/>
                <w:iCs w:val="0"/>
                <w:color w:val="auto"/>
                <w:kern w:val="0"/>
                <w:sz w:val="21"/>
                <w:szCs w:val="21"/>
                <w:highlight w:val="none"/>
                <w:u w:val="none"/>
                <w:lang w:val="en-US" w:eastAsia="zh" w:bidi="ar"/>
              </w:rPr>
              <w:t>黄江合路水质净化厂</w:t>
            </w:r>
          </w:p>
        </w:tc>
      </w:tr>
      <w:tr w14:paraId="0843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4D0C985F">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五分公司企石驻点</w:t>
            </w:r>
          </w:p>
        </w:tc>
        <w:tc>
          <w:tcPr>
            <w:tcW w:w="8203" w:type="dxa"/>
            <w:noWrap w:val="0"/>
            <w:vAlign w:val="center"/>
          </w:tcPr>
          <w:p w14:paraId="343F8F75">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广东省东莞市东莞市企石镇杨屋新兴路第五水厂</w:t>
            </w:r>
          </w:p>
        </w:tc>
      </w:tr>
      <w:tr w14:paraId="0C04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316972C4">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五分公司东坑驻点</w:t>
            </w:r>
          </w:p>
        </w:tc>
        <w:tc>
          <w:tcPr>
            <w:tcW w:w="8203" w:type="dxa"/>
            <w:noWrap w:val="0"/>
            <w:vAlign w:val="center"/>
          </w:tcPr>
          <w:p w14:paraId="0459E0FE">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宋体" w:cs="Times New Roman"/>
                <w:color w:val="auto"/>
                <w:sz w:val="21"/>
                <w:szCs w:val="21"/>
                <w:highlight w:val="none"/>
                <w:vertAlign w:val="baseline"/>
                <w:lang w:eastAsia="zh"/>
              </w:rPr>
            </w:pPr>
            <w:r>
              <w:rPr>
                <w:rFonts w:hint="eastAsia" w:ascii="宋体" w:hAnsi="宋体" w:eastAsia="宋体" w:cs="宋体"/>
                <w:i w:val="0"/>
                <w:iCs w:val="0"/>
                <w:color w:val="auto"/>
                <w:kern w:val="0"/>
                <w:sz w:val="21"/>
                <w:szCs w:val="21"/>
                <w:highlight w:val="none"/>
                <w:u w:val="none"/>
                <w:lang w:val="en-US" w:eastAsia="zh" w:bidi="ar"/>
              </w:rPr>
              <w:t>广东省东莞市角祥路159号横东水质净化厂（东莞市水务</w:t>
            </w:r>
            <w:r>
              <w:rPr>
                <w:rFonts w:hint="eastAsia" w:ascii="宋体" w:hAnsi="宋体" w:eastAsia="宋体" w:cs="宋体"/>
                <w:i w:val="0"/>
                <w:iCs w:val="0"/>
                <w:color w:val="auto"/>
                <w:kern w:val="0"/>
                <w:sz w:val="21"/>
                <w:szCs w:val="21"/>
                <w:highlight w:val="none"/>
                <w:u w:val="none"/>
                <w:lang w:val="en-US" w:eastAsia="zh-CN" w:bidi="ar"/>
              </w:rPr>
              <w:t>环境</w:t>
            </w:r>
            <w:r>
              <w:rPr>
                <w:rFonts w:hint="eastAsia" w:ascii="宋体" w:hAnsi="宋体" w:eastAsia="宋体" w:cs="宋体"/>
                <w:i w:val="0"/>
                <w:iCs w:val="0"/>
                <w:color w:val="auto"/>
                <w:kern w:val="0"/>
                <w:sz w:val="21"/>
                <w:szCs w:val="21"/>
                <w:highlight w:val="none"/>
                <w:u w:val="none"/>
                <w:lang w:val="en-US" w:eastAsia="zh" w:bidi="ar"/>
              </w:rPr>
              <w:t>集团供水公司东坑分公司）</w:t>
            </w:r>
          </w:p>
        </w:tc>
      </w:tr>
      <w:tr w14:paraId="5364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1919776D">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五分公司横沥驻点</w:t>
            </w:r>
          </w:p>
        </w:tc>
        <w:tc>
          <w:tcPr>
            <w:tcW w:w="8203" w:type="dxa"/>
            <w:noWrap w:val="0"/>
            <w:vAlign w:val="center"/>
          </w:tcPr>
          <w:p w14:paraId="187796C1">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广东省东莞市东莞市横沥镇中山东路84号2楼</w:t>
            </w:r>
          </w:p>
        </w:tc>
      </w:tr>
      <w:tr w14:paraId="4BFB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1A008B3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五分公司常平驻点</w:t>
            </w:r>
          </w:p>
        </w:tc>
        <w:tc>
          <w:tcPr>
            <w:tcW w:w="8203" w:type="dxa"/>
            <w:noWrap w:val="0"/>
            <w:vAlign w:val="center"/>
          </w:tcPr>
          <w:p w14:paraId="2E88A655">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广东省东莞市东莞市横沥镇中山东路84号3楼</w:t>
            </w:r>
          </w:p>
        </w:tc>
      </w:tr>
      <w:tr w14:paraId="5CBD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02887655">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六分公司本部办公楼</w:t>
            </w:r>
          </w:p>
        </w:tc>
        <w:tc>
          <w:tcPr>
            <w:tcW w:w="8203" w:type="dxa"/>
            <w:noWrap w:val="0"/>
            <w:vAlign w:val="center"/>
          </w:tcPr>
          <w:p w14:paraId="03EC4454">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东莞市塘厦镇</w:t>
            </w:r>
            <w:r>
              <w:rPr>
                <w:rFonts w:hint="eastAsia" w:ascii="宋体" w:hAnsi="宋体" w:eastAsia="宋体" w:cs="宋体"/>
                <w:i w:val="0"/>
                <w:iCs w:val="0"/>
                <w:color w:val="auto"/>
                <w:kern w:val="0"/>
                <w:sz w:val="21"/>
                <w:szCs w:val="21"/>
                <w:highlight w:val="none"/>
                <w:u w:val="none"/>
                <w:lang w:val="en-US" w:eastAsia="zh" w:bidi="ar"/>
              </w:rPr>
              <w:t>东深一路8号供水有限公司4楼</w:t>
            </w:r>
          </w:p>
        </w:tc>
      </w:tr>
      <w:tr w14:paraId="0EEE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6DD7855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六分公司凤岗驻点</w:t>
            </w:r>
          </w:p>
        </w:tc>
        <w:tc>
          <w:tcPr>
            <w:tcW w:w="8203" w:type="dxa"/>
            <w:noWrap w:val="0"/>
            <w:vAlign w:val="center"/>
          </w:tcPr>
          <w:p w14:paraId="6355D53D">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东莞市凤岗镇天龙路一号</w:t>
            </w:r>
          </w:p>
        </w:tc>
      </w:tr>
      <w:tr w14:paraId="724E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2B3C6F8D">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六分公司清溪驻点</w:t>
            </w:r>
          </w:p>
        </w:tc>
        <w:tc>
          <w:tcPr>
            <w:tcW w:w="8203" w:type="dxa"/>
            <w:noWrap w:val="0"/>
            <w:vAlign w:val="center"/>
          </w:tcPr>
          <w:p w14:paraId="1DFAD2D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宋体" w:cs="Times New Roman"/>
                <w:color w:val="auto"/>
                <w:sz w:val="21"/>
                <w:szCs w:val="21"/>
                <w:highlight w:val="none"/>
                <w:vertAlign w:val="baseline"/>
                <w:lang w:eastAsia="zh"/>
              </w:rPr>
            </w:pPr>
            <w:r>
              <w:rPr>
                <w:rFonts w:hint="eastAsia" w:ascii="宋体" w:hAnsi="宋体" w:eastAsia="宋体" w:cs="宋体"/>
                <w:i w:val="0"/>
                <w:iCs w:val="0"/>
                <w:color w:val="auto"/>
                <w:kern w:val="0"/>
                <w:sz w:val="21"/>
                <w:szCs w:val="21"/>
                <w:highlight w:val="none"/>
                <w:u w:val="none"/>
                <w:lang w:val="en-US" w:eastAsia="zh-CN" w:bidi="ar"/>
              </w:rPr>
              <w:t>东莞市</w:t>
            </w:r>
            <w:r>
              <w:rPr>
                <w:rFonts w:hint="eastAsia" w:ascii="宋体" w:hAnsi="宋体" w:eastAsia="宋体" w:cs="宋体"/>
                <w:i w:val="0"/>
                <w:iCs w:val="0"/>
                <w:color w:val="auto"/>
                <w:kern w:val="0"/>
                <w:sz w:val="21"/>
                <w:szCs w:val="21"/>
                <w:highlight w:val="none"/>
                <w:u w:val="none"/>
                <w:lang w:val="en-US" w:eastAsia="zh" w:bidi="ar"/>
              </w:rPr>
              <w:t>东莞市清溪镇白石岗路76号之二</w:t>
            </w:r>
          </w:p>
        </w:tc>
      </w:tr>
      <w:tr w14:paraId="7B66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7822A5FE">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六分公司塘厦驻点</w:t>
            </w:r>
          </w:p>
        </w:tc>
        <w:tc>
          <w:tcPr>
            <w:tcW w:w="8203" w:type="dxa"/>
            <w:noWrap w:val="0"/>
            <w:vAlign w:val="center"/>
          </w:tcPr>
          <w:p w14:paraId="1848C24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宋体" w:cs="Times New Roman"/>
                <w:color w:val="auto"/>
                <w:sz w:val="21"/>
                <w:szCs w:val="21"/>
                <w:highlight w:val="none"/>
                <w:vertAlign w:val="baseline"/>
                <w:lang w:eastAsia="zh"/>
              </w:rPr>
            </w:pPr>
            <w:r>
              <w:rPr>
                <w:rFonts w:hint="eastAsia" w:ascii="宋体" w:hAnsi="宋体" w:eastAsia="宋体" w:cs="宋体"/>
                <w:i w:val="0"/>
                <w:iCs w:val="0"/>
                <w:color w:val="auto"/>
                <w:kern w:val="0"/>
                <w:sz w:val="21"/>
                <w:szCs w:val="21"/>
                <w:highlight w:val="none"/>
                <w:u w:val="none"/>
                <w:lang w:val="en-US" w:eastAsia="zh-CN" w:bidi="ar"/>
              </w:rPr>
              <w:t>东莞市</w:t>
            </w:r>
            <w:r>
              <w:rPr>
                <w:rFonts w:hint="eastAsia" w:ascii="宋体" w:hAnsi="宋体" w:eastAsia="宋体" w:cs="宋体"/>
                <w:i w:val="0"/>
                <w:iCs w:val="0"/>
                <w:color w:val="auto"/>
                <w:kern w:val="0"/>
                <w:sz w:val="21"/>
                <w:szCs w:val="21"/>
                <w:highlight w:val="none"/>
                <w:u w:val="none"/>
                <w:lang w:val="en-US" w:eastAsia="zh" w:bidi="ar"/>
              </w:rPr>
              <w:t>塘厦镇文明街东深横路5号白泥湖泵站</w:t>
            </w:r>
          </w:p>
        </w:tc>
      </w:tr>
      <w:tr w14:paraId="3708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75C1FEB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六分公司樟木头驻点</w:t>
            </w:r>
          </w:p>
        </w:tc>
        <w:tc>
          <w:tcPr>
            <w:tcW w:w="8203" w:type="dxa"/>
            <w:noWrap w:val="0"/>
            <w:vAlign w:val="center"/>
          </w:tcPr>
          <w:p w14:paraId="6E2FCF9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东莞市樟木头镇八中环路六家巷45号之二</w:t>
            </w:r>
          </w:p>
        </w:tc>
      </w:tr>
      <w:tr w14:paraId="0BC7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000FC59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白泥湖泵站</w:t>
            </w:r>
          </w:p>
        </w:tc>
        <w:tc>
          <w:tcPr>
            <w:tcW w:w="8203" w:type="dxa"/>
            <w:noWrap w:val="0"/>
            <w:vAlign w:val="center"/>
          </w:tcPr>
          <w:p w14:paraId="37E7B2A3">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塘厦粤港供水大厦边</w:t>
            </w:r>
          </w:p>
        </w:tc>
      </w:tr>
      <w:tr w14:paraId="6838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4070D911">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樟木头中间提升泵站</w:t>
            </w:r>
          </w:p>
        </w:tc>
        <w:tc>
          <w:tcPr>
            <w:tcW w:w="8203" w:type="dxa"/>
            <w:noWrap w:val="0"/>
            <w:vAlign w:val="center"/>
          </w:tcPr>
          <w:p w14:paraId="54270C5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等线" w:hAnsi="等线" w:eastAsia="等线" w:cs="Times New Roman"/>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樟木头滨河公园内</w:t>
            </w:r>
          </w:p>
        </w:tc>
      </w:tr>
    </w:tbl>
    <w:p w14:paraId="1AC36C27">
      <w:pPr>
        <w:keepNext w:val="0"/>
        <w:keepLines w:val="0"/>
        <w:pageBreakBefore w:val="0"/>
        <w:widowControl/>
        <w:kinsoku/>
        <w:wordWrap/>
        <w:overflowPunct/>
        <w:topLinePunct w:val="0"/>
        <w:autoSpaceDE/>
        <w:autoSpaceDN/>
        <w:bidi w:val="0"/>
        <w:adjustRightInd/>
        <w:snapToGrid/>
        <w:spacing w:line="360" w:lineRule="auto"/>
        <w:jc w:val="both"/>
        <w:outlineLvl w:val="1"/>
        <w:rPr>
          <w:rFonts w:hint="eastAsia" w:ascii="宋体" w:hAnsi="宋体" w:eastAsia="宋体" w:cs="宋体"/>
          <w:b/>
          <w:color w:val="auto"/>
          <w:kern w:val="2"/>
          <w:sz w:val="21"/>
          <w:szCs w:val="21"/>
          <w:highlight w:val="none"/>
        </w:rPr>
      </w:pPr>
    </w:p>
    <w:p w14:paraId="10DE1442">
      <w:pPr>
        <w:keepNext w:val="0"/>
        <w:keepLines w:val="0"/>
        <w:pageBreakBefore w:val="0"/>
        <w:kinsoku/>
        <w:wordWrap/>
        <w:overflowPunct/>
        <w:topLinePunct w:val="0"/>
        <w:bidi w:val="0"/>
        <w:snapToGrid/>
        <w:spacing w:line="360" w:lineRule="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br w:type="page"/>
      </w:r>
    </w:p>
    <w:p w14:paraId="3E155764">
      <w:pPr>
        <w:keepNext w:val="0"/>
        <w:keepLines w:val="0"/>
        <w:pageBreakBefore w:val="0"/>
        <w:kinsoku/>
        <w:wordWrap/>
        <w:overflowPunct/>
        <w:topLinePunct w:val="0"/>
        <w:autoSpaceDE/>
        <w:autoSpaceDN/>
        <w:bidi w:val="0"/>
        <w:adjustRightInd/>
        <w:snapToGrid/>
        <w:spacing w:line="360" w:lineRule="auto"/>
        <w:contextualSpacing/>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附件</w:t>
      </w:r>
      <w:r>
        <w:rPr>
          <w:rFonts w:hint="eastAsia" w:ascii="宋体" w:hAnsi="宋体" w:eastAsia="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rPr>
        <w:t xml:space="preserve">：到货验收单  </w:t>
      </w:r>
    </w:p>
    <w:p w14:paraId="3C502493">
      <w:pPr>
        <w:keepNext w:val="0"/>
        <w:keepLines w:val="0"/>
        <w:pageBreakBefore w:val="0"/>
        <w:widowControl/>
        <w:kinsoku/>
        <w:wordWrap/>
        <w:overflowPunct/>
        <w:topLinePunct w:val="0"/>
        <w:autoSpaceDE/>
        <w:autoSpaceDN/>
        <w:bidi w:val="0"/>
        <w:adjustRightInd/>
        <w:snapToGrid/>
        <w:spacing w:line="360" w:lineRule="auto"/>
        <w:jc w:val="center"/>
        <w:outlineLvl w:val="1"/>
        <w:rPr>
          <w:rFonts w:hint="eastAsia" w:ascii="宋体" w:hAnsi="宋体" w:eastAsia="宋体" w:cs="宋体"/>
          <w:b w:val="0"/>
          <w:bCs/>
          <w:color w:val="auto"/>
          <w:sz w:val="21"/>
          <w:szCs w:val="21"/>
          <w:highlight w:val="none"/>
        </w:rPr>
      </w:pPr>
      <w:bookmarkStart w:id="347" w:name="_Toc20285"/>
      <w:r>
        <w:rPr>
          <w:rFonts w:hint="eastAsia" w:ascii="宋体" w:hAnsi="宋体" w:eastAsia="宋体" w:cs="宋体"/>
          <w:b/>
          <w:color w:val="auto"/>
          <w:kern w:val="2"/>
          <w:sz w:val="21"/>
          <w:szCs w:val="21"/>
          <w:highlight w:val="none"/>
        </w:rPr>
        <w:t>到货验收单</w:t>
      </w:r>
      <w:bookmarkEnd w:id="347"/>
    </w:p>
    <w:tbl>
      <w:tblPr>
        <w:tblStyle w:val="43"/>
        <w:tblW w:w="10399" w:type="dxa"/>
        <w:tblInd w:w="-37" w:type="dxa"/>
        <w:tblLayout w:type="fixed"/>
        <w:tblCellMar>
          <w:top w:w="0" w:type="dxa"/>
          <w:left w:w="108" w:type="dxa"/>
          <w:bottom w:w="0" w:type="dxa"/>
          <w:right w:w="108" w:type="dxa"/>
        </w:tblCellMar>
      </w:tblPr>
      <w:tblGrid>
        <w:gridCol w:w="1334"/>
        <w:gridCol w:w="889"/>
        <w:gridCol w:w="2187"/>
        <w:gridCol w:w="626"/>
        <w:gridCol w:w="1182"/>
        <w:gridCol w:w="1067"/>
        <w:gridCol w:w="856"/>
        <w:gridCol w:w="972"/>
        <w:gridCol w:w="1286"/>
      </w:tblGrid>
      <w:tr w14:paraId="1226CFAA">
        <w:tblPrEx>
          <w:tblCellMar>
            <w:top w:w="0" w:type="dxa"/>
            <w:left w:w="108" w:type="dxa"/>
            <w:bottom w:w="0" w:type="dxa"/>
            <w:right w:w="108" w:type="dxa"/>
          </w:tblCellMar>
        </w:tblPrEx>
        <w:trPr>
          <w:trHeight w:val="594" w:hRule="atLeast"/>
        </w:trPr>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5E847">
            <w:pPr>
              <w:widowControl/>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合同名称</w:t>
            </w:r>
          </w:p>
        </w:tc>
        <w:tc>
          <w:tcPr>
            <w:tcW w:w="9065"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00A78B55">
            <w:pPr>
              <w:widowControl/>
              <w:jc w:val="left"/>
              <w:rPr>
                <w:rFonts w:hint="eastAsia" w:ascii="宋体" w:hAnsi="宋体" w:eastAsia="宋体" w:cs="宋体"/>
                <w:b w:val="0"/>
                <w:bCs/>
                <w:color w:val="auto"/>
                <w:kern w:val="0"/>
                <w:sz w:val="21"/>
                <w:szCs w:val="21"/>
                <w:highlight w:val="none"/>
              </w:rPr>
            </w:pPr>
          </w:p>
        </w:tc>
      </w:tr>
      <w:tr w14:paraId="60106086">
        <w:tblPrEx>
          <w:tblCellMar>
            <w:top w:w="0" w:type="dxa"/>
            <w:left w:w="108" w:type="dxa"/>
            <w:bottom w:w="0" w:type="dxa"/>
            <w:right w:w="108" w:type="dxa"/>
          </w:tblCellMar>
        </w:tblPrEx>
        <w:trPr>
          <w:trHeight w:val="625" w:hRule="atLeast"/>
        </w:trPr>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D40F5">
            <w:pPr>
              <w:widowControl/>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供货单位</w:t>
            </w:r>
          </w:p>
        </w:tc>
        <w:tc>
          <w:tcPr>
            <w:tcW w:w="30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4A55AB">
            <w:pPr>
              <w:widowControl/>
              <w:jc w:val="left"/>
              <w:rPr>
                <w:rFonts w:hint="eastAsia" w:ascii="宋体" w:hAnsi="宋体" w:eastAsia="宋体" w:cs="宋体"/>
                <w:b w:val="0"/>
                <w:bCs/>
                <w:color w:val="auto"/>
                <w:kern w:val="0"/>
                <w:sz w:val="21"/>
                <w:szCs w:val="21"/>
                <w:highlight w:val="none"/>
              </w:rPr>
            </w:pPr>
          </w:p>
        </w:tc>
        <w:tc>
          <w:tcPr>
            <w:tcW w:w="180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0FEFE0">
            <w:pPr>
              <w:widowControl/>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到货时间</w:t>
            </w:r>
          </w:p>
        </w:tc>
        <w:tc>
          <w:tcPr>
            <w:tcW w:w="418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318A3E6">
            <w:pPr>
              <w:widowControl/>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 xml:space="preserve">         年    月    日</w:t>
            </w:r>
          </w:p>
        </w:tc>
      </w:tr>
      <w:tr w14:paraId="6DA0E21B">
        <w:tblPrEx>
          <w:tblCellMar>
            <w:top w:w="0" w:type="dxa"/>
            <w:left w:w="108" w:type="dxa"/>
            <w:bottom w:w="0" w:type="dxa"/>
            <w:right w:w="108" w:type="dxa"/>
          </w:tblCellMar>
        </w:tblPrEx>
        <w:trPr>
          <w:trHeight w:val="625" w:hRule="atLeast"/>
        </w:trPr>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9E15BD">
            <w:pPr>
              <w:widowControl/>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采购</w:t>
            </w:r>
            <w:r>
              <w:rPr>
                <w:rFonts w:hint="eastAsia" w:ascii="宋体" w:hAnsi="宋体" w:eastAsia="宋体" w:cs="宋体"/>
                <w:b w:val="0"/>
                <w:bCs/>
                <w:color w:val="auto"/>
                <w:kern w:val="0"/>
                <w:sz w:val="21"/>
                <w:szCs w:val="21"/>
                <w:highlight w:val="none"/>
              </w:rPr>
              <w:t>单位</w:t>
            </w:r>
          </w:p>
        </w:tc>
        <w:tc>
          <w:tcPr>
            <w:tcW w:w="30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7E71EE">
            <w:pPr>
              <w:widowControl/>
              <w:jc w:val="left"/>
              <w:rPr>
                <w:rFonts w:hint="eastAsia" w:ascii="宋体" w:hAnsi="宋体" w:eastAsia="宋体" w:cs="宋体"/>
                <w:b w:val="0"/>
                <w:bCs/>
                <w:color w:val="auto"/>
                <w:kern w:val="0"/>
                <w:sz w:val="21"/>
                <w:szCs w:val="21"/>
                <w:highlight w:val="none"/>
              </w:rPr>
            </w:pPr>
          </w:p>
        </w:tc>
        <w:tc>
          <w:tcPr>
            <w:tcW w:w="180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F37209">
            <w:pPr>
              <w:widowControl/>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验收时间</w:t>
            </w:r>
          </w:p>
        </w:tc>
        <w:tc>
          <w:tcPr>
            <w:tcW w:w="418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3EE8E43">
            <w:pPr>
              <w:widowControl/>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 xml:space="preserve">         年    月    日</w:t>
            </w:r>
          </w:p>
        </w:tc>
      </w:tr>
      <w:tr w14:paraId="2B62A06E">
        <w:tblPrEx>
          <w:tblCellMar>
            <w:top w:w="0" w:type="dxa"/>
            <w:left w:w="108" w:type="dxa"/>
            <w:bottom w:w="0" w:type="dxa"/>
            <w:right w:w="108" w:type="dxa"/>
          </w:tblCellMar>
        </w:tblPrEx>
        <w:trPr>
          <w:trHeight w:val="711" w:hRule="atLeast"/>
        </w:trPr>
        <w:tc>
          <w:tcPr>
            <w:tcW w:w="1334" w:type="dxa"/>
            <w:vMerge w:val="restart"/>
            <w:tcBorders>
              <w:top w:val="single" w:color="auto" w:sz="4" w:space="0"/>
              <w:left w:val="single" w:color="auto" w:sz="4" w:space="0"/>
              <w:right w:val="single" w:color="auto" w:sz="4" w:space="0"/>
            </w:tcBorders>
            <w:shd w:val="clear" w:color="auto" w:fill="auto"/>
            <w:noWrap/>
            <w:vAlign w:val="center"/>
          </w:tcPr>
          <w:p w14:paraId="2F076F56">
            <w:pPr>
              <w:widowControl/>
              <w:ind w:left="-105" w:leftChars="-50" w:right="-105" w:rightChars="-5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到货</w:t>
            </w:r>
          </w:p>
          <w:p w14:paraId="318A11F4">
            <w:pPr>
              <w:widowControl/>
              <w:ind w:left="-105" w:leftChars="-50" w:right="-105" w:rightChars="-5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清单</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69334FEC">
            <w:pPr>
              <w:widowControl/>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序号</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08B831E7">
            <w:pPr>
              <w:widowControl/>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货物名称</w:t>
            </w:r>
          </w:p>
        </w:tc>
        <w:tc>
          <w:tcPr>
            <w:tcW w:w="18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9C368F">
            <w:pPr>
              <w:widowControl/>
              <w:jc w:val="center"/>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rPr>
              <w:t>规格</w:t>
            </w:r>
            <w:r>
              <w:rPr>
                <w:rFonts w:hint="eastAsia" w:ascii="宋体" w:hAnsi="宋体" w:eastAsia="宋体" w:cs="宋体"/>
                <w:b w:val="0"/>
                <w:bCs/>
                <w:color w:val="auto"/>
                <w:kern w:val="0"/>
                <w:sz w:val="21"/>
                <w:szCs w:val="21"/>
                <w:highlight w:val="none"/>
                <w:lang w:val="en-US" w:eastAsia="zh-CN"/>
              </w:rPr>
              <w:t>型号</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783A6AB1">
            <w:pPr>
              <w:widowControl/>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品牌</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15B62A36">
            <w:pPr>
              <w:widowControl/>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单位</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29C46152">
            <w:pPr>
              <w:widowControl/>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数量</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40EF8930">
            <w:pPr>
              <w:widowControl/>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备注</w:t>
            </w:r>
          </w:p>
        </w:tc>
      </w:tr>
      <w:tr w14:paraId="2FB19E2B">
        <w:tblPrEx>
          <w:tblCellMar>
            <w:top w:w="0" w:type="dxa"/>
            <w:left w:w="108" w:type="dxa"/>
            <w:bottom w:w="0" w:type="dxa"/>
            <w:right w:w="108" w:type="dxa"/>
          </w:tblCellMar>
        </w:tblPrEx>
        <w:trPr>
          <w:trHeight w:val="700" w:hRule="atLeast"/>
        </w:trPr>
        <w:tc>
          <w:tcPr>
            <w:tcW w:w="1334" w:type="dxa"/>
            <w:vMerge w:val="continue"/>
            <w:tcBorders>
              <w:left w:val="single" w:color="auto" w:sz="4" w:space="0"/>
              <w:right w:val="single" w:color="auto" w:sz="4" w:space="0"/>
            </w:tcBorders>
            <w:shd w:val="clear" w:color="auto" w:fill="auto"/>
            <w:noWrap/>
            <w:vAlign w:val="center"/>
          </w:tcPr>
          <w:p w14:paraId="07E3EC27">
            <w:pPr>
              <w:widowControl/>
              <w:jc w:val="center"/>
              <w:rPr>
                <w:rFonts w:hint="eastAsia" w:ascii="宋体" w:hAnsi="宋体" w:eastAsia="宋体" w:cs="宋体"/>
                <w:b w:val="0"/>
                <w:bCs/>
                <w:color w:val="auto"/>
                <w:kern w:val="0"/>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3AFD4686">
            <w:pPr>
              <w:widowControl/>
              <w:jc w:val="center"/>
              <w:rPr>
                <w:rFonts w:hint="eastAsia" w:ascii="宋体" w:hAnsi="宋体" w:eastAsia="宋体" w:cs="宋体"/>
                <w:b w:val="0"/>
                <w:bCs/>
                <w:color w:val="auto"/>
                <w:kern w:val="0"/>
                <w:sz w:val="21"/>
                <w:szCs w:val="21"/>
                <w:highlight w:val="none"/>
              </w:rPr>
            </w:pP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2D26390A">
            <w:pPr>
              <w:widowControl/>
              <w:jc w:val="center"/>
              <w:rPr>
                <w:rFonts w:hint="eastAsia" w:ascii="宋体" w:hAnsi="宋体" w:eastAsia="宋体" w:cs="宋体"/>
                <w:b w:val="0"/>
                <w:bCs/>
                <w:color w:val="auto"/>
                <w:kern w:val="0"/>
                <w:sz w:val="21"/>
                <w:szCs w:val="21"/>
                <w:highlight w:val="none"/>
              </w:rPr>
            </w:pPr>
          </w:p>
        </w:tc>
        <w:tc>
          <w:tcPr>
            <w:tcW w:w="18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D41EB4">
            <w:pPr>
              <w:widowControl/>
              <w:jc w:val="left"/>
              <w:rPr>
                <w:rFonts w:hint="eastAsia" w:ascii="宋体" w:hAnsi="宋体" w:eastAsia="宋体" w:cs="宋体"/>
                <w:b w:val="0"/>
                <w:bCs/>
                <w:color w:val="auto"/>
                <w:kern w:val="0"/>
                <w:sz w:val="21"/>
                <w:szCs w:val="21"/>
                <w:highlight w:val="none"/>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6C84DB13">
            <w:pPr>
              <w:widowControl/>
              <w:jc w:val="left"/>
              <w:rPr>
                <w:rFonts w:hint="eastAsia" w:ascii="宋体" w:hAnsi="宋体" w:eastAsia="宋体" w:cs="宋体"/>
                <w:b w:val="0"/>
                <w:bCs/>
                <w:color w:val="auto"/>
                <w:kern w:val="0"/>
                <w:sz w:val="21"/>
                <w:szCs w:val="21"/>
                <w:highlight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3B1B7C72">
            <w:pPr>
              <w:widowControl/>
              <w:jc w:val="left"/>
              <w:rPr>
                <w:rFonts w:hint="eastAsia" w:ascii="宋体" w:hAnsi="宋体" w:eastAsia="宋体" w:cs="宋体"/>
                <w:b w:val="0"/>
                <w:bCs/>
                <w:color w:val="auto"/>
                <w:kern w:val="0"/>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5AB93A17">
            <w:pPr>
              <w:widowControl/>
              <w:jc w:val="left"/>
              <w:rPr>
                <w:rFonts w:hint="eastAsia" w:ascii="宋体" w:hAnsi="宋体" w:eastAsia="宋体" w:cs="宋体"/>
                <w:b w:val="0"/>
                <w:bCs/>
                <w:color w:val="auto"/>
                <w:kern w:val="0"/>
                <w:sz w:val="21"/>
                <w:szCs w:val="21"/>
                <w:highlight w:val="none"/>
              </w:rPr>
            </w:pP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5590FE1B">
            <w:pPr>
              <w:jc w:val="center"/>
              <w:rPr>
                <w:rFonts w:hint="eastAsia" w:ascii="宋体" w:hAnsi="宋体" w:eastAsia="宋体" w:cs="宋体"/>
                <w:b w:val="0"/>
                <w:bCs/>
                <w:color w:val="auto"/>
                <w:sz w:val="21"/>
                <w:szCs w:val="21"/>
                <w:highlight w:val="none"/>
              </w:rPr>
            </w:pPr>
          </w:p>
        </w:tc>
      </w:tr>
      <w:tr w14:paraId="6C0415EB">
        <w:tblPrEx>
          <w:tblCellMar>
            <w:top w:w="0" w:type="dxa"/>
            <w:left w:w="108" w:type="dxa"/>
            <w:bottom w:w="0" w:type="dxa"/>
            <w:right w:w="108" w:type="dxa"/>
          </w:tblCellMar>
        </w:tblPrEx>
        <w:trPr>
          <w:trHeight w:val="700" w:hRule="atLeast"/>
        </w:trPr>
        <w:tc>
          <w:tcPr>
            <w:tcW w:w="1334" w:type="dxa"/>
            <w:vMerge w:val="continue"/>
            <w:tcBorders>
              <w:left w:val="single" w:color="auto" w:sz="4" w:space="0"/>
              <w:right w:val="single" w:color="auto" w:sz="4" w:space="0"/>
            </w:tcBorders>
            <w:shd w:val="clear" w:color="auto" w:fill="auto"/>
            <w:noWrap/>
            <w:vAlign w:val="center"/>
          </w:tcPr>
          <w:p w14:paraId="347A7361">
            <w:pPr>
              <w:widowControl/>
              <w:jc w:val="center"/>
              <w:rPr>
                <w:rFonts w:hint="eastAsia" w:ascii="宋体" w:hAnsi="宋体" w:eastAsia="宋体" w:cs="宋体"/>
                <w:b w:val="0"/>
                <w:bCs/>
                <w:color w:val="auto"/>
                <w:kern w:val="0"/>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0A9D8A53">
            <w:pPr>
              <w:widowControl/>
              <w:jc w:val="center"/>
              <w:rPr>
                <w:rFonts w:hint="eastAsia" w:ascii="宋体" w:hAnsi="宋体" w:eastAsia="宋体" w:cs="宋体"/>
                <w:b w:val="0"/>
                <w:bCs/>
                <w:color w:val="auto"/>
                <w:kern w:val="0"/>
                <w:sz w:val="21"/>
                <w:szCs w:val="21"/>
                <w:highlight w:val="none"/>
              </w:rPr>
            </w:pP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6A5A39DE">
            <w:pPr>
              <w:widowControl/>
              <w:jc w:val="center"/>
              <w:rPr>
                <w:rFonts w:hint="eastAsia" w:ascii="宋体" w:hAnsi="宋体" w:eastAsia="宋体" w:cs="宋体"/>
                <w:b w:val="0"/>
                <w:bCs/>
                <w:color w:val="auto"/>
                <w:kern w:val="0"/>
                <w:sz w:val="21"/>
                <w:szCs w:val="21"/>
                <w:highlight w:val="none"/>
              </w:rPr>
            </w:pPr>
          </w:p>
        </w:tc>
        <w:tc>
          <w:tcPr>
            <w:tcW w:w="18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8599D8">
            <w:pPr>
              <w:widowControl/>
              <w:jc w:val="left"/>
              <w:rPr>
                <w:rFonts w:hint="eastAsia" w:ascii="宋体" w:hAnsi="宋体" w:eastAsia="宋体" w:cs="宋体"/>
                <w:b w:val="0"/>
                <w:bCs/>
                <w:color w:val="auto"/>
                <w:kern w:val="0"/>
                <w:sz w:val="21"/>
                <w:szCs w:val="21"/>
                <w:highlight w:val="none"/>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2B89D11B">
            <w:pPr>
              <w:widowControl/>
              <w:jc w:val="left"/>
              <w:rPr>
                <w:rFonts w:hint="eastAsia" w:ascii="宋体" w:hAnsi="宋体" w:eastAsia="宋体" w:cs="宋体"/>
                <w:b w:val="0"/>
                <w:bCs/>
                <w:color w:val="auto"/>
                <w:kern w:val="0"/>
                <w:sz w:val="21"/>
                <w:szCs w:val="21"/>
                <w:highlight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7AB7E0BB">
            <w:pPr>
              <w:widowControl/>
              <w:jc w:val="left"/>
              <w:rPr>
                <w:rFonts w:hint="eastAsia" w:ascii="宋体" w:hAnsi="宋体" w:eastAsia="宋体" w:cs="宋体"/>
                <w:b w:val="0"/>
                <w:bCs/>
                <w:color w:val="auto"/>
                <w:kern w:val="0"/>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4E91194C">
            <w:pPr>
              <w:widowControl/>
              <w:jc w:val="left"/>
              <w:rPr>
                <w:rFonts w:hint="eastAsia" w:ascii="宋体" w:hAnsi="宋体" w:eastAsia="宋体" w:cs="宋体"/>
                <w:b w:val="0"/>
                <w:bCs/>
                <w:color w:val="auto"/>
                <w:kern w:val="0"/>
                <w:sz w:val="21"/>
                <w:szCs w:val="21"/>
                <w:highlight w:val="none"/>
              </w:rPr>
            </w:pP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10C8401B">
            <w:pPr>
              <w:jc w:val="center"/>
              <w:rPr>
                <w:rFonts w:hint="eastAsia" w:ascii="宋体" w:hAnsi="宋体" w:eastAsia="宋体" w:cs="宋体"/>
                <w:b w:val="0"/>
                <w:bCs/>
                <w:color w:val="auto"/>
                <w:sz w:val="21"/>
                <w:szCs w:val="21"/>
                <w:highlight w:val="none"/>
              </w:rPr>
            </w:pPr>
          </w:p>
        </w:tc>
      </w:tr>
      <w:tr w14:paraId="37076F64">
        <w:tblPrEx>
          <w:tblCellMar>
            <w:top w:w="0" w:type="dxa"/>
            <w:left w:w="108" w:type="dxa"/>
            <w:bottom w:w="0" w:type="dxa"/>
            <w:right w:w="108" w:type="dxa"/>
          </w:tblCellMar>
        </w:tblPrEx>
        <w:trPr>
          <w:trHeight w:val="700" w:hRule="atLeast"/>
        </w:trPr>
        <w:tc>
          <w:tcPr>
            <w:tcW w:w="1334" w:type="dxa"/>
            <w:vMerge w:val="continue"/>
            <w:tcBorders>
              <w:left w:val="single" w:color="auto" w:sz="4" w:space="0"/>
              <w:right w:val="single" w:color="auto" w:sz="4" w:space="0"/>
            </w:tcBorders>
            <w:shd w:val="clear" w:color="auto" w:fill="auto"/>
            <w:noWrap/>
            <w:vAlign w:val="center"/>
          </w:tcPr>
          <w:p w14:paraId="3D9B9AEB">
            <w:pPr>
              <w:widowControl/>
              <w:jc w:val="center"/>
              <w:rPr>
                <w:rFonts w:hint="eastAsia" w:ascii="宋体" w:hAnsi="宋体" w:eastAsia="宋体" w:cs="宋体"/>
                <w:b w:val="0"/>
                <w:bCs/>
                <w:color w:val="auto"/>
                <w:kern w:val="0"/>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621566E0">
            <w:pPr>
              <w:widowControl/>
              <w:jc w:val="center"/>
              <w:rPr>
                <w:rFonts w:hint="eastAsia" w:ascii="宋体" w:hAnsi="宋体" w:eastAsia="宋体" w:cs="宋体"/>
                <w:b w:val="0"/>
                <w:bCs/>
                <w:color w:val="auto"/>
                <w:kern w:val="0"/>
                <w:sz w:val="21"/>
                <w:szCs w:val="21"/>
                <w:highlight w:val="none"/>
              </w:rPr>
            </w:pP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1BB57A99">
            <w:pPr>
              <w:widowControl/>
              <w:jc w:val="center"/>
              <w:rPr>
                <w:rFonts w:hint="eastAsia" w:ascii="宋体" w:hAnsi="宋体" w:eastAsia="宋体" w:cs="宋体"/>
                <w:b w:val="0"/>
                <w:bCs/>
                <w:color w:val="auto"/>
                <w:kern w:val="0"/>
                <w:sz w:val="21"/>
                <w:szCs w:val="21"/>
                <w:highlight w:val="none"/>
              </w:rPr>
            </w:pPr>
          </w:p>
        </w:tc>
        <w:tc>
          <w:tcPr>
            <w:tcW w:w="18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1752CE">
            <w:pPr>
              <w:widowControl/>
              <w:jc w:val="left"/>
              <w:rPr>
                <w:rFonts w:hint="eastAsia" w:ascii="宋体" w:hAnsi="宋体" w:eastAsia="宋体" w:cs="宋体"/>
                <w:b w:val="0"/>
                <w:bCs/>
                <w:color w:val="auto"/>
                <w:kern w:val="0"/>
                <w:sz w:val="21"/>
                <w:szCs w:val="21"/>
                <w:highlight w:val="none"/>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69E72E47">
            <w:pPr>
              <w:widowControl/>
              <w:jc w:val="left"/>
              <w:rPr>
                <w:rFonts w:hint="eastAsia" w:ascii="宋体" w:hAnsi="宋体" w:eastAsia="宋体" w:cs="宋体"/>
                <w:b w:val="0"/>
                <w:bCs/>
                <w:color w:val="auto"/>
                <w:kern w:val="0"/>
                <w:sz w:val="21"/>
                <w:szCs w:val="21"/>
                <w:highlight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16A3CF75">
            <w:pPr>
              <w:widowControl/>
              <w:jc w:val="left"/>
              <w:rPr>
                <w:rFonts w:hint="eastAsia" w:ascii="宋体" w:hAnsi="宋体" w:eastAsia="宋体" w:cs="宋体"/>
                <w:b w:val="0"/>
                <w:bCs/>
                <w:color w:val="auto"/>
                <w:kern w:val="0"/>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619897A6">
            <w:pPr>
              <w:widowControl/>
              <w:jc w:val="left"/>
              <w:rPr>
                <w:rFonts w:hint="eastAsia" w:ascii="宋体" w:hAnsi="宋体" w:eastAsia="宋体" w:cs="宋体"/>
                <w:b w:val="0"/>
                <w:bCs/>
                <w:color w:val="auto"/>
                <w:kern w:val="0"/>
                <w:sz w:val="21"/>
                <w:szCs w:val="21"/>
                <w:highlight w:val="none"/>
              </w:rPr>
            </w:pP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055A9D1F">
            <w:pPr>
              <w:jc w:val="center"/>
              <w:rPr>
                <w:rFonts w:hint="eastAsia" w:ascii="宋体" w:hAnsi="宋体" w:eastAsia="宋体" w:cs="宋体"/>
                <w:b w:val="0"/>
                <w:bCs/>
                <w:color w:val="auto"/>
                <w:sz w:val="21"/>
                <w:szCs w:val="21"/>
                <w:highlight w:val="none"/>
              </w:rPr>
            </w:pPr>
          </w:p>
        </w:tc>
      </w:tr>
      <w:tr w14:paraId="590B42E3">
        <w:tblPrEx>
          <w:tblCellMar>
            <w:top w:w="0" w:type="dxa"/>
            <w:left w:w="108" w:type="dxa"/>
            <w:bottom w:w="0" w:type="dxa"/>
            <w:right w:w="108" w:type="dxa"/>
          </w:tblCellMar>
        </w:tblPrEx>
        <w:trPr>
          <w:trHeight w:val="700" w:hRule="atLeast"/>
        </w:trPr>
        <w:tc>
          <w:tcPr>
            <w:tcW w:w="1334" w:type="dxa"/>
            <w:vMerge w:val="continue"/>
            <w:tcBorders>
              <w:left w:val="single" w:color="auto" w:sz="4" w:space="0"/>
              <w:right w:val="single" w:color="auto" w:sz="4" w:space="0"/>
            </w:tcBorders>
            <w:shd w:val="clear" w:color="auto" w:fill="auto"/>
            <w:noWrap/>
            <w:vAlign w:val="center"/>
          </w:tcPr>
          <w:p w14:paraId="458506A0">
            <w:pPr>
              <w:widowControl/>
              <w:jc w:val="center"/>
              <w:rPr>
                <w:rFonts w:hint="eastAsia" w:ascii="宋体" w:hAnsi="宋体" w:eastAsia="宋体" w:cs="宋体"/>
                <w:b w:val="0"/>
                <w:bCs/>
                <w:color w:val="auto"/>
                <w:kern w:val="0"/>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6047B30A">
            <w:pPr>
              <w:widowControl/>
              <w:jc w:val="center"/>
              <w:rPr>
                <w:rFonts w:hint="eastAsia" w:ascii="宋体" w:hAnsi="宋体" w:eastAsia="宋体" w:cs="宋体"/>
                <w:b w:val="0"/>
                <w:bCs/>
                <w:color w:val="auto"/>
                <w:kern w:val="0"/>
                <w:sz w:val="21"/>
                <w:szCs w:val="21"/>
                <w:highlight w:val="none"/>
              </w:rPr>
            </w:pP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50888525">
            <w:pPr>
              <w:widowControl/>
              <w:jc w:val="center"/>
              <w:rPr>
                <w:rFonts w:hint="eastAsia" w:ascii="宋体" w:hAnsi="宋体" w:eastAsia="宋体" w:cs="宋体"/>
                <w:b w:val="0"/>
                <w:bCs/>
                <w:color w:val="auto"/>
                <w:kern w:val="0"/>
                <w:sz w:val="21"/>
                <w:szCs w:val="21"/>
                <w:highlight w:val="none"/>
              </w:rPr>
            </w:pPr>
          </w:p>
        </w:tc>
        <w:tc>
          <w:tcPr>
            <w:tcW w:w="18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C1BC3A">
            <w:pPr>
              <w:widowControl/>
              <w:jc w:val="left"/>
              <w:rPr>
                <w:rFonts w:hint="eastAsia" w:ascii="宋体" w:hAnsi="宋体" w:eastAsia="宋体" w:cs="宋体"/>
                <w:b w:val="0"/>
                <w:bCs/>
                <w:color w:val="auto"/>
                <w:kern w:val="0"/>
                <w:sz w:val="21"/>
                <w:szCs w:val="21"/>
                <w:highlight w:val="none"/>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3F54D3A2">
            <w:pPr>
              <w:widowControl/>
              <w:jc w:val="left"/>
              <w:rPr>
                <w:rFonts w:hint="eastAsia" w:ascii="宋体" w:hAnsi="宋体" w:eastAsia="宋体" w:cs="宋体"/>
                <w:b w:val="0"/>
                <w:bCs/>
                <w:color w:val="auto"/>
                <w:kern w:val="0"/>
                <w:sz w:val="21"/>
                <w:szCs w:val="21"/>
                <w:highlight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2F1777CE">
            <w:pPr>
              <w:widowControl/>
              <w:jc w:val="left"/>
              <w:rPr>
                <w:rFonts w:hint="eastAsia" w:ascii="宋体" w:hAnsi="宋体" w:eastAsia="宋体" w:cs="宋体"/>
                <w:b w:val="0"/>
                <w:bCs/>
                <w:color w:val="auto"/>
                <w:kern w:val="0"/>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1669E17A">
            <w:pPr>
              <w:widowControl/>
              <w:jc w:val="left"/>
              <w:rPr>
                <w:rFonts w:hint="eastAsia" w:ascii="宋体" w:hAnsi="宋体" w:eastAsia="宋体" w:cs="宋体"/>
                <w:b w:val="0"/>
                <w:bCs/>
                <w:color w:val="auto"/>
                <w:kern w:val="0"/>
                <w:sz w:val="21"/>
                <w:szCs w:val="21"/>
                <w:highlight w:val="none"/>
              </w:rPr>
            </w:pP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56097E98">
            <w:pPr>
              <w:jc w:val="center"/>
              <w:rPr>
                <w:rFonts w:hint="eastAsia" w:ascii="宋体" w:hAnsi="宋体" w:eastAsia="宋体" w:cs="宋体"/>
                <w:b w:val="0"/>
                <w:bCs/>
                <w:color w:val="auto"/>
                <w:sz w:val="21"/>
                <w:szCs w:val="21"/>
                <w:highlight w:val="none"/>
              </w:rPr>
            </w:pPr>
          </w:p>
        </w:tc>
      </w:tr>
      <w:tr w14:paraId="73976917">
        <w:tblPrEx>
          <w:tblCellMar>
            <w:top w:w="0" w:type="dxa"/>
            <w:left w:w="108" w:type="dxa"/>
            <w:bottom w:w="0" w:type="dxa"/>
            <w:right w:w="108" w:type="dxa"/>
          </w:tblCellMar>
        </w:tblPrEx>
        <w:trPr>
          <w:trHeight w:val="700" w:hRule="atLeast"/>
        </w:trPr>
        <w:tc>
          <w:tcPr>
            <w:tcW w:w="1334" w:type="dxa"/>
            <w:vMerge w:val="continue"/>
            <w:tcBorders>
              <w:left w:val="single" w:color="auto" w:sz="4" w:space="0"/>
              <w:right w:val="single" w:color="auto" w:sz="4" w:space="0"/>
            </w:tcBorders>
            <w:shd w:val="clear" w:color="auto" w:fill="auto"/>
            <w:noWrap/>
            <w:vAlign w:val="center"/>
          </w:tcPr>
          <w:p w14:paraId="5A10FFD4">
            <w:pPr>
              <w:widowControl/>
              <w:jc w:val="center"/>
              <w:rPr>
                <w:rFonts w:hint="eastAsia" w:ascii="宋体" w:hAnsi="宋体" w:eastAsia="宋体" w:cs="宋体"/>
                <w:b w:val="0"/>
                <w:bCs/>
                <w:color w:val="auto"/>
                <w:kern w:val="0"/>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21A7D994">
            <w:pPr>
              <w:widowControl/>
              <w:jc w:val="center"/>
              <w:rPr>
                <w:rFonts w:hint="eastAsia" w:ascii="宋体" w:hAnsi="宋体" w:eastAsia="宋体" w:cs="宋体"/>
                <w:b w:val="0"/>
                <w:bCs/>
                <w:color w:val="auto"/>
                <w:kern w:val="0"/>
                <w:sz w:val="21"/>
                <w:szCs w:val="21"/>
                <w:highlight w:val="none"/>
              </w:rPr>
            </w:pP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661CA252">
            <w:pPr>
              <w:widowControl/>
              <w:jc w:val="center"/>
              <w:rPr>
                <w:rFonts w:hint="eastAsia" w:ascii="宋体" w:hAnsi="宋体" w:eastAsia="宋体" w:cs="宋体"/>
                <w:b w:val="0"/>
                <w:bCs/>
                <w:color w:val="auto"/>
                <w:kern w:val="0"/>
                <w:sz w:val="21"/>
                <w:szCs w:val="21"/>
                <w:highlight w:val="none"/>
              </w:rPr>
            </w:pPr>
          </w:p>
        </w:tc>
        <w:tc>
          <w:tcPr>
            <w:tcW w:w="18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935E32">
            <w:pPr>
              <w:widowControl/>
              <w:jc w:val="left"/>
              <w:rPr>
                <w:rFonts w:hint="eastAsia" w:ascii="宋体" w:hAnsi="宋体" w:eastAsia="宋体" w:cs="宋体"/>
                <w:b w:val="0"/>
                <w:bCs/>
                <w:color w:val="auto"/>
                <w:kern w:val="0"/>
                <w:sz w:val="21"/>
                <w:szCs w:val="21"/>
                <w:highlight w:val="none"/>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0F0F89F0">
            <w:pPr>
              <w:widowControl/>
              <w:jc w:val="left"/>
              <w:rPr>
                <w:rFonts w:hint="eastAsia" w:ascii="宋体" w:hAnsi="宋体" w:eastAsia="宋体" w:cs="宋体"/>
                <w:b w:val="0"/>
                <w:bCs/>
                <w:color w:val="auto"/>
                <w:kern w:val="0"/>
                <w:sz w:val="21"/>
                <w:szCs w:val="21"/>
                <w:highlight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561FFFEE">
            <w:pPr>
              <w:widowControl/>
              <w:jc w:val="left"/>
              <w:rPr>
                <w:rFonts w:hint="eastAsia" w:ascii="宋体" w:hAnsi="宋体" w:eastAsia="宋体" w:cs="宋体"/>
                <w:b w:val="0"/>
                <w:bCs/>
                <w:color w:val="auto"/>
                <w:kern w:val="0"/>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6903B8FA">
            <w:pPr>
              <w:widowControl/>
              <w:jc w:val="left"/>
              <w:rPr>
                <w:rFonts w:hint="eastAsia" w:ascii="宋体" w:hAnsi="宋体" w:eastAsia="宋体" w:cs="宋体"/>
                <w:b w:val="0"/>
                <w:bCs/>
                <w:color w:val="auto"/>
                <w:kern w:val="0"/>
                <w:sz w:val="21"/>
                <w:szCs w:val="21"/>
                <w:highlight w:val="none"/>
              </w:rPr>
            </w:pP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16CCB3AD">
            <w:pPr>
              <w:jc w:val="center"/>
              <w:rPr>
                <w:rFonts w:hint="eastAsia" w:ascii="宋体" w:hAnsi="宋体" w:eastAsia="宋体" w:cs="宋体"/>
                <w:b w:val="0"/>
                <w:bCs/>
                <w:color w:val="auto"/>
                <w:sz w:val="21"/>
                <w:szCs w:val="21"/>
                <w:highlight w:val="none"/>
              </w:rPr>
            </w:pPr>
          </w:p>
        </w:tc>
      </w:tr>
      <w:tr w14:paraId="1DF3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334" w:type="dxa"/>
            <w:vMerge w:val="restart"/>
            <w:tcBorders>
              <w:top w:val="single" w:color="auto" w:sz="4" w:space="0"/>
              <w:left w:val="single" w:color="auto" w:sz="4" w:space="0"/>
              <w:right w:val="single" w:color="auto" w:sz="4" w:space="0"/>
            </w:tcBorders>
            <w:shd w:val="clear" w:color="auto" w:fill="auto"/>
            <w:vAlign w:val="center"/>
          </w:tcPr>
          <w:p w14:paraId="43F56DEB">
            <w:pPr>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进场</w:t>
            </w:r>
          </w:p>
          <w:p w14:paraId="263BF0D2">
            <w:pPr>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检查</w:t>
            </w:r>
          </w:p>
          <w:p w14:paraId="1479268C">
            <w:pPr>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情况</w:t>
            </w:r>
          </w:p>
        </w:tc>
        <w:tc>
          <w:tcPr>
            <w:tcW w:w="3076" w:type="dxa"/>
            <w:gridSpan w:val="2"/>
            <w:tcBorders>
              <w:top w:val="single" w:color="auto" w:sz="4" w:space="0"/>
              <w:left w:val="single" w:color="auto" w:sz="4" w:space="0"/>
              <w:right w:val="single" w:color="auto" w:sz="4" w:space="0"/>
            </w:tcBorders>
            <w:shd w:val="clear" w:color="auto" w:fill="auto"/>
            <w:vAlign w:val="center"/>
          </w:tcPr>
          <w:p w14:paraId="58674393">
            <w:pP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货物数量是否齐全，如否请备注缺货或错货情况</w:t>
            </w:r>
          </w:p>
        </w:tc>
        <w:tc>
          <w:tcPr>
            <w:tcW w:w="5989" w:type="dxa"/>
            <w:gridSpan w:val="6"/>
            <w:tcBorders>
              <w:top w:val="single" w:color="auto" w:sz="4" w:space="0"/>
              <w:left w:val="single" w:color="auto" w:sz="4" w:space="0"/>
              <w:right w:val="single" w:color="auto" w:sz="4" w:space="0"/>
            </w:tcBorders>
            <w:shd w:val="clear" w:color="auto" w:fill="auto"/>
            <w:vAlign w:val="center"/>
          </w:tcPr>
          <w:p w14:paraId="6DCB1888">
            <w:pPr>
              <w:ind w:firstLine="0" w:firstLineChars="0"/>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否</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lang w:val="en-US" w:eastAsia="zh-CN"/>
              </w:rPr>
              <w:t>不涉及</w:t>
            </w:r>
          </w:p>
          <w:p w14:paraId="1A406B01">
            <w:pPr>
              <w:pStyle w:val="3"/>
              <w:ind w:firstLine="0" w:firstLineChars="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备注：</w:t>
            </w:r>
          </w:p>
        </w:tc>
      </w:tr>
      <w:tr w14:paraId="44A4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334" w:type="dxa"/>
            <w:vMerge w:val="continue"/>
            <w:tcBorders>
              <w:left w:val="single" w:color="auto" w:sz="4" w:space="0"/>
              <w:right w:val="single" w:color="auto" w:sz="4" w:space="0"/>
            </w:tcBorders>
            <w:shd w:val="clear" w:color="auto" w:fill="auto"/>
            <w:vAlign w:val="center"/>
          </w:tcPr>
          <w:p w14:paraId="07F3F91B">
            <w:pPr>
              <w:jc w:val="center"/>
              <w:rPr>
                <w:rFonts w:hint="eastAsia" w:ascii="宋体" w:hAnsi="宋体" w:eastAsia="宋体" w:cs="宋体"/>
                <w:b w:val="0"/>
                <w:bCs/>
                <w:color w:val="auto"/>
                <w:kern w:val="0"/>
                <w:sz w:val="21"/>
                <w:szCs w:val="21"/>
                <w:highlight w:val="none"/>
              </w:rPr>
            </w:pPr>
          </w:p>
        </w:tc>
        <w:tc>
          <w:tcPr>
            <w:tcW w:w="3076" w:type="dxa"/>
            <w:gridSpan w:val="2"/>
            <w:tcBorders>
              <w:top w:val="single" w:color="auto" w:sz="4" w:space="0"/>
              <w:left w:val="single" w:color="auto" w:sz="4" w:space="0"/>
              <w:right w:val="single" w:color="auto" w:sz="4" w:space="0"/>
            </w:tcBorders>
            <w:shd w:val="clear" w:color="auto" w:fill="auto"/>
            <w:vAlign w:val="center"/>
          </w:tcPr>
          <w:p w14:paraId="65279DBA">
            <w:pP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货物是否完好无损，如否请备注货损情况</w:t>
            </w:r>
          </w:p>
        </w:tc>
        <w:tc>
          <w:tcPr>
            <w:tcW w:w="5989" w:type="dxa"/>
            <w:gridSpan w:val="6"/>
            <w:tcBorders>
              <w:top w:val="single" w:color="auto" w:sz="4" w:space="0"/>
              <w:left w:val="single" w:color="auto" w:sz="4" w:space="0"/>
              <w:right w:val="single" w:color="auto" w:sz="4" w:space="0"/>
            </w:tcBorders>
            <w:shd w:val="clear" w:color="auto" w:fill="auto"/>
            <w:vAlign w:val="center"/>
          </w:tcPr>
          <w:p w14:paraId="73EB40E6">
            <w:pPr>
              <w:ind w:firstLine="0" w:firstLineChars="0"/>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否</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lang w:val="en-US" w:eastAsia="zh-CN"/>
              </w:rPr>
              <w:t>不涉及</w:t>
            </w:r>
          </w:p>
          <w:p w14:paraId="32A539FF">
            <w:pP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备注：</w:t>
            </w:r>
          </w:p>
        </w:tc>
      </w:tr>
      <w:tr w14:paraId="2256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334" w:type="dxa"/>
            <w:vMerge w:val="continue"/>
            <w:tcBorders>
              <w:left w:val="single" w:color="auto" w:sz="4" w:space="0"/>
              <w:right w:val="single" w:color="auto" w:sz="4" w:space="0"/>
            </w:tcBorders>
            <w:shd w:val="clear" w:color="auto" w:fill="auto"/>
            <w:vAlign w:val="center"/>
          </w:tcPr>
          <w:p w14:paraId="1C58645A">
            <w:pPr>
              <w:jc w:val="center"/>
              <w:rPr>
                <w:rFonts w:hint="eastAsia" w:ascii="宋体" w:hAnsi="宋体" w:eastAsia="宋体" w:cs="宋体"/>
                <w:b w:val="0"/>
                <w:bCs/>
                <w:color w:val="auto"/>
                <w:kern w:val="0"/>
                <w:sz w:val="21"/>
                <w:szCs w:val="21"/>
                <w:highlight w:val="none"/>
              </w:rPr>
            </w:pPr>
          </w:p>
        </w:tc>
        <w:tc>
          <w:tcPr>
            <w:tcW w:w="3076" w:type="dxa"/>
            <w:gridSpan w:val="2"/>
            <w:tcBorders>
              <w:top w:val="single" w:color="auto" w:sz="4" w:space="0"/>
              <w:left w:val="single" w:color="auto" w:sz="4" w:space="0"/>
              <w:right w:val="single" w:color="auto" w:sz="4" w:space="0"/>
            </w:tcBorders>
            <w:shd w:val="clear" w:color="auto" w:fill="auto"/>
            <w:vAlign w:val="center"/>
          </w:tcPr>
          <w:p w14:paraId="184A9580">
            <w:pP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随货物备品备件和专用工具情况，如有缺请备注</w:t>
            </w:r>
          </w:p>
        </w:tc>
        <w:tc>
          <w:tcPr>
            <w:tcW w:w="5989" w:type="dxa"/>
            <w:gridSpan w:val="6"/>
            <w:tcBorders>
              <w:top w:val="single" w:color="auto" w:sz="4" w:space="0"/>
              <w:left w:val="single" w:color="auto" w:sz="4" w:space="0"/>
              <w:right w:val="single" w:color="auto" w:sz="4" w:space="0"/>
            </w:tcBorders>
            <w:shd w:val="clear" w:color="auto" w:fill="auto"/>
            <w:vAlign w:val="center"/>
          </w:tcPr>
          <w:p w14:paraId="3B1D4C04">
            <w:pPr>
              <w:ind w:firstLine="0" w:firstLineChars="0"/>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否</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lang w:val="en-US" w:eastAsia="zh-CN"/>
              </w:rPr>
              <w:t>不涉及</w:t>
            </w:r>
          </w:p>
          <w:p w14:paraId="311ED341">
            <w:pP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备注：</w:t>
            </w:r>
          </w:p>
        </w:tc>
      </w:tr>
      <w:tr w14:paraId="7E7CA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334" w:type="dxa"/>
            <w:vMerge w:val="continue"/>
            <w:tcBorders>
              <w:left w:val="single" w:color="auto" w:sz="4" w:space="0"/>
              <w:right w:val="single" w:color="auto" w:sz="4" w:space="0"/>
            </w:tcBorders>
            <w:shd w:val="clear" w:color="auto" w:fill="auto"/>
            <w:vAlign w:val="center"/>
          </w:tcPr>
          <w:p w14:paraId="5C9388CB">
            <w:pPr>
              <w:jc w:val="center"/>
              <w:rPr>
                <w:rFonts w:hint="eastAsia" w:ascii="宋体" w:hAnsi="宋体" w:eastAsia="宋体" w:cs="宋体"/>
                <w:b w:val="0"/>
                <w:bCs/>
                <w:color w:val="auto"/>
                <w:kern w:val="0"/>
                <w:sz w:val="21"/>
                <w:szCs w:val="21"/>
                <w:highlight w:val="none"/>
              </w:rPr>
            </w:pPr>
          </w:p>
        </w:tc>
        <w:tc>
          <w:tcPr>
            <w:tcW w:w="3076" w:type="dxa"/>
            <w:gridSpan w:val="2"/>
            <w:tcBorders>
              <w:top w:val="single" w:color="auto" w:sz="4" w:space="0"/>
              <w:left w:val="single" w:color="auto" w:sz="4" w:space="0"/>
              <w:right w:val="single" w:color="auto" w:sz="4" w:space="0"/>
            </w:tcBorders>
            <w:shd w:val="clear" w:color="auto" w:fill="auto"/>
            <w:vAlign w:val="center"/>
          </w:tcPr>
          <w:p w14:paraId="20056D5C">
            <w:pP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货物和配件材质是否相符，如否请备注情况</w:t>
            </w:r>
          </w:p>
        </w:tc>
        <w:tc>
          <w:tcPr>
            <w:tcW w:w="5989" w:type="dxa"/>
            <w:gridSpan w:val="6"/>
            <w:tcBorders>
              <w:top w:val="single" w:color="auto" w:sz="4" w:space="0"/>
              <w:left w:val="single" w:color="auto" w:sz="4" w:space="0"/>
              <w:right w:val="single" w:color="auto" w:sz="4" w:space="0"/>
            </w:tcBorders>
            <w:shd w:val="clear" w:color="auto" w:fill="auto"/>
            <w:vAlign w:val="center"/>
          </w:tcPr>
          <w:p w14:paraId="33D731DB">
            <w:pPr>
              <w:ind w:firstLine="0" w:firstLineChars="0"/>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否</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lang w:val="en-US" w:eastAsia="zh-CN"/>
              </w:rPr>
              <w:t>不涉及</w:t>
            </w:r>
          </w:p>
          <w:p w14:paraId="5EBC8606">
            <w:pP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备注：</w:t>
            </w:r>
          </w:p>
        </w:tc>
      </w:tr>
      <w:tr w14:paraId="53FE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334" w:type="dxa"/>
            <w:vMerge w:val="continue"/>
            <w:tcBorders>
              <w:left w:val="single" w:color="auto" w:sz="4" w:space="0"/>
              <w:right w:val="single" w:color="auto" w:sz="4" w:space="0"/>
            </w:tcBorders>
            <w:shd w:val="clear" w:color="auto" w:fill="auto"/>
            <w:vAlign w:val="center"/>
          </w:tcPr>
          <w:p w14:paraId="54D6AB98">
            <w:pPr>
              <w:jc w:val="center"/>
              <w:rPr>
                <w:rFonts w:hint="eastAsia" w:ascii="宋体" w:hAnsi="宋体" w:eastAsia="宋体" w:cs="宋体"/>
                <w:b w:val="0"/>
                <w:bCs/>
                <w:color w:val="auto"/>
                <w:kern w:val="0"/>
                <w:sz w:val="21"/>
                <w:szCs w:val="21"/>
                <w:highlight w:val="none"/>
              </w:rPr>
            </w:pPr>
          </w:p>
        </w:tc>
        <w:tc>
          <w:tcPr>
            <w:tcW w:w="3076" w:type="dxa"/>
            <w:gridSpan w:val="2"/>
            <w:tcBorders>
              <w:top w:val="single" w:color="auto" w:sz="4" w:space="0"/>
              <w:left w:val="single" w:color="auto" w:sz="4" w:space="0"/>
              <w:right w:val="single" w:color="auto" w:sz="4" w:space="0"/>
            </w:tcBorders>
            <w:shd w:val="clear" w:color="auto" w:fill="auto"/>
            <w:vAlign w:val="center"/>
          </w:tcPr>
          <w:p w14:paraId="43927537">
            <w:pP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货物和配件性能参数是否相符，如否请备注情况</w:t>
            </w:r>
          </w:p>
        </w:tc>
        <w:tc>
          <w:tcPr>
            <w:tcW w:w="5989" w:type="dxa"/>
            <w:gridSpan w:val="6"/>
            <w:tcBorders>
              <w:top w:val="single" w:color="auto" w:sz="4" w:space="0"/>
              <w:left w:val="single" w:color="auto" w:sz="4" w:space="0"/>
              <w:right w:val="single" w:color="auto" w:sz="4" w:space="0"/>
            </w:tcBorders>
            <w:shd w:val="clear" w:color="auto" w:fill="auto"/>
            <w:vAlign w:val="center"/>
          </w:tcPr>
          <w:p w14:paraId="7DA8FA23">
            <w:pPr>
              <w:ind w:firstLine="0" w:firstLineChars="0"/>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否</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lang w:val="en-US" w:eastAsia="zh-CN"/>
              </w:rPr>
              <w:t>不涉及</w:t>
            </w:r>
          </w:p>
          <w:p w14:paraId="6401465E">
            <w:pP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备注：</w:t>
            </w:r>
          </w:p>
        </w:tc>
      </w:tr>
      <w:tr w14:paraId="1BAA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334" w:type="dxa"/>
            <w:vMerge w:val="continue"/>
            <w:tcBorders>
              <w:left w:val="single" w:color="auto" w:sz="4" w:space="0"/>
              <w:bottom w:val="single" w:color="auto" w:sz="4" w:space="0"/>
              <w:right w:val="single" w:color="auto" w:sz="4" w:space="0"/>
            </w:tcBorders>
            <w:shd w:val="clear" w:color="auto" w:fill="auto"/>
            <w:vAlign w:val="center"/>
          </w:tcPr>
          <w:p w14:paraId="0DBD00FF">
            <w:pPr>
              <w:jc w:val="center"/>
              <w:rPr>
                <w:rFonts w:hint="eastAsia" w:ascii="宋体" w:hAnsi="宋体" w:eastAsia="宋体" w:cs="宋体"/>
                <w:b w:val="0"/>
                <w:bCs/>
                <w:color w:val="auto"/>
                <w:kern w:val="0"/>
                <w:sz w:val="21"/>
                <w:szCs w:val="21"/>
                <w:highlight w:val="none"/>
              </w:rPr>
            </w:pPr>
          </w:p>
        </w:tc>
        <w:tc>
          <w:tcPr>
            <w:tcW w:w="3076" w:type="dxa"/>
            <w:gridSpan w:val="2"/>
            <w:tcBorders>
              <w:top w:val="single" w:color="auto" w:sz="4" w:space="0"/>
              <w:left w:val="single" w:color="auto" w:sz="4" w:space="0"/>
              <w:right w:val="single" w:color="auto" w:sz="4" w:space="0"/>
            </w:tcBorders>
            <w:shd w:val="clear" w:color="auto" w:fill="auto"/>
            <w:vAlign w:val="center"/>
          </w:tcPr>
          <w:p w14:paraId="7B2B34B2">
            <w:pP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到货资料检查</w:t>
            </w:r>
          </w:p>
        </w:tc>
        <w:tc>
          <w:tcPr>
            <w:tcW w:w="5989" w:type="dxa"/>
            <w:gridSpan w:val="6"/>
            <w:tcBorders>
              <w:top w:val="single" w:color="auto" w:sz="4" w:space="0"/>
              <w:left w:val="single" w:color="auto" w:sz="4" w:space="0"/>
              <w:right w:val="single" w:color="auto" w:sz="4" w:space="0"/>
            </w:tcBorders>
            <w:shd w:val="clear" w:color="auto" w:fill="auto"/>
            <w:vAlign w:val="center"/>
          </w:tcPr>
          <w:p w14:paraId="58217231">
            <w:pP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lang w:val="en-US" w:eastAsia="zh-CN"/>
              </w:rPr>
              <w:t>产品说明书</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产品合格证、</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保修单、</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lang w:val="en-US" w:eastAsia="zh-CN"/>
              </w:rPr>
              <w:t>出厂检测</w:t>
            </w:r>
            <w:r>
              <w:rPr>
                <w:rFonts w:hint="eastAsia" w:ascii="宋体" w:hAnsi="宋体" w:eastAsia="宋体" w:cs="宋体"/>
                <w:b w:val="0"/>
                <w:bCs/>
                <w:color w:val="auto"/>
                <w:kern w:val="0"/>
                <w:sz w:val="21"/>
                <w:szCs w:val="21"/>
                <w:highlight w:val="none"/>
              </w:rPr>
              <w:t>报告、</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 xml:space="preserve">技术图纸、其它      </w:t>
            </w:r>
          </w:p>
        </w:tc>
      </w:tr>
      <w:tr w14:paraId="7E4E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334" w:type="dxa"/>
            <w:vMerge w:val="continue"/>
            <w:tcBorders>
              <w:left w:val="single" w:color="auto" w:sz="4" w:space="0"/>
              <w:bottom w:val="single" w:color="auto" w:sz="4" w:space="0"/>
              <w:right w:val="single" w:color="auto" w:sz="4" w:space="0"/>
            </w:tcBorders>
            <w:shd w:val="clear" w:color="auto" w:fill="auto"/>
            <w:vAlign w:val="center"/>
          </w:tcPr>
          <w:p w14:paraId="0E360FA9">
            <w:pPr>
              <w:jc w:val="center"/>
              <w:rPr>
                <w:rFonts w:hint="eastAsia" w:ascii="宋体" w:hAnsi="宋体" w:eastAsia="宋体" w:cs="宋体"/>
                <w:b w:val="0"/>
                <w:bCs/>
                <w:color w:val="auto"/>
                <w:kern w:val="0"/>
                <w:sz w:val="21"/>
                <w:szCs w:val="21"/>
                <w:highlight w:val="none"/>
              </w:rPr>
            </w:pPr>
          </w:p>
        </w:tc>
        <w:tc>
          <w:tcPr>
            <w:tcW w:w="3076" w:type="dxa"/>
            <w:gridSpan w:val="2"/>
            <w:tcBorders>
              <w:top w:val="single" w:color="auto" w:sz="4" w:space="0"/>
              <w:left w:val="single" w:color="auto" w:sz="4" w:space="0"/>
              <w:right w:val="single" w:color="auto" w:sz="4" w:space="0"/>
            </w:tcBorders>
            <w:shd w:val="clear" w:color="auto" w:fill="auto"/>
            <w:vAlign w:val="center"/>
          </w:tcPr>
          <w:p w14:paraId="3045C0DA">
            <w:pP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是否需要送检</w:t>
            </w:r>
          </w:p>
        </w:tc>
        <w:tc>
          <w:tcPr>
            <w:tcW w:w="5989" w:type="dxa"/>
            <w:gridSpan w:val="6"/>
            <w:tcBorders>
              <w:top w:val="single" w:color="auto" w:sz="4" w:space="0"/>
              <w:left w:val="single" w:color="auto" w:sz="4" w:space="0"/>
              <w:right w:val="single" w:color="auto" w:sz="4" w:space="0"/>
            </w:tcBorders>
            <w:shd w:val="clear" w:color="auto" w:fill="auto"/>
            <w:vAlign w:val="center"/>
          </w:tcPr>
          <w:p w14:paraId="658BDB7E">
            <w:pPr>
              <w:ind w:firstLine="840" w:firstLineChars="40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否</w:t>
            </w:r>
          </w:p>
        </w:tc>
      </w:tr>
      <w:tr w14:paraId="5E8D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334" w:type="dxa"/>
            <w:vMerge w:val="continue"/>
            <w:tcBorders>
              <w:left w:val="single" w:color="auto" w:sz="4" w:space="0"/>
              <w:bottom w:val="single" w:color="auto" w:sz="4" w:space="0"/>
              <w:right w:val="single" w:color="auto" w:sz="4" w:space="0"/>
            </w:tcBorders>
            <w:shd w:val="clear" w:color="auto" w:fill="auto"/>
            <w:vAlign w:val="center"/>
          </w:tcPr>
          <w:p w14:paraId="4AEC131D">
            <w:pPr>
              <w:jc w:val="center"/>
              <w:rPr>
                <w:rFonts w:hint="eastAsia" w:ascii="宋体" w:hAnsi="宋体" w:eastAsia="宋体" w:cs="宋体"/>
                <w:b w:val="0"/>
                <w:bCs/>
                <w:color w:val="auto"/>
                <w:kern w:val="0"/>
                <w:sz w:val="21"/>
                <w:szCs w:val="21"/>
                <w:highlight w:val="none"/>
              </w:rPr>
            </w:pPr>
          </w:p>
        </w:tc>
        <w:tc>
          <w:tcPr>
            <w:tcW w:w="3076" w:type="dxa"/>
            <w:gridSpan w:val="2"/>
            <w:tcBorders>
              <w:top w:val="single" w:color="auto" w:sz="4" w:space="0"/>
              <w:left w:val="single" w:color="auto" w:sz="4" w:space="0"/>
              <w:right w:val="single" w:color="auto" w:sz="4" w:space="0"/>
            </w:tcBorders>
            <w:shd w:val="clear" w:color="auto" w:fill="auto"/>
            <w:vAlign w:val="center"/>
          </w:tcPr>
          <w:p w14:paraId="03E86AAF">
            <w:pP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其他问题</w:t>
            </w:r>
          </w:p>
        </w:tc>
        <w:tc>
          <w:tcPr>
            <w:tcW w:w="5989" w:type="dxa"/>
            <w:gridSpan w:val="6"/>
            <w:tcBorders>
              <w:top w:val="single" w:color="auto" w:sz="4" w:space="0"/>
              <w:left w:val="single" w:color="auto" w:sz="4" w:space="0"/>
              <w:right w:val="single" w:color="auto" w:sz="4" w:space="0"/>
            </w:tcBorders>
            <w:shd w:val="clear" w:color="auto" w:fill="auto"/>
            <w:vAlign w:val="center"/>
          </w:tcPr>
          <w:p w14:paraId="22E0CEB6">
            <w:pPr>
              <w:rPr>
                <w:rFonts w:hint="eastAsia" w:ascii="宋体" w:hAnsi="宋体" w:eastAsia="宋体" w:cs="宋体"/>
                <w:b w:val="0"/>
                <w:bCs/>
                <w:color w:val="auto"/>
                <w:kern w:val="0"/>
                <w:sz w:val="21"/>
                <w:szCs w:val="21"/>
                <w:highlight w:val="none"/>
              </w:rPr>
            </w:pPr>
          </w:p>
        </w:tc>
      </w:tr>
      <w:tr w14:paraId="1D77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4410" w:type="dxa"/>
            <w:gridSpan w:val="3"/>
            <w:tcBorders>
              <w:left w:val="single" w:color="auto" w:sz="4" w:space="0"/>
              <w:bottom w:val="single" w:color="auto" w:sz="4" w:space="0"/>
              <w:right w:val="single" w:color="auto" w:sz="4" w:space="0"/>
            </w:tcBorders>
            <w:shd w:val="clear" w:color="auto" w:fill="auto"/>
            <w:vAlign w:val="center"/>
          </w:tcPr>
          <w:p w14:paraId="5FFEA3BB">
            <w:pPr>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现场到货验收意见</w:t>
            </w:r>
          </w:p>
        </w:tc>
        <w:tc>
          <w:tcPr>
            <w:tcW w:w="5989" w:type="dxa"/>
            <w:gridSpan w:val="6"/>
            <w:tcBorders>
              <w:top w:val="single" w:color="auto" w:sz="4" w:space="0"/>
              <w:left w:val="single" w:color="auto" w:sz="4" w:space="0"/>
              <w:right w:val="single" w:color="auto" w:sz="4" w:space="0"/>
            </w:tcBorders>
            <w:shd w:val="clear" w:color="auto" w:fill="auto"/>
            <w:vAlign w:val="center"/>
          </w:tcPr>
          <w:p w14:paraId="0ECD2D7D">
            <w:pPr>
              <w:rPr>
                <w:rFonts w:hint="eastAsia" w:ascii="宋体" w:hAnsi="宋体" w:eastAsia="宋体" w:cs="宋体"/>
                <w:b w:val="0"/>
                <w:bCs/>
                <w:color w:val="auto"/>
                <w:szCs w:val="21"/>
                <w:highlight w:val="none"/>
              </w:rPr>
            </w:pPr>
          </w:p>
          <w:p w14:paraId="35CE3830">
            <w:pPr>
              <w:ind w:right="-25" w:rightChars="-12"/>
              <w:rPr>
                <w:rFonts w:hint="eastAsia" w:ascii="宋体" w:hAnsi="宋体" w:eastAsia="宋体" w:cs="宋体"/>
                <w:b w:val="0"/>
                <w:bCs/>
                <w:color w:val="auto"/>
                <w:sz w:val="21"/>
                <w:szCs w:val="21"/>
                <w:highlight w:val="none"/>
              </w:rPr>
            </w:pPr>
          </w:p>
        </w:tc>
      </w:tr>
      <w:tr w14:paraId="7D5422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0" w:hRule="atLeast"/>
        </w:trPr>
        <w:tc>
          <w:tcPr>
            <w:tcW w:w="10399" w:type="dxa"/>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10601135">
            <w:pPr>
              <w:spacing w:line="36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sz w:val="21"/>
                <w:szCs w:val="21"/>
                <w:highlight w:val="none"/>
              </w:rPr>
              <w:t xml:space="preserve">参 加  验 收 的 单 位 和 代 表 （签 </w:t>
            </w:r>
            <w:r>
              <w:rPr>
                <w:rFonts w:hint="eastAsia" w:ascii="宋体" w:hAnsi="宋体" w:eastAsia="宋体" w:cs="宋体"/>
                <w:b w:val="0"/>
                <w:bCs/>
                <w:color w:val="auto"/>
                <w:sz w:val="21"/>
                <w:szCs w:val="21"/>
                <w:highlight w:val="none"/>
                <w:lang w:val="en-US" w:eastAsia="zh-CN"/>
              </w:rPr>
              <w:t>字</w:t>
            </w:r>
            <w:r>
              <w:rPr>
                <w:rFonts w:hint="eastAsia" w:ascii="宋体" w:hAnsi="宋体" w:eastAsia="宋体" w:cs="宋体"/>
                <w:b w:val="0"/>
                <w:bCs/>
                <w:color w:val="auto"/>
                <w:sz w:val="21"/>
                <w:szCs w:val="21"/>
                <w:highlight w:val="none"/>
              </w:rPr>
              <w:t>）</w:t>
            </w:r>
          </w:p>
        </w:tc>
      </w:tr>
      <w:tr w14:paraId="37F962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97" w:hRule="atLeast"/>
        </w:trPr>
        <w:tc>
          <w:tcPr>
            <w:tcW w:w="5036" w:type="dxa"/>
            <w:gridSpan w:val="4"/>
            <w:tcBorders>
              <w:top w:val="single" w:color="auto" w:sz="6" w:space="0"/>
              <w:left w:val="single" w:color="auto" w:sz="6" w:space="0"/>
              <w:bottom w:val="single" w:color="auto" w:sz="6" w:space="0"/>
              <w:right w:val="single" w:color="auto" w:sz="6" w:space="0"/>
            </w:tcBorders>
            <w:shd w:val="clear" w:color="auto" w:fill="auto"/>
            <w:noWrap/>
          </w:tcPr>
          <w:p w14:paraId="0402C5C4">
            <w:pP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供货</w:t>
            </w:r>
            <w:r>
              <w:rPr>
                <w:rFonts w:hint="eastAsia" w:ascii="宋体" w:hAnsi="宋体" w:eastAsia="宋体" w:cs="宋体"/>
                <w:b w:val="0"/>
                <w:bCs/>
                <w:color w:val="auto"/>
                <w:sz w:val="21"/>
                <w:szCs w:val="21"/>
                <w:highlight w:val="none"/>
              </w:rPr>
              <w:t>单位</w:t>
            </w:r>
          </w:p>
        </w:tc>
        <w:tc>
          <w:tcPr>
            <w:tcW w:w="5363" w:type="dxa"/>
            <w:gridSpan w:val="5"/>
            <w:tcBorders>
              <w:top w:val="single" w:color="auto" w:sz="6" w:space="0"/>
              <w:left w:val="single" w:color="auto" w:sz="6" w:space="0"/>
              <w:bottom w:val="single" w:color="auto" w:sz="6" w:space="0"/>
              <w:right w:val="single" w:color="auto" w:sz="6" w:space="0"/>
            </w:tcBorders>
            <w:shd w:val="clear" w:color="auto" w:fill="auto"/>
          </w:tcPr>
          <w:p w14:paraId="11DF0409">
            <w:pP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单位</w:t>
            </w:r>
          </w:p>
        </w:tc>
      </w:tr>
      <w:tr w14:paraId="11087A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10399" w:type="dxa"/>
            <w:gridSpan w:val="9"/>
            <w:tcBorders>
              <w:top w:val="single" w:color="auto" w:sz="6" w:space="0"/>
              <w:left w:val="single" w:color="auto" w:sz="6" w:space="0"/>
              <w:bottom w:val="single" w:color="auto" w:sz="6" w:space="0"/>
              <w:right w:val="single" w:color="auto" w:sz="6" w:space="0"/>
            </w:tcBorders>
            <w:shd w:val="clear" w:color="auto" w:fill="auto"/>
            <w:noWrap/>
          </w:tcPr>
          <w:p w14:paraId="4BF26690">
            <w:pPr>
              <w:spacing w:line="360" w:lineRule="auto"/>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注：对于需要调试和整体验收的项目，本验收表签署仅代表货物到场，不代表完全认可货物的质量，不代表货物所有权转移。</w:t>
            </w:r>
          </w:p>
        </w:tc>
      </w:tr>
    </w:tbl>
    <w:p w14:paraId="7F6EB29C">
      <w:pPr>
        <w:keepNext w:val="0"/>
        <w:keepLines w:val="0"/>
        <w:pageBreakBefore w:val="0"/>
        <w:kinsoku/>
        <w:wordWrap/>
        <w:overflowPunct/>
        <w:topLinePunct w:val="0"/>
        <w:bidi w:val="0"/>
        <w:snapToGrid/>
        <w:spacing w:line="360" w:lineRule="auto"/>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此表一式</w:t>
      </w:r>
      <w:r>
        <w:rPr>
          <w:rFonts w:hint="eastAsia" w:ascii="宋体" w:hAnsi="宋体" w:eastAsia="宋体" w:cs="宋体"/>
          <w:b w:val="0"/>
          <w:bCs/>
          <w:color w:val="auto"/>
          <w:sz w:val="21"/>
          <w:szCs w:val="21"/>
          <w:highlight w:val="none"/>
          <w:lang w:val="en-US" w:eastAsia="zh-CN"/>
        </w:rPr>
        <w:t>两</w:t>
      </w:r>
      <w:r>
        <w:rPr>
          <w:rFonts w:hint="eastAsia" w:ascii="宋体" w:hAnsi="宋体" w:eastAsia="宋体" w:cs="宋体"/>
          <w:b w:val="0"/>
          <w:bCs/>
          <w:color w:val="auto"/>
          <w:sz w:val="21"/>
          <w:szCs w:val="21"/>
          <w:highlight w:val="none"/>
        </w:rPr>
        <w:t>份，</w:t>
      </w:r>
      <w:r>
        <w:rPr>
          <w:rFonts w:hint="eastAsia" w:ascii="宋体" w:hAnsi="宋体" w:eastAsia="宋体" w:cs="宋体"/>
          <w:b w:val="0"/>
          <w:bCs/>
          <w:color w:val="auto"/>
          <w:sz w:val="21"/>
          <w:szCs w:val="21"/>
          <w:highlight w:val="none"/>
          <w:lang w:val="en-US" w:eastAsia="zh-CN"/>
        </w:rPr>
        <w:t>供货</w:t>
      </w:r>
      <w:r>
        <w:rPr>
          <w:rFonts w:hint="eastAsia" w:ascii="宋体" w:hAnsi="宋体" w:eastAsia="宋体" w:cs="宋体"/>
          <w:b w:val="0"/>
          <w:bCs/>
          <w:color w:val="auto"/>
          <w:sz w:val="21"/>
          <w:szCs w:val="21"/>
          <w:highlight w:val="none"/>
        </w:rPr>
        <w:t>单位、</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单位各存一份。</w:t>
      </w:r>
    </w:p>
    <w:p w14:paraId="2104ADC9">
      <w:pPr>
        <w:keepNext w:val="0"/>
        <w:keepLines w:val="0"/>
        <w:pageBreakBefore w:val="0"/>
        <w:kinsoku/>
        <w:wordWrap/>
        <w:overflowPunct/>
        <w:topLinePunct w:val="0"/>
        <w:bidi w:val="0"/>
        <w:snapToGrid/>
        <w:spacing w:line="360" w:lineRule="auto"/>
        <w:jc w:val="left"/>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color w:val="auto"/>
          <w:sz w:val="21"/>
          <w:szCs w:val="21"/>
          <w:highlight w:val="none"/>
          <w:lang w:eastAsia="zh-CN"/>
        </w:rPr>
        <w:br w:type="page"/>
      </w:r>
      <w:r>
        <w:rPr>
          <w:rFonts w:hint="eastAsia" w:ascii="宋体" w:hAnsi="宋体" w:eastAsia="宋体" w:cs="宋体"/>
          <w:b w:val="0"/>
          <w:bCs w:val="0"/>
          <w:color w:val="auto"/>
          <w:kern w:val="2"/>
          <w:sz w:val="21"/>
          <w:szCs w:val="21"/>
          <w:highlight w:val="none"/>
          <w:lang w:val="zh-CN" w:eastAsia="zh-CN" w:bidi="ar-SA"/>
        </w:rPr>
        <w:t>附件</w:t>
      </w:r>
      <w:r>
        <w:rPr>
          <w:rFonts w:hint="eastAsia" w:ascii="宋体" w:hAnsi="宋体" w:eastAsia="宋体"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zh-CN" w:eastAsia="zh-CN" w:bidi="ar-SA"/>
        </w:rPr>
        <w:t>：供应商履约评价表</w:t>
      </w:r>
    </w:p>
    <w:p w14:paraId="31971CB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供应商履约评价表</w:t>
      </w:r>
    </w:p>
    <w:tbl>
      <w:tblPr>
        <w:tblStyle w:val="43"/>
        <w:tblW w:w="9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135"/>
        <w:gridCol w:w="4159"/>
        <w:gridCol w:w="2693"/>
        <w:gridCol w:w="567"/>
        <w:gridCol w:w="866"/>
      </w:tblGrid>
      <w:tr w14:paraId="6D0F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86" w:type="dxa"/>
            <w:gridSpan w:val="2"/>
            <w:vAlign w:val="center"/>
          </w:tcPr>
          <w:p w14:paraId="6E375B7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合同名称</w:t>
            </w:r>
          </w:p>
        </w:tc>
        <w:tc>
          <w:tcPr>
            <w:tcW w:w="8285" w:type="dxa"/>
            <w:gridSpan w:val="4"/>
            <w:vAlign w:val="center"/>
          </w:tcPr>
          <w:p w14:paraId="1415F93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kern w:val="2"/>
                <w:sz w:val="21"/>
                <w:szCs w:val="21"/>
                <w:highlight w:val="none"/>
              </w:rPr>
            </w:pPr>
          </w:p>
        </w:tc>
      </w:tr>
      <w:tr w14:paraId="236D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86" w:type="dxa"/>
            <w:gridSpan w:val="2"/>
            <w:vAlign w:val="center"/>
          </w:tcPr>
          <w:p w14:paraId="6A42BCC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合同编号</w:t>
            </w:r>
          </w:p>
        </w:tc>
        <w:tc>
          <w:tcPr>
            <w:tcW w:w="8285" w:type="dxa"/>
            <w:gridSpan w:val="4"/>
            <w:vAlign w:val="center"/>
          </w:tcPr>
          <w:p w14:paraId="0F85874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kern w:val="2"/>
                <w:sz w:val="21"/>
                <w:szCs w:val="21"/>
                <w:highlight w:val="none"/>
              </w:rPr>
            </w:pPr>
          </w:p>
        </w:tc>
      </w:tr>
      <w:tr w14:paraId="1E31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86" w:type="dxa"/>
            <w:gridSpan w:val="2"/>
          </w:tcPr>
          <w:p w14:paraId="40085E0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招标人名称</w:t>
            </w:r>
          </w:p>
        </w:tc>
        <w:tc>
          <w:tcPr>
            <w:tcW w:w="8285" w:type="dxa"/>
            <w:gridSpan w:val="4"/>
            <w:vAlign w:val="center"/>
          </w:tcPr>
          <w:p w14:paraId="605C6D0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kern w:val="2"/>
                <w:sz w:val="21"/>
                <w:szCs w:val="21"/>
                <w:highlight w:val="none"/>
              </w:rPr>
            </w:pPr>
          </w:p>
        </w:tc>
      </w:tr>
      <w:tr w14:paraId="5C52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86" w:type="dxa"/>
            <w:gridSpan w:val="2"/>
          </w:tcPr>
          <w:p w14:paraId="7366F9D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中标人名称</w:t>
            </w:r>
          </w:p>
        </w:tc>
        <w:tc>
          <w:tcPr>
            <w:tcW w:w="8285" w:type="dxa"/>
            <w:gridSpan w:val="4"/>
            <w:vAlign w:val="center"/>
          </w:tcPr>
          <w:p w14:paraId="377EE5B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kern w:val="2"/>
                <w:sz w:val="21"/>
                <w:szCs w:val="21"/>
                <w:highlight w:val="none"/>
              </w:rPr>
            </w:pPr>
          </w:p>
        </w:tc>
      </w:tr>
      <w:tr w14:paraId="06B6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51" w:type="dxa"/>
            <w:vAlign w:val="center"/>
          </w:tcPr>
          <w:p w14:paraId="6C2776E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序号</w:t>
            </w:r>
          </w:p>
        </w:tc>
        <w:tc>
          <w:tcPr>
            <w:tcW w:w="1135" w:type="dxa"/>
            <w:vAlign w:val="center"/>
          </w:tcPr>
          <w:p w14:paraId="1C20A2A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履约评价项目</w:t>
            </w:r>
          </w:p>
        </w:tc>
        <w:tc>
          <w:tcPr>
            <w:tcW w:w="4159" w:type="dxa"/>
            <w:vAlign w:val="center"/>
          </w:tcPr>
          <w:p w14:paraId="3EA2F40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评价标准</w:t>
            </w:r>
          </w:p>
        </w:tc>
        <w:tc>
          <w:tcPr>
            <w:tcW w:w="2693" w:type="dxa"/>
            <w:vAlign w:val="center"/>
          </w:tcPr>
          <w:p w14:paraId="54EA920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评分说明</w:t>
            </w:r>
          </w:p>
        </w:tc>
        <w:tc>
          <w:tcPr>
            <w:tcW w:w="567" w:type="dxa"/>
            <w:vAlign w:val="center"/>
          </w:tcPr>
          <w:p w14:paraId="218E138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分值</w:t>
            </w:r>
          </w:p>
        </w:tc>
        <w:tc>
          <w:tcPr>
            <w:tcW w:w="866" w:type="dxa"/>
            <w:vAlign w:val="center"/>
          </w:tcPr>
          <w:p w14:paraId="3A455EB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实得分</w:t>
            </w:r>
          </w:p>
        </w:tc>
      </w:tr>
      <w:tr w14:paraId="2048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51" w:type="dxa"/>
            <w:vAlign w:val="center"/>
          </w:tcPr>
          <w:p w14:paraId="4DE3880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1</w:t>
            </w:r>
          </w:p>
        </w:tc>
        <w:tc>
          <w:tcPr>
            <w:tcW w:w="1135" w:type="dxa"/>
            <w:vAlign w:val="center"/>
          </w:tcPr>
          <w:p w14:paraId="6A460AA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质量</w:t>
            </w:r>
          </w:p>
        </w:tc>
        <w:tc>
          <w:tcPr>
            <w:tcW w:w="4159" w:type="dxa"/>
            <w:vAlign w:val="center"/>
          </w:tcPr>
          <w:p w14:paraId="42C873E2">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snapToGrid w:val="0"/>
                <w:color w:val="auto"/>
                <w:sz w:val="21"/>
                <w:szCs w:val="21"/>
                <w:highlight w:val="none"/>
                <w:lang w:bidi="ar"/>
              </w:rPr>
            </w:pPr>
            <w:r>
              <w:rPr>
                <w:rFonts w:hint="eastAsia" w:ascii="宋体" w:hAnsi="宋体" w:eastAsia="宋体" w:cs="宋体"/>
                <w:snapToGrid w:val="0"/>
                <w:color w:val="auto"/>
                <w:sz w:val="21"/>
                <w:szCs w:val="21"/>
                <w:highlight w:val="none"/>
                <w:lang w:bidi="ar"/>
              </w:rPr>
              <w:t>(1)货物未出现全部拒收或换货等质量问题；（10分）</w:t>
            </w:r>
          </w:p>
          <w:p w14:paraId="7CB29DE1">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snapToGrid w:val="0"/>
                <w:color w:val="auto"/>
                <w:sz w:val="21"/>
                <w:szCs w:val="21"/>
                <w:highlight w:val="none"/>
                <w:lang w:bidi="ar"/>
              </w:rPr>
            </w:pPr>
            <w:r>
              <w:rPr>
                <w:rFonts w:hint="eastAsia" w:ascii="宋体" w:hAnsi="宋体" w:eastAsia="宋体" w:cs="宋体"/>
                <w:snapToGrid w:val="0"/>
                <w:color w:val="auto"/>
                <w:sz w:val="21"/>
                <w:szCs w:val="21"/>
                <w:highlight w:val="none"/>
                <w:lang w:bidi="ar"/>
              </w:rPr>
              <w:t>(2)供货货物符合合同规定，其他指标符合合同规定；（8分）</w:t>
            </w:r>
          </w:p>
          <w:p w14:paraId="5DBEE821">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(3)</w:t>
            </w:r>
            <w:r>
              <w:rPr>
                <w:rFonts w:hint="eastAsia" w:ascii="宋体" w:hAnsi="宋体" w:eastAsia="宋体" w:cs="宋体"/>
                <w:color w:val="auto"/>
                <w:kern w:val="2"/>
                <w:sz w:val="21"/>
                <w:szCs w:val="21"/>
                <w:highlight w:val="none"/>
              </w:rPr>
              <w:t>每批次货物质量稳定，使用效果良好，未出现由于货物质量参差不齐，造成实质性影响或损失等情况。</w:t>
            </w:r>
            <w:r>
              <w:rPr>
                <w:rFonts w:hint="eastAsia" w:ascii="宋体" w:hAnsi="宋体" w:eastAsia="宋体" w:cs="宋体"/>
                <w:snapToGrid w:val="0"/>
                <w:color w:val="auto"/>
                <w:sz w:val="21"/>
                <w:szCs w:val="21"/>
                <w:highlight w:val="none"/>
                <w:lang w:bidi="ar"/>
              </w:rPr>
              <w:t>（8分）</w:t>
            </w:r>
          </w:p>
        </w:tc>
        <w:tc>
          <w:tcPr>
            <w:tcW w:w="2693" w:type="dxa"/>
            <w:vAlign w:val="center"/>
          </w:tcPr>
          <w:p w14:paraId="607B9989">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达到标准的得满分，每季度每次有一项未达到标准的按对应分值进行扣分。</w:t>
            </w:r>
          </w:p>
        </w:tc>
        <w:tc>
          <w:tcPr>
            <w:tcW w:w="567" w:type="dxa"/>
            <w:vAlign w:val="center"/>
          </w:tcPr>
          <w:p w14:paraId="03CF7E5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26</w:t>
            </w:r>
          </w:p>
        </w:tc>
        <w:tc>
          <w:tcPr>
            <w:tcW w:w="866" w:type="dxa"/>
            <w:vAlign w:val="center"/>
          </w:tcPr>
          <w:p w14:paraId="7D83725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kern w:val="2"/>
                <w:sz w:val="21"/>
                <w:szCs w:val="21"/>
                <w:highlight w:val="none"/>
              </w:rPr>
            </w:pPr>
          </w:p>
        </w:tc>
      </w:tr>
      <w:tr w14:paraId="1C1A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51" w:type="dxa"/>
            <w:vAlign w:val="center"/>
          </w:tcPr>
          <w:p w14:paraId="6039815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135" w:type="dxa"/>
            <w:vAlign w:val="center"/>
          </w:tcPr>
          <w:p w14:paraId="5CA588A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包装</w:t>
            </w:r>
          </w:p>
          <w:p w14:paraId="19D82C3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运输</w:t>
            </w:r>
          </w:p>
        </w:tc>
        <w:tc>
          <w:tcPr>
            <w:tcW w:w="4159" w:type="dxa"/>
            <w:vAlign w:val="center"/>
          </w:tcPr>
          <w:p w14:paraId="44B6AEB7">
            <w:pPr>
              <w:keepNext w:val="0"/>
              <w:keepLines w:val="0"/>
              <w:pageBreakBefore w:val="0"/>
              <w:kinsoku/>
              <w:wordWrap/>
              <w:overflowPunct/>
              <w:topLinePunct w:val="0"/>
              <w:autoSpaceDE/>
              <w:autoSpaceDN/>
              <w:bidi w:val="0"/>
              <w:adjustRightInd/>
              <w:snapToGrid/>
              <w:spacing w:line="360" w:lineRule="auto"/>
              <w:jc w:val="both"/>
              <w:outlineLvl w:val="2"/>
              <w:rPr>
                <w:rFonts w:hint="eastAsia" w:ascii="宋体" w:hAnsi="宋体" w:eastAsia="宋体" w:cs="宋体"/>
                <w:color w:val="auto"/>
                <w:kern w:val="2"/>
                <w:sz w:val="21"/>
                <w:szCs w:val="21"/>
                <w:highlight w:val="none"/>
              </w:rPr>
            </w:pPr>
            <w:bookmarkStart w:id="348" w:name="_Toc25238"/>
            <w:r>
              <w:rPr>
                <w:rFonts w:hint="eastAsia" w:ascii="宋体" w:hAnsi="宋体" w:eastAsia="宋体" w:cs="宋体"/>
                <w:color w:val="auto"/>
                <w:kern w:val="2"/>
                <w:sz w:val="21"/>
                <w:szCs w:val="21"/>
                <w:highlight w:val="none"/>
              </w:rPr>
              <w:t>货物的包装完好，无破损，货物无出现磕碰等情况。（</w:t>
            </w:r>
            <w:r>
              <w:rPr>
                <w:rFonts w:hint="eastAsia" w:ascii="宋体" w:hAnsi="宋体" w:eastAsia="宋体" w:cs="宋体"/>
                <w:snapToGrid w:val="0"/>
                <w:color w:val="auto"/>
                <w:sz w:val="21"/>
                <w:szCs w:val="21"/>
                <w:highlight w:val="none"/>
                <w:lang w:bidi="ar"/>
              </w:rPr>
              <w:t>8分</w:t>
            </w:r>
            <w:r>
              <w:rPr>
                <w:rFonts w:hint="eastAsia" w:ascii="宋体" w:hAnsi="宋体" w:eastAsia="宋体" w:cs="宋体"/>
                <w:color w:val="auto"/>
                <w:kern w:val="2"/>
                <w:sz w:val="21"/>
                <w:szCs w:val="21"/>
                <w:highlight w:val="none"/>
              </w:rPr>
              <w:t>）</w:t>
            </w:r>
            <w:bookmarkEnd w:id="348"/>
          </w:p>
        </w:tc>
        <w:tc>
          <w:tcPr>
            <w:tcW w:w="2693" w:type="dxa"/>
            <w:vAlign w:val="center"/>
          </w:tcPr>
          <w:p w14:paraId="617592AD">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Cs/>
                <w:color w:val="auto"/>
                <w:kern w:val="2"/>
                <w:sz w:val="21"/>
                <w:szCs w:val="21"/>
                <w:highlight w:val="none"/>
              </w:rPr>
            </w:pPr>
            <w:r>
              <w:rPr>
                <w:rFonts w:hint="eastAsia" w:ascii="宋体" w:hAnsi="宋体" w:eastAsia="宋体" w:cs="宋体"/>
                <w:snapToGrid w:val="0"/>
                <w:color w:val="auto"/>
                <w:sz w:val="21"/>
                <w:szCs w:val="21"/>
                <w:highlight w:val="none"/>
                <w:lang w:bidi="ar"/>
              </w:rPr>
              <w:t>达到标准的得满分，每季度每次有一项未达到标准的按对应分值进行扣分。</w:t>
            </w:r>
          </w:p>
        </w:tc>
        <w:tc>
          <w:tcPr>
            <w:tcW w:w="567" w:type="dxa"/>
            <w:vAlign w:val="center"/>
          </w:tcPr>
          <w:p w14:paraId="13222AD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w:t>
            </w:r>
          </w:p>
        </w:tc>
        <w:tc>
          <w:tcPr>
            <w:tcW w:w="866" w:type="dxa"/>
            <w:vAlign w:val="center"/>
          </w:tcPr>
          <w:p w14:paraId="3ABA99D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kern w:val="2"/>
                <w:sz w:val="21"/>
                <w:szCs w:val="21"/>
                <w:highlight w:val="none"/>
              </w:rPr>
            </w:pPr>
          </w:p>
        </w:tc>
      </w:tr>
      <w:tr w14:paraId="1662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451" w:type="dxa"/>
            <w:vAlign w:val="center"/>
          </w:tcPr>
          <w:p w14:paraId="20D326D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2</w:t>
            </w:r>
          </w:p>
        </w:tc>
        <w:tc>
          <w:tcPr>
            <w:tcW w:w="1135" w:type="dxa"/>
            <w:vAlign w:val="center"/>
          </w:tcPr>
          <w:p w14:paraId="76A508A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货物交付</w:t>
            </w:r>
          </w:p>
        </w:tc>
        <w:tc>
          <w:tcPr>
            <w:tcW w:w="4159" w:type="dxa"/>
            <w:vAlign w:val="center"/>
          </w:tcPr>
          <w:p w14:paraId="4520B81E">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bCs/>
                <w:color w:val="auto"/>
                <w:kern w:val="2"/>
                <w:sz w:val="21"/>
                <w:szCs w:val="21"/>
                <w:highlight w:val="none"/>
              </w:rPr>
              <w:t>按合同约定时间供货</w:t>
            </w:r>
            <w:r>
              <w:rPr>
                <w:rFonts w:hint="eastAsia" w:ascii="宋体" w:hAnsi="宋体" w:eastAsia="宋体" w:cs="宋体"/>
                <w:color w:val="auto"/>
                <w:kern w:val="2"/>
                <w:sz w:val="21"/>
                <w:szCs w:val="21"/>
                <w:highlight w:val="none"/>
              </w:rPr>
              <w:t>；</w:t>
            </w:r>
            <w:r>
              <w:rPr>
                <w:rFonts w:hint="eastAsia" w:ascii="宋体" w:hAnsi="宋体" w:eastAsia="宋体" w:cs="宋体"/>
                <w:snapToGrid w:val="0"/>
                <w:color w:val="auto"/>
                <w:sz w:val="21"/>
                <w:szCs w:val="21"/>
                <w:highlight w:val="none"/>
                <w:lang w:bidi="ar"/>
              </w:rPr>
              <w:t>（10分）</w:t>
            </w:r>
          </w:p>
          <w:p w14:paraId="67449B95">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(2)每批次供货配合提供货物清单、配合清点货物；</w:t>
            </w:r>
            <w:r>
              <w:rPr>
                <w:rFonts w:hint="eastAsia" w:ascii="宋体" w:hAnsi="宋体" w:eastAsia="宋体" w:cs="宋体"/>
                <w:snapToGrid w:val="0"/>
                <w:color w:val="auto"/>
                <w:sz w:val="21"/>
                <w:szCs w:val="21"/>
                <w:highlight w:val="none"/>
                <w:lang w:bidi="ar"/>
              </w:rPr>
              <w:t>（8分）</w:t>
            </w:r>
          </w:p>
          <w:p w14:paraId="199BCC7C">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(3)每批次实际供货数量与招标人发出的供货通知清单要求的供货数量一致。</w:t>
            </w:r>
            <w:r>
              <w:rPr>
                <w:rFonts w:hint="eastAsia" w:ascii="宋体" w:hAnsi="宋体" w:eastAsia="宋体" w:cs="宋体"/>
                <w:snapToGrid w:val="0"/>
                <w:color w:val="auto"/>
                <w:sz w:val="21"/>
                <w:szCs w:val="21"/>
                <w:highlight w:val="none"/>
                <w:lang w:bidi="ar"/>
              </w:rPr>
              <w:t>（8分）</w:t>
            </w:r>
          </w:p>
        </w:tc>
        <w:tc>
          <w:tcPr>
            <w:tcW w:w="2693" w:type="dxa"/>
            <w:vAlign w:val="center"/>
          </w:tcPr>
          <w:p w14:paraId="217959C6">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达到标准的得满分，每季度每次有一项未达到标准的按对应分值进行扣分。</w:t>
            </w:r>
          </w:p>
        </w:tc>
        <w:tc>
          <w:tcPr>
            <w:tcW w:w="567" w:type="dxa"/>
            <w:vAlign w:val="center"/>
          </w:tcPr>
          <w:p w14:paraId="1C54D873">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26</w:t>
            </w:r>
          </w:p>
        </w:tc>
        <w:tc>
          <w:tcPr>
            <w:tcW w:w="866" w:type="dxa"/>
            <w:vAlign w:val="center"/>
          </w:tcPr>
          <w:p w14:paraId="76D114A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kern w:val="2"/>
                <w:sz w:val="21"/>
                <w:szCs w:val="21"/>
                <w:highlight w:val="none"/>
              </w:rPr>
            </w:pPr>
          </w:p>
        </w:tc>
      </w:tr>
      <w:tr w14:paraId="15E6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451" w:type="dxa"/>
            <w:vAlign w:val="center"/>
          </w:tcPr>
          <w:p w14:paraId="52CA44C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3</w:t>
            </w:r>
          </w:p>
        </w:tc>
        <w:tc>
          <w:tcPr>
            <w:tcW w:w="1135" w:type="dxa"/>
            <w:vAlign w:val="center"/>
          </w:tcPr>
          <w:p w14:paraId="3B88767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验收</w:t>
            </w:r>
          </w:p>
        </w:tc>
        <w:tc>
          <w:tcPr>
            <w:tcW w:w="4159" w:type="dxa"/>
            <w:vAlign w:val="center"/>
          </w:tcPr>
          <w:p w14:paraId="5A77FBA9">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snapToGrid w:val="0"/>
                <w:color w:val="auto"/>
                <w:sz w:val="21"/>
                <w:szCs w:val="21"/>
                <w:highlight w:val="none"/>
                <w:lang w:bidi="ar"/>
              </w:rPr>
            </w:pPr>
            <w:r>
              <w:rPr>
                <w:rFonts w:hint="eastAsia" w:ascii="宋体" w:hAnsi="宋体" w:eastAsia="宋体" w:cs="宋体"/>
                <w:snapToGrid w:val="0"/>
                <w:color w:val="auto"/>
                <w:sz w:val="21"/>
                <w:szCs w:val="21"/>
                <w:highlight w:val="none"/>
                <w:lang w:bidi="ar"/>
              </w:rPr>
              <w:t>(1)及时提供货物的各项技术资料；（6分）</w:t>
            </w:r>
          </w:p>
          <w:p w14:paraId="009F6F73">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snapToGrid w:val="0"/>
                <w:color w:val="auto"/>
                <w:sz w:val="21"/>
                <w:szCs w:val="21"/>
                <w:highlight w:val="none"/>
                <w:lang w:bidi="ar"/>
              </w:rPr>
            </w:pPr>
            <w:r>
              <w:rPr>
                <w:rFonts w:hint="eastAsia" w:ascii="宋体" w:hAnsi="宋体" w:eastAsia="宋体" w:cs="宋体"/>
                <w:snapToGrid w:val="0"/>
                <w:color w:val="auto"/>
                <w:sz w:val="21"/>
                <w:szCs w:val="21"/>
                <w:highlight w:val="none"/>
                <w:lang w:bidi="ar"/>
              </w:rPr>
              <w:t>(2)高效处理退换货工作、态度良好；（8分）</w:t>
            </w:r>
          </w:p>
          <w:p w14:paraId="116C03E0">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(3)未出现因对检验结果存在异议而影响供货的情况；（6分）</w:t>
            </w:r>
          </w:p>
        </w:tc>
        <w:tc>
          <w:tcPr>
            <w:tcW w:w="2693" w:type="dxa"/>
            <w:vAlign w:val="center"/>
          </w:tcPr>
          <w:p w14:paraId="76C7C5C8">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达到标准的得满分，每季度每次有一项未达到标准的按对应分值进行扣分。</w:t>
            </w:r>
          </w:p>
        </w:tc>
        <w:tc>
          <w:tcPr>
            <w:tcW w:w="567" w:type="dxa"/>
            <w:vAlign w:val="center"/>
          </w:tcPr>
          <w:p w14:paraId="27EECBA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20</w:t>
            </w:r>
          </w:p>
        </w:tc>
        <w:tc>
          <w:tcPr>
            <w:tcW w:w="866" w:type="dxa"/>
            <w:vAlign w:val="center"/>
          </w:tcPr>
          <w:p w14:paraId="190A33F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kern w:val="2"/>
                <w:sz w:val="21"/>
                <w:szCs w:val="21"/>
                <w:highlight w:val="none"/>
              </w:rPr>
            </w:pPr>
          </w:p>
        </w:tc>
      </w:tr>
      <w:tr w14:paraId="5212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51" w:type="dxa"/>
            <w:vAlign w:val="center"/>
          </w:tcPr>
          <w:p w14:paraId="3C3F706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4</w:t>
            </w:r>
          </w:p>
        </w:tc>
        <w:tc>
          <w:tcPr>
            <w:tcW w:w="1135" w:type="dxa"/>
            <w:vAlign w:val="center"/>
          </w:tcPr>
          <w:p w14:paraId="07613E9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售后服务</w:t>
            </w:r>
          </w:p>
        </w:tc>
        <w:tc>
          <w:tcPr>
            <w:tcW w:w="4159" w:type="dxa"/>
            <w:vAlign w:val="center"/>
          </w:tcPr>
          <w:p w14:paraId="27FDCC69">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napToGrid w:val="0"/>
                <w:color w:val="auto"/>
                <w:sz w:val="21"/>
                <w:szCs w:val="21"/>
                <w:highlight w:val="none"/>
                <w:lang w:bidi="ar"/>
              </w:rPr>
            </w:pPr>
            <w:r>
              <w:rPr>
                <w:rFonts w:hint="eastAsia" w:ascii="宋体" w:hAnsi="宋体" w:eastAsia="宋体" w:cs="宋体"/>
                <w:color w:val="auto"/>
                <w:kern w:val="2"/>
                <w:sz w:val="21"/>
                <w:szCs w:val="21"/>
                <w:highlight w:val="none"/>
              </w:rPr>
              <w:t>(1)未出现推诿，或者敷衍了事、置之不理等情况；</w:t>
            </w:r>
            <w:r>
              <w:rPr>
                <w:rFonts w:hint="eastAsia" w:ascii="宋体" w:hAnsi="宋体" w:eastAsia="宋体" w:cs="宋体"/>
                <w:snapToGrid w:val="0"/>
                <w:color w:val="auto"/>
                <w:sz w:val="21"/>
                <w:szCs w:val="21"/>
                <w:highlight w:val="none"/>
                <w:lang w:bidi="ar"/>
              </w:rPr>
              <w:t>（6分）</w:t>
            </w:r>
          </w:p>
          <w:p w14:paraId="01B2FFDC">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snapToGrid w:val="0"/>
                <w:color w:val="auto"/>
                <w:sz w:val="21"/>
                <w:szCs w:val="21"/>
                <w:highlight w:val="none"/>
                <w:lang w:bidi="ar"/>
              </w:rPr>
            </w:pPr>
            <w:r>
              <w:rPr>
                <w:rFonts w:hint="eastAsia" w:ascii="宋体" w:hAnsi="宋体" w:eastAsia="宋体" w:cs="宋体"/>
                <w:snapToGrid w:val="0"/>
                <w:color w:val="auto"/>
                <w:sz w:val="21"/>
                <w:szCs w:val="21"/>
                <w:highlight w:val="none"/>
                <w:lang w:bidi="ar"/>
              </w:rPr>
              <w:t>(2)售后服务流程完善，跟踪到位，响应速度快；（8分）</w:t>
            </w:r>
          </w:p>
          <w:p w14:paraId="519615EE">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(3)就货物使用保质方式、方法提出合理化建议并能提供专业技术指导；（6分）</w:t>
            </w:r>
          </w:p>
        </w:tc>
        <w:tc>
          <w:tcPr>
            <w:tcW w:w="2693" w:type="dxa"/>
            <w:vAlign w:val="center"/>
          </w:tcPr>
          <w:p w14:paraId="008F0DE6">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达到标准的得满分，每季度每次有一项未达到标准的按对应分值进行扣分。</w:t>
            </w:r>
          </w:p>
        </w:tc>
        <w:tc>
          <w:tcPr>
            <w:tcW w:w="567" w:type="dxa"/>
            <w:vAlign w:val="center"/>
          </w:tcPr>
          <w:p w14:paraId="7AD9A25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20</w:t>
            </w:r>
          </w:p>
        </w:tc>
        <w:tc>
          <w:tcPr>
            <w:tcW w:w="866" w:type="dxa"/>
            <w:vAlign w:val="center"/>
          </w:tcPr>
          <w:p w14:paraId="128C240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kern w:val="2"/>
                <w:sz w:val="21"/>
                <w:szCs w:val="21"/>
                <w:highlight w:val="none"/>
              </w:rPr>
            </w:pPr>
          </w:p>
        </w:tc>
      </w:tr>
      <w:tr w14:paraId="6B57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438" w:type="dxa"/>
            <w:gridSpan w:val="4"/>
            <w:vAlign w:val="center"/>
          </w:tcPr>
          <w:p w14:paraId="0701C51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snapToGrid w:val="0"/>
                <w:color w:val="auto"/>
                <w:sz w:val="21"/>
                <w:szCs w:val="21"/>
                <w:highlight w:val="none"/>
                <w:lang w:bidi="ar"/>
              </w:rPr>
            </w:pPr>
            <w:r>
              <w:rPr>
                <w:rFonts w:hint="eastAsia" w:ascii="宋体" w:hAnsi="宋体" w:eastAsia="宋体" w:cs="宋体"/>
                <w:snapToGrid w:val="0"/>
                <w:color w:val="auto"/>
                <w:sz w:val="21"/>
                <w:szCs w:val="21"/>
                <w:highlight w:val="none"/>
                <w:lang w:bidi="ar"/>
              </w:rPr>
              <w:t>合计</w:t>
            </w:r>
          </w:p>
        </w:tc>
        <w:tc>
          <w:tcPr>
            <w:tcW w:w="567" w:type="dxa"/>
            <w:vAlign w:val="center"/>
          </w:tcPr>
          <w:p w14:paraId="50A483D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snapToGrid w:val="0"/>
                <w:color w:val="auto"/>
                <w:sz w:val="21"/>
                <w:szCs w:val="21"/>
                <w:highlight w:val="none"/>
                <w:lang w:bidi="ar"/>
              </w:rPr>
            </w:pPr>
            <w:r>
              <w:rPr>
                <w:rFonts w:hint="eastAsia" w:ascii="宋体" w:hAnsi="宋体" w:eastAsia="宋体" w:cs="宋体"/>
                <w:snapToGrid w:val="0"/>
                <w:color w:val="auto"/>
                <w:sz w:val="21"/>
                <w:szCs w:val="21"/>
                <w:highlight w:val="none"/>
                <w:lang w:bidi="ar"/>
              </w:rPr>
              <w:t>100</w:t>
            </w:r>
          </w:p>
        </w:tc>
        <w:tc>
          <w:tcPr>
            <w:tcW w:w="866" w:type="dxa"/>
            <w:vAlign w:val="center"/>
          </w:tcPr>
          <w:p w14:paraId="26D21E4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kern w:val="2"/>
                <w:sz w:val="21"/>
                <w:szCs w:val="21"/>
                <w:highlight w:val="none"/>
              </w:rPr>
            </w:pPr>
          </w:p>
        </w:tc>
      </w:tr>
      <w:tr w14:paraId="6FA2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86" w:type="dxa"/>
            <w:gridSpan w:val="2"/>
            <w:vMerge w:val="restart"/>
            <w:vAlign w:val="center"/>
          </w:tcPr>
          <w:p w14:paraId="70B008A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snapToGrid w:val="0"/>
                <w:color w:val="auto"/>
                <w:sz w:val="21"/>
                <w:szCs w:val="21"/>
                <w:highlight w:val="none"/>
                <w:lang w:bidi="ar"/>
              </w:rPr>
            </w:pPr>
            <w:r>
              <w:rPr>
                <w:rFonts w:hint="eastAsia" w:ascii="宋体" w:hAnsi="宋体" w:eastAsia="宋体" w:cs="宋体"/>
                <w:snapToGrid w:val="0"/>
                <w:color w:val="auto"/>
                <w:sz w:val="21"/>
                <w:szCs w:val="21"/>
                <w:highlight w:val="none"/>
                <w:lang w:bidi="ar"/>
              </w:rPr>
              <w:t>履约评审部门</w:t>
            </w:r>
            <w:r>
              <w:rPr>
                <w:rFonts w:hint="eastAsia" w:ascii="宋体" w:hAnsi="宋体" w:eastAsia="宋体" w:cs="宋体"/>
                <w:snapToGrid w:val="0"/>
                <w:color w:val="auto"/>
                <w:kern w:val="2"/>
                <w:sz w:val="21"/>
                <w:szCs w:val="21"/>
                <w:highlight w:val="none"/>
                <w:lang w:bidi="ar"/>
              </w:rPr>
              <w:t>(使用部门)其他意见及签署</w:t>
            </w:r>
          </w:p>
        </w:tc>
        <w:tc>
          <w:tcPr>
            <w:tcW w:w="4159" w:type="dxa"/>
            <w:vAlign w:val="center"/>
          </w:tcPr>
          <w:p w14:paraId="2C5DE58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snapToGrid w:val="0"/>
                <w:color w:val="auto"/>
                <w:sz w:val="21"/>
                <w:szCs w:val="21"/>
                <w:highlight w:val="none"/>
                <w:lang w:bidi="ar"/>
              </w:rPr>
            </w:pPr>
            <w:r>
              <w:rPr>
                <w:rFonts w:hint="eastAsia" w:ascii="宋体" w:hAnsi="宋体" w:eastAsia="宋体" w:cs="宋体"/>
                <w:snapToGrid w:val="0"/>
                <w:color w:val="auto"/>
                <w:sz w:val="21"/>
                <w:szCs w:val="21"/>
                <w:highlight w:val="none"/>
                <w:lang w:bidi="ar"/>
              </w:rPr>
              <w:t>经办人</w:t>
            </w:r>
          </w:p>
        </w:tc>
        <w:tc>
          <w:tcPr>
            <w:tcW w:w="4126" w:type="dxa"/>
            <w:gridSpan w:val="3"/>
            <w:vAlign w:val="center"/>
          </w:tcPr>
          <w:p w14:paraId="6925B51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kern w:val="2"/>
                <w:sz w:val="21"/>
                <w:szCs w:val="21"/>
                <w:highlight w:val="none"/>
              </w:rPr>
            </w:pPr>
          </w:p>
        </w:tc>
      </w:tr>
      <w:tr w14:paraId="2DE9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86" w:type="dxa"/>
            <w:gridSpan w:val="2"/>
            <w:vMerge w:val="continue"/>
            <w:vAlign w:val="center"/>
          </w:tcPr>
          <w:p w14:paraId="11B5AA4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snapToGrid w:val="0"/>
                <w:color w:val="auto"/>
                <w:sz w:val="21"/>
                <w:szCs w:val="21"/>
                <w:highlight w:val="none"/>
                <w:lang w:bidi="ar"/>
              </w:rPr>
            </w:pPr>
          </w:p>
        </w:tc>
        <w:tc>
          <w:tcPr>
            <w:tcW w:w="4159" w:type="dxa"/>
            <w:vAlign w:val="center"/>
          </w:tcPr>
          <w:p w14:paraId="7BFE9CD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snapToGrid w:val="0"/>
                <w:color w:val="auto"/>
                <w:sz w:val="21"/>
                <w:szCs w:val="21"/>
                <w:highlight w:val="none"/>
                <w:lang w:bidi="ar"/>
              </w:rPr>
            </w:pPr>
            <w:r>
              <w:rPr>
                <w:rFonts w:hint="eastAsia" w:ascii="宋体" w:hAnsi="宋体" w:eastAsia="宋体" w:cs="宋体"/>
                <w:snapToGrid w:val="0"/>
                <w:color w:val="auto"/>
                <w:sz w:val="21"/>
                <w:szCs w:val="21"/>
                <w:highlight w:val="none"/>
                <w:lang w:bidi="ar"/>
              </w:rPr>
              <w:t>部门负责人</w:t>
            </w:r>
          </w:p>
        </w:tc>
        <w:tc>
          <w:tcPr>
            <w:tcW w:w="4126" w:type="dxa"/>
            <w:gridSpan w:val="3"/>
            <w:vAlign w:val="center"/>
          </w:tcPr>
          <w:p w14:paraId="4819B1D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kern w:val="2"/>
                <w:sz w:val="21"/>
                <w:szCs w:val="21"/>
                <w:highlight w:val="none"/>
              </w:rPr>
            </w:pPr>
          </w:p>
        </w:tc>
      </w:tr>
    </w:tbl>
    <w:p w14:paraId="7902D186">
      <w:pPr>
        <w:keepNext w:val="0"/>
        <w:keepLines w:val="0"/>
        <w:pageBreakBefore w:val="0"/>
        <w:kinsoku/>
        <w:wordWrap/>
        <w:overflowPunct/>
        <w:topLinePunct w:val="0"/>
        <w:bidi w:val="0"/>
        <w:snapToGrid/>
        <w:spacing w:line="360" w:lineRule="auto"/>
        <w:rPr>
          <w:rFonts w:hint="eastAsia" w:ascii="宋体" w:hAnsi="宋体" w:eastAsia="宋体" w:cs="宋体"/>
          <w:color w:val="auto"/>
          <w:sz w:val="21"/>
          <w:szCs w:val="21"/>
          <w:highlight w:val="none"/>
        </w:rPr>
      </w:pPr>
    </w:p>
    <w:p w14:paraId="3DF7A1EF">
      <w:pPr>
        <w:pStyle w:val="18"/>
        <w:rPr>
          <w:color w:val="auto"/>
          <w:highlight w:val="none"/>
          <w:lang w:val="zh-CN"/>
        </w:rPr>
      </w:pPr>
    </w:p>
    <w:p w14:paraId="06FA7DE7">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49" w:name="_Toc486167707"/>
      <w:bookmarkStart w:id="350" w:name="_Toc450662892"/>
      <w:bookmarkStart w:id="351" w:name="_Toc142508359"/>
      <w:bookmarkStart w:id="352" w:name="_Toc19477"/>
      <w:bookmarkStart w:id="353" w:name="_Toc11281_WPSOffice_Level1"/>
      <w:bookmarkStart w:id="354" w:name="_Toc25900"/>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49"/>
      <w:bookmarkEnd w:id="350"/>
      <w:bookmarkEnd w:id="351"/>
      <w:bookmarkEnd w:id="352"/>
      <w:bookmarkEnd w:id="353"/>
      <w:bookmarkEnd w:id="354"/>
    </w:p>
    <w:p w14:paraId="3337F880">
      <w:pPr>
        <w:spacing w:line="360" w:lineRule="auto"/>
        <w:ind w:firstLine="6510" w:firstLineChars="3100"/>
        <w:rPr>
          <w:rFonts w:ascii="宋体" w:hAnsi="宋体" w:eastAsia="宋体" w:cs="宋体"/>
          <w:color w:val="auto"/>
          <w:szCs w:val="21"/>
          <w:highlight w:val="none"/>
        </w:rPr>
      </w:pPr>
      <w:r>
        <w:rPr>
          <w:rFonts w:hint="eastAsia" w:ascii="宋体" w:hAnsi="宋体" w:eastAsia="宋体" w:cs="宋体"/>
          <w:color w:val="auto"/>
          <w:szCs w:val="21"/>
          <w:highlight w:val="none"/>
        </w:rPr>
        <w:t>合同编号：</w:t>
      </w:r>
    </w:p>
    <w:p w14:paraId="4FEEED49">
      <w:pPr>
        <w:spacing w:line="360" w:lineRule="auto"/>
        <w:jc w:val="center"/>
        <w:rPr>
          <w:rFonts w:ascii="宋体" w:hAnsi="宋体" w:eastAsia="宋体" w:cs="宋体"/>
          <w:b/>
          <w:color w:val="auto"/>
          <w:sz w:val="52"/>
          <w:szCs w:val="52"/>
          <w:highlight w:val="none"/>
        </w:rPr>
      </w:pPr>
    </w:p>
    <w:p w14:paraId="329560D8">
      <w:pPr>
        <w:spacing w:line="360" w:lineRule="auto"/>
        <w:jc w:val="center"/>
        <w:rPr>
          <w:rFonts w:ascii="宋体" w:hAnsi="宋体" w:eastAsia="宋体" w:cs="宋体"/>
          <w:b/>
          <w:color w:val="auto"/>
          <w:sz w:val="56"/>
          <w:szCs w:val="56"/>
          <w:highlight w:val="none"/>
          <w:u w:color="FFFFFF"/>
        </w:rPr>
      </w:pPr>
    </w:p>
    <w:p w14:paraId="64ED16CD">
      <w:pPr>
        <w:spacing w:line="360" w:lineRule="auto"/>
        <w:jc w:val="center"/>
        <w:rPr>
          <w:rFonts w:hint="eastAsia" w:ascii="宋体" w:hAnsi="宋体" w:eastAsia="宋体" w:cs="宋体"/>
          <w:b/>
          <w:color w:val="auto"/>
          <w:sz w:val="52"/>
          <w:szCs w:val="52"/>
          <w:highlight w:val="none"/>
          <w:lang w:val="en-US" w:eastAsia="zh-CN"/>
        </w:rPr>
      </w:pPr>
      <w:r>
        <w:rPr>
          <w:rFonts w:hint="eastAsia" w:ascii="宋体" w:hAnsi="宋体" w:eastAsia="宋体" w:cs="宋体"/>
          <w:b/>
          <w:color w:val="auto"/>
          <w:sz w:val="52"/>
          <w:szCs w:val="52"/>
          <w:highlight w:val="none"/>
        </w:rPr>
        <w:t>东</w:t>
      </w:r>
      <w:r>
        <w:rPr>
          <w:rFonts w:hint="eastAsia" w:ascii="宋体" w:hAnsi="宋体" w:eastAsia="宋体" w:cs="宋体"/>
          <w:b/>
          <w:color w:val="auto"/>
          <w:sz w:val="52"/>
          <w:szCs w:val="52"/>
          <w:highlight w:val="none"/>
          <w:lang w:eastAsia="zh-CN"/>
        </w:rPr>
        <w:t>莞市水务环境投资控股集团管网有限公司</w:t>
      </w:r>
      <w:r>
        <w:rPr>
          <w:rFonts w:hint="eastAsia" w:ascii="宋体" w:hAnsi="宋体" w:eastAsia="宋体" w:cs="宋体"/>
          <w:b/>
          <w:color w:val="auto"/>
          <w:sz w:val="52"/>
          <w:szCs w:val="52"/>
          <w:highlight w:val="none"/>
        </w:rPr>
        <w:t>202</w:t>
      </w:r>
      <w:r>
        <w:rPr>
          <w:rFonts w:hint="eastAsia" w:ascii="宋体" w:hAnsi="宋体" w:eastAsia="宋体" w:cs="宋体"/>
          <w:b/>
          <w:color w:val="auto"/>
          <w:sz w:val="52"/>
          <w:szCs w:val="52"/>
          <w:highlight w:val="none"/>
          <w:lang w:val="en-US" w:eastAsia="zh-CN"/>
        </w:rPr>
        <w:t>6</w:t>
      </w:r>
      <w:r>
        <w:rPr>
          <w:rFonts w:hint="eastAsia" w:ascii="宋体" w:hAnsi="宋体" w:eastAsia="宋体" w:cs="宋体"/>
          <w:b/>
          <w:color w:val="auto"/>
          <w:sz w:val="52"/>
          <w:szCs w:val="52"/>
          <w:highlight w:val="none"/>
        </w:rPr>
        <w:t>年运维维修工器具类物资采购项</w:t>
      </w:r>
      <w:r>
        <w:rPr>
          <w:rFonts w:hint="eastAsia" w:ascii="宋体" w:hAnsi="宋体" w:eastAsia="宋体" w:cs="宋体"/>
          <w:b/>
          <w:color w:val="auto"/>
          <w:sz w:val="52"/>
          <w:szCs w:val="52"/>
          <w:highlight w:val="none"/>
          <w:lang w:val="en-US" w:eastAsia="zh-CN"/>
        </w:rPr>
        <w:t>目</w:t>
      </w:r>
    </w:p>
    <w:p w14:paraId="311247CF">
      <w:pPr>
        <w:spacing w:line="360" w:lineRule="auto"/>
        <w:jc w:val="center"/>
        <w:rPr>
          <w:rFonts w:hint="eastAsia" w:ascii="宋体" w:hAnsi="宋体" w:eastAsia="宋体" w:cs="宋体"/>
          <w:b/>
          <w:strike/>
          <w:color w:val="auto"/>
          <w:sz w:val="52"/>
          <w:szCs w:val="52"/>
          <w:highlight w:val="none"/>
          <w:lang w:eastAsia="zh-CN"/>
        </w:rPr>
      </w:pPr>
      <w:r>
        <w:rPr>
          <w:rFonts w:hint="eastAsia" w:ascii="宋体" w:hAnsi="宋体" w:eastAsia="宋体" w:cs="宋体"/>
          <w:b/>
          <w:strike w:val="0"/>
          <w:color w:val="auto"/>
          <w:sz w:val="22"/>
          <w:szCs w:val="22"/>
          <w:highlight w:val="none"/>
          <w:lang w:eastAsia="zh-CN"/>
        </w:rPr>
        <w:t>（</w:t>
      </w:r>
      <w:r>
        <w:rPr>
          <w:rFonts w:hint="eastAsia" w:ascii="宋体" w:hAnsi="宋体" w:eastAsia="宋体" w:cs="宋体"/>
          <w:b/>
          <w:strike w:val="0"/>
          <w:color w:val="auto"/>
          <w:sz w:val="22"/>
          <w:highlight w:val="none"/>
        </w:rPr>
        <w:t>此合同为参考范本，签订时将根据投标文件的内容进行调整</w:t>
      </w:r>
      <w:r>
        <w:rPr>
          <w:rFonts w:hint="eastAsia" w:ascii="宋体" w:hAnsi="宋体" w:eastAsia="宋体" w:cs="宋体"/>
          <w:b/>
          <w:strike w:val="0"/>
          <w:color w:val="auto"/>
          <w:sz w:val="22"/>
          <w:szCs w:val="22"/>
          <w:highlight w:val="none"/>
          <w:lang w:eastAsia="zh-CN"/>
        </w:rPr>
        <w:t>）</w:t>
      </w:r>
    </w:p>
    <w:p w14:paraId="5C7A155E">
      <w:pPr>
        <w:spacing w:line="360" w:lineRule="auto"/>
        <w:jc w:val="center"/>
        <w:rPr>
          <w:rFonts w:ascii="宋体" w:hAnsi="宋体" w:eastAsia="宋体" w:cs="宋体"/>
          <w:b/>
          <w:strike/>
          <w:color w:val="auto"/>
          <w:sz w:val="52"/>
          <w:szCs w:val="52"/>
          <w:highlight w:val="none"/>
        </w:rPr>
      </w:pPr>
    </w:p>
    <w:p w14:paraId="7145A48C">
      <w:pPr>
        <w:spacing w:line="360" w:lineRule="auto"/>
        <w:jc w:val="center"/>
        <w:rPr>
          <w:rFonts w:ascii="宋体" w:hAnsi="宋体" w:eastAsia="宋体" w:cs="宋体"/>
          <w:b/>
          <w:color w:val="auto"/>
          <w:sz w:val="52"/>
          <w:szCs w:val="52"/>
          <w:highlight w:val="none"/>
        </w:rPr>
      </w:pPr>
    </w:p>
    <w:p w14:paraId="0BEFDA3E">
      <w:pPr>
        <w:spacing w:before="840" w:beforeLines="350" w:after="360" w:afterLines="150" w:line="360" w:lineRule="auto"/>
        <w:jc w:val="center"/>
        <w:rPr>
          <w:rFonts w:ascii="宋体" w:hAnsi="宋体" w:eastAsia="宋体" w:cs="宋体"/>
          <w:b/>
          <w:bCs/>
          <w:color w:val="auto"/>
          <w:spacing w:val="60"/>
          <w:sz w:val="52"/>
          <w:szCs w:val="52"/>
          <w:highlight w:val="none"/>
        </w:rPr>
      </w:pPr>
      <w:r>
        <w:rPr>
          <w:rFonts w:hint="eastAsia" w:ascii="宋体" w:hAnsi="宋体" w:eastAsia="宋体" w:cs="宋体"/>
          <w:b/>
          <w:bCs/>
          <w:color w:val="auto"/>
          <w:spacing w:val="60"/>
          <w:sz w:val="52"/>
          <w:szCs w:val="52"/>
          <w:highlight w:val="none"/>
        </w:rPr>
        <w:t>合同书</w:t>
      </w:r>
    </w:p>
    <w:p w14:paraId="273C7269">
      <w:pPr>
        <w:spacing w:line="360" w:lineRule="auto"/>
        <w:rPr>
          <w:rFonts w:ascii="宋体" w:hAnsi="宋体" w:eastAsia="宋体" w:cs="宋体"/>
          <w:color w:val="auto"/>
          <w:sz w:val="48"/>
          <w:szCs w:val="48"/>
          <w:highlight w:val="none"/>
        </w:rPr>
      </w:pPr>
    </w:p>
    <w:p w14:paraId="55BCFCAF">
      <w:pPr>
        <w:spacing w:line="360" w:lineRule="auto"/>
        <w:rPr>
          <w:rFonts w:ascii="宋体" w:hAnsi="宋体" w:eastAsia="宋体" w:cs="宋体"/>
          <w:color w:val="auto"/>
          <w:sz w:val="48"/>
          <w:szCs w:val="48"/>
          <w:highlight w:val="none"/>
        </w:rPr>
      </w:pPr>
    </w:p>
    <w:p w14:paraId="5CC5096E">
      <w:pPr>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8A8711F">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甲方1（买方）： </w:t>
      </w:r>
      <w:r>
        <w:rPr>
          <w:rFonts w:hint="eastAsia" w:ascii="宋体" w:hAnsi="宋体" w:eastAsia="宋体" w:cs="宋体"/>
          <w:color w:val="auto"/>
          <w:szCs w:val="21"/>
          <w:highlight w:val="none"/>
          <w:u w:val="single"/>
        </w:rPr>
        <w:t xml:space="preserve">                                    </w:t>
      </w:r>
    </w:p>
    <w:p w14:paraId="520BE821">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甲方2（买方）： </w:t>
      </w:r>
      <w:r>
        <w:rPr>
          <w:rFonts w:hint="eastAsia" w:ascii="宋体" w:hAnsi="宋体" w:eastAsia="宋体" w:cs="宋体"/>
          <w:color w:val="auto"/>
          <w:szCs w:val="21"/>
          <w:highlight w:val="none"/>
          <w:u w:val="single"/>
        </w:rPr>
        <w:t xml:space="preserve">                                    </w:t>
      </w:r>
    </w:p>
    <w:p w14:paraId="32F6D609">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甲方3（买方）： </w:t>
      </w:r>
      <w:r>
        <w:rPr>
          <w:rFonts w:hint="eastAsia" w:ascii="宋体" w:hAnsi="宋体" w:eastAsia="宋体" w:cs="宋体"/>
          <w:color w:val="auto"/>
          <w:szCs w:val="21"/>
          <w:highlight w:val="none"/>
          <w:u w:val="single"/>
        </w:rPr>
        <w:t xml:space="preserve">                                    </w:t>
      </w:r>
    </w:p>
    <w:p w14:paraId="043948D5">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甲方4（买方）： </w:t>
      </w:r>
      <w:r>
        <w:rPr>
          <w:rFonts w:hint="eastAsia" w:ascii="宋体" w:hAnsi="宋体" w:eastAsia="宋体" w:cs="宋体"/>
          <w:color w:val="auto"/>
          <w:szCs w:val="21"/>
          <w:highlight w:val="none"/>
          <w:u w:val="single"/>
        </w:rPr>
        <w:t xml:space="preserve">                                    </w:t>
      </w:r>
    </w:p>
    <w:p w14:paraId="3B52DBFC">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甲方5（买方）： </w:t>
      </w:r>
      <w:r>
        <w:rPr>
          <w:rFonts w:hint="eastAsia" w:ascii="宋体" w:hAnsi="宋体" w:eastAsia="宋体" w:cs="宋体"/>
          <w:color w:val="auto"/>
          <w:szCs w:val="21"/>
          <w:highlight w:val="none"/>
          <w:u w:val="single"/>
        </w:rPr>
        <w:t xml:space="preserve">                                    </w:t>
      </w:r>
    </w:p>
    <w:p w14:paraId="6A0A190A">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甲方6（买方）： </w:t>
      </w:r>
      <w:r>
        <w:rPr>
          <w:rFonts w:hint="eastAsia" w:ascii="宋体" w:hAnsi="宋体" w:eastAsia="宋体" w:cs="宋体"/>
          <w:color w:val="auto"/>
          <w:szCs w:val="21"/>
          <w:highlight w:val="none"/>
          <w:u w:val="single"/>
        </w:rPr>
        <w:t xml:space="preserve">                                    </w:t>
      </w:r>
    </w:p>
    <w:p w14:paraId="2DB9AAF6">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甲方7（买方）： </w:t>
      </w:r>
      <w:r>
        <w:rPr>
          <w:rFonts w:hint="eastAsia" w:ascii="宋体" w:hAnsi="宋体" w:eastAsia="宋体" w:cs="宋体"/>
          <w:color w:val="auto"/>
          <w:szCs w:val="21"/>
          <w:highlight w:val="none"/>
          <w:u w:val="single"/>
        </w:rPr>
        <w:t xml:space="preserve">                                    </w:t>
      </w:r>
    </w:p>
    <w:p w14:paraId="64E48688">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（以下统称为“甲方”）</w:t>
      </w:r>
    </w:p>
    <w:p w14:paraId="65B30910">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乙方（卖方）：</w:t>
      </w:r>
      <w:r>
        <w:rPr>
          <w:rFonts w:hint="eastAsia" w:ascii="宋体" w:hAnsi="宋体" w:eastAsia="宋体" w:cs="宋体"/>
          <w:color w:val="auto"/>
          <w:szCs w:val="21"/>
          <w:highlight w:val="none"/>
          <w:u w:val="single"/>
        </w:rPr>
        <w:t xml:space="preserve">                                     </w:t>
      </w:r>
    </w:p>
    <w:p w14:paraId="2C5AD085">
      <w:pPr>
        <w:snapToGrid w:val="0"/>
        <w:spacing w:line="360" w:lineRule="auto"/>
        <w:rPr>
          <w:rFonts w:ascii="宋体" w:hAnsi="宋体" w:eastAsia="宋体" w:cs="宋体"/>
          <w:color w:val="auto"/>
          <w:szCs w:val="21"/>
          <w:highlight w:val="none"/>
        </w:rPr>
      </w:pPr>
    </w:p>
    <w:p w14:paraId="3A5CE50C">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日通知的</w:t>
      </w:r>
      <w:r>
        <w:rPr>
          <w:rFonts w:hint="eastAsia" w:ascii="宋体" w:hAnsi="宋体" w:eastAsia="宋体" w:cs="宋体"/>
          <w:color w:val="auto"/>
          <w:szCs w:val="21"/>
          <w:highlight w:val="none"/>
          <w:u w:val="single"/>
          <w:lang w:eastAsia="zh-CN"/>
        </w:rPr>
        <w:t>东莞市水务环境投资控股集团管网有限公司</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年运维维修工器具类物资采购项目</w:t>
      </w:r>
      <w:r>
        <w:rPr>
          <w:rFonts w:hint="eastAsia" w:ascii="宋体" w:hAnsi="宋体" w:eastAsia="宋体" w:cs="宋体"/>
          <w:color w:val="auto"/>
          <w:szCs w:val="21"/>
          <w:highlight w:val="none"/>
        </w:rPr>
        <w:t>中标结果（招标编号：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）和招标文件的要求，经双方协商一致，签订本合同。</w:t>
      </w:r>
    </w:p>
    <w:p w14:paraId="035556B7">
      <w:pPr>
        <w:pStyle w:val="2"/>
        <w:rPr>
          <w:color w:val="auto"/>
          <w:highlight w:val="none"/>
        </w:rPr>
      </w:pPr>
    </w:p>
    <w:p w14:paraId="0B91586E">
      <w:pPr>
        <w:spacing w:line="360" w:lineRule="auto"/>
        <w:ind w:left="720" w:hanging="720"/>
        <w:outlineLvl w:val="1"/>
        <w:rPr>
          <w:rFonts w:ascii="宋体" w:hAnsi="宋体" w:eastAsia="宋体" w:cs="宋体"/>
          <w:b/>
          <w:color w:val="auto"/>
          <w:szCs w:val="21"/>
          <w:highlight w:val="none"/>
        </w:rPr>
      </w:pPr>
      <w:bookmarkStart w:id="355" w:name="_Toc169091759"/>
      <w:r>
        <w:rPr>
          <w:rFonts w:ascii="宋体" w:hAnsi="宋体" w:eastAsia="宋体" w:cs="宋体"/>
          <w:b/>
          <w:color w:val="auto"/>
          <w:szCs w:val="21"/>
          <w:highlight w:val="none"/>
        </w:rPr>
        <w:t>第一条</w:t>
      </w:r>
      <w:r>
        <w:rPr>
          <w:rFonts w:hint="eastAsia" w:ascii="宋体" w:hAnsi="宋体" w:eastAsia="宋体" w:cs="宋体"/>
          <w:b/>
          <w:color w:val="auto"/>
          <w:szCs w:val="21"/>
          <w:highlight w:val="none"/>
        </w:rPr>
        <w:t xml:space="preserve"> 供货资格及范围</w:t>
      </w:r>
      <w:bookmarkEnd w:id="355"/>
    </w:p>
    <w:p w14:paraId="013DC1B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1、甲方确定乙方成为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东莞市水务环境投资控股集团管网有限公司</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 xml:space="preserve">年运维维修工器具类物资采购项目 </w:t>
      </w:r>
      <w:r>
        <w:rPr>
          <w:rFonts w:hint="eastAsia" w:ascii="宋体" w:hAnsi="宋体" w:eastAsia="宋体" w:cs="宋体"/>
          <w:color w:val="auto"/>
          <w:szCs w:val="21"/>
          <w:highlight w:val="none"/>
        </w:rPr>
        <w:t>供应商，由乙方向甲方各</w:t>
      </w:r>
      <w:r>
        <w:rPr>
          <w:rFonts w:hint="eastAsia" w:ascii="宋体" w:hAnsi="宋体" w:eastAsia="宋体" w:cs="宋体"/>
          <w:color w:val="auto"/>
          <w:szCs w:val="21"/>
          <w:highlight w:val="none"/>
          <w:lang w:eastAsia="zh-CN"/>
        </w:rPr>
        <w:t>地区</w:t>
      </w:r>
      <w:r>
        <w:rPr>
          <w:rFonts w:hint="eastAsia" w:ascii="宋体" w:hAnsi="宋体" w:eastAsia="宋体" w:cs="宋体"/>
          <w:color w:val="auto"/>
          <w:szCs w:val="21"/>
          <w:highlight w:val="none"/>
        </w:rPr>
        <w:t>供应运维维修工器具类物资，详见附件1《</w:t>
      </w:r>
      <w:r>
        <w:rPr>
          <w:rFonts w:hint="eastAsia" w:ascii="宋体" w:hAnsi="宋体" w:eastAsia="宋体" w:cs="宋体"/>
          <w:color w:val="auto"/>
          <w:szCs w:val="21"/>
          <w:highlight w:val="none"/>
          <w:lang w:eastAsia="zh-CN"/>
        </w:rPr>
        <w:t>东莞市水务环境投资控股集团管网有限公司</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年运维维修工器具类物资采购项目预算文件》（以下简称为“《采购清单》”）。</w:t>
      </w:r>
    </w:p>
    <w:p w14:paraId="60CC36A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2、本次采购数量为暂定数量，仅为便于计算暂定合同价使用，不作为甲方最终采购数量的保证。实际需求数量以甲方具体供货通知为准，按实结算。</w:t>
      </w:r>
      <w:r>
        <w:rPr>
          <w:rFonts w:hint="eastAsia" w:ascii="宋体" w:hAnsi="宋体" w:eastAsia="宋体" w:cs="宋体"/>
          <w:color w:val="auto"/>
          <w:szCs w:val="21"/>
          <w:highlight w:val="none"/>
          <w:lang w:val="en-US" w:eastAsia="zh-CN"/>
        </w:rPr>
        <w:t>中标</w:t>
      </w:r>
      <w:r>
        <w:rPr>
          <w:rFonts w:hint="eastAsia" w:ascii="宋体" w:hAnsi="宋体" w:eastAsia="宋体" w:cs="宋体"/>
          <w:color w:val="auto"/>
          <w:szCs w:val="21"/>
          <w:highlight w:val="none"/>
        </w:rPr>
        <w:t>折扣系数及不含税合同综合单价不随数量的变化而增减。乙方不得因甲方实际采购数量的减少或增加而要求提供任何形式的补偿或赔偿，亦不得要求按暂定数量采购相应货物；乙方不得以原材料、运输或市场价格波动等任何理由主张调整折扣系数或者综合单价。如果乙方提供的产品质量或售后服务不能满足乙方在投标时承诺的产品性能指标或服务响应的，甲方有权对采购量进行调整或取消合同，并要求乙方赔偿相应损失。</w:t>
      </w:r>
    </w:p>
    <w:p w14:paraId="0CFE63C7">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合同履约过程中，如甲方有新增或更改收货地址（东莞市）/联系人的，以甲方实际通知为准，乙方需予以配合。</w:t>
      </w:r>
    </w:p>
    <w:p w14:paraId="72932A9B">
      <w:pPr>
        <w:widowControl/>
        <w:spacing w:line="360" w:lineRule="auto"/>
        <w:ind w:firstLine="420" w:firstLineChars="200"/>
        <w:rPr>
          <w:rFonts w:ascii="宋体" w:hAnsi="宋体" w:eastAsia="宋体" w:cs="宋体"/>
          <w:color w:val="auto"/>
          <w:szCs w:val="21"/>
          <w:highlight w:val="none"/>
        </w:rPr>
      </w:pPr>
      <w:r>
        <w:rPr>
          <w:rFonts w:hint="default" w:ascii="宋体" w:hAnsi="宋体" w:eastAsia="宋体" w:cs="宋体"/>
          <w:color w:val="auto"/>
          <w:szCs w:val="21"/>
          <w:highlight w:val="none"/>
          <w:lang w:val="en-US"/>
        </w:rPr>
        <w:t>3</w:t>
      </w:r>
      <w:r>
        <w:rPr>
          <w:rFonts w:hint="eastAsia" w:ascii="宋体" w:hAnsi="宋体" w:eastAsia="宋体" w:cs="宋体"/>
          <w:color w:val="auto"/>
          <w:szCs w:val="21"/>
          <w:highlight w:val="none"/>
        </w:rPr>
        <w:t xml:space="preserve">、乙方有义务接受甲方的监督、评价及考核，并应按要求配合提供相关资料、证明及整改计划；拒不配合或整改不达标的，甲方有权暂停结算直至整改完成。 </w:t>
      </w:r>
    </w:p>
    <w:p w14:paraId="234CC26E">
      <w:pPr>
        <w:widowControl/>
        <w:spacing w:line="360" w:lineRule="auto"/>
        <w:ind w:firstLine="420" w:firstLineChars="200"/>
        <w:rPr>
          <w:rFonts w:ascii="宋体" w:hAnsi="宋体" w:eastAsia="宋体" w:cs="宋体"/>
          <w:color w:val="auto"/>
          <w:szCs w:val="21"/>
          <w:highlight w:val="none"/>
        </w:rPr>
      </w:pPr>
      <w:r>
        <w:rPr>
          <w:rFonts w:hint="default" w:ascii="宋体" w:hAnsi="宋体" w:eastAsia="宋体" w:cs="宋体"/>
          <w:color w:val="auto"/>
          <w:szCs w:val="21"/>
          <w:highlight w:val="none"/>
          <w:lang w:val="en-US"/>
        </w:rPr>
        <w:t>4</w:t>
      </w:r>
      <w:r>
        <w:rPr>
          <w:rFonts w:hint="eastAsia" w:ascii="宋体" w:hAnsi="宋体" w:eastAsia="宋体" w:cs="宋体"/>
          <w:color w:val="auto"/>
          <w:szCs w:val="21"/>
          <w:highlight w:val="none"/>
        </w:rPr>
        <w:t>、乙方必须清楚理解：本项目不具排他性，本采购结果仅作为乙方在合同期限内取得向甲方各</w:t>
      </w:r>
      <w:r>
        <w:rPr>
          <w:rFonts w:hint="eastAsia" w:ascii="宋体" w:hAnsi="宋体" w:eastAsia="宋体" w:cs="宋体"/>
          <w:color w:val="auto"/>
          <w:szCs w:val="21"/>
          <w:highlight w:val="none"/>
          <w:lang w:eastAsia="zh-CN"/>
        </w:rPr>
        <w:t>地区</w:t>
      </w:r>
      <w:r>
        <w:rPr>
          <w:rFonts w:hint="eastAsia" w:ascii="宋体" w:hAnsi="宋体" w:eastAsia="宋体" w:cs="宋体"/>
          <w:color w:val="auto"/>
          <w:szCs w:val="21"/>
          <w:highlight w:val="none"/>
        </w:rPr>
        <w:t>供应</w:t>
      </w:r>
      <w:r>
        <w:rPr>
          <w:rFonts w:hint="eastAsia" w:ascii="宋体" w:hAnsi="宋体" w:eastAsia="宋体" w:cs="宋体"/>
          <w:color w:val="auto"/>
          <w:szCs w:val="21"/>
          <w:highlight w:val="none"/>
          <w:u w:val="none"/>
        </w:rPr>
        <w:t>运维维修工器具类</w:t>
      </w:r>
      <w:r>
        <w:rPr>
          <w:rFonts w:hint="eastAsia" w:ascii="宋体" w:hAnsi="宋体" w:eastAsia="宋体" w:cs="宋体"/>
          <w:color w:val="auto"/>
          <w:szCs w:val="21"/>
          <w:highlight w:val="none"/>
        </w:rPr>
        <w:t>物资的资格，但并不代表乙方必然取得该项目供货的权利。甲方根据乙方资质条件、履约能力和实际履约情况，及甲方的实际需求仍有权另行采购其他第三方进行本次合同范围内的货物供货服务。</w:t>
      </w:r>
    </w:p>
    <w:p w14:paraId="29472740">
      <w:pPr>
        <w:spacing w:line="360" w:lineRule="auto"/>
        <w:ind w:firstLine="420" w:firstLineChars="200"/>
        <w:rPr>
          <w:rFonts w:ascii="宋体" w:hAnsi="宋体" w:eastAsia="宋体" w:cs="宋体"/>
          <w:color w:val="auto"/>
          <w:szCs w:val="21"/>
          <w:highlight w:val="none"/>
        </w:rPr>
      </w:pPr>
      <w:r>
        <w:rPr>
          <w:rFonts w:hint="default" w:ascii="宋体" w:hAnsi="宋体" w:eastAsia="宋体" w:cs="宋体"/>
          <w:color w:val="auto"/>
          <w:szCs w:val="21"/>
          <w:highlight w:val="none"/>
          <w:lang w:val="en-US"/>
        </w:rPr>
        <w:t>5</w:t>
      </w:r>
      <w:r>
        <w:rPr>
          <w:rFonts w:hint="eastAsia" w:ascii="宋体" w:hAnsi="宋体" w:eastAsia="宋体" w:cs="宋体"/>
          <w:color w:val="auto"/>
          <w:szCs w:val="21"/>
          <w:highlight w:val="none"/>
        </w:rPr>
        <w:t>、甲方在每季度货物付款手续前分别对乙方的履约情况进行评价，填写《供应商履约评价表》（附件4）。供应商履约评价表满分为100分，其中，评价得分80分（含80分）以上的为良好，甲方支付当季度100%的供货费用；评价得分80分（不含80分）-60分（含60分）的为合格，甲方只支付当季度90%的供货费用（扣减10%）；评价分数得分60分（不含60分）以下的为不合格，甲方只支付当季度80%的供货费用（扣减20%）；若出现第二次评审结论为不合格的，甲方有权取消乙方的供货资格并单方解除本合同、没收履约担保。</w:t>
      </w:r>
    </w:p>
    <w:p w14:paraId="49782872">
      <w:pPr>
        <w:spacing w:line="360" w:lineRule="auto"/>
        <w:ind w:firstLine="420" w:firstLineChars="200"/>
        <w:rPr>
          <w:rFonts w:ascii="宋体" w:hAnsi="宋体" w:eastAsia="宋体" w:cs="宋体"/>
          <w:color w:val="auto"/>
          <w:szCs w:val="21"/>
          <w:highlight w:val="none"/>
        </w:rPr>
      </w:pPr>
    </w:p>
    <w:p w14:paraId="538BA8D2">
      <w:pPr>
        <w:spacing w:line="360" w:lineRule="auto"/>
        <w:ind w:left="720" w:hanging="720"/>
        <w:outlineLvl w:val="1"/>
        <w:rPr>
          <w:rFonts w:ascii="宋体" w:hAnsi="宋体" w:eastAsia="宋体" w:cs="宋体"/>
          <w:b/>
          <w:color w:val="auto"/>
          <w:szCs w:val="21"/>
          <w:highlight w:val="none"/>
        </w:rPr>
      </w:pPr>
      <w:bookmarkStart w:id="356" w:name="_Toc169091760"/>
      <w:r>
        <w:rPr>
          <w:rFonts w:ascii="宋体" w:hAnsi="宋体" w:eastAsia="宋体" w:cs="宋体"/>
          <w:b/>
          <w:color w:val="auto"/>
          <w:szCs w:val="21"/>
          <w:highlight w:val="none"/>
        </w:rPr>
        <w:t>第二条</w:t>
      </w:r>
      <w:r>
        <w:rPr>
          <w:rFonts w:hint="eastAsia" w:ascii="宋体" w:hAnsi="宋体" w:eastAsia="宋体" w:cs="宋体"/>
          <w:b/>
          <w:color w:val="auto"/>
          <w:szCs w:val="21"/>
          <w:highlight w:val="none"/>
        </w:rPr>
        <w:t xml:space="preserve"> 合同供货期</w:t>
      </w:r>
      <w:bookmarkEnd w:id="356"/>
    </w:p>
    <w:p w14:paraId="005A2043">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bCs/>
          <w:color w:val="auto"/>
          <w:szCs w:val="21"/>
          <w:highlight w:val="none"/>
          <w:lang w:val="en-US" w:eastAsia="zh-CN" w:bidi="ar"/>
        </w:rPr>
        <w:t>自合同签订之日起一年</w:t>
      </w:r>
      <w:r>
        <w:rPr>
          <w:rFonts w:hint="eastAsia" w:ascii="宋体" w:hAnsi="宋体" w:eastAsia="宋体" w:cs="宋体"/>
          <w:bCs/>
          <w:color w:val="auto"/>
          <w:szCs w:val="21"/>
          <w:highlight w:val="none"/>
          <w:lang w:bidi="ar"/>
        </w:rPr>
        <w:t>。</w:t>
      </w:r>
    </w:p>
    <w:p w14:paraId="4FFC207A">
      <w:pPr>
        <w:spacing w:line="360" w:lineRule="auto"/>
        <w:ind w:left="720" w:hanging="720"/>
        <w:outlineLvl w:val="1"/>
        <w:rPr>
          <w:rFonts w:ascii="宋体" w:hAnsi="宋体" w:eastAsia="宋体" w:cs="宋体"/>
          <w:b/>
          <w:color w:val="auto"/>
          <w:szCs w:val="21"/>
          <w:highlight w:val="none"/>
        </w:rPr>
      </w:pPr>
      <w:bookmarkStart w:id="357" w:name="_Toc169091761"/>
      <w:r>
        <w:rPr>
          <w:rFonts w:ascii="宋体" w:hAnsi="宋体" w:eastAsia="宋体" w:cs="宋体"/>
          <w:b/>
          <w:color w:val="auto"/>
          <w:szCs w:val="21"/>
          <w:highlight w:val="none"/>
        </w:rPr>
        <w:t>第三条</w:t>
      </w:r>
      <w:r>
        <w:rPr>
          <w:rFonts w:hint="eastAsia" w:ascii="宋体" w:hAnsi="宋体" w:eastAsia="宋体" w:cs="宋体"/>
          <w:b/>
          <w:color w:val="auto"/>
          <w:szCs w:val="21"/>
          <w:highlight w:val="none"/>
        </w:rPr>
        <w:t xml:space="preserve"> 货物质量要求</w:t>
      </w:r>
      <w:bookmarkEnd w:id="357"/>
    </w:p>
    <w:p w14:paraId="4A85C94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所供货物必须满足或优于采购清单中的规格参数。采购清单的货物有品牌、规格要求的，乙方优先采用采购清单中的推荐品牌、规格供货。若乙方所供货物的品牌其质量同等或优于推荐品牌，综合单价或总价均不做出变更。</w:t>
      </w:r>
    </w:p>
    <w:p w14:paraId="3ABBC22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所提供的货物必须符合国家现行有效的法律法规、行业规范及相关的质量标准并保证其产品使用质量，满足甲方的实际使用需求。如在货物送货时发现货物破损或者发生质量问题，甲方有权要求乙方在收到通知后【3】日内退换相应的货物；如因货物质量问题在安装使用后导致设备损坏无法正常使用，由乙方负责对该设备进行维修，因此产生的费用由乙方承担。</w:t>
      </w:r>
    </w:p>
    <w:p w14:paraId="0891D3E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3、乙方提供的货物必须是原厂生产的、非组装的、全新的、未使用过的产品(含零部件、配件、随机工具等)，表面无划伤、无碰撞的痕迹。有原厂包装的，应附有合格证、货物出厂质量合格证明书、技术说明等。</w:t>
      </w:r>
    </w:p>
    <w:p w14:paraId="5CDAB4C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4、乙方必须提供目前市场上技术较先进、成熟的原装产品，其质量、规格及技术特征符合合同附件的要求，并符合国家有关标准。</w:t>
      </w:r>
    </w:p>
    <w:p w14:paraId="568D93A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5、如货物属于国家规定的特种劳动防护用品的，乙方应在交货时提供相关产品检验报告等质量证明文件。</w:t>
      </w:r>
    </w:p>
    <w:p w14:paraId="5FC0AAE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所供货物若出现质量不符合采购清单要求或甲方实际使用要求的，甲方有权要求乙方选用综合单价不变、质量符合要求的货物替换该项货物。若因特殊情况（断货或停产）确需变更个别物品，乙方可向甲方书面申请调整供货的货物，经甲方同意，必须以同等或质量较高的同类商品代替，综合单价或总价均不做出变更。</w:t>
      </w:r>
    </w:p>
    <w:p w14:paraId="23060D86">
      <w:pPr>
        <w:spacing w:line="360" w:lineRule="auto"/>
        <w:ind w:firstLineChars="200"/>
        <w:rPr>
          <w:rFonts w:hint="eastAsia" w:ascii="宋体" w:hAnsi="宋体" w:eastAsia="宋体" w:cs="宋体"/>
          <w:color w:val="auto"/>
          <w:szCs w:val="21"/>
          <w:highlight w:val="none"/>
        </w:rPr>
      </w:pPr>
      <w:r>
        <w:rPr>
          <w:rFonts w:hint="eastAsia" w:ascii="宋体" w:hAnsi="宋体" w:eastAsia="宋体" w:cs="宋体"/>
          <w:b w:val="0"/>
          <w:color w:val="auto"/>
          <w:szCs w:val="21"/>
          <w:highlight w:val="none"/>
          <w:lang w:val="en-US" w:eastAsia="zh-CN"/>
        </w:rPr>
        <w:t>7、</w:t>
      </w:r>
      <w:r>
        <w:rPr>
          <w:rFonts w:hint="eastAsia" w:ascii="宋体" w:hAnsi="宋体" w:eastAsia="宋体" w:cs="宋体"/>
          <w:b w:val="0"/>
          <w:color w:val="auto"/>
          <w:szCs w:val="21"/>
          <w:highlight w:val="none"/>
          <w:lang w:eastAsia="zh-CN"/>
        </w:rPr>
        <w:t>乙方保证其对交付货物享有完整、合法的处分权，货物不存在抵押、质押、留置、所有权保留等第三人权利或纠纷，并保证第三人对标的物不享有任何权利；若第三人主张权利，乙方应在接到通知后【3】日内予以排除并承担全部费用与责任，造成甲方损失的，乙方应赔偿全部损失。</w:t>
      </w:r>
    </w:p>
    <w:p w14:paraId="30D4A40F">
      <w:pPr>
        <w:spacing w:line="360" w:lineRule="auto"/>
        <w:outlineLvl w:val="1"/>
        <w:rPr>
          <w:rFonts w:ascii="宋体" w:hAnsi="宋体" w:eastAsia="宋体" w:cs="宋体"/>
          <w:b/>
          <w:color w:val="auto"/>
          <w:szCs w:val="21"/>
          <w:highlight w:val="none"/>
        </w:rPr>
      </w:pPr>
    </w:p>
    <w:p w14:paraId="4BCF3337">
      <w:pPr>
        <w:spacing w:line="360" w:lineRule="auto"/>
        <w:ind w:left="720" w:hanging="720"/>
        <w:outlineLvl w:val="1"/>
        <w:rPr>
          <w:rFonts w:ascii="宋体" w:hAnsi="宋体" w:eastAsia="宋体" w:cs="宋体"/>
          <w:b/>
          <w:color w:val="auto"/>
          <w:szCs w:val="21"/>
          <w:highlight w:val="none"/>
        </w:rPr>
      </w:pPr>
      <w:bookmarkStart w:id="358" w:name="_Toc169091762"/>
      <w:r>
        <w:rPr>
          <w:rFonts w:ascii="宋体" w:hAnsi="宋体" w:eastAsia="宋体" w:cs="宋体"/>
          <w:b/>
          <w:color w:val="auto"/>
          <w:szCs w:val="21"/>
          <w:highlight w:val="none"/>
        </w:rPr>
        <w:t>第四条</w:t>
      </w:r>
      <w:r>
        <w:rPr>
          <w:rFonts w:hint="eastAsia" w:ascii="宋体" w:hAnsi="宋体" w:eastAsia="宋体" w:cs="宋体"/>
          <w:b/>
          <w:color w:val="auto"/>
          <w:szCs w:val="21"/>
          <w:highlight w:val="none"/>
        </w:rPr>
        <w:t xml:space="preserve"> 交货约定</w:t>
      </w:r>
      <w:bookmarkEnd w:id="358"/>
    </w:p>
    <w:p w14:paraId="19272EBC">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1、交货期：</w:t>
      </w:r>
    </w:p>
    <w:p w14:paraId="7BB7DFCE">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（1）月度配送：每月10日前甲方根据实际需求通过电子邮箱发出供货通知至乙方电子邮箱（邮箱地址：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），供货通知书送达乙方指定邮箱后，视为乙方已接收到供货通知。乙方自接到供货通知后，需联系甲方核实供货货物规格，并在接收到供货通知之日起【15】个工作日内按甲方发出供货清单并送达货物，经各</w:t>
      </w:r>
      <w:r>
        <w:rPr>
          <w:rFonts w:hint="eastAsia" w:ascii="宋体" w:hAnsi="宋体" w:eastAsia="宋体" w:cs="宋体"/>
          <w:color w:val="auto"/>
          <w:szCs w:val="21"/>
          <w:highlight w:val="none"/>
          <w:lang w:eastAsia="zh-CN"/>
        </w:rPr>
        <w:t>地区</w:t>
      </w:r>
      <w:r>
        <w:rPr>
          <w:rFonts w:hint="eastAsia" w:ascii="宋体" w:hAnsi="宋体" w:eastAsia="宋体" w:cs="宋体"/>
          <w:color w:val="auto"/>
          <w:szCs w:val="21"/>
          <w:highlight w:val="none"/>
        </w:rPr>
        <w:t>联系人验收合格后，由双方签字确认。</w:t>
      </w:r>
    </w:p>
    <w:p w14:paraId="6970A260">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（2）临时紧急配送：如遇临时紧急配送，供货通知书送达乙方指定邮箱后，需在5个工作日内按甲方发出供货清单并送达货物，经验收合格后，由双方签字确认，供货是否为紧急配送，以甲方各</w:t>
      </w:r>
      <w:r>
        <w:rPr>
          <w:rFonts w:hint="eastAsia" w:ascii="宋体" w:hAnsi="宋体" w:eastAsia="宋体" w:cs="宋体"/>
          <w:color w:val="auto"/>
          <w:szCs w:val="21"/>
          <w:highlight w:val="none"/>
          <w:lang w:eastAsia="zh-CN"/>
        </w:rPr>
        <w:t>地区</w:t>
      </w:r>
      <w:r>
        <w:rPr>
          <w:rFonts w:hint="eastAsia" w:ascii="宋体" w:hAnsi="宋体" w:eastAsia="宋体" w:cs="宋体"/>
          <w:color w:val="auto"/>
          <w:szCs w:val="21"/>
          <w:highlight w:val="none"/>
        </w:rPr>
        <w:t>书面通知为准。</w:t>
      </w:r>
    </w:p>
    <w:p w14:paraId="254CEC94">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（3）交货延期要求：出现货源不充足需要订购的货物，乙方需在收到甲方各</w:t>
      </w:r>
      <w:r>
        <w:rPr>
          <w:rFonts w:hint="eastAsia" w:ascii="宋体" w:hAnsi="宋体" w:eastAsia="宋体" w:cs="宋体"/>
          <w:color w:val="auto"/>
          <w:szCs w:val="21"/>
          <w:highlight w:val="none"/>
          <w:lang w:eastAsia="zh-CN"/>
        </w:rPr>
        <w:t>地区</w:t>
      </w:r>
      <w:r>
        <w:rPr>
          <w:rFonts w:hint="eastAsia" w:ascii="宋体" w:hAnsi="宋体" w:eastAsia="宋体" w:cs="宋体"/>
          <w:color w:val="auto"/>
          <w:szCs w:val="21"/>
          <w:highlight w:val="none"/>
        </w:rPr>
        <w:t>的供货通知后24小时内与上述各</w:t>
      </w:r>
      <w:r>
        <w:rPr>
          <w:rFonts w:hint="eastAsia" w:ascii="宋体" w:hAnsi="宋体" w:eastAsia="宋体" w:cs="宋体"/>
          <w:color w:val="auto"/>
          <w:szCs w:val="21"/>
          <w:highlight w:val="none"/>
          <w:lang w:eastAsia="zh-CN"/>
        </w:rPr>
        <w:t>地区</w:t>
      </w:r>
      <w:r>
        <w:rPr>
          <w:rFonts w:hint="eastAsia" w:ascii="宋体" w:hAnsi="宋体" w:eastAsia="宋体" w:cs="宋体"/>
          <w:color w:val="auto"/>
          <w:szCs w:val="21"/>
          <w:highlight w:val="none"/>
        </w:rPr>
        <w:t>联系人进行沟通并经甲方各</w:t>
      </w:r>
      <w:r>
        <w:rPr>
          <w:rFonts w:hint="eastAsia" w:ascii="宋体" w:hAnsi="宋体" w:eastAsia="宋体" w:cs="宋体"/>
          <w:color w:val="auto"/>
          <w:szCs w:val="21"/>
          <w:highlight w:val="none"/>
          <w:lang w:eastAsia="zh-CN"/>
        </w:rPr>
        <w:t>地区</w:t>
      </w:r>
      <w:r>
        <w:rPr>
          <w:rFonts w:hint="eastAsia" w:ascii="宋体" w:hAnsi="宋体" w:eastAsia="宋体" w:cs="宋体"/>
          <w:color w:val="auto"/>
          <w:szCs w:val="21"/>
          <w:highlight w:val="none"/>
        </w:rPr>
        <w:t>书面同意后，可延长交货期。各</w:t>
      </w:r>
      <w:r>
        <w:rPr>
          <w:rFonts w:hint="eastAsia" w:ascii="宋体" w:hAnsi="宋体" w:eastAsia="宋体" w:cs="宋体"/>
          <w:color w:val="auto"/>
          <w:szCs w:val="21"/>
          <w:highlight w:val="none"/>
          <w:lang w:eastAsia="zh-CN"/>
        </w:rPr>
        <w:t>地区</w:t>
      </w:r>
      <w:r>
        <w:rPr>
          <w:rFonts w:hint="eastAsia" w:ascii="宋体" w:hAnsi="宋体" w:eastAsia="宋体" w:cs="宋体"/>
          <w:color w:val="auto"/>
          <w:szCs w:val="21"/>
          <w:highlight w:val="none"/>
        </w:rPr>
        <w:t>联系人不同意延长交货期的，以逾期供货处理，每逾期一个工作日乙方需向甲方支付1000元违约金，甲方有权从履约担保中扣除。若逾期供货达到10次（含10次）及以上，且严重影响甲方生产经营的，甲方有权没收履约担保并单方面解除合同。</w:t>
      </w:r>
    </w:p>
    <w:p w14:paraId="03B78069">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（4）合同履约过程中，若出现因厂家停产或其他不可抗力因素等情况导致无法供应对应货物的，乙方应当提交材料说明情况，经甲方确认情况属实后，乙方需提供不低于同等质量的货物，综合单价不做变更。</w:t>
      </w:r>
    </w:p>
    <w:p w14:paraId="777173B0">
      <w:pPr>
        <w:pStyle w:val="2"/>
        <w:spacing w:line="360" w:lineRule="auto"/>
        <w:ind w:firstLineChars="200"/>
        <w:rPr>
          <w:rFonts w:ascii="宋体" w:hAnsi="宋体" w:eastAsia="宋体" w:cs="宋体"/>
          <w:color w:val="auto"/>
          <w:highlight w:val="none"/>
        </w:rPr>
      </w:pPr>
      <w:r>
        <w:rPr>
          <w:rFonts w:hint="eastAsia" w:ascii="宋体" w:hAnsi="宋体" w:eastAsia="宋体" w:cs="宋体"/>
          <w:color w:val="auto"/>
          <w:szCs w:val="21"/>
          <w:highlight w:val="none"/>
        </w:rPr>
        <w:t>（5）甲方有权对本合同项下的货物数量进行调整，调整后增加的供货金额不能超过暂定总合同价（含税）的10%，乙方承诺不因增加或减少供货数量向甲方主张任何形式的补偿或者赔偿。</w:t>
      </w:r>
    </w:p>
    <w:p w14:paraId="01A75519">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交货地点：详见《收货地址汇总表》（附件2）。各收货地址联系人有权代表甲方执行货物验收等行为，如甲方有新增或更改收货地址（东莞市）/联系人的，以甲方实际通知为准，乙方需予以配合，相关费用由乙方负责。</w:t>
      </w:r>
    </w:p>
    <w:p w14:paraId="7F3392BF">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
          <w:bCs/>
          <w:color w:val="auto"/>
          <w:szCs w:val="21"/>
          <w:highlight w:val="none"/>
        </w:rPr>
        <w:t>交货方式与风险承担：在货物移交给甲方并经甲方最终验收合格前，货物的毁损、灭失</w:t>
      </w:r>
      <w:r>
        <w:rPr>
          <w:rFonts w:hint="eastAsia" w:ascii="宋体" w:hAnsi="宋体" w:eastAsia="宋体" w:cs="宋体"/>
          <w:b/>
          <w:bCs/>
          <w:color w:val="auto"/>
          <w:kern w:val="2"/>
          <w:sz w:val="21"/>
          <w:szCs w:val="21"/>
          <w:highlight w:val="none"/>
          <w:lang w:eastAsia="zh-CN"/>
        </w:rPr>
        <w:t>及短少</w:t>
      </w:r>
      <w:r>
        <w:rPr>
          <w:rFonts w:hint="eastAsia" w:ascii="宋体" w:hAnsi="宋体" w:eastAsia="宋体" w:cs="宋体"/>
          <w:b/>
          <w:bCs/>
          <w:color w:val="auto"/>
          <w:kern w:val="2"/>
          <w:sz w:val="21"/>
          <w:szCs w:val="21"/>
          <w:highlight w:val="none"/>
        </w:rPr>
        <w:t>的风险和责任均由</w:t>
      </w:r>
      <w:r>
        <w:rPr>
          <w:rFonts w:hint="eastAsia" w:ascii="宋体" w:hAnsi="宋体" w:eastAsia="宋体" w:cs="宋体"/>
          <w:b/>
          <w:bCs/>
          <w:color w:val="auto"/>
          <w:kern w:val="2"/>
          <w:sz w:val="21"/>
          <w:szCs w:val="21"/>
          <w:highlight w:val="none"/>
          <w:lang w:val="en-US" w:eastAsia="zh-CN"/>
        </w:rPr>
        <w:t>乙方</w:t>
      </w:r>
      <w:r>
        <w:rPr>
          <w:rFonts w:hint="eastAsia" w:ascii="宋体" w:hAnsi="宋体" w:eastAsia="宋体" w:cs="宋体"/>
          <w:b/>
          <w:bCs/>
          <w:color w:val="auto"/>
          <w:kern w:val="2"/>
          <w:sz w:val="21"/>
          <w:szCs w:val="21"/>
          <w:highlight w:val="none"/>
        </w:rPr>
        <w:t>承担。</w:t>
      </w:r>
      <w:r>
        <w:rPr>
          <w:rFonts w:hint="eastAsia" w:ascii="宋体" w:hAnsi="宋体" w:eastAsia="宋体" w:cs="宋体"/>
          <w:b/>
          <w:bCs/>
          <w:color w:val="auto"/>
          <w:kern w:val="2"/>
          <w:sz w:val="21"/>
          <w:szCs w:val="21"/>
          <w:highlight w:val="none"/>
          <w:lang w:eastAsia="zh-CN"/>
        </w:rPr>
        <w:t>运输由</w:t>
      </w:r>
      <w:r>
        <w:rPr>
          <w:rFonts w:hint="eastAsia" w:ascii="宋体" w:hAnsi="宋体" w:eastAsia="宋体" w:cs="宋体"/>
          <w:b/>
          <w:bCs/>
          <w:color w:val="auto"/>
          <w:kern w:val="2"/>
          <w:sz w:val="21"/>
          <w:szCs w:val="21"/>
          <w:highlight w:val="none"/>
          <w:lang w:val="en-US" w:eastAsia="zh-CN"/>
        </w:rPr>
        <w:t>乙方</w:t>
      </w:r>
      <w:r>
        <w:rPr>
          <w:rFonts w:hint="eastAsia" w:ascii="宋体" w:hAnsi="宋体" w:eastAsia="宋体" w:cs="宋体"/>
          <w:b/>
          <w:bCs/>
          <w:color w:val="auto"/>
          <w:kern w:val="2"/>
          <w:sz w:val="21"/>
          <w:szCs w:val="21"/>
          <w:highlight w:val="none"/>
          <w:lang w:eastAsia="zh-CN"/>
        </w:rPr>
        <w:t>负责安排并承担相关费用与风险，</w:t>
      </w:r>
      <w:r>
        <w:rPr>
          <w:rFonts w:hint="eastAsia" w:ascii="宋体" w:hAnsi="宋体" w:eastAsia="宋体" w:cs="宋体"/>
          <w:b/>
          <w:bCs/>
          <w:color w:val="auto"/>
          <w:kern w:val="2"/>
          <w:sz w:val="21"/>
          <w:szCs w:val="21"/>
          <w:highlight w:val="none"/>
          <w:lang w:val="en-US" w:eastAsia="zh-CN"/>
        </w:rPr>
        <w:t>乙方</w:t>
      </w:r>
      <w:r>
        <w:rPr>
          <w:rFonts w:hint="eastAsia" w:ascii="宋体" w:hAnsi="宋体" w:eastAsia="宋体" w:cs="宋体"/>
          <w:b/>
          <w:bCs/>
          <w:color w:val="auto"/>
          <w:kern w:val="2"/>
          <w:sz w:val="21"/>
          <w:szCs w:val="21"/>
          <w:highlight w:val="none"/>
          <w:lang w:eastAsia="zh-CN"/>
        </w:rPr>
        <w:t>应确保承运人资质合规。非经</w:t>
      </w:r>
      <w:r>
        <w:rPr>
          <w:rFonts w:hint="eastAsia" w:ascii="宋体" w:hAnsi="宋体" w:eastAsia="宋体" w:cs="宋体"/>
          <w:b/>
          <w:bCs/>
          <w:color w:val="auto"/>
          <w:kern w:val="2"/>
          <w:sz w:val="21"/>
          <w:szCs w:val="21"/>
          <w:highlight w:val="none"/>
          <w:lang w:val="en-US" w:eastAsia="zh-CN"/>
        </w:rPr>
        <w:t>甲方</w:t>
      </w:r>
      <w:r>
        <w:rPr>
          <w:rFonts w:hint="eastAsia" w:ascii="宋体" w:hAnsi="宋体" w:eastAsia="宋体" w:cs="宋体"/>
          <w:b/>
          <w:bCs/>
          <w:color w:val="auto"/>
          <w:kern w:val="2"/>
          <w:sz w:val="21"/>
          <w:szCs w:val="21"/>
          <w:highlight w:val="none"/>
          <w:lang w:eastAsia="zh-CN"/>
        </w:rPr>
        <w:t>书面确认验收的到货不视为交付完成</w:t>
      </w:r>
      <w:r>
        <w:rPr>
          <w:rFonts w:hint="eastAsia" w:ascii="宋体" w:hAnsi="宋体" w:eastAsia="宋体" w:cs="宋体"/>
          <w:color w:val="auto"/>
          <w:szCs w:val="21"/>
          <w:highlight w:val="none"/>
        </w:rPr>
        <w:t>。</w:t>
      </w:r>
    </w:p>
    <w:p w14:paraId="1716AC60">
      <w:pPr>
        <w:spacing w:line="360" w:lineRule="auto"/>
        <w:outlineLvl w:val="1"/>
        <w:rPr>
          <w:rFonts w:ascii="宋体" w:hAnsi="宋体" w:eastAsia="宋体" w:cs="宋体"/>
          <w:b/>
          <w:color w:val="auto"/>
          <w:szCs w:val="21"/>
          <w:highlight w:val="none"/>
        </w:rPr>
      </w:pPr>
    </w:p>
    <w:p w14:paraId="651A7C67">
      <w:pPr>
        <w:spacing w:line="360" w:lineRule="auto"/>
        <w:outlineLvl w:val="1"/>
        <w:rPr>
          <w:rFonts w:hint="eastAsia" w:ascii="宋体" w:hAnsi="宋体" w:eastAsia="宋体" w:cs="宋体"/>
          <w:b/>
          <w:color w:val="auto"/>
          <w:szCs w:val="21"/>
          <w:highlight w:val="none"/>
        </w:rPr>
      </w:pPr>
      <w:bookmarkStart w:id="359" w:name="_Toc169091763"/>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eastAsia="zh-CN"/>
        </w:rPr>
        <w:t>五</w:t>
      </w:r>
      <w:r>
        <w:rPr>
          <w:rFonts w:hint="eastAsia" w:ascii="宋体" w:hAnsi="宋体" w:eastAsia="宋体" w:cs="宋体"/>
          <w:b/>
          <w:color w:val="auto"/>
          <w:szCs w:val="21"/>
          <w:highlight w:val="none"/>
        </w:rPr>
        <w:t>条 包装、运输及安装</w:t>
      </w:r>
    </w:p>
    <w:p w14:paraId="4B404A55">
      <w:pPr>
        <w:spacing w:line="360" w:lineRule="auto"/>
        <w:ind w:firstLine="420" w:firstLineChars="200"/>
        <w:outlineLvl w:val="1"/>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乙方提供的货物须按备件出厂的标准包装，但应考虑到远距离运输、防漏、防潮、防锈、防震、防盗和可能会发生的不合理装卸等运输及多次装卸之需要，以确保货物安全无损运抵指定地点。货物开箱后，如甲方发现有任何质量问题（如外观有损伤），乙方必须立即以同样型号的货物在甲方限定的时间内更换。</w:t>
      </w:r>
    </w:p>
    <w:p w14:paraId="19899B32">
      <w:pPr>
        <w:spacing w:line="360" w:lineRule="auto"/>
        <w:ind w:firstLine="420" w:firstLineChars="200"/>
        <w:outlineLvl w:val="1"/>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2、乙方所供货物应为制造商原装出厂，且包装箱号与设备出厂批号应一致。货物包装缺失防伪标识或唯一序列号的，视为质量不合格。</w:t>
      </w:r>
    </w:p>
    <w:p w14:paraId="1B8E0DDA">
      <w:pPr>
        <w:spacing w:line="360" w:lineRule="auto"/>
        <w:ind w:firstLine="420" w:firstLineChars="200"/>
        <w:outlineLvl w:val="1"/>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包装必须与运输方式相适应，包装方式的确定及包装费用均由乙方负责；由于货物包装不良、运输方式不当或非法运输造成的事故、损失、行政处罚造成货物毁损灭失及产生其他全部费用均由乙方自行全部承担。</w:t>
      </w:r>
    </w:p>
    <w:p w14:paraId="3D8CB67F">
      <w:pPr>
        <w:spacing w:line="360" w:lineRule="auto"/>
        <w:ind w:firstLine="420" w:firstLineChars="200"/>
        <w:outlineLvl w:val="1"/>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rPr>
        <w:t>若涉及货物安装（调试），乙方须负责本合同项下所有货物的安装（调试）工作，安装（调试）费用由乙方承担。乙方须做好货物安装的安全防护措施，货物安装过程中出现的安全事故或财产毁损等均由乙方自行承担。乙方人员在甲方场所必须遵守甲方的一切规章制度和安全条例，服从甲方的监督。甲方有权随时对乙方履约情况进行监督、检查，乙方应无条件配合。乙方在对本合同项下所有货物进行安装的过程中，如因违反甲方相关规章制度、安全条例，或因不服从甲方监督而发生安全事故的，其结果与责任均由乙方自行负责，甲方无须承担任何结果与责任，若由此给甲方造成损失的，乙方须赔偿甲方全部损失。</w:t>
      </w:r>
    </w:p>
    <w:p w14:paraId="22FB9D60">
      <w:pPr>
        <w:spacing w:line="360" w:lineRule="auto"/>
        <w:outlineLvl w:val="1"/>
        <w:rPr>
          <w:rFonts w:hint="eastAsia" w:ascii="宋体" w:hAnsi="宋体" w:eastAsia="宋体" w:cs="宋体"/>
          <w:b/>
          <w:color w:val="auto"/>
          <w:szCs w:val="21"/>
          <w:highlight w:val="none"/>
        </w:rPr>
      </w:pPr>
    </w:p>
    <w:p w14:paraId="001373DD">
      <w:pPr>
        <w:spacing w:line="360" w:lineRule="auto"/>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六</w:t>
      </w:r>
      <w:r>
        <w:rPr>
          <w:rFonts w:hint="eastAsia" w:ascii="宋体" w:hAnsi="宋体" w:eastAsia="宋体" w:cs="宋体"/>
          <w:b/>
          <w:color w:val="auto"/>
          <w:szCs w:val="21"/>
          <w:highlight w:val="none"/>
        </w:rPr>
        <w:t>条 验收要求</w:t>
      </w:r>
      <w:bookmarkEnd w:id="359"/>
    </w:p>
    <w:p w14:paraId="3E51FF5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每次货物到达收货地点后，甲方各收货地联系人（含甲方委托的第三方）、乙方代表共同清点及验货，甲方应提供《到货验收单》（附件3）。甲方按照合同、货物清单及《到货验收单》、国家相关法律法规以及规范的要求等相关的规定，对货物的品种、品牌、产地、规格型号、数量、外观质量、资料进行清点和全面的检验，并作详细的记录，验收完成后双方于《到货验收单》签字确认。</w:t>
      </w:r>
    </w:p>
    <w:p w14:paraId="50CD733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货期内乙方需安排固定的代表人员与甲方对接，并在本项目合同中提供代表人员的姓名、职务、联系方式信息。服务期间乙方不得随意变更其代表人员，如乙方需变更其代表人员的，应当在下一次供货前【3】日内将书面的变更申请提交至甲方。否则甲方有权依据本合同项下乙方代表人员名单对相关货物进行检验或确认，由此产生的责任均由乙方自行承担。</w:t>
      </w:r>
    </w:p>
    <w:p w14:paraId="2C64BDE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2、乙方的货物应当按照甲方要求送到</w:t>
      </w:r>
      <w:r>
        <w:rPr>
          <w:rFonts w:hint="eastAsia" w:ascii="宋体" w:hAnsi="宋体" w:eastAsia="宋体" w:cs="宋体"/>
          <w:color w:val="auto"/>
          <w:szCs w:val="21"/>
          <w:highlight w:val="none"/>
          <w:lang w:val="en-US" w:eastAsia="zh-CN"/>
        </w:rPr>
        <w:t>并卸货到</w:t>
      </w:r>
      <w:r>
        <w:rPr>
          <w:rFonts w:hint="eastAsia" w:ascii="宋体" w:hAnsi="宋体" w:eastAsia="宋体" w:cs="宋体"/>
          <w:color w:val="auto"/>
          <w:szCs w:val="21"/>
          <w:highlight w:val="none"/>
        </w:rPr>
        <w:t>指定的地点，由于使用第三方送货服务导致货物未能经过双方共同验收、未送到指定地点的，甲方有权拒绝收货。</w:t>
      </w:r>
    </w:p>
    <w:p w14:paraId="54B1F1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未经甲方同意，乙方或乙方委托的第三方送货服务仅将货物放置在门口/门卫室，而没有送货至甲方指定的地点的，视为乙方未履行送货义务，甲方有权拒绝接收货物且不予支付货款。上述情况下甲方不负保管责任，货物未按照甲方要求放置而造成的损毁、灭失风险概由乙方承担。</w:t>
      </w:r>
    </w:p>
    <w:p w14:paraId="3BDE6C2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14:paraId="78F507C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如发现货物的品种、规格型号、数量、外观质量、品牌与合同及供货清单不符，或货物短缺、质次、损坏等问题，应作详细记录，且甲方有权拒绝收货及拒绝付款，乙方应在收到甲方通知后【3】日内，无条件为甲方免费更换、补齐或无条件退货，更换或补齐后的货物，甲方有权按照本条有关验收的约定进行验收，由此产生的制造、修理、运费及保险费等费用均应由乙方承担，与甲方无关。</w:t>
      </w:r>
    </w:p>
    <w:p w14:paraId="795058F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6、由于非甲方原因而引起货物的修理或更换的，应以不影响甲方生产为原则，且修理或更换应在甲方许可的时限内完成。交接并验收合格后，乙方向甲方出具相关签收手续。 </w:t>
      </w:r>
    </w:p>
    <w:p w14:paraId="02701D8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7、货物经验收合格后，乙方仍应在质保期内对产品质量承担保证责任。</w:t>
      </w:r>
    </w:p>
    <w:p w14:paraId="3B1AA8B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8、甲方根据本条约定对货物所做出的验收，仅作为付款及起算质保期之用，不视为甲方对于货物质量的最终认定。</w:t>
      </w:r>
    </w:p>
    <w:p w14:paraId="620F156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9、货物在全部经甲方各</w:t>
      </w:r>
      <w:r>
        <w:rPr>
          <w:rFonts w:hint="eastAsia" w:ascii="宋体" w:hAnsi="宋体" w:eastAsia="宋体" w:cs="宋体"/>
          <w:color w:val="auto"/>
          <w:szCs w:val="21"/>
          <w:highlight w:val="none"/>
          <w:lang w:eastAsia="zh-CN"/>
        </w:rPr>
        <w:t>地区</w:t>
      </w:r>
      <w:r>
        <w:rPr>
          <w:rFonts w:hint="eastAsia" w:ascii="宋体" w:hAnsi="宋体" w:eastAsia="宋体" w:cs="宋体"/>
          <w:color w:val="auto"/>
          <w:szCs w:val="21"/>
          <w:highlight w:val="none"/>
        </w:rPr>
        <w:t>验收合格前，其损耗、毁损、灭失等风险及责任由乙方承担，如因发生前述情形，导致乙方所供应的货物不能通过甲方验收的，乙方应按甲方各</w:t>
      </w:r>
      <w:r>
        <w:rPr>
          <w:rFonts w:hint="eastAsia" w:ascii="宋体" w:hAnsi="宋体" w:eastAsia="宋体" w:cs="宋体"/>
          <w:color w:val="auto"/>
          <w:szCs w:val="21"/>
          <w:highlight w:val="none"/>
          <w:lang w:eastAsia="zh-CN"/>
        </w:rPr>
        <w:t>地区</w:t>
      </w:r>
      <w:r>
        <w:rPr>
          <w:rFonts w:hint="eastAsia" w:ascii="宋体" w:hAnsi="宋体" w:eastAsia="宋体" w:cs="宋体"/>
          <w:color w:val="auto"/>
          <w:szCs w:val="21"/>
          <w:highlight w:val="none"/>
        </w:rPr>
        <w:t>要求予以免费更换、补齐或无条件退货。</w:t>
      </w:r>
    </w:p>
    <w:p w14:paraId="7797A162">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10、验收过程中，如对检验记录不能取得一致意见时，合同任意一方可委托货物交付地有资质的第三方检验机构联合进行检验。检验结果具有约束力，检验费用由责任方承担。</w:t>
      </w:r>
    </w:p>
    <w:p w14:paraId="586E3737">
      <w:pPr>
        <w:spacing w:line="360" w:lineRule="auto"/>
        <w:outlineLvl w:val="1"/>
        <w:rPr>
          <w:rFonts w:ascii="宋体" w:hAnsi="宋体" w:eastAsia="宋体" w:cs="宋体"/>
          <w:b/>
          <w:color w:val="auto"/>
          <w:szCs w:val="21"/>
          <w:highlight w:val="none"/>
        </w:rPr>
      </w:pPr>
    </w:p>
    <w:p w14:paraId="5494FD15">
      <w:pPr>
        <w:spacing w:line="360" w:lineRule="auto"/>
        <w:outlineLvl w:val="1"/>
        <w:rPr>
          <w:rFonts w:ascii="宋体" w:hAnsi="宋体" w:eastAsia="宋体" w:cs="宋体"/>
          <w:b/>
          <w:color w:val="auto"/>
          <w:szCs w:val="21"/>
          <w:highlight w:val="none"/>
        </w:rPr>
      </w:pPr>
      <w:bookmarkStart w:id="360" w:name="_Toc169091764"/>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七</w:t>
      </w:r>
      <w:r>
        <w:rPr>
          <w:rFonts w:hint="eastAsia" w:ascii="宋体" w:hAnsi="宋体" w:eastAsia="宋体" w:cs="宋体"/>
          <w:b/>
          <w:color w:val="auto"/>
          <w:szCs w:val="21"/>
          <w:highlight w:val="none"/>
        </w:rPr>
        <w:t>条 综合单价、暂定合同价及付款方式</w:t>
      </w:r>
      <w:bookmarkEnd w:id="360"/>
    </w:p>
    <w:p w14:paraId="4513D5F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1、本合同价采用统一折扣系数，本项目执行的中标折扣系数为：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合同履约过程中，采购清单中不含税合同综合单价按以下方式计算：不含税合同综合单价=不含税预算综合单价×中标折扣系数，以实际供货数量进行结算，不含税合同综合单价出现小数点，保留小数点后两位，从小数点后第3位四舍五入。具体报价详见附件《采购清单及价格表》，对应招标时暂列采购数量清单计算的暂定合同价（即销售额，不含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2DF1C6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不含税合同综合单价包含完成供货的全部费用，包括但不限于货物及用户需求书采购清单中要求每项货物及其配备的附件、备品备件的采购、制造、检测、试验、送货、搬运（含二次搬运至甲方指定仓储地点）、包装费、运费、保险、现场仓储、质保、本项目中标服务费、乙方销项税额以外的税费等相关服务的全部费用。不含税合同综合单价为固定单价，在合同执行期间固定不变，不因材料</w:t>
      </w:r>
      <w:r>
        <w:rPr>
          <w:rFonts w:hint="eastAsia" w:ascii="宋体" w:hAnsi="宋体" w:eastAsia="宋体" w:cs="宋体"/>
          <w:color w:val="auto"/>
          <w:szCs w:val="21"/>
          <w:highlight w:val="none"/>
          <w:lang w:val="en-US" w:eastAsia="zh-CN"/>
        </w:rPr>
        <w:t>价格</w:t>
      </w:r>
      <w:r>
        <w:rPr>
          <w:rFonts w:hint="eastAsia" w:ascii="宋体" w:hAnsi="宋体" w:eastAsia="宋体" w:cs="宋体"/>
          <w:color w:val="auto"/>
          <w:szCs w:val="21"/>
          <w:highlight w:val="none"/>
        </w:rPr>
        <w:t>、成分比例调整、劳务成本、运输成本、货物的行业标准或国家标准的变动</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任何理由予以变更。未经甲方书面确认，乙方无权另行收取其它任何费用。</w:t>
      </w:r>
    </w:p>
    <w:p w14:paraId="32BB83F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本合同履行过程中，税收政策变动导致增值税税率调整，依法应调整销项税额的，依法调整；但因乙方未按甲方要求时间完成供货、未根据合同约定提供合法、完整的请款资料、货物验收不合格导致的返工或退货、货物验收合格前的非正常损耗等原因导致销项税额增加的，相应损失由乙方承担。</w:t>
      </w:r>
    </w:p>
    <w:p w14:paraId="40F919F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4C5A73C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3、采购合同下暂定采购数量对应的暂定总合同价（含税）为【 】元（大写人民币【 】），合同履行期间根据本条第2款规定调整销项税额的，结算合同价税合计对应调整。</w:t>
      </w:r>
    </w:p>
    <w:p w14:paraId="2141FBF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4、不含税合同价包括了甲方需就购买本合同项下货物及其服务所支付的全部价款，</w:t>
      </w:r>
      <w:r>
        <w:rPr>
          <w:rFonts w:hint="eastAsia" w:ascii="宋体" w:hAnsi="宋体" w:eastAsia="宋体" w:cs="宋体"/>
          <w:color w:val="auto"/>
          <w:szCs w:val="21"/>
          <w:highlight w:val="none"/>
          <w:lang w:val="zh-CN"/>
        </w:rPr>
        <w:t>包括但不限于：</w:t>
      </w:r>
      <w:r>
        <w:rPr>
          <w:rFonts w:hint="eastAsia" w:ascii="宋体" w:hAnsi="宋体" w:eastAsia="宋体" w:cs="宋体"/>
          <w:color w:val="auto"/>
          <w:szCs w:val="21"/>
          <w:highlight w:val="none"/>
        </w:rPr>
        <w:t>（1）货物及用户需求书采购清单中要求每项货物及其配备的附件、备品备件的采购、制造、检测、试验、送货、搬运（含二次搬运至甲方指定仓储地点）、包装费、运费、保险、现场仓储、质保、乙方销项税额以外的税费等相关服务的全部费用；（2）货物验收合格前发生的安全事故所产生的一切费用；（3）货物及其工艺所有制造方、使用方应支付的对专有技术、商标权、专利权和版权、设计或其他知识产权而需要向其他方支付的版税；（4）日常技术指导，免费的质保服务，包括但不限于免费现场质量问题处理或更换无效产品；（5）合理利润；（6）法律法规、商业公认、招标文件规定由乙方承担的其他直接及间接费用。</w:t>
      </w:r>
    </w:p>
    <w:p w14:paraId="40DBC7A9">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5、付款方式：</w:t>
      </w:r>
      <w:r>
        <w:rPr>
          <w:rFonts w:hint="eastAsia" w:ascii="宋体" w:hAnsi="宋体" w:eastAsia="宋体" w:cs="宋体"/>
          <w:color w:val="auto"/>
          <w:szCs w:val="21"/>
          <w:highlight w:val="none"/>
        </w:rPr>
        <w:t>每个季度全部货物交货完毕后并经甲方最终验收合格后，乙方向甲方提交请款报告、供货清单、到货验收单和等额的合法、有效的增值税专用发票（货款由甲方内部各方按照其内部约定的比例承担，乙方对此知悉并明确表示同意且无任何异议。乙方需按甲方内部各方约定的承担比例向甲方各方分别开具相应金额的增值税专用发票）等相关请款资料，甲方收到前述材料并确认无误后，依据本季度的《供应商履约评价表》评价分数进行本季度货物供货的结算，在15个工作日内支付本季度应付货款的100%。甲方有权因乙方任何违约、质量异议、售后服务不到位等情形暂停或拒绝付款，且无需承担任何违约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1"/>
        <w:gridCol w:w="5394"/>
      </w:tblGrid>
      <w:tr w14:paraId="3E3F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1" w:type="dxa"/>
          </w:tcPr>
          <w:p w14:paraId="5D1562D1">
            <w:pPr>
              <w:spacing w:before="120" w:beforeLines="50"/>
              <w:ind w:left="420"/>
              <w:jc w:val="center"/>
              <w:outlineLvl w:val="1"/>
              <w:rPr>
                <w:rFonts w:ascii="宋体" w:hAnsi="宋体" w:eastAsia="宋体" w:cs="宋体"/>
                <w:b/>
                <w:bCs/>
                <w:color w:val="auto"/>
                <w:szCs w:val="21"/>
                <w:highlight w:val="none"/>
              </w:rPr>
            </w:pPr>
            <w:bookmarkStart w:id="361" w:name="_Toc168994642"/>
            <w:r>
              <w:rPr>
                <w:rFonts w:hint="eastAsia" w:ascii="宋体" w:hAnsi="宋体" w:eastAsia="宋体" w:cs="宋体"/>
                <w:b/>
                <w:bCs/>
                <w:color w:val="auto"/>
                <w:szCs w:val="21"/>
                <w:highlight w:val="none"/>
              </w:rPr>
              <w:t>合同价格内部分摊表</w:t>
            </w:r>
            <w:bookmarkEnd w:id="361"/>
            <w:bookmarkStart w:id="362" w:name="_Toc168994643"/>
            <w:r>
              <w:rPr>
                <w:rFonts w:hint="eastAsia" w:ascii="宋体" w:hAnsi="宋体" w:eastAsia="宋体" w:cs="宋体"/>
                <w:b/>
                <w:bCs/>
                <w:color w:val="auto"/>
                <w:szCs w:val="21"/>
                <w:highlight w:val="none"/>
              </w:rPr>
              <w:t>项目公司</w:t>
            </w:r>
            <w:bookmarkEnd w:id="362"/>
          </w:p>
        </w:tc>
        <w:tc>
          <w:tcPr>
            <w:tcW w:w="5394" w:type="dxa"/>
          </w:tcPr>
          <w:p w14:paraId="6715E1E8">
            <w:pPr>
              <w:spacing w:before="120" w:beforeLines="50"/>
              <w:ind w:left="420"/>
              <w:jc w:val="center"/>
              <w:outlineLvl w:val="1"/>
              <w:rPr>
                <w:rFonts w:ascii="宋体" w:hAnsi="宋体" w:eastAsia="宋体" w:cs="宋体"/>
                <w:b/>
                <w:bCs/>
                <w:color w:val="auto"/>
                <w:szCs w:val="21"/>
                <w:highlight w:val="none"/>
              </w:rPr>
            </w:pPr>
            <w:bookmarkStart w:id="363" w:name="_Toc168994644"/>
            <w:r>
              <w:rPr>
                <w:rFonts w:hint="eastAsia" w:ascii="宋体" w:hAnsi="宋体" w:eastAsia="宋体" w:cs="宋体"/>
                <w:b/>
                <w:bCs/>
                <w:color w:val="auto"/>
                <w:szCs w:val="21"/>
                <w:highlight w:val="none"/>
              </w:rPr>
              <w:t>分摊金额（含税）</w:t>
            </w:r>
            <w:bookmarkEnd w:id="363"/>
          </w:p>
        </w:tc>
      </w:tr>
      <w:tr w14:paraId="6B09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1" w:type="dxa"/>
          </w:tcPr>
          <w:p w14:paraId="0960ABDC">
            <w:pPr>
              <w:spacing w:before="120" w:beforeLines="50"/>
              <w:jc w:val="center"/>
              <w:outlineLvl w:val="1"/>
              <w:rPr>
                <w:rFonts w:hint="eastAsia" w:ascii="宋体" w:hAnsi="宋体" w:eastAsia="宋体" w:cs="宋体"/>
                <w:b/>
                <w:bCs/>
                <w:color w:val="auto"/>
                <w:szCs w:val="21"/>
                <w:highlight w:val="none"/>
                <w:lang w:eastAsia="zh-CN"/>
              </w:rPr>
            </w:pPr>
            <w:r>
              <w:rPr>
                <w:rFonts w:hint="eastAsia" w:ascii="宋体" w:hAnsi="宋体" w:eastAsia="宋体" w:cs="宋体"/>
                <w:bCs/>
                <w:color w:val="auto"/>
                <w:szCs w:val="21"/>
                <w:highlight w:val="none"/>
                <w:lang w:eastAsia="zh-CN"/>
              </w:rPr>
              <w:t>东莞市水务环境投资控股集团管网有限公司</w:t>
            </w:r>
          </w:p>
        </w:tc>
        <w:tc>
          <w:tcPr>
            <w:tcW w:w="5394" w:type="dxa"/>
          </w:tcPr>
          <w:p w14:paraId="69917C3D">
            <w:pPr>
              <w:spacing w:before="120" w:beforeLines="50"/>
              <w:jc w:val="center"/>
              <w:outlineLvl w:val="1"/>
              <w:rPr>
                <w:rFonts w:ascii="宋体" w:hAnsi="宋体" w:eastAsia="宋体" w:cs="宋体"/>
                <w:color w:val="auto"/>
                <w:szCs w:val="21"/>
                <w:highlight w:val="none"/>
              </w:rPr>
            </w:pPr>
          </w:p>
        </w:tc>
      </w:tr>
      <w:tr w14:paraId="26A1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1" w:type="dxa"/>
          </w:tcPr>
          <w:p w14:paraId="203D7268">
            <w:pPr>
              <w:spacing w:before="120" w:beforeLines="50"/>
              <w:jc w:val="center"/>
              <w:outlineLvl w:val="1"/>
              <w:rPr>
                <w:rFonts w:ascii="宋体" w:hAnsi="宋体" w:eastAsia="宋体" w:cs="宋体"/>
                <w:b/>
                <w:bCs/>
                <w:color w:val="auto"/>
                <w:szCs w:val="21"/>
                <w:highlight w:val="none"/>
              </w:rPr>
            </w:pPr>
            <w:bookmarkStart w:id="364" w:name="_Toc168994646"/>
            <w:r>
              <w:rPr>
                <w:rFonts w:hint="eastAsia" w:ascii="宋体" w:hAnsi="宋体" w:eastAsia="宋体" w:cs="宋体"/>
                <w:bCs/>
                <w:color w:val="auto"/>
                <w:szCs w:val="21"/>
                <w:highlight w:val="none"/>
              </w:rPr>
              <w:t>东莞市莞泽水环境投资有限公司</w:t>
            </w:r>
            <w:bookmarkEnd w:id="364"/>
          </w:p>
        </w:tc>
        <w:tc>
          <w:tcPr>
            <w:tcW w:w="5394" w:type="dxa"/>
          </w:tcPr>
          <w:p w14:paraId="5524B91E">
            <w:pPr>
              <w:spacing w:before="120" w:beforeLines="50"/>
              <w:jc w:val="center"/>
              <w:outlineLvl w:val="1"/>
              <w:rPr>
                <w:rFonts w:ascii="宋体" w:hAnsi="宋体" w:eastAsia="宋体" w:cs="宋体"/>
                <w:color w:val="auto"/>
                <w:szCs w:val="21"/>
                <w:highlight w:val="none"/>
              </w:rPr>
            </w:pPr>
          </w:p>
        </w:tc>
      </w:tr>
      <w:tr w14:paraId="1FFB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1" w:type="dxa"/>
          </w:tcPr>
          <w:p w14:paraId="43F5BA79">
            <w:pPr>
              <w:spacing w:before="120" w:beforeLines="50"/>
              <w:jc w:val="center"/>
              <w:outlineLvl w:val="1"/>
              <w:rPr>
                <w:rFonts w:ascii="宋体" w:hAnsi="宋体" w:eastAsia="宋体" w:cs="宋体"/>
                <w:b/>
                <w:bCs/>
                <w:color w:val="auto"/>
                <w:szCs w:val="21"/>
                <w:highlight w:val="none"/>
              </w:rPr>
            </w:pPr>
            <w:bookmarkStart w:id="365" w:name="_Toc168994647"/>
            <w:r>
              <w:rPr>
                <w:rFonts w:hint="eastAsia" w:ascii="宋体" w:hAnsi="宋体" w:eastAsia="宋体" w:cs="宋体"/>
                <w:bCs/>
                <w:color w:val="auto"/>
                <w:szCs w:val="21"/>
                <w:highlight w:val="none"/>
              </w:rPr>
              <w:t>东莞市东信水环境投资有限公司</w:t>
            </w:r>
            <w:bookmarkEnd w:id="365"/>
          </w:p>
        </w:tc>
        <w:tc>
          <w:tcPr>
            <w:tcW w:w="5394" w:type="dxa"/>
          </w:tcPr>
          <w:p w14:paraId="18044D5D">
            <w:pPr>
              <w:spacing w:before="120" w:beforeLines="50"/>
              <w:jc w:val="center"/>
              <w:outlineLvl w:val="1"/>
              <w:rPr>
                <w:rFonts w:ascii="宋体" w:hAnsi="宋体" w:eastAsia="宋体" w:cs="宋体"/>
                <w:color w:val="auto"/>
                <w:szCs w:val="21"/>
                <w:highlight w:val="none"/>
              </w:rPr>
            </w:pPr>
          </w:p>
        </w:tc>
      </w:tr>
      <w:tr w14:paraId="6238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1" w:type="dxa"/>
          </w:tcPr>
          <w:p w14:paraId="64DE968A">
            <w:pPr>
              <w:spacing w:before="120" w:beforeLines="50"/>
              <w:jc w:val="center"/>
              <w:outlineLvl w:val="1"/>
              <w:rPr>
                <w:rFonts w:ascii="宋体" w:hAnsi="宋体" w:eastAsia="宋体" w:cs="宋体"/>
                <w:bCs/>
                <w:color w:val="auto"/>
                <w:szCs w:val="21"/>
                <w:highlight w:val="none"/>
              </w:rPr>
            </w:pPr>
            <w:bookmarkStart w:id="366" w:name="_Toc168994648"/>
            <w:r>
              <w:rPr>
                <w:rFonts w:hint="eastAsia" w:ascii="宋体" w:hAnsi="宋体" w:eastAsia="宋体" w:cs="宋体"/>
                <w:bCs/>
                <w:color w:val="auto"/>
                <w:szCs w:val="21"/>
                <w:highlight w:val="none"/>
              </w:rPr>
              <w:t>东莞市东泽水环境投资有限公司</w:t>
            </w:r>
            <w:bookmarkEnd w:id="366"/>
          </w:p>
        </w:tc>
        <w:tc>
          <w:tcPr>
            <w:tcW w:w="5394" w:type="dxa"/>
          </w:tcPr>
          <w:p w14:paraId="1AEE8AB2">
            <w:pPr>
              <w:spacing w:before="120" w:beforeLines="50"/>
              <w:jc w:val="center"/>
              <w:outlineLvl w:val="1"/>
              <w:rPr>
                <w:rFonts w:ascii="宋体" w:hAnsi="宋体" w:eastAsia="宋体" w:cs="宋体"/>
                <w:color w:val="auto"/>
                <w:szCs w:val="21"/>
                <w:highlight w:val="none"/>
              </w:rPr>
            </w:pPr>
          </w:p>
        </w:tc>
      </w:tr>
      <w:tr w14:paraId="4BA7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1" w:type="dxa"/>
          </w:tcPr>
          <w:p w14:paraId="04C9E464">
            <w:pPr>
              <w:spacing w:before="120" w:beforeLines="50"/>
              <w:jc w:val="center"/>
              <w:outlineLvl w:val="1"/>
              <w:rPr>
                <w:rFonts w:ascii="宋体" w:hAnsi="宋体" w:eastAsia="宋体" w:cs="宋体"/>
                <w:b/>
                <w:bCs/>
                <w:color w:val="auto"/>
                <w:szCs w:val="21"/>
                <w:highlight w:val="none"/>
              </w:rPr>
            </w:pPr>
            <w:bookmarkStart w:id="367" w:name="_Toc168994649"/>
            <w:r>
              <w:rPr>
                <w:rFonts w:hint="eastAsia" w:ascii="宋体" w:hAnsi="宋体" w:eastAsia="宋体" w:cs="宋体"/>
                <w:bCs/>
                <w:color w:val="auto"/>
                <w:szCs w:val="21"/>
                <w:highlight w:val="none"/>
              </w:rPr>
              <w:t>东莞市清泽水环境投资有限公司</w:t>
            </w:r>
            <w:bookmarkEnd w:id="367"/>
          </w:p>
        </w:tc>
        <w:tc>
          <w:tcPr>
            <w:tcW w:w="5394" w:type="dxa"/>
          </w:tcPr>
          <w:p w14:paraId="1C2F4F02">
            <w:pPr>
              <w:spacing w:before="120" w:beforeLines="50"/>
              <w:jc w:val="center"/>
              <w:outlineLvl w:val="1"/>
              <w:rPr>
                <w:rFonts w:ascii="宋体" w:hAnsi="宋体" w:eastAsia="宋体" w:cs="宋体"/>
                <w:color w:val="auto"/>
                <w:szCs w:val="21"/>
                <w:highlight w:val="none"/>
              </w:rPr>
            </w:pPr>
          </w:p>
        </w:tc>
      </w:tr>
      <w:tr w14:paraId="7BEF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1" w:type="dxa"/>
          </w:tcPr>
          <w:p w14:paraId="1E1AEA41">
            <w:pPr>
              <w:spacing w:before="120" w:beforeLines="50"/>
              <w:jc w:val="center"/>
              <w:outlineLvl w:val="1"/>
              <w:rPr>
                <w:rFonts w:ascii="宋体" w:hAnsi="宋体" w:eastAsia="宋体" w:cs="宋体"/>
                <w:color w:val="auto"/>
                <w:szCs w:val="21"/>
                <w:highlight w:val="none"/>
              </w:rPr>
            </w:pPr>
            <w:bookmarkStart w:id="368" w:name="_Toc168994650"/>
            <w:r>
              <w:rPr>
                <w:rFonts w:hint="eastAsia" w:ascii="宋体" w:hAnsi="宋体" w:eastAsia="宋体" w:cs="宋体"/>
                <w:bCs/>
                <w:color w:val="auto"/>
                <w:szCs w:val="21"/>
                <w:highlight w:val="none"/>
              </w:rPr>
              <w:t>东莞市莞清水环境投资有限公司</w:t>
            </w:r>
            <w:bookmarkEnd w:id="368"/>
          </w:p>
        </w:tc>
        <w:tc>
          <w:tcPr>
            <w:tcW w:w="5394" w:type="dxa"/>
          </w:tcPr>
          <w:p w14:paraId="42B77E3B">
            <w:pPr>
              <w:spacing w:before="120" w:beforeLines="50"/>
              <w:jc w:val="center"/>
              <w:outlineLvl w:val="1"/>
              <w:rPr>
                <w:rFonts w:ascii="宋体" w:hAnsi="宋体" w:eastAsia="宋体" w:cs="宋体"/>
                <w:color w:val="auto"/>
                <w:szCs w:val="21"/>
                <w:highlight w:val="none"/>
              </w:rPr>
            </w:pPr>
          </w:p>
        </w:tc>
      </w:tr>
      <w:tr w14:paraId="2E57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1" w:type="dxa"/>
          </w:tcPr>
          <w:p w14:paraId="77828038">
            <w:pPr>
              <w:spacing w:before="120" w:beforeLines="50"/>
              <w:jc w:val="center"/>
              <w:outlineLvl w:val="1"/>
              <w:rPr>
                <w:rFonts w:ascii="宋体" w:hAnsi="宋体" w:eastAsia="宋体" w:cs="宋体"/>
                <w:bCs/>
                <w:color w:val="auto"/>
                <w:szCs w:val="21"/>
                <w:highlight w:val="none"/>
              </w:rPr>
            </w:pPr>
            <w:bookmarkStart w:id="369" w:name="_Toc168994651"/>
            <w:r>
              <w:rPr>
                <w:rFonts w:hint="eastAsia" w:ascii="宋体" w:hAnsi="宋体" w:eastAsia="宋体" w:cs="宋体"/>
                <w:bCs/>
                <w:color w:val="auto"/>
                <w:szCs w:val="21"/>
                <w:highlight w:val="none"/>
              </w:rPr>
              <w:t>东莞市东江水环境投资有限公司</w:t>
            </w:r>
            <w:bookmarkEnd w:id="369"/>
          </w:p>
        </w:tc>
        <w:tc>
          <w:tcPr>
            <w:tcW w:w="5394" w:type="dxa"/>
          </w:tcPr>
          <w:p w14:paraId="01FE1E6C">
            <w:pPr>
              <w:spacing w:before="120" w:beforeLines="50"/>
              <w:jc w:val="center"/>
              <w:outlineLvl w:val="1"/>
              <w:rPr>
                <w:rFonts w:ascii="宋体" w:hAnsi="宋体" w:eastAsia="宋体" w:cs="宋体"/>
                <w:color w:val="auto"/>
                <w:szCs w:val="21"/>
                <w:highlight w:val="none"/>
              </w:rPr>
            </w:pPr>
          </w:p>
        </w:tc>
      </w:tr>
      <w:tr w14:paraId="2007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5" w:type="dxa"/>
            <w:gridSpan w:val="2"/>
          </w:tcPr>
          <w:p w14:paraId="3F1ED318">
            <w:pPr>
              <w:spacing w:before="120" w:beforeLines="50"/>
              <w:jc w:val="center"/>
              <w:outlineLvl w:val="1"/>
              <w:rPr>
                <w:rFonts w:ascii="宋体" w:hAnsi="宋体" w:eastAsia="宋体" w:cs="宋体"/>
                <w:color w:val="auto"/>
                <w:szCs w:val="21"/>
                <w:highlight w:val="none"/>
              </w:rPr>
            </w:pPr>
            <w:bookmarkStart w:id="370" w:name="_Toc168994652"/>
            <w:r>
              <w:rPr>
                <w:rFonts w:hint="eastAsia" w:ascii="宋体" w:hAnsi="宋体" w:eastAsia="宋体" w:cs="宋体"/>
                <w:color w:val="auto"/>
                <w:szCs w:val="21"/>
                <w:highlight w:val="none"/>
              </w:rPr>
              <w:t>总计：        元</w:t>
            </w:r>
            <w:bookmarkEnd w:id="370"/>
          </w:p>
        </w:tc>
      </w:tr>
    </w:tbl>
    <w:p w14:paraId="6B551A48">
      <w:pPr>
        <w:spacing w:line="360" w:lineRule="auto"/>
        <w:ind w:firstLine="420" w:firstLineChars="200"/>
        <w:rPr>
          <w:rFonts w:hint="eastAsia" w:ascii="宋体" w:hAnsi="宋体" w:eastAsia="宋体" w:cs="宋体"/>
          <w:color w:val="auto"/>
          <w:szCs w:val="21"/>
          <w:highlight w:val="none"/>
        </w:rPr>
      </w:pPr>
    </w:p>
    <w:p w14:paraId="050726A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乙方按项目供货清单提供货物价款等额合法的增值税专用发票、请款报告等请款资料，逾期提交请款资料及发票或提交资料不符合甲方要求的，甲方付款时间顺延，并不承担逾期付款违约责任。由于乙方提供的发票不符合税法规定，给甲方造成的损失由乙方承担赔偿责任。</w:t>
      </w:r>
    </w:p>
    <w:p w14:paraId="5F3E4B5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合同的履约过程中，乙方根据本合同约定需向甲方支付违约金、赔偿金、或其他应付费用等款项的，乙方必须先向甲方支付相关款项后，甲方才根据本合同向乙方支付合同价款。若因乙方未能支付前述费用，影响项目实施的，甲方有权启用履约担保或直接从未付合同款项中直接扣除，且乙方必须按照扣除前述费用前的合同价款开具增值税专用发票，保证增值税税额符合法律规定。</w:t>
      </w:r>
    </w:p>
    <w:p w14:paraId="35B02FF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8、乙方指定收款账户：</w:t>
      </w:r>
    </w:p>
    <w:p w14:paraId="168F72B0">
      <w:pPr>
        <w:spacing w:line="360" w:lineRule="auto"/>
        <w:ind w:left="72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户名： </w:t>
      </w:r>
    </w:p>
    <w:p w14:paraId="411C9C17">
      <w:pPr>
        <w:spacing w:line="360" w:lineRule="auto"/>
        <w:ind w:left="72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开户行： </w:t>
      </w:r>
    </w:p>
    <w:p w14:paraId="66197177">
      <w:pPr>
        <w:spacing w:line="360" w:lineRule="auto"/>
        <w:ind w:left="720"/>
        <w:rPr>
          <w:rFonts w:ascii="宋体" w:hAnsi="宋体" w:eastAsia="宋体" w:cs="宋体"/>
          <w:color w:val="auto"/>
          <w:szCs w:val="21"/>
          <w:highlight w:val="none"/>
        </w:rPr>
      </w:pPr>
      <w:r>
        <w:rPr>
          <w:rFonts w:hint="eastAsia" w:ascii="宋体" w:hAnsi="宋体" w:eastAsia="宋体" w:cs="宋体"/>
          <w:color w:val="auto"/>
          <w:szCs w:val="21"/>
          <w:highlight w:val="none"/>
        </w:rPr>
        <w:t>账号：</w:t>
      </w:r>
    </w:p>
    <w:p w14:paraId="7768F623">
      <w:pPr>
        <w:spacing w:line="360" w:lineRule="auto"/>
        <w:ind w:firstLine="420"/>
        <w:rPr>
          <w:rFonts w:ascii="宋体" w:hAnsi="宋体" w:eastAsia="宋体" w:cs="宋体"/>
          <w:color w:val="auto"/>
          <w:szCs w:val="21"/>
          <w:highlight w:val="none"/>
          <w:u w:val="words"/>
          <w:lang w:eastAsia="zh-Hans"/>
        </w:rPr>
      </w:pPr>
      <w:r>
        <w:rPr>
          <w:rFonts w:hint="eastAsia" w:ascii="宋体" w:hAnsi="宋体" w:eastAsia="宋体" w:cs="宋体"/>
          <w:color w:val="auto"/>
          <w:szCs w:val="21"/>
          <w:highlight w:val="none"/>
          <w:u w:val="words"/>
          <w:lang w:eastAsia="zh-Hans"/>
        </w:rPr>
        <w:t>乙方确认本合同项下的款项均支付至上述银行账户，甲方将款项支付至乙方指定账户即完成支付义务。如乙方收款账户发生任何变更，乙方应至少提前【15】个工作日书面通知甲方</w:t>
      </w:r>
      <w:r>
        <w:rPr>
          <w:rFonts w:hint="eastAsia" w:ascii="宋体" w:hAnsi="宋体" w:eastAsia="宋体" w:cs="宋体"/>
          <w:color w:val="auto"/>
          <w:szCs w:val="21"/>
          <w:highlight w:val="none"/>
          <w:u w:val="words"/>
          <w:lang w:eastAsia="zh-CN"/>
        </w:rPr>
        <w:t>，若乙方已经开具了发票，应按变更后的收款账户信息重新开具发票。乙方因重新开具发票所产生的费用由乙方自行承担，乙方不得以此为由向甲方追偿。</w:t>
      </w:r>
      <w:r>
        <w:rPr>
          <w:rFonts w:hint="eastAsia" w:ascii="宋体" w:hAnsi="宋体" w:eastAsia="宋体" w:cs="宋体"/>
          <w:color w:val="auto"/>
          <w:szCs w:val="21"/>
          <w:highlight w:val="none"/>
          <w:u w:val="words"/>
          <w:lang w:eastAsia="zh-Hans"/>
        </w:rPr>
        <w:t>因未及时通知或因上述银行账户被查封、冻结或发生其他非因甲方原因导致款项未能及时到账的，因此导致的后果由乙方自行承担，与甲方无关。</w:t>
      </w:r>
    </w:p>
    <w:p w14:paraId="5F7A6918">
      <w:pPr>
        <w:spacing w:line="360" w:lineRule="auto"/>
        <w:ind w:firstLine="420"/>
        <w:rPr>
          <w:rFonts w:ascii="宋体" w:hAnsi="宋体" w:eastAsia="宋体" w:cs="宋体"/>
          <w:color w:val="auto"/>
          <w:szCs w:val="21"/>
          <w:highlight w:val="none"/>
          <w:u w:val="words"/>
        </w:rPr>
      </w:pPr>
      <w:r>
        <w:rPr>
          <w:rFonts w:hint="eastAsia" w:ascii="宋体" w:hAnsi="宋体" w:eastAsia="宋体" w:cs="宋体"/>
          <w:color w:val="auto"/>
          <w:szCs w:val="21"/>
          <w:highlight w:val="none"/>
          <w:u w:val="words"/>
          <w:lang w:eastAsia="zh-Hans"/>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w:t>
      </w:r>
      <w:r>
        <w:rPr>
          <w:rFonts w:hint="eastAsia" w:ascii="宋体" w:hAnsi="宋体" w:eastAsia="宋体" w:cs="宋体"/>
          <w:color w:val="auto"/>
          <w:szCs w:val="21"/>
          <w:highlight w:val="none"/>
          <w:u w:val="single"/>
          <w:lang w:eastAsia="zh-Hans"/>
        </w:rPr>
        <w:t>请款金额×（1+本合同约定的增值税税率）”</w:t>
      </w:r>
      <w:r>
        <w:rPr>
          <w:rFonts w:hint="eastAsia" w:ascii="宋体" w:hAnsi="宋体" w:eastAsia="宋体" w:cs="宋体"/>
          <w:color w:val="auto"/>
          <w:szCs w:val="21"/>
          <w:highlight w:val="none"/>
          <w:u w:val="words"/>
          <w:lang w:eastAsia="zh-Hans"/>
        </w:rPr>
        <w:t>，对于多出的税款金额，乙方自愿放弃。</w:t>
      </w:r>
    </w:p>
    <w:p w14:paraId="6D4269A2">
      <w:pPr>
        <w:spacing w:line="360" w:lineRule="auto"/>
        <w:ind w:firstLine="420"/>
        <w:rPr>
          <w:rFonts w:ascii="宋体" w:hAnsi="宋体" w:eastAsia="宋体" w:cs="宋体"/>
          <w:color w:val="auto"/>
          <w:szCs w:val="21"/>
          <w:highlight w:val="none"/>
          <w:u w:val="words"/>
        </w:rPr>
      </w:pPr>
      <w:r>
        <w:rPr>
          <w:rFonts w:hint="eastAsia" w:ascii="宋体" w:hAnsi="宋体" w:eastAsia="宋体" w:cs="宋体"/>
          <w:color w:val="auto"/>
          <w:szCs w:val="21"/>
          <w:highlight w:val="none"/>
          <w:u w:val="words"/>
          <w:lang w:val="en-US" w:eastAsia="zh-CN"/>
        </w:rPr>
        <w:t>9</w:t>
      </w:r>
      <w:r>
        <w:rPr>
          <w:rFonts w:hint="eastAsia" w:ascii="宋体" w:hAnsi="宋体" w:eastAsia="宋体" w:cs="宋体"/>
          <w:color w:val="auto"/>
          <w:szCs w:val="21"/>
          <w:highlight w:val="none"/>
          <w:u w:val="words"/>
        </w:rPr>
        <w:t>、乙方根据本合同约定向甲方支付违约金、赔偿金、或其他应付费用等款项，由乙方支付给对应合同主体（如果本合同存在多个甲方，则对应支付给相应甲方）。</w:t>
      </w:r>
    </w:p>
    <w:p w14:paraId="6B54181B">
      <w:pPr>
        <w:spacing w:line="360" w:lineRule="auto"/>
        <w:outlineLvl w:val="1"/>
        <w:rPr>
          <w:rFonts w:hint="eastAsia" w:ascii="宋体" w:hAnsi="宋体" w:eastAsia="宋体" w:cs="宋体"/>
          <w:b/>
          <w:color w:val="auto"/>
          <w:szCs w:val="21"/>
          <w:highlight w:val="none"/>
        </w:rPr>
      </w:pPr>
      <w:bookmarkStart w:id="371" w:name="_Toc169091765"/>
    </w:p>
    <w:p w14:paraId="42733F97">
      <w:pPr>
        <w:spacing w:line="360" w:lineRule="auto"/>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八</w:t>
      </w:r>
      <w:r>
        <w:rPr>
          <w:rFonts w:hint="eastAsia" w:ascii="宋体" w:hAnsi="宋体" w:eastAsia="宋体" w:cs="宋体"/>
          <w:b/>
          <w:color w:val="auto"/>
          <w:szCs w:val="21"/>
          <w:highlight w:val="none"/>
        </w:rPr>
        <w:t>条 质保及售后要求</w:t>
      </w:r>
      <w:bookmarkEnd w:id="371"/>
    </w:p>
    <w:p w14:paraId="0EDD619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1、质保期为三个月，自乙方完成每次配送清单的所有货物并经甲方最终验收合格之日起计算。质保期内乙方</w:t>
      </w:r>
      <w:r>
        <w:rPr>
          <w:rFonts w:hint="eastAsia" w:ascii="宋体" w:hAnsi="宋体" w:eastAsia="宋体" w:cs="宋体"/>
          <w:color w:val="auto"/>
          <w:szCs w:val="21"/>
          <w:highlight w:val="none"/>
          <w:lang w:eastAsia="zh-Hans"/>
        </w:rPr>
        <w:t>在收到质保通知之日起【</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Hans"/>
        </w:rPr>
        <w:t>】日内</w:t>
      </w:r>
      <w:r>
        <w:rPr>
          <w:rFonts w:hint="eastAsia" w:ascii="宋体" w:hAnsi="宋体" w:eastAsia="宋体" w:cs="宋体"/>
          <w:color w:val="auto"/>
          <w:szCs w:val="21"/>
          <w:highlight w:val="none"/>
        </w:rPr>
        <w:t>免费提供上门服务（该费用已包含在货款内）。若货物厂家出厂时承诺更长的质保期限或更高标准的质保义务的，乙方需按厂家承诺提供质保服务。在质量保证期内，甲方如发现货物的质量、规格、性能、数量等不符合要求的，或发现货物无论由于任何原因存在隐藏缺陷、工艺问题或使用不良的材料的，或出现其他质量问题的，乙方应根据甲方指示无条件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个工作日内进行免费更换或无条件退货，直至货物可以正常使用且符合本合同相关要求，由此发生的相关费用由乙方承担。</w:t>
      </w:r>
      <w:r>
        <w:rPr>
          <w:rFonts w:hint="eastAsia" w:ascii="宋体" w:hAnsi="宋体" w:eastAsia="宋体" w:cs="宋体"/>
          <w:color w:val="auto"/>
          <w:szCs w:val="21"/>
          <w:highlight w:val="none"/>
          <w:lang w:eastAsia="zh-Hans"/>
        </w:rPr>
        <w:t>若</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Hans"/>
        </w:rPr>
        <w:t>逾期提供质保服务或未能对具有质量问题的货物进行维护的，甲方有权另行委托第三方对上述货物进行维护，因此产生的所有费用均由乙方承担。</w:t>
      </w:r>
    </w:p>
    <w:p w14:paraId="6F7EBCB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2、质保期内，若货物经 1 次维修或维修时间超过1个月，仍不能正常使用的，乙方应免费给予更换，被更换的货物的质保期为从更换日起重新计算。</w:t>
      </w:r>
    </w:p>
    <w:p w14:paraId="57B098DC">
      <w:pPr>
        <w:spacing w:line="360" w:lineRule="auto"/>
        <w:ind w:right="-28"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3、在合同规定的质保期内，当货物出现故障问题时，乙方接到甲方通知后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小时内响应，</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小时内赶到现场维修或更换，保证货物的正常使用，且不得另行收取任何费用。</w:t>
      </w:r>
    </w:p>
    <w:p w14:paraId="3E246F2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由甲方负责所供货物的安装工作，甲方在安装、使用货物时所遇技术问题，乙方应按甲方要求及时向甲方提供技术指导服务，避免因安装失误而导致设备损坏。如因乙方所未进行安装培训或指导，导致甲方设备损坏的，乙方需对该设备进行维修，所产生的费用由乙方负责。</w:t>
      </w:r>
    </w:p>
    <w:p w14:paraId="1A67EA3D">
      <w:pPr>
        <w:spacing w:line="360" w:lineRule="auto"/>
        <w:ind w:right="-26"/>
        <w:rPr>
          <w:rFonts w:ascii="宋体" w:hAnsi="宋体" w:eastAsia="宋体" w:cs="宋体"/>
          <w:color w:val="auto"/>
          <w:szCs w:val="21"/>
          <w:highlight w:val="none"/>
        </w:rPr>
      </w:pPr>
    </w:p>
    <w:p w14:paraId="51A91FF2">
      <w:pPr>
        <w:spacing w:line="360" w:lineRule="auto"/>
        <w:outlineLvl w:val="1"/>
        <w:rPr>
          <w:rFonts w:ascii="宋体" w:hAnsi="宋体" w:eastAsia="宋体" w:cs="宋体"/>
          <w:color w:val="auto"/>
          <w:szCs w:val="21"/>
          <w:highlight w:val="none"/>
        </w:rPr>
      </w:pPr>
      <w:bookmarkStart w:id="372" w:name="_Toc169091766"/>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九</w:t>
      </w:r>
      <w:r>
        <w:rPr>
          <w:rFonts w:hint="eastAsia" w:ascii="宋体" w:hAnsi="宋体" w:eastAsia="宋体" w:cs="宋体"/>
          <w:b/>
          <w:color w:val="auto"/>
          <w:szCs w:val="21"/>
          <w:highlight w:val="none"/>
        </w:rPr>
        <w:t>条 履约担保</w:t>
      </w:r>
      <w:bookmarkEnd w:id="372"/>
    </w:p>
    <w:p w14:paraId="44B05E42">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1、乙方应在签订合同前且中标通知书发出之日起30日内，按招标文件规定金额及形式要求，不可撤销银行履约保函（或履约保证金或履约保证保险或担保公司履约担保书），作为履约担保（所需费用由乙方自行承担），否则甲方可有权取消乙方的中标资格，并不予退还其投标保证金。其中，采用履约保证金（银行转账形式）的金额为合同含税总价的5%，采用不可撤销银行履约保函（履约保证保险）形式的金额为合同含税总价的8%，采用担保公司履约担保书形式的金额为合同含税总价的10%。乙方开具的履约担保受益人为东莞市水务环境投资控股集团管网有限公司、东莞市莞泽水环境投资有限公司、东莞市东信水环境投资有限公司、东莞市东泽水环境投资有限公司、东莞市清泽水环境投资有限公司、东莞市莞清水环境投资有限公司、东莞市东江水环境投资有限公司。履约担保形式及金额由乙方从以下方式中任选一种：</w:t>
      </w:r>
    </w:p>
    <w:p w14:paraId="09CB31D5">
      <w:pPr>
        <w:spacing w:line="360" w:lineRule="auto"/>
        <w:ind w:firstLine="371" w:firstLineChars="177"/>
        <w:rPr>
          <w:rFonts w:ascii="宋体" w:hAnsi="宋体" w:eastAsia="宋体" w:cs="宋体"/>
          <w:color w:val="auto"/>
          <w:szCs w:val="21"/>
          <w:highlight w:val="none"/>
          <w:u w:val="singl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履约保证金（银行转账形式）金额【暂定总合同价（含税）的5%】为人民币      ；</w:t>
      </w:r>
    </w:p>
    <w:p w14:paraId="08AE2309">
      <w:pPr>
        <w:spacing w:line="360" w:lineRule="auto"/>
        <w:ind w:firstLine="371" w:firstLineChars="177"/>
        <w:rPr>
          <w:rFonts w:ascii="宋体" w:hAnsi="宋体" w:eastAsia="宋体" w:cs="宋体"/>
          <w:color w:val="auto"/>
          <w:szCs w:val="21"/>
          <w:highlight w:val="none"/>
          <w:u w:val="singl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不可撤销银行履约保函金额【暂定总合同价（含税）的8%】为</w:t>
      </w:r>
      <w:r>
        <w:rPr>
          <w:rFonts w:hint="eastAsia" w:ascii="宋体" w:hAnsi="宋体" w:eastAsia="宋体" w:cs="宋体"/>
          <w:color w:val="auto"/>
          <w:szCs w:val="21"/>
          <w:highlight w:val="none"/>
          <w:u w:val="single"/>
          <w:lang w:val="zh-CN"/>
        </w:rPr>
        <w:t>人民币</w:t>
      </w:r>
      <w:r>
        <w:rPr>
          <w:rFonts w:hint="eastAsia" w:ascii="宋体" w:hAnsi="宋体" w:eastAsia="宋体" w:cs="宋体"/>
          <w:color w:val="auto"/>
          <w:szCs w:val="21"/>
          <w:highlight w:val="none"/>
          <w:u w:val="single"/>
        </w:rPr>
        <w:t xml:space="preserve">      ；</w:t>
      </w:r>
    </w:p>
    <w:p w14:paraId="5053A190">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u w:val="single"/>
          <w:lang w:bidi="ar"/>
        </w:rPr>
        <w:t>履约保证保险金额</w:t>
      </w:r>
      <w:r>
        <w:rPr>
          <w:rFonts w:hint="eastAsia" w:ascii="宋体" w:hAnsi="宋体" w:eastAsia="宋体" w:cs="宋体"/>
          <w:color w:val="auto"/>
          <w:szCs w:val="21"/>
          <w:highlight w:val="none"/>
          <w:u w:val="single"/>
        </w:rPr>
        <w:t>【暂定总合同价（含税）的8%】</w:t>
      </w:r>
      <w:r>
        <w:rPr>
          <w:rFonts w:hint="eastAsia" w:ascii="宋体" w:hAnsi="宋体" w:eastAsia="宋体" w:cs="宋体"/>
          <w:color w:val="auto"/>
          <w:szCs w:val="21"/>
          <w:highlight w:val="none"/>
          <w:u w:val="single"/>
          <w:lang w:bidi="ar"/>
        </w:rPr>
        <w:t>为</w:t>
      </w:r>
      <w:r>
        <w:rPr>
          <w:rFonts w:hint="eastAsia" w:ascii="宋体" w:hAnsi="宋体" w:eastAsia="宋体" w:cs="宋体"/>
          <w:color w:val="auto"/>
          <w:szCs w:val="21"/>
          <w:highlight w:val="none"/>
          <w:u w:val="single"/>
        </w:rPr>
        <w:t xml:space="preserve">人民币      </w:t>
      </w:r>
      <w:r>
        <w:rPr>
          <w:rFonts w:hint="eastAsia" w:ascii="宋体" w:hAnsi="宋体" w:eastAsia="宋体" w:cs="宋体"/>
          <w:color w:val="auto"/>
          <w:szCs w:val="21"/>
          <w:highlight w:val="none"/>
        </w:rPr>
        <w:t>；</w:t>
      </w:r>
    </w:p>
    <w:p w14:paraId="28DC4B31">
      <w:pPr>
        <w:spacing w:line="360" w:lineRule="auto"/>
        <w:ind w:right="-26" w:firstLine="371" w:firstLineChars="177"/>
        <w:rPr>
          <w:rFonts w:ascii="宋体" w:hAnsi="宋体" w:eastAsia="宋体" w:cs="宋体"/>
          <w:color w:val="auto"/>
          <w:szCs w:val="21"/>
          <w:highlight w:val="none"/>
          <w:u w:val="singl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担保公司履约担保书金额【暂定总合同价（含税）的10%】为人民币      。</w:t>
      </w:r>
    </w:p>
    <w:p w14:paraId="0CDDAD82">
      <w:pPr>
        <w:snapToGrid w:val="0"/>
        <w:spacing w:line="360" w:lineRule="auto"/>
        <w:ind w:firstLine="420" w:firstLineChars="200"/>
        <w:contextualSpacing/>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合同履行过程中，乙方给甲方造成的损失超过履约担保数额的，乙方还应当对超过部分予以赔偿，甲方并依法追究乙方的相应责任。</w:t>
      </w:r>
    </w:p>
    <w:p w14:paraId="339C81AF">
      <w:pPr>
        <w:snapToGrid w:val="0"/>
        <w:spacing w:line="360" w:lineRule="auto"/>
        <w:ind w:firstLine="420" w:firstLineChars="200"/>
        <w:contextualSpacing/>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采用履约保证金（银行转账形式）的，统一由甲方</w:t>
      </w:r>
      <w:r>
        <w:rPr>
          <w:rFonts w:hint="eastAsia" w:ascii="宋体" w:hAnsi="宋体" w:eastAsia="宋体" w:cs="宋体"/>
          <w:bCs/>
          <w:color w:val="auto"/>
          <w:szCs w:val="21"/>
          <w:highlight w:val="none"/>
          <w:lang w:eastAsia="zh-CN" w:bidi="ar"/>
        </w:rPr>
        <w:t>东莞市水务环境投资控股集团管网有限公司</w:t>
      </w:r>
      <w:r>
        <w:rPr>
          <w:rFonts w:hint="eastAsia" w:ascii="宋体" w:hAnsi="宋体" w:eastAsia="宋体" w:cs="宋体"/>
          <w:bCs/>
          <w:color w:val="auto"/>
          <w:szCs w:val="21"/>
          <w:highlight w:val="none"/>
          <w:lang w:bidi="ar"/>
        </w:rPr>
        <w:t>收取。存入以下指定银行账户，转账时备注“履行《东莞市水务环境投资控股集团管网有限公司2026年运维维修工器具类物资采购项目合同书》的保证金”。东莞市水务环境投资控股集团管网有限公司履约保证金收款账号为：</w:t>
      </w:r>
    </w:p>
    <w:p w14:paraId="78221DCC">
      <w:pPr>
        <w:snapToGrid w:val="0"/>
        <w:spacing w:line="360" w:lineRule="auto"/>
        <w:ind w:firstLine="420" w:firstLineChars="200"/>
        <w:contextualSpacing/>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开户名称：东莞市水务环境投资控股集团管网有限公司</w:t>
      </w:r>
    </w:p>
    <w:p w14:paraId="183A725A">
      <w:pPr>
        <w:snapToGrid w:val="0"/>
        <w:spacing w:line="360" w:lineRule="auto"/>
        <w:ind w:firstLine="420" w:firstLineChars="200"/>
        <w:contextualSpacing/>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银行账号：8114801014000043052</w:t>
      </w:r>
    </w:p>
    <w:p w14:paraId="4BC206BA">
      <w:pPr>
        <w:snapToGrid w:val="0"/>
        <w:spacing w:line="360" w:lineRule="auto"/>
        <w:ind w:firstLine="420" w:firstLineChars="200"/>
        <w:contextualSpacing/>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开户银行：中信银行东莞分行营业部</w:t>
      </w:r>
    </w:p>
    <w:p w14:paraId="02F021AA">
      <w:pPr>
        <w:snapToGrid w:val="0"/>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bCs/>
          <w:color w:val="auto"/>
          <w:szCs w:val="21"/>
          <w:highlight w:val="none"/>
          <w:lang w:bidi="ar"/>
        </w:rPr>
        <w:t>特别约定：任何一个合同甲方（东莞市水务环境投资控股集团管网有限公司、东莞市莞泽水环境投资有限公司、东莞市东信水环境投资有限公司、东莞市东泽水环境投资有限公司、东莞市清泽水环境投资有限公司、东莞市莞清水环境投资有限公司、东莞市东江水环境投资有限公司）均有权就全部的履约保证金金额进行索赔。</w:t>
      </w:r>
    </w:p>
    <w:p w14:paraId="556CC4D6">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2、履约担保用于补偿甲方因乙方不能完成其合同义务而蒙受的损失或其他合同约定的事项。如发生下列任一情况时，甲方有权依合同追究违约责任外，同时有权提取履约担保并进行相应处理：</w:t>
      </w:r>
    </w:p>
    <w:p w14:paraId="082C2039">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（1）乙方将合同项下乙方的权利义务全部转让给第三方，或者未经甲方书面同意，将</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rPr>
        <w:t>合同的部分权利义务转让给第三方的，甲方</w:t>
      </w:r>
      <w:r>
        <w:rPr>
          <w:rFonts w:hint="eastAsia" w:ascii="宋体" w:hAnsi="宋体" w:eastAsia="宋体" w:cs="宋体"/>
          <w:color w:val="auto"/>
          <w:szCs w:val="21"/>
          <w:highlight w:val="none"/>
          <w:lang w:val="en-US" w:eastAsia="zh-CN"/>
        </w:rPr>
        <w:t>可</w:t>
      </w:r>
      <w:r>
        <w:rPr>
          <w:rFonts w:hint="eastAsia" w:ascii="宋体" w:hAnsi="宋体" w:eastAsia="宋体" w:cs="宋体"/>
          <w:color w:val="auto"/>
          <w:szCs w:val="21"/>
          <w:highlight w:val="none"/>
        </w:rPr>
        <w:t>扣除其10%的履约担保。</w:t>
      </w:r>
    </w:p>
    <w:p w14:paraId="0AB6B151">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（2）在合同履行期间，乙方怠于履行合同义务，经甲方通知或要求承担违约金后仍拒不改正的，甲方可扣除其10%的履约担保。</w:t>
      </w:r>
    </w:p>
    <w:p w14:paraId="24973354">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3）在合同履行期间，因乙方货物、服务质量问题造成损害、侵权损失[包括但不限于甲方（含其人员）经济损失、第三人人身财产损失等]、拖欠原材料供应商货款或与其所雇用员工发生劳资纠纷、上访、闹事或其他影响甲方生产经营等情况而其未及时妥善处理的，甲方有权启用履约担保予以支付或作出相应处理，由此产生的一切法律后果由乙方承担。</w:t>
      </w:r>
    </w:p>
    <w:p w14:paraId="6893E002">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（4）在合同履行期间，乙方违约产生的违约金、赔偿、罚款或其他应付费用等款项，甲方有权直接从未付款项中直接扣除或启用履约担保予以支付。</w:t>
      </w:r>
    </w:p>
    <w:p w14:paraId="45A7A5ED">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（5）合同期内，乙方不能及时完成合同某项义务的，甲方有权提取履约担保用于处理该项工作。</w:t>
      </w:r>
    </w:p>
    <w:p w14:paraId="313A78A5">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（6）其他根据本合同约定或法律规定，甲方可启用履约担保的情形。</w:t>
      </w:r>
    </w:p>
    <w:p w14:paraId="5C6994AC">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3、在乙方完成本合同及补充协议项下全部供货，且全部货物经最终验收合格且结算完毕并扣除相应费用（若有）后28日</w:t>
      </w:r>
      <w:r>
        <w:rPr>
          <w:rFonts w:hint="eastAsia" w:ascii="宋体" w:hAnsi="宋体" w:eastAsia="宋体" w:cs="宋体"/>
          <w:color w:val="auto"/>
          <w:szCs w:val="21"/>
          <w:highlight w:val="none"/>
          <w:lang w:val="en-US" w:eastAsia="zh-CN"/>
        </w:rPr>
        <w:t>后</w:t>
      </w:r>
      <w:r>
        <w:rPr>
          <w:rFonts w:hint="eastAsia" w:ascii="宋体" w:hAnsi="宋体" w:eastAsia="宋体" w:cs="宋体"/>
          <w:color w:val="auto"/>
          <w:szCs w:val="21"/>
          <w:highlight w:val="none"/>
        </w:rPr>
        <w:t>，经甲方确认，乙方可向甲方提交退回履约担保的申请。甲方审核无异议后，甲方将履约担保余额退还乙方，履约保证金（银行转账形式）形式提交的履约担保余额退回时一律以银行转账的形式无息退回到乙方的账户。</w:t>
      </w:r>
    </w:p>
    <w:p w14:paraId="651FC9BE">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4、如乙方提供不可撤销银行履约保函</w:t>
      </w:r>
      <w:r>
        <w:rPr>
          <w:rFonts w:hint="eastAsia" w:ascii="宋体" w:hAnsi="宋体" w:eastAsia="宋体" w:cs="宋体"/>
          <w:color w:val="auto"/>
          <w:szCs w:val="21"/>
          <w:highlight w:val="none"/>
          <w:lang w:bidi="ar"/>
        </w:rPr>
        <w:t>或履约保证保险</w:t>
      </w:r>
      <w:r>
        <w:rPr>
          <w:rFonts w:hint="eastAsia" w:ascii="宋体" w:hAnsi="宋体" w:eastAsia="宋体" w:cs="宋体"/>
          <w:color w:val="auto"/>
          <w:szCs w:val="21"/>
          <w:highlight w:val="none"/>
        </w:rPr>
        <w:t>或担保公司履约担保书作为履约担保的，不可撤销银行履约保函</w:t>
      </w:r>
      <w:r>
        <w:rPr>
          <w:rFonts w:hint="eastAsia" w:ascii="宋体" w:hAnsi="宋体" w:eastAsia="宋体" w:cs="宋体"/>
          <w:color w:val="auto"/>
          <w:szCs w:val="21"/>
          <w:highlight w:val="none"/>
          <w:lang w:bidi="ar"/>
        </w:rPr>
        <w:t>或履约保证保险</w:t>
      </w:r>
      <w:r>
        <w:rPr>
          <w:rFonts w:hint="eastAsia" w:ascii="宋体" w:hAnsi="宋体" w:eastAsia="宋体" w:cs="宋体"/>
          <w:color w:val="auto"/>
          <w:szCs w:val="21"/>
          <w:highlight w:val="none"/>
        </w:rPr>
        <w:t>或担保公司履约担保书应从合同签订之日起至全部货物经最终验收合格且结算完毕并扣除相应费用（若有）后28日内保持有效。如不可撤销银行履约保函</w:t>
      </w:r>
      <w:r>
        <w:rPr>
          <w:rFonts w:hint="eastAsia" w:ascii="宋体" w:hAnsi="宋体" w:eastAsia="宋体" w:cs="宋体"/>
          <w:color w:val="auto"/>
          <w:szCs w:val="21"/>
          <w:highlight w:val="none"/>
          <w:lang w:bidi="ar"/>
        </w:rPr>
        <w:t>或履约保证保险</w:t>
      </w:r>
      <w:r>
        <w:rPr>
          <w:rFonts w:hint="eastAsia" w:ascii="宋体" w:hAnsi="宋体" w:eastAsia="宋体" w:cs="宋体"/>
          <w:color w:val="auto"/>
          <w:szCs w:val="21"/>
          <w:highlight w:val="none"/>
        </w:rPr>
        <w:t>或担保公司履约担保书在规定有效期届满时而货物尚未全部最终验收合格的，乙方必须在不可撤销银行履约保函</w:t>
      </w:r>
      <w:r>
        <w:rPr>
          <w:rFonts w:hint="eastAsia" w:ascii="宋体" w:hAnsi="宋体" w:eastAsia="宋体" w:cs="宋体"/>
          <w:color w:val="auto"/>
          <w:szCs w:val="21"/>
          <w:highlight w:val="none"/>
          <w:lang w:bidi="ar"/>
        </w:rPr>
        <w:t>或履约保证保险</w:t>
      </w:r>
      <w:r>
        <w:rPr>
          <w:rFonts w:hint="eastAsia" w:ascii="宋体" w:hAnsi="宋体" w:eastAsia="宋体" w:cs="宋体"/>
          <w:color w:val="auto"/>
          <w:szCs w:val="21"/>
          <w:highlight w:val="none"/>
        </w:rPr>
        <w:t>或担保公司履约担保书到期15日前无条件办理办妥符合甲方要求的延期手续或重新提供不可撤销银行履约保函或履约保证保险或担保公司履约担保书；否则视为乙方违约，甲方有权在不可撤销银行履约保函</w:t>
      </w:r>
      <w:r>
        <w:rPr>
          <w:rFonts w:hint="eastAsia" w:ascii="宋体" w:hAnsi="宋体" w:eastAsia="宋体" w:cs="宋体"/>
          <w:color w:val="auto"/>
          <w:szCs w:val="21"/>
          <w:highlight w:val="none"/>
          <w:lang w:bidi="ar"/>
        </w:rPr>
        <w:t>或履约保证保险</w:t>
      </w:r>
      <w:r>
        <w:rPr>
          <w:rFonts w:hint="eastAsia" w:ascii="宋体" w:hAnsi="宋体" w:eastAsia="宋体" w:cs="宋体"/>
          <w:color w:val="auto"/>
          <w:szCs w:val="21"/>
          <w:highlight w:val="none"/>
        </w:rPr>
        <w:t>或担保公司履约担保书到期前向出具履约担保的机构提取履约担保。在不可撤销银行履约保函</w:t>
      </w:r>
      <w:r>
        <w:rPr>
          <w:rFonts w:hint="eastAsia" w:ascii="宋体" w:hAnsi="宋体" w:eastAsia="宋体" w:cs="宋体"/>
          <w:color w:val="auto"/>
          <w:szCs w:val="21"/>
          <w:highlight w:val="none"/>
          <w:lang w:bidi="ar"/>
        </w:rPr>
        <w:t>或履约保证保险</w:t>
      </w:r>
      <w:r>
        <w:rPr>
          <w:rFonts w:hint="eastAsia" w:ascii="宋体" w:hAnsi="宋体" w:eastAsia="宋体" w:cs="宋体"/>
          <w:color w:val="auto"/>
          <w:szCs w:val="21"/>
          <w:highlight w:val="none"/>
        </w:rPr>
        <w:t>或担保公司履约担保书到期后乙方未按甲方要求重新提供的，甲方有权要求乙方以履约担保金额为限承担违约金，违约金可直接从未付货款中扣除。</w:t>
      </w:r>
    </w:p>
    <w:p w14:paraId="675C41DB">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color w:val="auto"/>
          <w:szCs w:val="21"/>
          <w:highlight w:val="none"/>
        </w:rPr>
        <w:t>5、在合同履行过程中，不论何种原因导致履约担保数额不符合招标文件要求以及本合同约定的，乙方应当在5日内予以补足。逾期不予补足的，甲方有权按需补足的金额要求乙方承担违约金，并要求限期补足。如乙方仍不补足的，甲方有权单方解除本合同，违约金可直接从未付合同款或履约担保中扣除。</w:t>
      </w:r>
    </w:p>
    <w:p w14:paraId="41A5A479">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Cs/>
          <w:color w:val="auto"/>
          <w:szCs w:val="21"/>
          <w:highlight w:val="none"/>
        </w:rPr>
        <w:t>6、乙方知悉并同意，各甲方主体均有权就全部的履约担保金额进行索赔，履约保证金的提取由</w:t>
      </w:r>
      <w:r>
        <w:rPr>
          <w:rFonts w:hint="eastAsia" w:ascii="宋体" w:hAnsi="宋体" w:eastAsia="宋体" w:cs="宋体"/>
          <w:bCs/>
          <w:color w:val="auto"/>
          <w:szCs w:val="21"/>
          <w:highlight w:val="none"/>
          <w:lang w:eastAsia="zh-CN"/>
        </w:rPr>
        <w:t>东莞市水务环境投资控股集团管网有限公司</w:t>
      </w:r>
      <w:r>
        <w:rPr>
          <w:rFonts w:hint="eastAsia" w:ascii="宋体" w:hAnsi="宋体" w:eastAsia="宋体" w:cs="宋体"/>
          <w:bCs/>
          <w:color w:val="auto"/>
          <w:szCs w:val="21"/>
          <w:highlight w:val="none"/>
        </w:rPr>
        <w:t>转入对应合同甲方的银行账户。</w:t>
      </w:r>
    </w:p>
    <w:p w14:paraId="5083B0BF">
      <w:pPr>
        <w:numPr>
          <w:ilvl w:val="-1"/>
          <w:numId w:val="0"/>
        </w:numPr>
        <w:adjustRightInd/>
        <w:snapToGrid w:val="0"/>
        <w:spacing w:line="360" w:lineRule="auto"/>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7、</w:t>
      </w:r>
      <w:r>
        <w:rPr>
          <w:rFonts w:hint="eastAsia" w:ascii="宋体" w:hAnsi="宋体" w:eastAsia="宋体" w:cs="宋体"/>
          <w:bCs/>
          <w:color w:val="auto"/>
          <w:sz w:val="21"/>
          <w:szCs w:val="21"/>
          <w:highlight w:val="none"/>
        </w:rPr>
        <w:t>发生违约行为时，</w:t>
      </w:r>
      <w:r>
        <w:rPr>
          <w:rFonts w:hint="eastAsia" w:ascii="宋体" w:hAnsi="宋体" w:eastAsia="宋体" w:cs="宋体"/>
          <w:bCs/>
          <w:color w:val="auto"/>
          <w:sz w:val="21"/>
          <w:szCs w:val="21"/>
          <w:highlight w:val="none"/>
          <w:lang w:val="en-US" w:eastAsia="zh-CN"/>
        </w:rPr>
        <w:t>乙方</w:t>
      </w:r>
      <w:r>
        <w:rPr>
          <w:rFonts w:hint="eastAsia" w:ascii="宋体" w:hAnsi="宋体" w:eastAsia="宋体" w:cs="宋体"/>
          <w:bCs/>
          <w:color w:val="auto"/>
          <w:sz w:val="21"/>
          <w:szCs w:val="21"/>
          <w:highlight w:val="none"/>
        </w:rPr>
        <w:t>应当按照合同约定和合同甲方的要求向对应的合同甲方支付违约金；否则，相应的合同甲方有权从履约保证金中扣除违约金，并由</w:t>
      </w:r>
      <w:r>
        <w:rPr>
          <w:rFonts w:hint="eastAsia" w:ascii="宋体" w:hAnsi="宋体" w:eastAsia="宋体" w:cs="宋体"/>
          <w:b w:val="0"/>
          <w:bCs/>
          <w:color w:val="auto"/>
          <w:szCs w:val="21"/>
          <w:highlight w:val="none"/>
          <w:lang w:bidi="ar"/>
        </w:rPr>
        <w:t>东莞市水务环境投资控股集团管网有限公司</w:t>
      </w:r>
      <w:r>
        <w:rPr>
          <w:rFonts w:hint="eastAsia" w:ascii="宋体" w:hAnsi="宋体" w:eastAsia="宋体" w:cs="宋体"/>
          <w:bCs/>
          <w:color w:val="auto"/>
          <w:sz w:val="21"/>
          <w:szCs w:val="21"/>
          <w:highlight w:val="none"/>
        </w:rPr>
        <w:t>将对应金额转入相应甲方的银行账户，同时</w:t>
      </w:r>
      <w:r>
        <w:rPr>
          <w:rFonts w:hint="eastAsia" w:ascii="宋体" w:hAnsi="宋体" w:eastAsia="宋体" w:cs="宋体"/>
          <w:bCs/>
          <w:color w:val="auto"/>
          <w:sz w:val="21"/>
          <w:szCs w:val="21"/>
          <w:highlight w:val="none"/>
          <w:lang w:val="en-US" w:eastAsia="zh-CN"/>
        </w:rPr>
        <w:t>乙方</w:t>
      </w:r>
      <w:r>
        <w:rPr>
          <w:rFonts w:hint="eastAsia" w:ascii="宋体" w:hAnsi="宋体" w:eastAsia="宋体" w:cs="宋体"/>
          <w:bCs/>
          <w:color w:val="auto"/>
          <w:sz w:val="21"/>
          <w:szCs w:val="21"/>
          <w:highlight w:val="none"/>
        </w:rPr>
        <w:t>应在</w:t>
      </w:r>
      <w:r>
        <w:rPr>
          <w:rFonts w:hint="eastAsia" w:ascii="宋体" w:hAnsi="宋体" w:eastAsia="宋体" w:cs="宋体"/>
          <w:bCs/>
          <w:color w:val="auto"/>
          <w:sz w:val="21"/>
          <w:szCs w:val="21"/>
          <w:highlight w:val="none"/>
          <w:lang w:val="en-US" w:eastAsia="zh-CN"/>
        </w:rPr>
        <w:t>甲方</w:t>
      </w:r>
      <w:r>
        <w:rPr>
          <w:rFonts w:hint="eastAsia" w:ascii="宋体" w:hAnsi="宋体" w:eastAsia="宋体" w:cs="宋体"/>
          <w:bCs/>
          <w:color w:val="auto"/>
          <w:sz w:val="21"/>
          <w:szCs w:val="21"/>
          <w:highlight w:val="none"/>
        </w:rPr>
        <w:t>指定期限内及时补足履约保证金金额。</w:t>
      </w:r>
    </w:p>
    <w:p w14:paraId="0CAF31A9">
      <w:pPr>
        <w:spacing w:line="360" w:lineRule="auto"/>
        <w:ind w:firstLine="420" w:firstLineChars="200"/>
        <w:outlineLvl w:val="1"/>
        <w:rPr>
          <w:rFonts w:ascii="宋体" w:hAnsi="宋体" w:eastAsia="宋体" w:cs="宋体"/>
          <w:b/>
          <w:color w:val="auto"/>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乙方不按照招标文件及本合同的约定提供履约担保的，每逾期一日，按人民币伍仟元整向甲方支付违约金；逾期超过15日的，甲方有权解除合同，并要求乙方支付合同总价2%的违约金。违约金不足以弥补甲方损失的，甲方有权继续追偿。</w:t>
      </w:r>
    </w:p>
    <w:p w14:paraId="3BAA2C7A">
      <w:pPr>
        <w:spacing w:line="360" w:lineRule="auto"/>
        <w:outlineLvl w:val="1"/>
        <w:rPr>
          <w:rFonts w:hint="eastAsia" w:ascii="宋体" w:hAnsi="宋体" w:eastAsia="宋体" w:cs="宋体"/>
          <w:b/>
          <w:color w:val="auto"/>
          <w:szCs w:val="21"/>
          <w:highlight w:val="none"/>
        </w:rPr>
      </w:pPr>
      <w:bookmarkStart w:id="373" w:name="_Toc169091767"/>
    </w:p>
    <w:p w14:paraId="672CC815">
      <w:pPr>
        <w:spacing w:line="360" w:lineRule="auto"/>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十</w:t>
      </w:r>
      <w:r>
        <w:rPr>
          <w:rFonts w:hint="eastAsia" w:ascii="宋体" w:hAnsi="宋体" w:eastAsia="宋体" w:cs="宋体"/>
          <w:b/>
          <w:color w:val="auto"/>
          <w:szCs w:val="21"/>
          <w:highlight w:val="none"/>
        </w:rPr>
        <w:t>条 违约责任</w:t>
      </w:r>
      <w:bookmarkEnd w:id="373"/>
    </w:p>
    <w:p w14:paraId="1F81C956">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资格供货期间，甲方在每季度配送后付款前对乙方供货质量进行考核评分，考核评分标准详见《供应商履约评价表》（附件4）。如乙方对考核评分结果有异议的，应在收到甲方考核结果通知之日起三个工作日内书面提出，逾期未提出的，视为乙方确认甲方作出的考核评分结果。考核评分满分为100分，当乙方出现第二次考核评分分数低于60分的，甲方有权取消乙方的供货资格并单方解除本合同、没收履约担保。</w:t>
      </w:r>
    </w:p>
    <w:p w14:paraId="48167C4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因货物验收(检验)不合格、或货物在使用过程中出现质量问题，或甲方对货物(包括但不限于其规格、数量、质量、品牌等与合同不符)有异议的，乙方应根据甲方要求予以更换相应合同货物，在甲方发出通知后24小时内将换货货物运离甲方使用地，并承担因此产生的全部费用，同时乙方必须加急(2个工作日内送达)</w:t>
      </w: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将等量的合格货物送交甲方，并由乙方赔偿甲方因此所造成的所有损失，更换的货物的质量保证期应按本合同的相关约定重新计算。若自甲方发出通知24小时后乙方未将不合格货物运离甲方使用地的，甲方可自行或委托第三方对不合格货物进行处置，除该批货物无需支付任何货款外，乙方还必须承担甲方处置该批不合格货物所需的全部费用，以及给甲方造成的一切损失。乙方未按约定完成更换供货的，甲方有权直接向第三方采购，由此产生的差价损失由乙方承担；且甲方有权单方解除本合同，同时乙方应按暂定合同价（含税）的5% 的向甲方承担违约金。</w:t>
      </w:r>
    </w:p>
    <w:p w14:paraId="5930B8D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未在约定的时间内完成交货的，每逾期1个工作日，应向甲方支付1000元违约金。乙方逾期超过5个工作日的，甲方可单方解除本合同，乙方除支付前述逾期违约金外，还应额外按暂定合同价（含税）的5%向甲方支付违约金。临时加急供货时，乙方未在约定的时间内(</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个工作日内送达)完成交货的，每逾期1个工作日，应向甲方支付1000元违约金，乙方逾期超过5个工作日的，甲方可单方解除本合同，乙方除支付前述逾期违约金外，还应额外按暂定合同价（含税）的5%向甲方支付违约金。</w:t>
      </w:r>
    </w:p>
    <w:p w14:paraId="4523DC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4、乙方所交货物(包括但不限于品种、型号、规格、质量)不符合合同约定的，甲方有权拒收，并要求乙方予以退货，同时乙方应向甲方支付暂定合同价（含税）的</w:t>
      </w:r>
      <w:r>
        <w:rPr>
          <w:rFonts w:hint="eastAsia" w:ascii="宋体" w:hAnsi="宋体" w:eastAsia="宋体" w:cs="宋体"/>
          <w:color w:val="auto"/>
          <w:szCs w:val="21"/>
          <w:highlight w:val="none"/>
          <w:u w:val="single"/>
        </w:rPr>
        <w:t xml:space="preserve">_1 </w:t>
      </w:r>
      <w:r>
        <w:rPr>
          <w:rFonts w:hint="eastAsia" w:ascii="宋体" w:hAnsi="宋体" w:eastAsia="宋体" w:cs="宋体"/>
          <w:color w:val="auto"/>
          <w:szCs w:val="21"/>
          <w:highlight w:val="none"/>
        </w:rPr>
        <w:t>%的违约金。</w:t>
      </w:r>
    </w:p>
    <w:p w14:paraId="047977E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5、乙方未按约定履行培训或售后服务义务的，甲方有权要求限期内改正并符合合同要求，如逾期仍未符合要求的，甲方有权单方解除合同，并没收履约担保。</w:t>
      </w:r>
    </w:p>
    <w:p w14:paraId="0BC2769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6、甲方根据本合同的约定要求退货，或因本合同被解除或提前终止而需要退货的，乙方在收到甲方发出退货通知后24小时内无条件将退货货物运回，并自退货之日起</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个工作日内返还甲方已全部支付的货款及其税额，并承担因此产生的全部费用，以及赔偿因此造成甲方的损失。</w:t>
      </w:r>
    </w:p>
    <w:p w14:paraId="2CD25A5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7.无论是否在质保期内，因货物质量问题发生安全事故或引起其他损失、造成不良后果的，乙方应承担全部责任及损失赔偿。</w:t>
      </w:r>
    </w:p>
    <w:p w14:paraId="4B8CFE2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在本合同履行过程中，乙方不得消极怠工或拒不履行合同义务（包括但不限于按合同要求交货、换货、培训、技术支持、售后等），否则将视为乙方违约，每发生一次，甲方有权要求乙方支付违约金人民币【10000】元，同时甲方有权就违约事宜提出改正，如乙方在甲方限期内仍未完成整改或违约行为超过【 3 】次的，甲方有权单方解除合同，要求乙方按暂定总合同价（含税）的5%支付违约金，并有权依法委托有资质的第三方继续履行本合同义务，由此造成的一切损失（包括但不限于再行采购的费用、委托第三人继续履行时超出本合同费用部分等）由乙方全部承担。甲方损失无法计算的，乙方同意按暂定合同价（含税）的</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%计算违约金并支付给甲方。</w:t>
      </w:r>
    </w:p>
    <w:p w14:paraId="46E40F9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9.乙方逾期将应退款项退还给甲方的，乙方需每日按应退款项的</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%支付违约金。</w:t>
      </w:r>
    </w:p>
    <w:p w14:paraId="4FC9C67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服务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规定时限内整改，若整改达不到甲方要求的，甲方有权解除合同，同时甲方有权要求乙方按暂定合同价（含税）的5%向甲方支付违约金。</w:t>
      </w:r>
    </w:p>
    <w:p w14:paraId="034E42D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11、在本合同履行过程中，如乙方存在违约行为的，本合同项下甲方（包括甲方 1、甲方 2、甲方 3、甲方 4、甲方 5、甲方 6、甲方 7）皆有权按合同之约定（包括但不限于以本合同暂定总合同价（含税）作为违约金的计算基数）向乙方追究违约责任；乙方对此同意且没有异议。</w:t>
      </w:r>
    </w:p>
    <w:p w14:paraId="1FBF870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本合同履行期间，乙方违约产生的违约金、赔偿或其他应付费用等款项，甲方有权直接从履约担保或未付款项中直接扣除予以支付，乙方对此表示同意且无异议。抵扣不足部分，乙方应在接到甲方通知后5个工作日内补足，否则按应付款总额5‰/日支付滞纳金，直至全部付清。</w:t>
      </w:r>
    </w:p>
    <w:p w14:paraId="547EC5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13、如因乙方原因，导致发生法律纠纷案件，甲方被列为承担责任的诉讼当事人</w:t>
      </w:r>
      <w:r>
        <w:rPr>
          <w:rFonts w:hint="eastAsia" w:ascii="宋体" w:hAnsi="宋体" w:eastAsia="宋体" w:cs="Times New Roman"/>
          <w:color w:val="auto"/>
          <w:kern w:val="0"/>
          <w:szCs w:val="21"/>
          <w:highlight w:val="none"/>
        </w:rPr>
        <w:t>（第三人或被告）</w:t>
      </w:r>
      <w:r>
        <w:rPr>
          <w:rFonts w:hint="eastAsia" w:ascii="宋体" w:hAnsi="宋体" w:eastAsia="宋体" w:cs="宋体"/>
          <w:color w:val="auto"/>
          <w:szCs w:val="21"/>
          <w:highlight w:val="none"/>
        </w:rPr>
        <w:t>，或造成社会负面影响的，视为乙方违约，甲方即有权要求乙方支付100000元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1DA91579">
      <w:pPr>
        <w:pStyle w:val="18"/>
        <w:ind w:firstLine="420" w:firstLineChars="200"/>
        <w:rPr>
          <w:rFonts w:hint="eastAsia" w:ascii="宋体" w:hAnsi="宋体" w:eastAsia="宋体" w:cs="宋体"/>
          <w:snapToGrid/>
          <w:color w:val="auto"/>
          <w:kern w:val="2"/>
          <w:szCs w:val="21"/>
          <w:highlight w:val="none"/>
        </w:rPr>
      </w:pPr>
      <w:r>
        <w:rPr>
          <w:rFonts w:hint="eastAsia" w:ascii="宋体" w:hAnsi="宋体" w:eastAsia="宋体" w:cs="宋体"/>
          <w:snapToGrid/>
          <w:color w:val="auto"/>
          <w:kern w:val="2"/>
          <w:szCs w:val="21"/>
          <w:highlight w:val="none"/>
        </w:rPr>
        <w:t>14、乙方不得将合同项下工作转包或未经甲方书面同意分包给第三人，如甲方发现乙方存在转包或分包行为，且经甲方制止无效的（包括但不限于发整改单、发函、约谈等），甲方有权取消乙方供货资格、单方面解除合同、要求乙方按合同总价款（含税）的5%向甲方支付违约金，且该违约金独立于差价赔偿，甲方可同时主张，同时甲方有权要求乙方赔偿甲方损失（包括但不限于律师费、诉讼费、保全费、执行费、差旅费、赔偿金等），在一年内禁止参与甲方及其关联企业所有的招投标、采购活动；涉嫌犯罪的，移交司法机关依法追究刑事责任。</w:t>
      </w:r>
    </w:p>
    <w:p w14:paraId="72073AC9">
      <w:pPr>
        <w:pStyle w:val="18"/>
        <w:ind w:firstLine="420" w:firstLineChars="200"/>
        <w:rPr>
          <w:rFonts w:hint="eastAsia" w:ascii="宋体" w:hAnsi="宋体" w:eastAsia="宋体" w:cs="宋体"/>
          <w:snapToGrid/>
          <w:color w:val="auto"/>
          <w:kern w:val="2"/>
          <w:szCs w:val="21"/>
          <w:highlight w:val="none"/>
        </w:rPr>
      </w:pPr>
      <w:r>
        <w:rPr>
          <w:rFonts w:hint="eastAsia" w:ascii="宋体" w:hAnsi="宋体" w:eastAsia="宋体" w:cs="宋体"/>
          <w:snapToGrid/>
          <w:color w:val="auto"/>
          <w:kern w:val="2"/>
          <w:szCs w:val="21"/>
          <w:highlight w:val="none"/>
        </w:rPr>
        <w:t>此外，甲方对乙方与分包商之间的法律与经济纠纷不承担任何责任和义务。乙方与其分包商之间产生的任何纠纷，均由乙方自行处理，与甲方无关，由此给甲方造成损失的，乙方应当承担因此事项给甲方造成的全部损失，包括但不限于律师费、诉讼费、保全费、执行费、差旅费、赔偿金等。</w:t>
      </w:r>
    </w:p>
    <w:p w14:paraId="448F841C">
      <w:pPr>
        <w:pStyle w:val="18"/>
        <w:ind w:firstLine="420" w:firstLineChars="200"/>
        <w:rPr>
          <w:rFonts w:hint="eastAsia" w:ascii="宋体" w:hAnsi="宋体" w:eastAsia="宋体" w:cs="宋体"/>
          <w:snapToGrid/>
          <w:color w:val="auto"/>
          <w:kern w:val="2"/>
          <w:szCs w:val="21"/>
          <w:highlight w:val="none"/>
        </w:rPr>
      </w:pPr>
      <w:r>
        <w:rPr>
          <w:rFonts w:hint="eastAsia" w:ascii="宋体" w:hAnsi="宋体" w:eastAsia="宋体" w:cs="宋体"/>
          <w:snapToGrid/>
          <w:color w:val="auto"/>
          <w:kern w:val="2"/>
          <w:szCs w:val="21"/>
          <w:highlight w:val="none"/>
        </w:rPr>
        <w:t>1</w:t>
      </w:r>
      <w:r>
        <w:rPr>
          <w:rFonts w:hint="eastAsia" w:ascii="宋体" w:hAnsi="宋体" w:eastAsia="宋体" w:cs="宋体"/>
          <w:snapToGrid/>
          <w:color w:val="auto"/>
          <w:kern w:val="2"/>
          <w:szCs w:val="21"/>
          <w:highlight w:val="none"/>
          <w:lang w:eastAsia="zh-CN"/>
        </w:rPr>
        <w:t>5</w:t>
      </w:r>
      <w:r>
        <w:rPr>
          <w:rFonts w:hint="eastAsia" w:ascii="宋体" w:hAnsi="宋体" w:eastAsia="宋体" w:cs="宋体"/>
          <w:snapToGrid/>
          <w:color w:val="auto"/>
          <w:kern w:val="2"/>
          <w:szCs w:val="21"/>
          <w:highlight w:val="none"/>
        </w:rPr>
        <w:t>、在履行本合同过程中乙方存在违约行为的，甲方为解决纠纷而产生的所有费用（包括但不限于律师费、诉讼费、财产保全费、财产保全担保费、执行费、公证费、鉴定费、差旅费、调查取证费、专家论证费、公告费、拍卖费等）均由乙方承担。</w:t>
      </w:r>
    </w:p>
    <w:p w14:paraId="7B69A459">
      <w:pPr>
        <w:spacing w:line="360" w:lineRule="auto"/>
        <w:outlineLvl w:val="1"/>
        <w:rPr>
          <w:rFonts w:ascii="宋体" w:hAnsi="宋体" w:eastAsia="宋体" w:cs="宋体"/>
          <w:b/>
          <w:color w:val="auto"/>
          <w:szCs w:val="21"/>
          <w:highlight w:val="none"/>
        </w:rPr>
      </w:pPr>
    </w:p>
    <w:p w14:paraId="20C1D003">
      <w:pPr>
        <w:spacing w:line="360" w:lineRule="auto"/>
        <w:outlineLvl w:val="1"/>
        <w:rPr>
          <w:rFonts w:ascii="宋体" w:hAnsi="宋体" w:eastAsia="宋体" w:cs="宋体"/>
          <w:b/>
          <w:color w:val="auto"/>
          <w:szCs w:val="21"/>
          <w:highlight w:val="none"/>
        </w:rPr>
      </w:pPr>
      <w:bookmarkStart w:id="374" w:name="_Toc169091768"/>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一</w:t>
      </w:r>
      <w:r>
        <w:rPr>
          <w:rFonts w:hint="eastAsia" w:ascii="宋体" w:hAnsi="宋体" w:eastAsia="宋体" w:cs="宋体"/>
          <w:b/>
          <w:color w:val="auto"/>
          <w:szCs w:val="21"/>
          <w:highlight w:val="none"/>
        </w:rPr>
        <w:t>条 不可抗力</w:t>
      </w:r>
      <w:bookmarkEnd w:id="374"/>
    </w:p>
    <w:p w14:paraId="3B5BD32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由于地震、台风、水灾、战争以及其他不能预见并且对其发生和后果不能防止或避免的不可抗力事故，致使直接影响本合同的履行或不能按约定的条件履行时，甲乙双方互不承担责任。</w:t>
      </w:r>
      <w:r>
        <w:rPr>
          <w:rFonts w:hint="eastAsia" w:ascii="宋体" w:hAnsi="宋体" w:eastAsia="宋体" w:cs="宋体"/>
          <w:color w:val="auto"/>
          <w:szCs w:val="21"/>
          <w:highlight w:val="none"/>
          <w:lang w:val="en-US" w:eastAsia="zh-CN"/>
        </w:rPr>
        <w:t>但</w:t>
      </w:r>
      <w:r>
        <w:rPr>
          <w:rFonts w:hint="eastAsia" w:ascii="宋体" w:hAnsi="宋体" w:eastAsia="宋体" w:cs="宋体"/>
          <w:color w:val="auto"/>
          <w:szCs w:val="21"/>
          <w:highlight w:val="none"/>
        </w:rPr>
        <w:t>遇有上述不可抗力事故的一方，应立即将事故情况以电话、传真或其他有效方式通知对方，并应在</w:t>
      </w:r>
      <w:r>
        <w:rPr>
          <w:rFonts w:hint="eastAsia" w:ascii="宋体" w:hAnsi="宋体" w:eastAsia="宋体" w:cs="宋体"/>
          <w:color w:val="auto"/>
          <w:szCs w:val="21"/>
          <w:highlight w:val="none"/>
          <w:u w:val="single"/>
          <w:lang w:val="en-US" w:eastAsia="zh-CN"/>
        </w:rPr>
        <w:t xml:space="preserve">十五    </w:t>
      </w:r>
      <w:r>
        <w:rPr>
          <w:rFonts w:hint="eastAsia" w:ascii="宋体" w:hAnsi="宋体" w:eastAsia="宋体" w:cs="宋体"/>
          <w:color w:val="auto"/>
          <w:szCs w:val="21"/>
          <w:highlight w:val="none"/>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本合同，或者部分免除履行合同的责任，或者延期履行合同。</w:t>
      </w:r>
    </w:p>
    <w:p w14:paraId="6623643D">
      <w:pPr>
        <w:spacing w:line="360" w:lineRule="auto"/>
        <w:ind w:firstLine="420" w:firstLineChars="200"/>
        <w:rPr>
          <w:rFonts w:ascii="宋体" w:hAnsi="宋体" w:eastAsia="宋体" w:cs="宋体"/>
          <w:color w:val="auto"/>
          <w:szCs w:val="21"/>
          <w:highlight w:val="none"/>
        </w:rPr>
      </w:pPr>
    </w:p>
    <w:p w14:paraId="76823819">
      <w:pPr>
        <w:spacing w:line="360" w:lineRule="auto"/>
        <w:outlineLvl w:val="1"/>
        <w:rPr>
          <w:rFonts w:ascii="宋体" w:hAnsi="宋体" w:eastAsia="宋体" w:cs="宋体"/>
          <w:b/>
          <w:color w:val="auto"/>
          <w:szCs w:val="21"/>
          <w:highlight w:val="none"/>
        </w:rPr>
      </w:pPr>
      <w:bookmarkStart w:id="375" w:name="_Toc169091769"/>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二</w:t>
      </w:r>
      <w:r>
        <w:rPr>
          <w:rFonts w:hint="eastAsia" w:ascii="宋体" w:hAnsi="宋体" w:eastAsia="宋体" w:cs="宋体"/>
          <w:b/>
          <w:color w:val="auto"/>
          <w:szCs w:val="21"/>
          <w:highlight w:val="none"/>
        </w:rPr>
        <w:t>条 承诺与保证</w:t>
      </w:r>
      <w:bookmarkEnd w:id="375"/>
    </w:p>
    <w:p w14:paraId="57E1FFC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应保证所提供的产品不侵犯第三方的合法权益及知识产权。如第三方以本合同产品侵权为由提起侵权主张，乙方须与第三方交涉并承担由此发生的一切责任、费用和经济赔偿。同时乙方应立即提供替代方案确保甲方正常使用，争议解决前不得停止履约。由于乙方提供的产品的任何一部分不符合知识产权规定，由乙方承担因此给甲方造成的全部损失（包括但不限于甲方为维护自身权益所支付的律师费、诉讼费、鉴定费、差旅费、商誉损失以及甲方依法向第三方支付的赔偿款等全部费用）。</w:t>
      </w:r>
    </w:p>
    <w:p w14:paraId="318620DD">
      <w:pPr>
        <w:spacing w:line="360" w:lineRule="auto"/>
        <w:ind w:firstLine="420" w:firstLineChars="200"/>
        <w:outlineLvl w:val="9"/>
        <w:rPr>
          <w:rFonts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本项目货物采用的专利所涉及的全部费用应包含在购置总费用之内，乙方应承担货物专利可能涉及的一切经济责任。</w:t>
      </w:r>
    </w:p>
    <w:p w14:paraId="1DE92B96">
      <w:pPr>
        <w:spacing w:line="360" w:lineRule="auto"/>
        <w:outlineLvl w:val="1"/>
        <w:rPr>
          <w:rFonts w:ascii="宋体" w:hAnsi="宋体" w:eastAsia="宋体" w:cs="宋体"/>
          <w:b/>
          <w:color w:val="auto"/>
          <w:szCs w:val="21"/>
          <w:highlight w:val="none"/>
        </w:rPr>
      </w:pPr>
      <w:bookmarkStart w:id="376" w:name="_Toc169091770"/>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条 合同争议的解决办法</w:t>
      </w:r>
      <w:bookmarkEnd w:id="376"/>
    </w:p>
    <w:p w14:paraId="793D4147">
      <w:pPr>
        <w:spacing w:line="360" w:lineRule="auto"/>
        <w:ind w:firstLine="403"/>
        <w:rPr>
          <w:rFonts w:ascii="宋体" w:hAnsi="宋体" w:eastAsia="宋体" w:cs="宋体"/>
          <w:color w:val="auto"/>
          <w:szCs w:val="21"/>
          <w:highlight w:val="none"/>
        </w:rPr>
      </w:pPr>
      <w:r>
        <w:rPr>
          <w:rFonts w:hint="eastAsia" w:ascii="宋体" w:hAnsi="宋体" w:eastAsia="宋体" w:cs="宋体"/>
          <w:color w:val="auto"/>
          <w:szCs w:val="21"/>
          <w:highlight w:val="none"/>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仲裁费及处理费、诉讼担保费、保全费、执行费、公证费、鉴定费、差旅费等。在法院审理期间，除提交法院审理的争议事项外，合同其他无争议部分仍继续履行。</w:t>
      </w:r>
    </w:p>
    <w:p w14:paraId="2F0BA9D5">
      <w:pPr>
        <w:spacing w:line="360" w:lineRule="auto"/>
        <w:outlineLvl w:val="1"/>
        <w:rPr>
          <w:rFonts w:ascii="宋体" w:hAnsi="宋体" w:eastAsia="宋体" w:cs="宋体"/>
          <w:b/>
          <w:color w:val="auto"/>
          <w:szCs w:val="21"/>
          <w:highlight w:val="none"/>
        </w:rPr>
      </w:pPr>
    </w:p>
    <w:p w14:paraId="3C599B49">
      <w:pPr>
        <w:spacing w:line="360" w:lineRule="auto"/>
        <w:outlineLvl w:val="1"/>
        <w:rPr>
          <w:rFonts w:ascii="宋体" w:hAnsi="宋体" w:eastAsia="宋体" w:cs="宋体"/>
          <w:b/>
          <w:color w:val="auto"/>
          <w:szCs w:val="21"/>
          <w:highlight w:val="none"/>
        </w:rPr>
      </w:pPr>
      <w:bookmarkStart w:id="377" w:name="_Toc169091771"/>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条 其他</w:t>
      </w:r>
      <w:bookmarkEnd w:id="377"/>
    </w:p>
    <w:p w14:paraId="2ABC24B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1、甲乙双方就本合同中涉及各类通知、协议等文件以及就合同发生纠纷时相关文件和法律文书送达时的送达地址及法律后果作如下约定： </w:t>
      </w:r>
    </w:p>
    <w:p w14:paraId="7ED2BA0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甲方确认其有效的送达地址为【 】；联系人：【 】；联系电话【 】；电子邮箱【 】。 </w:t>
      </w:r>
    </w:p>
    <w:p w14:paraId="575D6B2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乙方确认其有效的送达地址为【 】；联系人：【 】；联系电话【 】；电子邮箱【 】。</w:t>
      </w:r>
    </w:p>
    <w:p w14:paraId="122226A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1E0AB40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0695B3E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3、甲方的送达地址需要变更时应当履行及时通知的义务，应提前【 】个工作日通过【 】 的方式向乙方进行通知；乙方的送达地址需要变更时应当履行及时通知的义务，应提前【 】个工作日通过【 】的方式向甲方进行通知。</w:t>
      </w:r>
    </w:p>
    <w:p w14:paraId="42DF383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4、送达条款具有独立法律效力，不因合同其他条款的无效而无效。</w:t>
      </w:r>
    </w:p>
    <w:p w14:paraId="14E90E9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5、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76CF37D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份，其中甲方执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份，招标代理机构执 壹 份，每份均具有同等法律效力。</w:t>
      </w:r>
    </w:p>
    <w:p w14:paraId="7C7E058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7、本合同经双方法定代表人或负责人签名并盖章后生效。</w:t>
      </w:r>
    </w:p>
    <w:p w14:paraId="00E6A84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本合同及相关招投标文件、中标通知书等作为本合同附件均为合同的有效组成部分，与本合同同具法律效力。合同条款与附件、招标文件、用户需求书、投标文件等其他文件不一致的，以有利于甲方的条款为准。</w:t>
      </w:r>
    </w:p>
    <w:p w14:paraId="7F46862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附件: 1.《</w:t>
      </w:r>
      <w:r>
        <w:rPr>
          <w:rFonts w:hint="eastAsia" w:ascii="宋体" w:hAnsi="宋体" w:eastAsia="宋体" w:cs="宋体"/>
          <w:color w:val="auto"/>
          <w:szCs w:val="21"/>
          <w:highlight w:val="none"/>
          <w:lang w:eastAsia="zh-CN"/>
        </w:rPr>
        <w:t>东莞市水务环境投资控股集团管网有限公司</w:t>
      </w:r>
      <w:r>
        <w:rPr>
          <w:rFonts w:hint="eastAsia" w:ascii="宋体" w:hAnsi="宋体" w:eastAsia="宋体" w:cs="宋体"/>
          <w:color w:val="auto"/>
          <w:szCs w:val="21"/>
          <w:highlight w:val="none"/>
          <w:lang w:val="zh-CN"/>
        </w:rPr>
        <w:t>2026</w:t>
      </w:r>
      <w:r>
        <w:rPr>
          <w:rFonts w:hint="eastAsia" w:ascii="宋体" w:hAnsi="宋体" w:eastAsia="宋体" w:cs="宋体"/>
          <w:color w:val="auto"/>
          <w:szCs w:val="21"/>
          <w:highlight w:val="none"/>
        </w:rPr>
        <w:t>年运维维修工器具类物资采购项目预算文件》、2.《收货地址汇总表》、3.《到货验收单》、4.《供应商履约评价表》、5.《廉洁协议书》。</w:t>
      </w:r>
    </w:p>
    <w:p w14:paraId="340035C4">
      <w:pPr>
        <w:spacing w:line="360" w:lineRule="auto"/>
        <w:contextualSpacing/>
        <w:rPr>
          <w:rFonts w:ascii="宋体" w:hAnsi="宋体" w:eastAsia="宋体" w:cs="宋体"/>
          <w:b/>
          <w:color w:val="auto"/>
          <w:szCs w:val="21"/>
          <w:highlight w:val="none"/>
        </w:rPr>
      </w:pPr>
      <w:r>
        <w:rPr>
          <w:rFonts w:hint="eastAsia" w:ascii="宋体" w:hAnsi="宋体" w:eastAsia="宋体" w:cs="宋体"/>
          <w:b/>
          <w:color w:val="auto"/>
          <w:szCs w:val="21"/>
          <w:highlight w:val="none"/>
        </w:rPr>
        <w:t>（以下无正文内容为签字盖章页）</w:t>
      </w:r>
      <w:r>
        <w:rPr>
          <w:rFonts w:hint="eastAsia" w:ascii="宋体" w:hAnsi="宋体" w:eastAsia="宋体" w:cs="宋体"/>
          <w:b/>
          <w:color w:val="auto"/>
          <w:szCs w:val="21"/>
          <w:highlight w:val="none"/>
        </w:rPr>
        <w:br w:type="page"/>
      </w:r>
    </w:p>
    <w:p w14:paraId="1EF21EB2">
      <w:pPr>
        <w:spacing w:before="120" w:beforeLines="50" w:after="120" w:afterLines="50"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（本页为编号为       的《采购合同》的签署页）</w:t>
      </w:r>
    </w:p>
    <w:p w14:paraId="488FB5AC">
      <w:pPr>
        <w:spacing w:before="120" w:beforeLines="50" w:after="120" w:afterLines="50" w:line="360" w:lineRule="auto"/>
        <w:rPr>
          <w:rFonts w:ascii="宋体" w:hAnsi="宋体" w:eastAsia="宋体" w:cs="宋体"/>
          <w:b/>
          <w:color w:val="auto"/>
          <w:szCs w:val="21"/>
          <w:highlight w:val="none"/>
        </w:rPr>
      </w:pPr>
    </w:p>
    <w:p w14:paraId="7DE378CB">
      <w:pPr>
        <w:spacing w:line="400" w:lineRule="exact"/>
        <w:rPr>
          <w:rFonts w:ascii="宋体" w:hAnsi="宋体" w:eastAsia="宋体" w:cs="宋体"/>
          <w:color w:val="auto"/>
          <w:szCs w:val="21"/>
          <w:highlight w:val="none"/>
        </w:rPr>
      </w:pPr>
    </w:p>
    <w:p w14:paraId="7B10244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甲方1：（盖章）                               甲方2：（盖章） </w:t>
      </w:r>
    </w:p>
    <w:p w14:paraId="2D47347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                    法定代表人或其委托代理人：</w:t>
      </w:r>
    </w:p>
    <w:p w14:paraId="35216DE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（签字）：                                    （签字）：</w:t>
      </w:r>
    </w:p>
    <w:p w14:paraId="0612AA9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地址：                                        地址：                    </w:t>
      </w:r>
    </w:p>
    <w:p w14:paraId="311CE5D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账户名称：                                    账户名称：</w:t>
      </w:r>
    </w:p>
    <w:p w14:paraId="7EE24EE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开户银行： </w:t>
      </w:r>
    </w:p>
    <w:p w14:paraId="1DF84C2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银行账号：                                    银行账号：</w:t>
      </w:r>
    </w:p>
    <w:p w14:paraId="3DCDE98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联系电话：                                    联系电话：</w:t>
      </w:r>
    </w:p>
    <w:p w14:paraId="685FF5B7">
      <w:pPr>
        <w:pStyle w:val="3"/>
        <w:rPr>
          <w:rFonts w:hAnsi="宋体" w:cs="宋体"/>
          <w:color w:val="auto"/>
          <w:sz w:val="21"/>
          <w:szCs w:val="21"/>
          <w:highlight w:val="none"/>
        </w:rPr>
      </w:pPr>
    </w:p>
    <w:p w14:paraId="23F479E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甲方3：（盖章）                               甲方4：（盖章） </w:t>
      </w:r>
    </w:p>
    <w:p w14:paraId="04FE32E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                    法定代表人或其委托代理人：</w:t>
      </w:r>
    </w:p>
    <w:p w14:paraId="2581F96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（签字）：                                    （签字）：</w:t>
      </w:r>
    </w:p>
    <w:p w14:paraId="4F1D2DF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地址：                                        地址：                    </w:t>
      </w:r>
    </w:p>
    <w:p w14:paraId="11D2E8A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账户名称：                                    账户名称：</w:t>
      </w:r>
    </w:p>
    <w:p w14:paraId="4AA67E3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开户银行： </w:t>
      </w:r>
    </w:p>
    <w:p w14:paraId="5271DA8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银行账号：                                    银行账号：</w:t>
      </w:r>
    </w:p>
    <w:p w14:paraId="290A278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联系电话：                                    联系电话：</w:t>
      </w:r>
    </w:p>
    <w:p w14:paraId="669C75DC">
      <w:pPr>
        <w:pStyle w:val="3"/>
        <w:rPr>
          <w:rFonts w:hAnsi="宋体" w:cs="宋体"/>
          <w:color w:val="auto"/>
          <w:sz w:val="21"/>
          <w:szCs w:val="21"/>
          <w:highlight w:val="none"/>
        </w:rPr>
      </w:pPr>
    </w:p>
    <w:p w14:paraId="5395F43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甲方5：（盖章）                               甲方6：（盖章） </w:t>
      </w:r>
    </w:p>
    <w:p w14:paraId="61B46AB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                    法定代表人或其委托代理人：</w:t>
      </w:r>
    </w:p>
    <w:p w14:paraId="09A33E0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（签字）：                                    （签字）：</w:t>
      </w:r>
    </w:p>
    <w:p w14:paraId="1C01F3D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地址：                                        地址：                    </w:t>
      </w:r>
    </w:p>
    <w:p w14:paraId="0BF15A8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账户名称：                                    账户名称：</w:t>
      </w:r>
    </w:p>
    <w:p w14:paraId="73DDEA6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开户银行： </w:t>
      </w:r>
    </w:p>
    <w:p w14:paraId="3D4A87F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银行账号：                                    银行账号：</w:t>
      </w:r>
    </w:p>
    <w:p w14:paraId="6D9D72A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联系电话：                                    联系电话：</w:t>
      </w:r>
    </w:p>
    <w:p w14:paraId="3C5F2938">
      <w:pPr>
        <w:pStyle w:val="3"/>
        <w:rPr>
          <w:rFonts w:hAnsi="宋体" w:cs="宋体"/>
          <w:color w:val="auto"/>
          <w:sz w:val="21"/>
          <w:szCs w:val="21"/>
          <w:highlight w:val="none"/>
        </w:rPr>
      </w:pPr>
    </w:p>
    <w:p w14:paraId="0B25FE0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甲方7：（盖章）                               乙方：（盖章） </w:t>
      </w:r>
    </w:p>
    <w:p w14:paraId="041C7BE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                    法定代表人或其委托代理人：</w:t>
      </w:r>
    </w:p>
    <w:p w14:paraId="418BF69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（签字）：                                    （签字）：</w:t>
      </w:r>
    </w:p>
    <w:p w14:paraId="6C513B8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地址：                                        地址：                    </w:t>
      </w:r>
    </w:p>
    <w:p w14:paraId="6C49C5D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账户名称：                                    账户名称：</w:t>
      </w:r>
    </w:p>
    <w:p w14:paraId="15EA1EE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开户银行： </w:t>
      </w:r>
    </w:p>
    <w:p w14:paraId="58D88BB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银行账号：                                    银行账号：</w:t>
      </w:r>
    </w:p>
    <w:p w14:paraId="1DAD99A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联系电话：                                    联系电话：</w:t>
      </w:r>
    </w:p>
    <w:p w14:paraId="2FA4066F">
      <w:pPr>
        <w:pStyle w:val="3"/>
        <w:rPr>
          <w:rFonts w:hAnsi="宋体" w:cs="宋体"/>
          <w:color w:val="auto"/>
          <w:sz w:val="21"/>
          <w:szCs w:val="21"/>
          <w:highlight w:val="none"/>
        </w:rPr>
      </w:pPr>
    </w:p>
    <w:p w14:paraId="440DCCC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订立地点：</w:t>
      </w:r>
    </w:p>
    <w:p w14:paraId="796A6FB7">
      <w:pPr>
        <w:pStyle w:val="3"/>
        <w:spacing w:line="360" w:lineRule="auto"/>
        <w:jc w:val="left"/>
        <w:rPr>
          <w:rFonts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订立时间：202</w:t>
      </w:r>
      <w:r>
        <w:rPr>
          <w:rFonts w:hint="eastAsia" w:hAnsi="宋体" w:cs="宋体"/>
          <w:b w:val="0"/>
          <w:bCs w:val="0"/>
          <w:color w:val="auto"/>
          <w:sz w:val="21"/>
          <w:szCs w:val="21"/>
          <w:highlight w:val="none"/>
          <w:lang w:val="en-US" w:eastAsia="zh-CN"/>
        </w:rPr>
        <w:t>5</w:t>
      </w:r>
      <w:r>
        <w:rPr>
          <w:rFonts w:hint="eastAsia" w:hAnsi="宋体" w:cs="宋体"/>
          <w:b w:val="0"/>
          <w:bCs w:val="0"/>
          <w:color w:val="auto"/>
          <w:sz w:val="21"/>
          <w:szCs w:val="21"/>
          <w:highlight w:val="none"/>
          <w:lang w:val="en-US"/>
        </w:rPr>
        <w:t>年   月    日</w:t>
      </w:r>
    </w:p>
    <w:p w14:paraId="4BEB9020">
      <w:pPr>
        <w:spacing w:line="360" w:lineRule="auto"/>
        <w:rPr>
          <w:rFonts w:ascii="宋体" w:hAnsi="宋体" w:eastAsia="宋体" w:cs="宋体"/>
          <w:b/>
          <w:color w:val="auto"/>
          <w:highlight w:val="none"/>
        </w:rPr>
      </w:pPr>
      <w:r>
        <w:rPr>
          <w:rFonts w:hint="eastAsia" w:ascii="宋体" w:hAnsi="宋体" w:eastAsia="宋体" w:cs="宋体"/>
          <w:color w:val="auto"/>
          <w:highlight w:val="none"/>
        </w:rPr>
        <w:br w:type="page"/>
      </w:r>
      <w:r>
        <w:rPr>
          <w:rFonts w:hint="eastAsia" w:ascii="宋体" w:hAnsi="宋体" w:eastAsia="宋体" w:cs="宋体"/>
          <w:b/>
          <w:color w:val="auto"/>
          <w:highlight w:val="none"/>
        </w:rPr>
        <w:t>附件5：廉洁协议书</w:t>
      </w:r>
    </w:p>
    <w:p w14:paraId="771FFCFA">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廉洁协议书</w:t>
      </w:r>
    </w:p>
    <w:p w14:paraId="454725F1">
      <w:pPr>
        <w:spacing w:line="360" w:lineRule="auto"/>
        <w:rPr>
          <w:rFonts w:ascii="宋体" w:hAnsi="宋体" w:eastAsia="宋体" w:cs="宋体"/>
          <w:color w:val="auto"/>
          <w:szCs w:val="21"/>
          <w:highlight w:val="none"/>
        </w:rPr>
      </w:pPr>
    </w:p>
    <w:p w14:paraId="2B937A9E">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东莞市水务环境投资控股集团管网有限公司2026</w:t>
      </w:r>
      <w:r>
        <w:rPr>
          <w:rFonts w:hint="eastAsia" w:ascii="宋体" w:hAnsi="宋体" w:eastAsia="宋体" w:cs="宋体"/>
          <w:color w:val="auto"/>
          <w:szCs w:val="21"/>
          <w:highlight w:val="none"/>
        </w:rPr>
        <w:t>年运维维修工器具类物资采购项目（招标编号：</w:t>
      </w:r>
      <w:r>
        <w:rPr>
          <w:rFonts w:hint="eastAsia" w:ascii="宋体" w:hAnsi="宋体" w:eastAsia="宋体" w:cs="宋体"/>
          <w:color w:val="auto"/>
          <w:szCs w:val="21"/>
          <w:highlight w:val="none"/>
          <w:lang w:val="zh-CN"/>
        </w:rPr>
        <w:t>YDZB24DGQY0092</w:t>
      </w:r>
      <w:r>
        <w:rPr>
          <w:rFonts w:hint="eastAsia" w:ascii="宋体" w:hAnsi="宋体" w:eastAsia="宋体" w:cs="宋体"/>
          <w:color w:val="auto"/>
          <w:szCs w:val="21"/>
          <w:highlight w:val="none"/>
        </w:rPr>
        <w:t>）</w:t>
      </w:r>
    </w:p>
    <w:p w14:paraId="125DC9F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CN"/>
        </w:rPr>
        <w:t>东莞市水务环境投资控股集团管网有限公司</w:t>
      </w:r>
      <w:r>
        <w:rPr>
          <w:rFonts w:hint="eastAsia" w:ascii="宋体" w:hAnsi="宋体" w:eastAsia="宋体" w:cs="宋体"/>
          <w:color w:val="auto"/>
          <w:szCs w:val="21"/>
          <w:highlight w:val="none"/>
        </w:rPr>
        <w:t>、东莞市莞泽水环境投资有限公司、东莞市东信水环境投资有限公司、东莞市东泽水环境投资有限公司、东莞市清泽水环境投资有限公司、东莞市莞清水环境投资有限公司、东莞市东江水环境投资有限公司</w:t>
      </w:r>
    </w:p>
    <w:p w14:paraId="425E73F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乙方：</w:t>
      </w:r>
    </w:p>
    <w:p w14:paraId="72CE8DB8">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6A788CD3">
      <w:pPr>
        <w:spacing w:line="560" w:lineRule="exact"/>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第一条  甲乙双方的权利和义务</w:t>
      </w:r>
    </w:p>
    <w:p w14:paraId="61792317">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（一）严格遵守党和国家有关法律法规等有关廉洁从业规定。</w:t>
      </w:r>
    </w:p>
    <w:p w14:paraId="3876DC49">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（二）严格执行本项目的合同文件，自觉按合同办事。</w:t>
      </w:r>
    </w:p>
    <w:p w14:paraId="095A3939">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（三）双方的业务活动坚持公开、公正、诚信、透明的原则（除法律认定的商业秘密和合同文件另有规定之外）不得损害国家和集体利益，违反工程建设管理及其他法律法规规章制度。</w:t>
      </w:r>
    </w:p>
    <w:p w14:paraId="450EF4AE">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（四）建立健全廉洁制度，开展廉洁教育，设立廉洁监督公示牌，公布举报电话，监督并认真查处违法违纪行为。</w:t>
      </w:r>
    </w:p>
    <w:p w14:paraId="404A8437">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（五）发现对方在业务活动中有违反廉洁规定的行为，有及时提醒对方纠正的权利和义务。</w:t>
      </w:r>
    </w:p>
    <w:p w14:paraId="0B2CAD15">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（六）发现对方严重违反本协议义务条款的行为，有向其上级有关部门举报、建议给予处理并要求告知处理结果的权利。</w:t>
      </w:r>
    </w:p>
    <w:p w14:paraId="5E2AC4B0">
      <w:pPr>
        <w:spacing w:line="560" w:lineRule="exact"/>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第二条  甲方的义务</w:t>
      </w:r>
    </w:p>
    <w:p w14:paraId="6AF51B30">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（一）甲方及其工作人员不得索要或接受乙方的礼金、有价证券和贵重物品，不得在乙方报销任何应由甲方或个人支付的费用。</w:t>
      </w:r>
    </w:p>
    <w:p w14:paraId="35C26A90">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（二）甲方工作人员不得参加乙方安排的高消费宴请和娱乐活动；不得接受乙方提供的通讯工具、交通工具和高档办公用品。</w:t>
      </w:r>
    </w:p>
    <w:p w14:paraId="3984FC4B">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（三）甲方及其工作人员不得要求或者接受乙方为其住房装修、婚丧嫁娶活动、家属或亲友的工作安排以及出国出境、旅游等提供方便。</w:t>
      </w:r>
    </w:p>
    <w:p w14:paraId="060A867A">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（四）甲方工作人员不得向乙方介绍其家属或者亲友（包括家属或亲友开办的公司企业）从事于本项目涉及的经济业务活动。</w:t>
      </w:r>
    </w:p>
    <w:p w14:paraId="340AB7C2">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（五）甲方及其工作人员不得以任何理由向乙方推荐分包单位，不得要求乙方购买合同规定外的材料和设备。</w:t>
      </w:r>
    </w:p>
    <w:p w14:paraId="04BA86D6">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（六）甲方及其工作人员不得进行违反廉洁规定的其他活动。</w:t>
      </w:r>
    </w:p>
    <w:p w14:paraId="231FA400">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2AA10B4D">
      <w:pPr>
        <w:spacing w:line="560" w:lineRule="exact"/>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第三条  乙方义务</w:t>
      </w:r>
    </w:p>
    <w:p w14:paraId="3495BF3E">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（一）乙方不得以任何理由向甲方及其工作人员馈赠礼金、有价证券、贵重礼品，或报销应由甲方单位或个人支付的任何费用。</w:t>
      </w:r>
    </w:p>
    <w:p w14:paraId="18150808">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（二）乙方及其工作人员不得以考察、参观、洽谈业务、签订合同等的借口邀请甲方及其工作人员参加高消费的宴请、娱乐和健身等活动。</w:t>
      </w:r>
    </w:p>
    <w:p w14:paraId="7FF506BC">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（三）乙方不得为甲方单位和个人购置或提供通讯工具、交通工具和高档办公用品等。</w:t>
      </w:r>
    </w:p>
    <w:p w14:paraId="0A4C25C6">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（四）乙方及其工作人员不得为甲方工作人员购买、装修、维修私人住房、汽车等。</w:t>
      </w:r>
    </w:p>
    <w:p w14:paraId="65E8A2B6">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（五）乙方及其工作人员不得为甲方工作人员的婚丧嫁娶、家属或亲友的工作安排，及出国出境提供方便以及报销任何私人消费的费用。</w:t>
      </w:r>
    </w:p>
    <w:p w14:paraId="307F7A95">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（六）乙方及其工作人员不得进行影响甲方及其工作人员公正执行合同和履行职务的其他活动。</w:t>
      </w:r>
    </w:p>
    <w:p w14:paraId="7D5E2E3F">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77DBC841">
      <w:pPr>
        <w:spacing w:line="560" w:lineRule="exact"/>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第四条  违约责任</w:t>
      </w:r>
    </w:p>
    <w:p w14:paraId="01A4E7A2">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（一）甲方违反本协议第一、第二条给乙方单位造成经济损失的，应予以赔偿。</w:t>
      </w:r>
    </w:p>
    <w:p w14:paraId="6CB3FD06">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（二）乙方违反本协议第一、第三条给甲方单位造成经济损失的，应予以赔偿。</w:t>
      </w:r>
    </w:p>
    <w:p w14:paraId="5381EC8E">
      <w:pPr>
        <w:spacing w:line="560" w:lineRule="exact"/>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第五条  监督检查</w:t>
      </w:r>
    </w:p>
    <w:p w14:paraId="267B2E6E">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甲乙双方的廉洁从业行为由双方或双方上级单位的纪检、监察部门负责监督，对本协议履行情况进行检查。</w:t>
      </w:r>
    </w:p>
    <w:p w14:paraId="5F12BB97">
      <w:pPr>
        <w:spacing w:line="560" w:lineRule="exact"/>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第六条 举报信访受理</w:t>
      </w:r>
    </w:p>
    <w:p w14:paraId="3DE9C87E">
      <w:pPr>
        <w:spacing w:line="560" w:lineRule="exact"/>
        <w:ind w:firstLine="560"/>
        <w:rPr>
          <w:rFonts w:ascii="宋体" w:hAnsi="宋体" w:eastAsia="宋体" w:cs="宋体"/>
          <w:color w:val="auto"/>
          <w:szCs w:val="21"/>
          <w:highlight w:val="none"/>
        </w:rPr>
      </w:pPr>
      <w:r>
        <w:rPr>
          <w:rFonts w:hint="eastAsia" w:ascii="宋体" w:hAnsi="宋体" w:eastAsia="宋体" w:cs="宋体"/>
          <w:color w:val="auto"/>
          <w:szCs w:val="21"/>
          <w:highlight w:val="none"/>
        </w:rPr>
        <w:t>（一）举报受理部门：东莞市水务环境投资控股集团有限公司纪检监察部。</w:t>
      </w:r>
    </w:p>
    <w:p w14:paraId="158630C7">
      <w:pPr>
        <w:spacing w:line="560" w:lineRule="exact"/>
        <w:ind w:firstLine="560"/>
        <w:rPr>
          <w:rFonts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14:paraId="5B499F4F">
      <w:pPr>
        <w:spacing w:line="560" w:lineRule="exact"/>
        <w:ind w:firstLine="560"/>
        <w:rPr>
          <w:rFonts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color w:val="auto"/>
          <w:highlight w:val="none"/>
        </w:rPr>
        <w:fldChar w:fldCharType="begin"/>
      </w:r>
      <w:r>
        <w:rPr>
          <w:color w:val="auto"/>
          <w:highlight w:val="none"/>
        </w:rPr>
        <w:instrText xml:space="preserve"> HYPERLINK "mailto:jcsj@dgswjt.cn。" </w:instrText>
      </w:r>
      <w:r>
        <w:rPr>
          <w:color w:val="auto"/>
          <w:highlight w:val="none"/>
        </w:rPr>
        <w:fldChar w:fldCharType="separate"/>
      </w:r>
      <w:r>
        <w:rPr>
          <w:rStyle w:val="49"/>
          <w:rFonts w:hint="eastAsia" w:ascii="宋体" w:hAnsi="宋体" w:eastAsia="宋体" w:cs="宋体"/>
          <w:color w:val="auto"/>
          <w:sz w:val="21"/>
          <w:szCs w:val="21"/>
          <w:highlight w:val="none"/>
        </w:rPr>
        <w:t>jcsj@dgswjt.cn。</w:t>
      </w:r>
      <w:r>
        <w:rPr>
          <w:rStyle w:val="49"/>
          <w:rFonts w:hint="eastAsia" w:ascii="宋体" w:hAnsi="宋体" w:eastAsia="宋体" w:cs="宋体"/>
          <w:color w:val="auto"/>
          <w:sz w:val="21"/>
          <w:szCs w:val="21"/>
          <w:highlight w:val="none"/>
        </w:rPr>
        <w:fldChar w:fldCharType="end"/>
      </w:r>
    </w:p>
    <w:p w14:paraId="35D716CE">
      <w:pPr>
        <w:spacing w:line="560" w:lineRule="exact"/>
        <w:ind w:firstLine="560"/>
        <w:rPr>
          <w:rFonts w:ascii="宋体" w:hAnsi="宋体" w:eastAsia="宋体" w:cs="宋体"/>
          <w:color w:val="auto"/>
          <w:szCs w:val="21"/>
          <w:highlight w:val="none"/>
        </w:rPr>
      </w:pPr>
      <w:r>
        <w:rPr>
          <w:rFonts w:hint="eastAsia" w:ascii="宋体" w:hAnsi="宋体" w:eastAsia="宋体" w:cs="宋体"/>
          <w:color w:val="auto"/>
          <w:szCs w:val="21"/>
          <w:highlight w:val="none"/>
        </w:rPr>
        <w:t>（四）信访地址：广东省东莞市东城街道育华路1号。</w:t>
      </w:r>
    </w:p>
    <w:p w14:paraId="61F7735D">
      <w:pPr>
        <w:spacing w:line="560" w:lineRule="exact"/>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第七条 其他</w:t>
      </w:r>
    </w:p>
    <w:p w14:paraId="73C7822D">
      <w:pPr>
        <w:spacing w:line="560" w:lineRule="exact"/>
        <w:ind w:firstLine="560"/>
        <w:rPr>
          <w:rFonts w:ascii="宋体" w:hAnsi="宋体" w:eastAsia="宋体" w:cs="宋体"/>
          <w:color w:val="auto"/>
          <w:szCs w:val="21"/>
          <w:highlight w:val="none"/>
        </w:rPr>
      </w:pPr>
      <w:r>
        <w:rPr>
          <w:rFonts w:hint="eastAsia" w:ascii="宋体" w:hAnsi="宋体" w:eastAsia="宋体" w:cs="宋体"/>
          <w:color w:val="auto"/>
          <w:szCs w:val="21"/>
          <w:highlight w:val="none"/>
        </w:rPr>
        <w:t>本协议有效期为甲乙双方签字并加盖公章之日起至该工程/采购项目竣工验收完毕，质保期/服务期满后止。本协议一式陆份，甲方执叁份，乙方执贰份，招标代理执壹份。均具有同等效力。</w:t>
      </w:r>
    </w:p>
    <w:p w14:paraId="23C36E8C">
      <w:pPr>
        <w:rPr>
          <w:rFonts w:ascii="宋体" w:hAnsi="宋体" w:eastAsia="宋体" w:cs="宋体"/>
          <w:color w:val="auto"/>
          <w:szCs w:val="21"/>
          <w:highlight w:val="none"/>
        </w:rPr>
      </w:pPr>
    </w:p>
    <w:p w14:paraId="5C3DC538">
      <w:pPr>
        <w:spacing w:line="360" w:lineRule="auto"/>
        <w:rPr>
          <w:rFonts w:ascii="宋体" w:hAnsi="宋体" w:eastAsia="宋体" w:cs="宋体"/>
          <w:color w:val="auto"/>
          <w:szCs w:val="21"/>
          <w:highlight w:val="none"/>
        </w:rPr>
      </w:pPr>
    </w:p>
    <w:p w14:paraId="05BE296A">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 方1：                           </w:t>
      </w:r>
    </w:p>
    <w:p w14:paraId="60D431D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2C1411A">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法定代表人（或负责人）：                </w:t>
      </w:r>
    </w:p>
    <w:p w14:paraId="6B68E041">
      <w:pP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7A35801">
      <w:pPr>
        <w:spacing w:line="360" w:lineRule="auto"/>
        <w:ind w:left="5040" w:hanging="5040" w:hangingChars="2400"/>
        <w:jc w:val="left"/>
        <w:rPr>
          <w:rFonts w:ascii="宋体" w:hAnsi="宋体" w:eastAsia="宋体" w:cs="宋体"/>
          <w:color w:val="auto"/>
          <w:szCs w:val="21"/>
          <w:highlight w:val="none"/>
        </w:rPr>
      </w:pPr>
    </w:p>
    <w:p w14:paraId="4031E0EA">
      <w:pPr>
        <w:pStyle w:val="31"/>
        <w:rPr>
          <w:color w:val="auto"/>
          <w:highlight w:val="none"/>
        </w:rPr>
      </w:pPr>
    </w:p>
    <w:p w14:paraId="5128A709">
      <w:pPr>
        <w:rPr>
          <w:rFonts w:ascii="宋体" w:hAnsi="宋体" w:eastAsia="宋体" w:cs="宋体"/>
          <w:color w:val="auto"/>
          <w:szCs w:val="21"/>
          <w:highlight w:val="none"/>
        </w:rPr>
      </w:pPr>
    </w:p>
    <w:p w14:paraId="755EC5A5">
      <w:pPr>
        <w:pStyle w:val="31"/>
        <w:rPr>
          <w:color w:val="auto"/>
          <w:highlight w:val="none"/>
        </w:rPr>
      </w:pPr>
    </w:p>
    <w:p w14:paraId="31F65463">
      <w:pPr>
        <w:rPr>
          <w:rFonts w:ascii="宋体" w:hAnsi="宋体" w:eastAsia="宋体" w:cs="宋体"/>
          <w:color w:val="auto"/>
          <w:sz w:val="24"/>
          <w:szCs w:val="24"/>
          <w:highlight w:val="none"/>
        </w:rPr>
      </w:pPr>
    </w:p>
    <w:p w14:paraId="71C9BEB7">
      <w:pPr>
        <w:spacing w:line="360" w:lineRule="auto"/>
        <w:ind w:left="5040" w:hanging="5040" w:hangingChars="24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 方2：                                甲方3：                            </w:t>
      </w:r>
    </w:p>
    <w:p w14:paraId="39500E0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945EAF6">
      <w:pPr>
        <w:spacing w:line="360" w:lineRule="auto"/>
        <w:ind w:left="5040" w:hanging="5040" w:hangingChars="24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法定代表人（或负责人）：                法定代表（或负责人）:  </w:t>
      </w:r>
    </w:p>
    <w:p w14:paraId="398DDC27">
      <w:pPr>
        <w:spacing w:line="360" w:lineRule="auto"/>
        <w:jc w:val="left"/>
        <w:rPr>
          <w:rFonts w:ascii="宋体" w:hAnsi="宋体" w:eastAsia="宋体" w:cs="宋体"/>
          <w:color w:val="auto"/>
          <w:szCs w:val="21"/>
          <w:highlight w:val="none"/>
        </w:rPr>
      </w:pPr>
    </w:p>
    <w:p w14:paraId="49B4C1C9">
      <w:pPr>
        <w:pStyle w:val="31"/>
        <w:rPr>
          <w:color w:val="auto"/>
          <w:highlight w:val="none"/>
        </w:rPr>
      </w:pPr>
    </w:p>
    <w:p w14:paraId="741748B3">
      <w:pPr>
        <w:spacing w:line="360" w:lineRule="auto"/>
        <w:ind w:left="5040" w:hanging="5040" w:hangingChars="2400"/>
        <w:jc w:val="left"/>
        <w:rPr>
          <w:rFonts w:ascii="宋体" w:hAnsi="宋体" w:eastAsia="宋体" w:cs="宋体"/>
          <w:color w:val="auto"/>
          <w:szCs w:val="21"/>
          <w:highlight w:val="none"/>
        </w:rPr>
      </w:pPr>
    </w:p>
    <w:p w14:paraId="6884749E">
      <w:pPr>
        <w:pStyle w:val="31"/>
        <w:rPr>
          <w:color w:val="auto"/>
          <w:highlight w:val="none"/>
        </w:rPr>
      </w:pPr>
    </w:p>
    <w:p w14:paraId="19140C5A">
      <w:pPr>
        <w:spacing w:line="360" w:lineRule="auto"/>
        <w:ind w:left="5040" w:hanging="5040" w:hangingChars="24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 方4：                                甲方5：                                 </w:t>
      </w:r>
    </w:p>
    <w:p w14:paraId="072FA8F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A637D1C">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法定代表人（或负责人）：                法定代表（或负责人）:  </w:t>
      </w:r>
    </w:p>
    <w:p w14:paraId="0F528065">
      <w:pPr>
        <w:spacing w:line="360" w:lineRule="auto"/>
        <w:jc w:val="left"/>
        <w:rPr>
          <w:rFonts w:ascii="宋体" w:hAnsi="宋体" w:eastAsia="宋体" w:cs="宋体"/>
          <w:color w:val="auto"/>
          <w:szCs w:val="21"/>
          <w:highlight w:val="none"/>
        </w:rPr>
      </w:pPr>
    </w:p>
    <w:p w14:paraId="18499307">
      <w:pPr>
        <w:spacing w:line="360" w:lineRule="auto"/>
        <w:ind w:left="5040" w:hanging="5040" w:hangingChars="2400"/>
        <w:jc w:val="left"/>
        <w:rPr>
          <w:rFonts w:ascii="宋体" w:hAnsi="宋体" w:eastAsia="宋体" w:cs="宋体"/>
          <w:color w:val="auto"/>
          <w:szCs w:val="21"/>
          <w:highlight w:val="none"/>
        </w:rPr>
      </w:pPr>
    </w:p>
    <w:p w14:paraId="5A17C76B">
      <w:pPr>
        <w:pStyle w:val="31"/>
        <w:rPr>
          <w:color w:val="auto"/>
          <w:highlight w:val="none"/>
        </w:rPr>
      </w:pPr>
    </w:p>
    <w:p w14:paraId="7292514A">
      <w:pPr>
        <w:pStyle w:val="31"/>
        <w:rPr>
          <w:color w:val="auto"/>
          <w:highlight w:val="none"/>
        </w:rPr>
      </w:pPr>
    </w:p>
    <w:p w14:paraId="1CEC7094">
      <w:pPr>
        <w:rPr>
          <w:rFonts w:ascii="宋体" w:hAnsi="宋体" w:eastAsia="宋体" w:cs="宋体"/>
          <w:color w:val="auto"/>
          <w:sz w:val="24"/>
          <w:szCs w:val="24"/>
          <w:highlight w:val="none"/>
        </w:rPr>
      </w:pPr>
    </w:p>
    <w:p w14:paraId="740886C4">
      <w:pPr>
        <w:spacing w:line="360" w:lineRule="auto"/>
        <w:ind w:left="5040" w:hanging="5040" w:hangingChars="24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 方6：                                甲方7：                                 </w:t>
      </w:r>
    </w:p>
    <w:p w14:paraId="116653B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15A0C20">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法定代表人（或负责人）：                法定代表（或负责人）:  </w:t>
      </w:r>
    </w:p>
    <w:p w14:paraId="0818F0EF">
      <w:pPr>
        <w:spacing w:line="360" w:lineRule="auto"/>
        <w:rPr>
          <w:rFonts w:ascii="宋体" w:hAnsi="宋体" w:eastAsia="宋体" w:cs="宋体"/>
          <w:bCs/>
          <w:color w:val="auto"/>
          <w:szCs w:val="21"/>
          <w:highlight w:val="none"/>
        </w:rPr>
      </w:pPr>
    </w:p>
    <w:p w14:paraId="41D1EF06">
      <w:pPr>
        <w:spacing w:line="360" w:lineRule="auto"/>
        <w:rPr>
          <w:rFonts w:ascii="宋体" w:hAnsi="宋体" w:eastAsia="宋体" w:cs="宋体"/>
          <w:bCs/>
          <w:color w:val="auto"/>
          <w:szCs w:val="21"/>
          <w:highlight w:val="none"/>
        </w:rPr>
      </w:pPr>
    </w:p>
    <w:p w14:paraId="47CC7DD3">
      <w:pPr>
        <w:pStyle w:val="31"/>
        <w:rPr>
          <w:color w:val="auto"/>
          <w:highlight w:val="none"/>
        </w:rPr>
      </w:pPr>
    </w:p>
    <w:p w14:paraId="209DC9BF">
      <w:pPr>
        <w:rPr>
          <w:rFonts w:ascii="宋体" w:hAnsi="宋体" w:eastAsia="宋体" w:cs="宋体"/>
          <w:color w:val="auto"/>
          <w:sz w:val="24"/>
          <w:szCs w:val="24"/>
          <w:highlight w:val="none"/>
        </w:rPr>
      </w:pPr>
    </w:p>
    <w:p w14:paraId="0BC87C8B">
      <w:pPr>
        <w:spacing w:line="360" w:lineRule="auto"/>
        <w:rPr>
          <w:rFonts w:ascii="宋体" w:hAnsi="宋体" w:eastAsia="宋体" w:cs="宋体"/>
          <w:color w:val="auto"/>
          <w:szCs w:val="21"/>
          <w:highlight w:val="none"/>
        </w:rPr>
      </w:pPr>
      <w:r>
        <w:rPr>
          <w:rFonts w:hint="eastAsia" w:ascii="宋体" w:hAnsi="宋体" w:eastAsia="宋体" w:cs="宋体"/>
          <w:bCs/>
          <w:color w:val="auto"/>
          <w:szCs w:val="21"/>
          <w:highlight w:val="none"/>
        </w:rPr>
        <w:t>乙方：</w:t>
      </w:r>
    </w:p>
    <w:p w14:paraId="7928FAA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法定代表（或负责）人：                 </w:t>
      </w:r>
    </w:p>
    <w:p w14:paraId="0502A6F2">
      <w:pPr>
        <w:pStyle w:val="3"/>
        <w:jc w:val="left"/>
        <w:rPr>
          <w:rFonts w:hAnsi="宋体" w:cs="宋体"/>
          <w:b w:val="0"/>
          <w:bCs w:val="0"/>
          <w:color w:val="auto"/>
          <w:sz w:val="21"/>
          <w:szCs w:val="21"/>
          <w:highlight w:val="none"/>
        </w:rPr>
      </w:pPr>
    </w:p>
    <w:p w14:paraId="10EB2F7E">
      <w:pPr>
        <w:rPr>
          <w:rFonts w:ascii="宋体" w:hAnsi="宋体" w:eastAsia="宋体" w:cs="宋体"/>
          <w:color w:val="auto"/>
          <w:szCs w:val="21"/>
          <w:highlight w:val="none"/>
        </w:rPr>
      </w:pPr>
    </w:p>
    <w:p w14:paraId="43B18B9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日期：    年    月    日                        </w:t>
      </w:r>
    </w:p>
    <w:p w14:paraId="50F9DA38">
      <w:pPr>
        <w:ind w:firstLine="210" w:firstLineChars="100"/>
        <w:rPr>
          <w:rFonts w:ascii="宋体" w:hAnsi="宋体" w:eastAsia="宋体" w:cs="宋体"/>
          <w:color w:val="auto"/>
          <w:szCs w:val="21"/>
          <w:highlight w:val="none"/>
        </w:rPr>
      </w:pPr>
    </w:p>
    <w:p w14:paraId="373D4D7C">
      <w:pPr>
        <w:rPr>
          <w:rFonts w:ascii="宋体" w:hAnsi="宋体" w:eastAsia="宋体" w:cs="宋体"/>
          <w:color w:val="auto"/>
          <w:szCs w:val="21"/>
          <w:highlight w:val="none"/>
        </w:rPr>
      </w:pPr>
      <w:r>
        <w:rPr>
          <w:rFonts w:hint="eastAsia" w:ascii="宋体" w:hAnsi="宋体" w:eastAsia="宋体" w:cs="宋体"/>
          <w:color w:val="auto"/>
          <w:szCs w:val="21"/>
          <w:highlight w:val="none"/>
        </w:rPr>
        <w:t>签订地点：广东省东莞市</w:t>
      </w:r>
    </w:p>
    <w:p w14:paraId="6F469E08">
      <w:pPr>
        <w:rPr>
          <w:rFonts w:ascii="宋体" w:hAnsi="宋体" w:eastAsia="宋体" w:cs="宋体"/>
          <w:color w:val="auto"/>
          <w:szCs w:val="21"/>
          <w:highlight w:val="none"/>
        </w:rPr>
      </w:pPr>
    </w:p>
    <w:p w14:paraId="7C5F8F7D">
      <w:pPr>
        <w:pStyle w:val="3"/>
        <w:rPr>
          <w:color w:val="auto"/>
          <w:highlight w:val="none"/>
        </w:rPr>
      </w:pPr>
    </w:p>
    <w:p w14:paraId="2D1A082A">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378" w:name="_Toc447045090"/>
      <w:bookmarkStart w:id="379" w:name="_Toc22246"/>
      <w:bookmarkStart w:id="380" w:name="_Toc447044479"/>
      <w:bookmarkStart w:id="381" w:name="_Toc447044603"/>
      <w:bookmarkStart w:id="382" w:name="_Toc142508360"/>
      <w:bookmarkStart w:id="383" w:name="_Toc24427_WPSOffice_Level1"/>
      <w:bookmarkStart w:id="384" w:name="_Toc14277"/>
      <w:bookmarkStart w:id="385" w:name="_Toc512353083"/>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78"/>
      <w:bookmarkEnd w:id="379"/>
      <w:bookmarkEnd w:id="380"/>
      <w:bookmarkEnd w:id="381"/>
      <w:bookmarkEnd w:id="382"/>
      <w:bookmarkEnd w:id="383"/>
      <w:bookmarkEnd w:id="384"/>
      <w:bookmarkEnd w:id="385"/>
      <w:bookmarkStart w:id="386" w:name="_Toc447044604"/>
      <w:bookmarkStart w:id="387" w:name="_Toc447044480"/>
      <w:bookmarkStart w:id="388" w:name="_Toc447045091"/>
    </w:p>
    <w:p w14:paraId="11AAE51D">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389" w:name="_Toc26521_WPSOffice_Level2"/>
      <w:r>
        <w:rPr>
          <w:rFonts w:hint="eastAsia" w:ascii="宋体" w:hAnsi="宋体" w:eastAsia="宋体" w:cs="Times New Roman"/>
          <w:b/>
          <w:color w:val="auto"/>
          <w:kern w:val="0"/>
          <w:sz w:val="28"/>
          <w:szCs w:val="28"/>
          <w:highlight w:val="none"/>
        </w:rPr>
        <w:t>一、不可撤销银行履约保函格式</w:t>
      </w:r>
      <w:bookmarkEnd w:id="386"/>
      <w:bookmarkEnd w:id="387"/>
      <w:bookmarkEnd w:id="388"/>
      <w:bookmarkEnd w:id="389"/>
    </w:p>
    <w:p w14:paraId="09980D2C">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62761B2B">
      <w:pPr>
        <w:widowControl/>
        <w:autoSpaceDE w:val="0"/>
        <w:autoSpaceDN w:val="0"/>
        <w:adjustRightInd w:val="0"/>
        <w:spacing w:line="360" w:lineRule="auto"/>
        <w:jc w:val="left"/>
        <w:rPr>
          <w:rFonts w:ascii="宋体" w:hAnsi="宋体" w:eastAsia="宋体" w:cs="宋体"/>
          <w:color w:val="auto"/>
          <w:kern w:val="0"/>
          <w:szCs w:val="21"/>
          <w:highlight w:val="none"/>
        </w:rPr>
      </w:pPr>
    </w:p>
    <w:p w14:paraId="48C8174C">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0C622ADD">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6C58E750">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2DDCB667">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5C1F7CA2">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5C8BB8BF">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021E1E8F">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2C957456">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应从合同期限届满并完成全部供货（含最终验收合格）且结算完毕之后二十八（28）日内保持有效。</w:t>
      </w:r>
    </w:p>
    <w:p w14:paraId="4D49615B">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21FCF753">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5179DA93">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6B875A0A">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49A04D86">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65125229">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E1EC460">
      <w:pPr>
        <w:widowControl/>
        <w:autoSpaceDE w:val="0"/>
        <w:autoSpaceDN w:val="0"/>
        <w:adjustRightInd w:val="0"/>
        <w:spacing w:line="360" w:lineRule="auto"/>
        <w:jc w:val="left"/>
        <w:rPr>
          <w:rFonts w:ascii="宋体" w:hAnsi="宋体" w:eastAsia="宋体" w:cs="宋体"/>
          <w:color w:val="auto"/>
          <w:kern w:val="0"/>
          <w:szCs w:val="21"/>
          <w:highlight w:val="none"/>
        </w:rPr>
      </w:pPr>
    </w:p>
    <w:p w14:paraId="396F66E5">
      <w:pPr>
        <w:widowControl/>
        <w:autoSpaceDE w:val="0"/>
        <w:autoSpaceDN w:val="0"/>
        <w:adjustRightInd w:val="0"/>
        <w:spacing w:line="360" w:lineRule="auto"/>
        <w:jc w:val="left"/>
        <w:rPr>
          <w:rFonts w:ascii="宋体" w:hAnsi="宋体" w:eastAsia="宋体" w:cs="宋体"/>
          <w:color w:val="auto"/>
          <w:kern w:val="0"/>
          <w:szCs w:val="21"/>
          <w:highlight w:val="none"/>
        </w:rPr>
      </w:pPr>
    </w:p>
    <w:p w14:paraId="56A3B70A">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3D71F3A9">
      <w:pPr>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二、履约保证保险凭证格式</w:t>
      </w:r>
    </w:p>
    <w:p w14:paraId="0A8521A6">
      <w:pPr>
        <w:autoSpaceDE w:val="0"/>
        <w:autoSpaceDN w:val="0"/>
        <w:adjustRightInd w:val="0"/>
        <w:jc w:val="center"/>
        <w:rPr>
          <w:rFonts w:ascii="宋体" w:hAnsi="宋体" w:eastAsia="宋体" w:cs="Times New Roman"/>
          <w:b/>
          <w:color w:val="auto"/>
          <w:kern w:val="0"/>
          <w:sz w:val="30"/>
          <w:szCs w:val="30"/>
          <w:highlight w:val="none"/>
        </w:rPr>
      </w:pPr>
    </w:p>
    <w:p w14:paraId="1D52DA96">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履约保证保险凭证</w:t>
      </w:r>
    </w:p>
    <w:p w14:paraId="472E0963">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4BA81997">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编号：</w:t>
      </w:r>
    </w:p>
    <w:p w14:paraId="3D480EF5">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270C2650">
      <w:pPr>
        <w:autoSpaceDE w:val="0"/>
        <w:autoSpaceDN w:val="0"/>
        <w:adjustRightInd w:val="0"/>
        <w:spacing w:line="360" w:lineRule="auto"/>
        <w:ind w:firstLine="437"/>
        <w:jc w:val="left"/>
        <w:rPr>
          <w:rFonts w:ascii="宋体" w:hAnsi="宋体" w:eastAsia="宋体" w:cs="宋体"/>
          <w:color w:val="auto"/>
          <w:kern w:val="0"/>
          <w:szCs w:val="21"/>
          <w:highlight w:val="none"/>
        </w:rPr>
      </w:pPr>
    </w:p>
    <w:p w14:paraId="0EDBF6A5">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。我方已接受申请人的请求，并出具《履约保证保险》保险单。</w:t>
      </w:r>
      <w:r>
        <w:rPr>
          <w:rFonts w:ascii="宋体" w:hAnsi="宋体" w:eastAsia="宋体" w:cs="宋体"/>
          <w:color w:val="auto"/>
          <w:kern w:val="0"/>
          <w:szCs w:val="21"/>
          <w:highlight w:val="none"/>
        </w:rPr>
        <w:t xml:space="preserve"> </w:t>
      </w:r>
    </w:p>
    <w:p w14:paraId="225B24E3">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一、保证保险金额 </w:t>
      </w:r>
    </w:p>
    <w:p w14:paraId="41A42D73">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ascii="宋体" w:hAnsi="宋体" w:eastAsia="宋体" w:cs="宋体"/>
          <w:color w:val="auto"/>
          <w:kern w:val="0"/>
          <w:szCs w:val="21"/>
          <w:highlight w:val="none"/>
        </w:rPr>
        <w:t>¥</w:t>
      </w:r>
      <w:r>
        <w:rPr>
          <w:rFonts w:hint="eastAsia" w:ascii="宋体" w:hAnsi="宋体" w:eastAsia="宋体" w:cs="宋体"/>
          <w:b/>
          <w:color w:val="auto"/>
          <w:kern w:val="0"/>
          <w:szCs w:val="21"/>
          <w:highlight w:val="none"/>
          <w:u w:val="singl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p w14:paraId="33986574">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二、保证保险的责任范围 </w:t>
      </w:r>
    </w:p>
    <w:p w14:paraId="68708B29">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 xml:space="preserve">履行相关义务，给贵方造成损失的，贵方可向我方提出索赔，我方按照保险合同的约定承担损失赔偿责任。 </w:t>
      </w:r>
    </w:p>
    <w:p w14:paraId="51C3034F">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三、代偿的安排 </w:t>
      </w:r>
    </w:p>
    <w:p w14:paraId="1FA6F3FC">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230289EE">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四、生效时间 </w:t>
      </w:r>
    </w:p>
    <w:p w14:paraId="66A2EC6A">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14:paraId="59D31AA5">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五、其他</w:t>
      </w:r>
    </w:p>
    <w:p w14:paraId="0F9C189F">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rPr>
        <w:t>履约保证保险</w:t>
      </w:r>
      <w:r>
        <w:rPr>
          <w:rFonts w:hint="eastAsia" w:ascii="宋体" w:hAnsi="宋体" w:eastAsia="宋体" w:cs="Times New Roman"/>
          <w:color w:val="auto"/>
          <w:kern w:val="0"/>
          <w:szCs w:val="21"/>
          <w:highlight w:val="none"/>
        </w:rPr>
        <w:t>应从合同期限届满并完成全部供货（含最终验收合格）且结算完毕之后二十八（28）日内保持有效。</w:t>
      </w:r>
    </w:p>
    <w:p w14:paraId="00BC7A94">
      <w:pPr>
        <w:pStyle w:val="6"/>
        <w:rPr>
          <w:color w:val="auto"/>
          <w:highlight w:val="none"/>
        </w:rPr>
      </w:pPr>
    </w:p>
    <w:p w14:paraId="4B4935C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w:t>
      </w:r>
      <w:r>
        <w:rPr>
          <w:rFonts w:ascii="宋体" w:hAnsi="宋体" w:eastAsia="宋体" w:cs="宋体"/>
          <w:color w:val="auto"/>
          <w:kern w:val="0"/>
          <w:szCs w:val="21"/>
          <w:highlight w:val="none"/>
        </w:rPr>
        <w:t xml:space="preserve">XXX </w:t>
      </w:r>
      <w:r>
        <w:rPr>
          <w:rFonts w:hint="eastAsia" w:ascii="宋体" w:hAnsi="宋体" w:eastAsia="宋体" w:cs="宋体"/>
          <w:color w:val="auto"/>
          <w:kern w:val="0"/>
          <w:szCs w:val="21"/>
          <w:highlight w:val="none"/>
        </w:rPr>
        <w:t>保险有限公司履约保证保险（</w:t>
      </w:r>
      <w:r>
        <w:rPr>
          <w:rFonts w:ascii="宋体" w:hAnsi="宋体" w:eastAsia="宋体" w:cs="宋体"/>
          <w:color w:val="auto"/>
          <w:kern w:val="0"/>
          <w:szCs w:val="21"/>
          <w:highlight w:val="none"/>
        </w:rPr>
        <w:t xml:space="preserve">X </w:t>
      </w:r>
      <w:r>
        <w:rPr>
          <w:rFonts w:hint="eastAsia" w:ascii="宋体" w:hAnsi="宋体" w:eastAsia="宋体" w:cs="宋体"/>
          <w:color w:val="auto"/>
          <w:kern w:val="0"/>
          <w:szCs w:val="21"/>
          <w:highlight w:val="none"/>
        </w:rPr>
        <w:t xml:space="preserve">款）条款》及保单 </w:t>
      </w:r>
    </w:p>
    <w:p w14:paraId="2D159DC8">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22BDC317">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保险人：（盖章）</w:t>
      </w:r>
    </w:p>
    <w:p w14:paraId="19B382D4">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法定代表人或授权代理人：</w:t>
      </w:r>
      <w:r>
        <w:rPr>
          <w:rFonts w:ascii="宋体" w:hAnsi="宋体" w:eastAsia="宋体" w:cs="宋体"/>
          <w:color w:val="auto"/>
          <w:kern w:val="0"/>
          <w:szCs w:val="21"/>
          <w:highlight w:val="none"/>
        </w:rPr>
        <w:t xml:space="preserve">________ </w:t>
      </w:r>
    </w:p>
    <w:p w14:paraId="62EBFEB4">
      <w:pPr>
        <w:jc w:val="right"/>
        <w:rPr>
          <w:rFonts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w:t>
      </w:r>
      <w:r>
        <w:rPr>
          <w:rFonts w:hint="eastAsia" w:ascii="宋体" w:hAnsi="宋体" w:eastAsia="宋体" w:cs="Times New Roman"/>
          <w:b/>
          <w:color w:val="auto"/>
          <w:kern w:val="0"/>
          <w:sz w:val="28"/>
          <w:szCs w:val="28"/>
          <w:highlight w:val="none"/>
        </w:rPr>
        <w:br w:type="page"/>
      </w:r>
    </w:p>
    <w:p w14:paraId="15914E21">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三、担保公司履约担保书格式</w:t>
      </w:r>
    </w:p>
    <w:p w14:paraId="2DBB242B">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07EAECEF">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4A003A7B">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09245397">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68194E4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72876AD3">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3259881E">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应从合同期限届满并完成全部供货（含最终验收合格）且结算完毕之后二十八（28）日内保持有效。</w:t>
      </w:r>
    </w:p>
    <w:p w14:paraId="450496B8">
      <w:pPr>
        <w:autoSpaceDE w:val="0"/>
        <w:autoSpaceDN w:val="0"/>
        <w:adjustRightInd w:val="0"/>
        <w:spacing w:line="360" w:lineRule="auto"/>
        <w:jc w:val="left"/>
        <w:rPr>
          <w:rFonts w:ascii="宋体" w:hAnsi="宋体" w:eastAsia="宋体" w:cs="Times New Roman"/>
          <w:color w:val="auto"/>
          <w:kern w:val="0"/>
          <w:szCs w:val="21"/>
          <w:highlight w:val="none"/>
        </w:rPr>
      </w:pPr>
    </w:p>
    <w:p w14:paraId="28D02E21">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4B934961">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762E6431">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6AEA7FBB">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186DE787">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722238D4">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7B8C5D22">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79BEC1CD">
      <w:pPr>
        <w:autoSpaceDE w:val="0"/>
        <w:autoSpaceDN w:val="0"/>
        <w:adjustRightInd w:val="0"/>
        <w:spacing w:line="360" w:lineRule="auto"/>
        <w:jc w:val="left"/>
        <w:rPr>
          <w:rFonts w:ascii="宋体" w:hAnsi="宋体" w:eastAsia="宋体" w:cs="Times New Roman"/>
          <w:color w:val="auto"/>
          <w:kern w:val="0"/>
          <w:szCs w:val="21"/>
          <w:highlight w:val="none"/>
        </w:rPr>
      </w:pPr>
    </w:p>
    <w:p w14:paraId="0E13C62B">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25E01290">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5ED6F7D">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1FEA1F9">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42B9C1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F4B9530">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F203CF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E0EDC1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6CEF4306">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390" w:name="_Toc450662895"/>
      <w:bookmarkStart w:id="391" w:name="_Toc32761_WPSOffice_Level1"/>
      <w:bookmarkStart w:id="392" w:name="_Toc12794"/>
      <w:bookmarkStart w:id="393" w:name="_Toc4646"/>
      <w:bookmarkStart w:id="394" w:name="_Toc486167708"/>
      <w:bookmarkStart w:id="395" w:name="_Toc142508361"/>
      <w:r>
        <w:rPr>
          <w:rFonts w:hint="eastAsia" w:ascii="宋体" w:hAnsi="宋体" w:eastAsia="宋体" w:cs="宋体"/>
          <w:b/>
          <w:bCs/>
          <w:color w:val="auto"/>
          <w:kern w:val="44"/>
          <w:sz w:val="32"/>
          <w:szCs w:val="32"/>
          <w:highlight w:val="none"/>
          <w:lang w:val="zh-CN"/>
        </w:rPr>
        <w:t>第六篇 投标文件格式</w:t>
      </w:r>
      <w:bookmarkEnd w:id="390"/>
      <w:bookmarkEnd w:id="391"/>
      <w:bookmarkEnd w:id="392"/>
      <w:bookmarkEnd w:id="393"/>
      <w:bookmarkEnd w:id="394"/>
      <w:bookmarkEnd w:id="395"/>
    </w:p>
    <w:p w14:paraId="6D1BBD6D">
      <w:pPr>
        <w:pStyle w:val="21"/>
        <w:spacing w:line="360" w:lineRule="auto"/>
        <w:jc w:val="center"/>
        <w:rPr>
          <w:rFonts w:ascii="宋体" w:hAnsi="宋体" w:cs="宋体"/>
          <w:b/>
          <w:color w:val="auto"/>
          <w:kern w:val="0"/>
          <w:sz w:val="32"/>
          <w:szCs w:val="32"/>
          <w:highlight w:val="none"/>
        </w:rPr>
      </w:pPr>
      <w:bookmarkStart w:id="396" w:name="_Toc142508362"/>
      <w:bookmarkStart w:id="397" w:name="_Toc533708121"/>
      <w:bookmarkStart w:id="398" w:name="_Toc104991868"/>
      <w:bookmarkStart w:id="399" w:name="_Toc140596921"/>
      <w:bookmarkStart w:id="400" w:name="_Toc102860067"/>
      <w:bookmarkStart w:id="401" w:name="_Toc486167709"/>
      <w:bookmarkStart w:id="402" w:name="_Toc94107202"/>
      <w:bookmarkStart w:id="403" w:name="_Toc21133_WPSOffice_Level2"/>
      <w:bookmarkStart w:id="404" w:name="_Toc102860411"/>
      <w:bookmarkStart w:id="405" w:name="_Toc1977721"/>
      <w:r>
        <w:rPr>
          <w:rFonts w:hint="eastAsia" w:ascii="宋体" w:hAnsi="宋体" w:cs="宋体"/>
          <w:b/>
          <w:color w:val="auto"/>
          <w:kern w:val="0"/>
          <w:sz w:val="32"/>
          <w:szCs w:val="32"/>
          <w:highlight w:val="none"/>
        </w:rPr>
        <w:br w:type="page"/>
      </w:r>
    </w:p>
    <w:p w14:paraId="7B32C218">
      <w:pPr>
        <w:pStyle w:val="21"/>
        <w:spacing w:line="360" w:lineRule="auto"/>
        <w:jc w:val="center"/>
        <w:rPr>
          <w:rFonts w:ascii="宋体" w:hAnsi="宋体" w:cs="宋体"/>
          <w:b/>
          <w:color w:val="auto"/>
          <w:kern w:val="0"/>
          <w:sz w:val="32"/>
          <w:szCs w:val="32"/>
          <w:highlight w:val="none"/>
        </w:rPr>
      </w:pPr>
    </w:p>
    <w:p w14:paraId="5DEE67E1">
      <w:pPr>
        <w:pStyle w:val="21"/>
        <w:spacing w:line="360" w:lineRule="auto"/>
        <w:jc w:val="center"/>
        <w:rPr>
          <w:rFonts w:ascii="宋体" w:hAnsi="宋体" w:cs="宋体"/>
          <w:b/>
          <w:color w:val="auto"/>
          <w:kern w:val="0"/>
          <w:sz w:val="32"/>
          <w:szCs w:val="32"/>
          <w:highlight w:val="none"/>
        </w:rPr>
      </w:pPr>
    </w:p>
    <w:p w14:paraId="1DDA9E05">
      <w:pPr>
        <w:pStyle w:val="21"/>
        <w:spacing w:line="360" w:lineRule="auto"/>
        <w:jc w:val="center"/>
        <w:rPr>
          <w:rFonts w:ascii="宋体" w:hAnsi="宋体" w:cs="宋体"/>
          <w:b/>
          <w:color w:val="auto"/>
          <w:kern w:val="0"/>
          <w:sz w:val="32"/>
          <w:szCs w:val="32"/>
          <w:highlight w:val="none"/>
        </w:rPr>
      </w:pPr>
    </w:p>
    <w:p w14:paraId="6F834EE7">
      <w:pPr>
        <w:pStyle w:val="21"/>
        <w:spacing w:line="360" w:lineRule="auto"/>
        <w:jc w:val="center"/>
        <w:rPr>
          <w:rFonts w:ascii="宋体" w:hAnsi="宋体" w:cs="宋体"/>
          <w:color w:val="auto"/>
          <w:sz w:val="84"/>
          <w:highlight w:val="none"/>
        </w:rPr>
      </w:pPr>
    </w:p>
    <w:p w14:paraId="72C7A1AA">
      <w:pPr>
        <w:pStyle w:val="21"/>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262A29C0">
      <w:pPr>
        <w:pStyle w:val="21"/>
        <w:spacing w:line="360" w:lineRule="auto"/>
        <w:rPr>
          <w:rFonts w:ascii="宋体" w:hAnsi="宋体" w:cs="宋体"/>
          <w:color w:val="auto"/>
          <w:highlight w:val="none"/>
        </w:rPr>
      </w:pPr>
    </w:p>
    <w:p w14:paraId="32D41B95">
      <w:pPr>
        <w:pStyle w:val="21"/>
        <w:spacing w:line="360" w:lineRule="auto"/>
        <w:rPr>
          <w:rFonts w:ascii="宋体" w:hAnsi="宋体" w:cs="宋体"/>
          <w:color w:val="auto"/>
          <w:highlight w:val="none"/>
        </w:rPr>
      </w:pPr>
    </w:p>
    <w:p w14:paraId="6B193461">
      <w:pPr>
        <w:pStyle w:val="21"/>
        <w:spacing w:line="360" w:lineRule="auto"/>
        <w:rPr>
          <w:rFonts w:ascii="宋体" w:hAnsi="宋体" w:cs="宋体"/>
          <w:color w:val="auto"/>
          <w:highlight w:val="none"/>
        </w:rPr>
      </w:pPr>
    </w:p>
    <w:p w14:paraId="7C648437">
      <w:pPr>
        <w:pStyle w:val="21"/>
        <w:spacing w:line="360" w:lineRule="auto"/>
        <w:rPr>
          <w:rFonts w:ascii="宋体" w:hAnsi="宋体" w:cs="宋体"/>
          <w:color w:val="auto"/>
          <w:highlight w:val="none"/>
        </w:rPr>
      </w:pPr>
    </w:p>
    <w:p w14:paraId="143D9635">
      <w:pPr>
        <w:pStyle w:val="21"/>
        <w:spacing w:line="360" w:lineRule="auto"/>
        <w:rPr>
          <w:rFonts w:ascii="宋体" w:hAnsi="宋体" w:cs="宋体"/>
          <w:color w:val="auto"/>
          <w:highlight w:val="none"/>
        </w:rPr>
      </w:pPr>
    </w:p>
    <w:p w14:paraId="7C46BA48">
      <w:pPr>
        <w:pStyle w:val="21"/>
        <w:spacing w:line="360" w:lineRule="auto"/>
        <w:rPr>
          <w:rFonts w:ascii="宋体" w:hAnsi="宋体" w:cs="宋体"/>
          <w:color w:val="auto"/>
          <w:highlight w:val="none"/>
        </w:rPr>
      </w:pPr>
    </w:p>
    <w:p w14:paraId="43931172">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4AD1CE62">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6D9546FB">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投标文件商务部分 </w:t>
      </w:r>
    </w:p>
    <w:p w14:paraId="1B999C1F">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5A93A7D1">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w:t>
      </w:r>
    </w:p>
    <w:p w14:paraId="02FE3121">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1FADDB24">
      <w:pPr>
        <w:pStyle w:val="21"/>
        <w:spacing w:line="360" w:lineRule="auto"/>
        <w:rPr>
          <w:rFonts w:ascii="宋体" w:hAnsi="宋体" w:cs="宋体"/>
          <w:color w:val="auto"/>
          <w:highlight w:val="none"/>
        </w:rPr>
      </w:pPr>
    </w:p>
    <w:p w14:paraId="6F70C998">
      <w:pPr>
        <w:pStyle w:val="21"/>
        <w:spacing w:line="360" w:lineRule="auto"/>
        <w:rPr>
          <w:rFonts w:ascii="宋体" w:hAnsi="宋体" w:cs="宋体"/>
          <w:color w:val="auto"/>
          <w:highlight w:val="none"/>
        </w:rPr>
      </w:pPr>
      <w:r>
        <w:rPr>
          <w:rFonts w:hint="eastAsia" w:ascii="宋体" w:hAnsi="宋体" w:cs="宋体"/>
          <w:color w:val="auto"/>
          <w:highlight w:val="none"/>
        </w:rPr>
        <w:br w:type="page"/>
      </w:r>
    </w:p>
    <w:p w14:paraId="689BC464">
      <w:pPr>
        <w:pStyle w:val="21"/>
        <w:spacing w:line="360" w:lineRule="auto"/>
        <w:rPr>
          <w:rFonts w:ascii="宋体" w:hAnsi="宋体" w:cs="宋体"/>
          <w:b/>
          <w:bCs/>
          <w:color w:val="auto"/>
          <w:sz w:val="30"/>
          <w:szCs w:val="30"/>
          <w:highlight w:val="none"/>
        </w:rPr>
      </w:pPr>
    </w:p>
    <w:p w14:paraId="424B5D3F">
      <w:pPr>
        <w:spacing w:line="480" w:lineRule="auto"/>
        <w:ind w:firstLine="675" w:firstLineChars="224"/>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投标文件商务评审部分索引表</w:t>
      </w:r>
    </w:p>
    <w:tbl>
      <w:tblPr>
        <w:tblStyle w:val="43"/>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3534"/>
        <w:gridCol w:w="2682"/>
      </w:tblGrid>
      <w:tr w14:paraId="056A8E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051DA430">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378E0FE2">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04" w:type="pct"/>
            <w:vAlign w:val="center"/>
          </w:tcPr>
          <w:p w14:paraId="0CC1FA81">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1293" w:type="pct"/>
            <w:tcBorders>
              <w:left w:val="single" w:color="auto" w:sz="4" w:space="0"/>
            </w:tcBorders>
            <w:vAlign w:val="center"/>
          </w:tcPr>
          <w:p w14:paraId="7ADDE337">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D5B12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AFA647A">
            <w:pPr>
              <w:adjustRightInd w:val="0"/>
              <w:snapToGrid w:val="0"/>
              <w:spacing w:line="360" w:lineRule="auto"/>
              <w:jc w:val="center"/>
              <w:rPr>
                <w:rFonts w:ascii="宋体" w:hAnsi="宋体" w:eastAsia="宋体" w:cs="宋体"/>
                <w:bCs/>
                <w:color w:val="auto"/>
                <w:szCs w:val="21"/>
                <w:highlight w:val="none"/>
              </w:rPr>
            </w:pPr>
          </w:p>
        </w:tc>
        <w:tc>
          <w:tcPr>
            <w:tcW w:w="1337" w:type="pct"/>
            <w:vAlign w:val="center"/>
          </w:tcPr>
          <w:p w14:paraId="6F01B967">
            <w:pPr>
              <w:adjustRightInd w:val="0"/>
              <w:snapToGrid w:val="0"/>
              <w:spacing w:line="360" w:lineRule="auto"/>
              <w:jc w:val="center"/>
              <w:rPr>
                <w:rFonts w:ascii="宋体" w:hAnsi="宋体" w:eastAsia="宋体" w:cs="宋体"/>
                <w:bCs/>
                <w:color w:val="auto"/>
                <w:szCs w:val="21"/>
                <w:highlight w:val="none"/>
              </w:rPr>
            </w:pPr>
          </w:p>
        </w:tc>
        <w:tc>
          <w:tcPr>
            <w:tcW w:w="1704" w:type="pct"/>
            <w:vAlign w:val="center"/>
          </w:tcPr>
          <w:p w14:paraId="29B46EE5">
            <w:pPr>
              <w:adjustRightInd w:val="0"/>
              <w:snapToGrid w:val="0"/>
              <w:spacing w:line="360" w:lineRule="auto"/>
              <w:jc w:val="center"/>
              <w:rPr>
                <w:rFonts w:ascii="宋体" w:hAnsi="宋体" w:eastAsia="宋体" w:cs="宋体"/>
                <w:bCs/>
                <w:color w:val="auto"/>
                <w:szCs w:val="21"/>
                <w:highlight w:val="none"/>
              </w:rPr>
            </w:pPr>
          </w:p>
        </w:tc>
        <w:tc>
          <w:tcPr>
            <w:tcW w:w="1293" w:type="pct"/>
            <w:tcBorders>
              <w:left w:val="single" w:color="auto" w:sz="4" w:space="0"/>
            </w:tcBorders>
            <w:vAlign w:val="center"/>
          </w:tcPr>
          <w:p w14:paraId="1E983538">
            <w:pPr>
              <w:adjustRightInd w:val="0"/>
              <w:snapToGrid w:val="0"/>
              <w:spacing w:line="360" w:lineRule="auto"/>
              <w:rPr>
                <w:rFonts w:ascii="宋体" w:hAnsi="宋体" w:eastAsia="宋体" w:cs="宋体"/>
                <w:bCs/>
                <w:color w:val="auto"/>
                <w:szCs w:val="21"/>
                <w:highlight w:val="none"/>
              </w:rPr>
            </w:pPr>
          </w:p>
        </w:tc>
      </w:tr>
      <w:tr w14:paraId="0E3ECA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527AB095">
            <w:pPr>
              <w:rPr>
                <w:rFonts w:ascii="宋体" w:hAnsi="宋体" w:eastAsia="宋体" w:cs="宋体"/>
                <w:bCs/>
                <w:color w:val="auto"/>
                <w:szCs w:val="21"/>
                <w:highlight w:val="none"/>
              </w:rPr>
            </w:pPr>
          </w:p>
        </w:tc>
        <w:tc>
          <w:tcPr>
            <w:tcW w:w="1337" w:type="pct"/>
            <w:vAlign w:val="center"/>
          </w:tcPr>
          <w:p w14:paraId="7AFECCA2">
            <w:pPr>
              <w:rPr>
                <w:rFonts w:ascii="宋体" w:hAnsi="宋体" w:eastAsia="宋体" w:cs="宋体"/>
                <w:bCs/>
                <w:color w:val="auto"/>
                <w:szCs w:val="21"/>
                <w:highlight w:val="none"/>
              </w:rPr>
            </w:pPr>
          </w:p>
        </w:tc>
        <w:tc>
          <w:tcPr>
            <w:tcW w:w="1704" w:type="pct"/>
            <w:vAlign w:val="center"/>
          </w:tcPr>
          <w:p w14:paraId="0CF333BC">
            <w:pPr>
              <w:rPr>
                <w:rFonts w:ascii="宋体" w:hAnsi="宋体" w:eastAsia="宋体" w:cs="宋体"/>
                <w:bCs/>
                <w:color w:val="auto"/>
                <w:szCs w:val="21"/>
                <w:highlight w:val="none"/>
              </w:rPr>
            </w:pPr>
          </w:p>
        </w:tc>
        <w:tc>
          <w:tcPr>
            <w:tcW w:w="1293" w:type="pct"/>
            <w:tcBorders>
              <w:left w:val="single" w:color="auto" w:sz="4" w:space="0"/>
            </w:tcBorders>
            <w:vAlign w:val="center"/>
          </w:tcPr>
          <w:p w14:paraId="17227BE4">
            <w:pPr>
              <w:adjustRightInd w:val="0"/>
              <w:snapToGrid w:val="0"/>
              <w:spacing w:line="360" w:lineRule="auto"/>
              <w:ind w:firstLine="105" w:firstLineChars="50"/>
              <w:rPr>
                <w:rFonts w:ascii="宋体" w:hAnsi="宋体" w:eastAsia="宋体" w:cs="宋体"/>
                <w:bCs/>
                <w:color w:val="auto"/>
                <w:szCs w:val="21"/>
                <w:highlight w:val="none"/>
              </w:rPr>
            </w:pPr>
          </w:p>
        </w:tc>
      </w:tr>
      <w:tr w14:paraId="27C0C1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40CB0048">
            <w:pPr>
              <w:adjustRightInd w:val="0"/>
              <w:snapToGrid w:val="0"/>
              <w:spacing w:line="360" w:lineRule="auto"/>
              <w:jc w:val="center"/>
              <w:rPr>
                <w:rFonts w:ascii="宋体" w:hAnsi="宋体" w:eastAsia="宋体" w:cs="宋体"/>
                <w:bCs/>
                <w:color w:val="auto"/>
                <w:szCs w:val="21"/>
                <w:highlight w:val="none"/>
              </w:rPr>
            </w:pPr>
          </w:p>
        </w:tc>
        <w:tc>
          <w:tcPr>
            <w:tcW w:w="1337" w:type="pct"/>
            <w:vAlign w:val="center"/>
          </w:tcPr>
          <w:p w14:paraId="46BD36E0">
            <w:pPr>
              <w:adjustRightInd w:val="0"/>
              <w:snapToGrid w:val="0"/>
              <w:spacing w:line="360" w:lineRule="auto"/>
              <w:rPr>
                <w:rFonts w:ascii="宋体" w:hAnsi="宋体" w:eastAsia="宋体" w:cs="宋体"/>
                <w:bCs/>
                <w:color w:val="auto"/>
                <w:szCs w:val="21"/>
                <w:highlight w:val="none"/>
              </w:rPr>
            </w:pPr>
          </w:p>
        </w:tc>
        <w:tc>
          <w:tcPr>
            <w:tcW w:w="1704" w:type="pct"/>
            <w:vAlign w:val="center"/>
          </w:tcPr>
          <w:p w14:paraId="75C410B2">
            <w:pPr>
              <w:adjustRightInd w:val="0"/>
              <w:snapToGrid w:val="0"/>
              <w:spacing w:line="360" w:lineRule="auto"/>
              <w:jc w:val="center"/>
              <w:rPr>
                <w:rFonts w:ascii="宋体" w:hAnsi="宋体" w:eastAsia="宋体" w:cs="宋体"/>
                <w:bCs/>
                <w:color w:val="auto"/>
                <w:szCs w:val="21"/>
                <w:highlight w:val="none"/>
              </w:rPr>
            </w:pPr>
          </w:p>
        </w:tc>
        <w:tc>
          <w:tcPr>
            <w:tcW w:w="1293" w:type="pct"/>
            <w:tcBorders>
              <w:left w:val="single" w:color="auto" w:sz="4" w:space="0"/>
            </w:tcBorders>
            <w:vAlign w:val="center"/>
          </w:tcPr>
          <w:p w14:paraId="45F5615A">
            <w:pPr>
              <w:spacing w:line="360" w:lineRule="auto"/>
              <w:ind w:firstLine="8" w:firstLineChars="4"/>
              <w:rPr>
                <w:rFonts w:ascii="宋体" w:hAnsi="宋体" w:eastAsia="宋体" w:cs="宋体"/>
                <w:bCs/>
                <w:color w:val="auto"/>
                <w:szCs w:val="21"/>
                <w:highlight w:val="none"/>
              </w:rPr>
            </w:pPr>
          </w:p>
        </w:tc>
      </w:tr>
      <w:tr w14:paraId="188431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62E57878">
            <w:pPr>
              <w:adjustRightInd w:val="0"/>
              <w:snapToGrid w:val="0"/>
              <w:spacing w:line="360" w:lineRule="auto"/>
              <w:jc w:val="center"/>
              <w:rPr>
                <w:rFonts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2992FA5B">
            <w:pPr>
              <w:adjustRightInd w:val="0"/>
              <w:snapToGrid w:val="0"/>
              <w:spacing w:line="360" w:lineRule="auto"/>
              <w:rPr>
                <w:rFonts w:ascii="宋体" w:hAnsi="宋体" w:eastAsia="宋体" w:cs="宋体"/>
                <w:bCs/>
                <w:color w:val="auto"/>
                <w:szCs w:val="21"/>
                <w:highlight w:val="none"/>
              </w:rPr>
            </w:pPr>
          </w:p>
        </w:tc>
        <w:tc>
          <w:tcPr>
            <w:tcW w:w="1704" w:type="pct"/>
            <w:tcBorders>
              <w:top w:val="single" w:color="auto" w:sz="6" w:space="0"/>
              <w:left w:val="single" w:color="auto" w:sz="6" w:space="0"/>
              <w:bottom w:val="outset" w:color="808080" w:sz="6" w:space="0"/>
              <w:right w:val="single" w:color="auto" w:sz="6" w:space="0"/>
            </w:tcBorders>
            <w:vAlign w:val="center"/>
          </w:tcPr>
          <w:p w14:paraId="121367E1">
            <w:pPr>
              <w:adjustRightInd w:val="0"/>
              <w:snapToGrid w:val="0"/>
              <w:spacing w:line="360" w:lineRule="auto"/>
              <w:jc w:val="center"/>
              <w:rPr>
                <w:rFonts w:ascii="宋体" w:hAnsi="宋体" w:eastAsia="宋体" w:cs="宋体"/>
                <w:bCs/>
                <w:color w:val="auto"/>
                <w:szCs w:val="21"/>
                <w:highlight w:val="none"/>
              </w:rPr>
            </w:pPr>
          </w:p>
        </w:tc>
        <w:tc>
          <w:tcPr>
            <w:tcW w:w="1293" w:type="pct"/>
            <w:tcBorders>
              <w:top w:val="single" w:color="auto" w:sz="6" w:space="0"/>
              <w:left w:val="single" w:color="auto" w:sz="4" w:space="0"/>
              <w:bottom w:val="outset" w:color="808080" w:sz="6" w:space="0"/>
              <w:right w:val="single" w:color="auto" w:sz="6" w:space="0"/>
            </w:tcBorders>
            <w:vAlign w:val="center"/>
          </w:tcPr>
          <w:p w14:paraId="04CC9A47">
            <w:pPr>
              <w:adjustRightInd w:val="0"/>
              <w:snapToGrid w:val="0"/>
              <w:spacing w:line="360" w:lineRule="auto"/>
              <w:rPr>
                <w:rFonts w:ascii="宋体" w:hAnsi="宋体" w:eastAsia="宋体" w:cs="宋体"/>
                <w:bCs/>
                <w:color w:val="auto"/>
                <w:szCs w:val="21"/>
                <w:highlight w:val="none"/>
              </w:rPr>
            </w:pPr>
          </w:p>
        </w:tc>
      </w:tr>
      <w:tr w14:paraId="39A8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4D70444">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04" w:type="pct"/>
            <w:tcBorders>
              <w:bottom w:val="single" w:color="auto" w:sz="4" w:space="0"/>
            </w:tcBorders>
            <w:vAlign w:val="center"/>
          </w:tcPr>
          <w:p w14:paraId="022E81F9">
            <w:pPr>
              <w:adjustRightInd w:val="0"/>
              <w:snapToGrid w:val="0"/>
              <w:spacing w:line="360" w:lineRule="auto"/>
              <w:jc w:val="center"/>
              <w:rPr>
                <w:rFonts w:ascii="宋体" w:hAnsi="宋体" w:eastAsia="宋体" w:cs="宋体"/>
                <w:bCs/>
                <w:color w:val="auto"/>
                <w:szCs w:val="21"/>
                <w:highlight w:val="none"/>
              </w:rPr>
            </w:pPr>
          </w:p>
        </w:tc>
        <w:tc>
          <w:tcPr>
            <w:tcW w:w="1293" w:type="pct"/>
            <w:tcBorders>
              <w:left w:val="single" w:color="auto" w:sz="4" w:space="0"/>
              <w:bottom w:val="single" w:color="auto" w:sz="4" w:space="0"/>
            </w:tcBorders>
            <w:vAlign w:val="center"/>
          </w:tcPr>
          <w:p w14:paraId="02DFA7FC">
            <w:pPr>
              <w:spacing w:line="360" w:lineRule="auto"/>
              <w:jc w:val="center"/>
              <w:rPr>
                <w:rFonts w:ascii="宋体" w:hAnsi="宋体" w:eastAsia="宋体" w:cs="宋体"/>
                <w:bCs/>
                <w:color w:val="auto"/>
                <w:szCs w:val="21"/>
                <w:highlight w:val="none"/>
              </w:rPr>
            </w:pPr>
          </w:p>
        </w:tc>
      </w:tr>
    </w:tbl>
    <w:p w14:paraId="2BC192DA">
      <w:pPr>
        <w:pStyle w:val="21"/>
        <w:spacing w:line="360" w:lineRule="auto"/>
        <w:rPr>
          <w:rFonts w:ascii="宋体" w:hAnsi="宋体" w:cs="宋体"/>
          <w:color w:val="auto"/>
          <w:highlight w:val="none"/>
        </w:rPr>
      </w:pPr>
    </w:p>
    <w:p w14:paraId="733F217C">
      <w:pPr>
        <w:pStyle w:val="21"/>
        <w:spacing w:line="360" w:lineRule="auto"/>
        <w:rPr>
          <w:rFonts w:ascii="宋体" w:hAnsi="宋体" w:cs="宋体"/>
          <w:color w:val="auto"/>
          <w:highlight w:val="none"/>
        </w:rPr>
      </w:pPr>
    </w:p>
    <w:p w14:paraId="20656287">
      <w:pPr>
        <w:widowControl/>
        <w:jc w:val="left"/>
        <w:rPr>
          <w:rFonts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1B296DC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406" w:name="_Toc13331"/>
      <w:bookmarkStart w:id="407" w:name="_Toc169091774"/>
      <w:bookmarkStart w:id="408" w:name="_Toc18706"/>
      <w:bookmarkStart w:id="409" w:name="_Toc18437"/>
      <w:r>
        <w:rPr>
          <w:rFonts w:hint="eastAsia" w:ascii="宋体" w:hAnsi="宋体" w:eastAsia="宋体" w:cs="宋体"/>
          <w:b/>
          <w:color w:val="auto"/>
          <w:kern w:val="0"/>
          <w:sz w:val="32"/>
          <w:szCs w:val="32"/>
          <w:highlight w:val="none"/>
        </w:rPr>
        <w:t>一、投标函格式</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62C0C3D5">
      <w:pPr>
        <w:autoSpaceDE w:val="0"/>
        <w:autoSpaceDN w:val="0"/>
        <w:adjustRightInd w:val="0"/>
        <w:spacing w:line="360" w:lineRule="auto"/>
        <w:jc w:val="center"/>
        <w:rPr>
          <w:rFonts w:ascii="宋体" w:hAnsi="宋体" w:eastAsia="宋体" w:cs="宋体"/>
          <w:b/>
          <w:bCs/>
          <w:color w:val="auto"/>
          <w:sz w:val="30"/>
          <w:szCs w:val="30"/>
          <w:highlight w:val="none"/>
        </w:rPr>
      </w:pPr>
      <w:bookmarkStart w:id="410" w:name="_Toc16695_WPSOffice_Level3"/>
      <w:r>
        <w:rPr>
          <w:rFonts w:hint="eastAsia" w:ascii="宋体" w:hAnsi="宋体" w:eastAsia="宋体" w:cs="宋体"/>
          <w:b/>
          <w:bCs/>
          <w:color w:val="auto"/>
          <w:sz w:val="30"/>
          <w:szCs w:val="30"/>
          <w:highlight w:val="none"/>
          <w:lang w:val="zh-CN"/>
        </w:rPr>
        <w:t>投 标 函</w:t>
      </w:r>
      <w:bookmarkEnd w:id="410"/>
    </w:p>
    <w:p w14:paraId="3929C92F">
      <w:pPr>
        <w:autoSpaceDE w:val="0"/>
        <w:autoSpaceDN w:val="0"/>
        <w:adjustRightInd w:val="0"/>
        <w:spacing w:line="360" w:lineRule="auto"/>
        <w:rPr>
          <w:rFonts w:ascii="宋体" w:hAnsi="宋体" w:eastAsia="宋体" w:cs="宋体"/>
          <w:color w:val="auto"/>
          <w:szCs w:val="21"/>
          <w:highlight w:val="none"/>
          <w:lang w:val="zh-CN"/>
        </w:rPr>
      </w:pPr>
    </w:p>
    <w:p w14:paraId="1043D194">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东莞市水务环境投资控股集团管网有限公司</w:t>
      </w:r>
    </w:p>
    <w:p w14:paraId="19631BEA">
      <w:pPr>
        <w:autoSpaceDE w:val="0"/>
        <w:autoSpaceDN w:val="0"/>
        <w:adjustRightInd w:val="0"/>
        <w:spacing w:line="360" w:lineRule="auto"/>
        <w:rPr>
          <w:rFonts w:ascii="宋体" w:hAnsi="宋体" w:eastAsia="宋体" w:cs="宋体"/>
          <w:color w:val="auto"/>
          <w:szCs w:val="21"/>
          <w:highlight w:val="none"/>
        </w:rPr>
      </w:pPr>
    </w:p>
    <w:p w14:paraId="3F5D760D">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东莞市水务环境投资控股集团管网有限公司2026年运维维修工器具类物资采购项目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YDZB25DGQY0136</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47F0BAD6">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397D5822">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62F5E9B8">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27CFA05A">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6B1D6A88">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YDZB25DGQY0136</w:t>
      </w:r>
      <w:r>
        <w:rPr>
          <w:rFonts w:hint="eastAsia" w:ascii="宋体" w:hAnsi="宋体" w:eastAsia="宋体" w:cs="宋体"/>
          <w:color w:val="auto"/>
          <w:szCs w:val="21"/>
          <w:highlight w:val="none"/>
          <w:lang w:val="zh-CN"/>
        </w:rPr>
        <w:t>的投标；</w:t>
      </w:r>
    </w:p>
    <w:p w14:paraId="4E9A9E4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3D3B84C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（三）我方已详细研究了招标文件的所有内容包括修正文（如有）和所有已提供的参考资料以及有关附件并完全明白，我方放弃在此方面提出含糊意见或误解的一切权利；</w:t>
      </w:r>
    </w:p>
    <w:p w14:paraId="7A21EBEF">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70F8C941">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0EB87BED">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31BB06BD">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49E688C7">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73511648">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054E8B4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5B8F49F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45538459">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1FF8E25F">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1FD26797">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4164413B">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20EB65D5">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65ED43D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4C8CDF39">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5A67DDDF">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058EAE5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11" w:name="_Toc533708122"/>
      <w:bookmarkStart w:id="412" w:name="_Toc94107203"/>
      <w:bookmarkStart w:id="413" w:name="_Toc102860412"/>
      <w:bookmarkStart w:id="414" w:name="_Toc28613_WPSOffice_Level2"/>
      <w:bookmarkStart w:id="415" w:name="_Toc102860068"/>
      <w:bookmarkStart w:id="416" w:name="_Toc104991869"/>
      <w:bookmarkStart w:id="417" w:name="_Toc486167710"/>
      <w:bookmarkStart w:id="418" w:name="_Toc142508363"/>
      <w:bookmarkStart w:id="419" w:name="_Toc26795"/>
      <w:bookmarkStart w:id="420" w:name="_Toc140596922"/>
      <w:bookmarkStart w:id="421" w:name="_Toc169091775"/>
      <w:bookmarkStart w:id="422" w:name="_Toc8696"/>
      <w:bookmarkStart w:id="423" w:name="_Toc21074"/>
      <w:bookmarkStart w:id="424" w:name="_Toc1977722"/>
      <w:r>
        <w:rPr>
          <w:rFonts w:hint="eastAsia" w:ascii="宋体" w:hAnsi="宋体" w:eastAsia="宋体" w:cs="宋体"/>
          <w:b/>
          <w:color w:val="auto"/>
          <w:kern w:val="0"/>
          <w:sz w:val="32"/>
          <w:szCs w:val="32"/>
          <w:highlight w:val="none"/>
        </w:rPr>
        <w:t>二、投标承诺书格式</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08BA8602">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02C91B5E">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60F47606">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宋体"/>
          <w:color w:val="auto"/>
          <w:kern w:val="0"/>
          <w:szCs w:val="21"/>
          <w:highlight w:val="none"/>
          <w:u w:val="single"/>
          <w:lang w:eastAsia="zh-CN"/>
        </w:rPr>
        <w:t>东莞市水务环境投资控股集团管网有限公司2026年运维维修工器具类物资采购项目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YDZB25DGQY0136</w:t>
      </w:r>
      <w:r>
        <w:rPr>
          <w:rFonts w:hint="eastAsia" w:ascii="宋体" w:hAnsi="宋体" w:eastAsia="宋体" w:cs="宋体"/>
          <w:color w:val="auto"/>
          <w:szCs w:val="21"/>
          <w:highlight w:val="none"/>
          <w:lang w:val="zh-CN"/>
        </w:rPr>
        <w:t>)</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37A7A61D">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7AE7D30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2133C1BE">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48DA4AFA">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6CB3B8CF">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54AFF16C">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0A6802F8">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30E5412F">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2D87A3B4">
      <w:pPr>
        <w:autoSpaceDE w:val="0"/>
        <w:autoSpaceDN w:val="0"/>
        <w:adjustRightInd w:val="0"/>
        <w:spacing w:line="360" w:lineRule="auto"/>
        <w:jc w:val="left"/>
        <w:rPr>
          <w:rFonts w:ascii="宋体" w:hAnsi="宋体" w:eastAsia="宋体" w:cs="宋体"/>
          <w:color w:val="auto"/>
          <w:kern w:val="0"/>
          <w:sz w:val="24"/>
          <w:szCs w:val="24"/>
          <w:highlight w:val="none"/>
        </w:rPr>
      </w:pPr>
    </w:p>
    <w:p w14:paraId="2141C40D">
      <w:pPr>
        <w:autoSpaceDE w:val="0"/>
        <w:autoSpaceDN w:val="0"/>
        <w:adjustRightInd w:val="0"/>
        <w:spacing w:line="360" w:lineRule="auto"/>
        <w:jc w:val="left"/>
        <w:rPr>
          <w:rFonts w:ascii="宋体" w:hAnsi="宋体" w:eastAsia="宋体" w:cs="宋体"/>
          <w:color w:val="auto"/>
          <w:kern w:val="0"/>
          <w:sz w:val="24"/>
          <w:szCs w:val="24"/>
          <w:highlight w:val="none"/>
        </w:rPr>
      </w:pPr>
      <w:bookmarkStart w:id="425" w:name="_Toc326768876"/>
      <w:bookmarkStart w:id="426" w:name="_Toc311032584"/>
      <w:bookmarkStart w:id="427" w:name="_Toc316896755"/>
    </w:p>
    <w:p w14:paraId="4D1F6C4F">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28" w:name="_Toc140596923"/>
      <w:bookmarkStart w:id="429" w:name="_Toc142508364"/>
      <w:bookmarkStart w:id="430" w:name="_Toc32477"/>
      <w:bookmarkStart w:id="431" w:name="_Toc12590"/>
      <w:bookmarkStart w:id="432" w:name="_Toc102860069"/>
      <w:bookmarkStart w:id="433" w:name="_Toc169091776"/>
      <w:bookmarkStart w:id="434" w:name="_Toc86764083"/>
      <w:bookmarkStart w:id="435" w:name="_Toc94107204"/>
      <w:bookmarkStart w:id="436" w:name="_Toc104991870"/>
      <w:bookmarkStart w:id="437" w:name="_Toc82182546"/>
      <w:bookmarkStart w:id="438" w:name="_Toc9778"/>
      <w:bookmarkStart w:id="439" w:name="_Toc102860413"/>
      <w:bookmarkStart w:id="440" w:name="_Toc1977723"/>
      <w:bookmarkStart w:id="441" w:name="_Toc7024_WPSOffice_Level2"/>
      <w:bookmarkStart w:id="442" w:name="_Toc486167711"/>
      <w:bookmarkStart w:id="443" w:name="_Toc533708123"/>
      <w:r>
        <w:rPr>
          <w:rFonts w:hint="eastAsia" w:ascii="宋体" w:hAnsi="宋体" w:eastAsia="宋体" w:cs="宋体"/>
          <w:b/>
          <w:color w:val="auto"/>
          <w:kern w:val="44"/>
          <w:sz w:val="32"/>
          <w:szCs w:val="32"/>
          <w:highlight w:val="none"/>
        </w:rPr>
        <w:t>三、供货及/或提供服务过程承诺函格式</w:t>
      </w:r>
      <w:bookmarkEnd w:id="428"/>
      <w:bookmarkEnd w:id="429"/>
      <w:bookmarkEnd w:id="430"/>
      <w:bookmarkEnd w:id="431"/>
      <w:bookmarkEnd w:id="432"/>
      <w:bookmarkEnd w:id="433"/>
      <w:bookmarkEnd w:id="434"/>
      <w:bookmarkEnd w:id="435"/>
      <w:bookmarkEnd w:id="436"/>
      <w:bookmarkEnd w:id="437"/>
      <w:bookmarkEnd w:id="438"/>
      <w:bookmarkEnd w:id="439"/>
    </w:p>
    <w:p w14:paraId="724ACC8D">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6211606F">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东莞市水务环境投资控股集团管网有限公司</w:t>
      </w:r>
      <w:r>
        <w:rPr>
          <w:rFonts w:hint="eastAsia" w:ascii="宋体" w:hAnsi="宋体" w:eastAsia="宋体" w:cs="宋体"/>
          <w:color w:val="auto"/>
          <w:kern w:val="0"/>
          <w:szCs w:val="21"/>
          <w:highlight w:val="none"/>
        </w:rPr>
        <w:t>：</w:t>
      </w:r>
    </w:p>
    <w:p w14:paraId="6680C4F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u w:val="single"/>
          <w:lang w:eastAsia="zh-CN"/>
        </w:rPr>
        <w:t>东莞市水务环境投资控股集团管网有限公司2026年运维维修工器具类物资采购项目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YDZB25DGQY0136</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0FC5244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65B80D4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6FCA0F2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50C9039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3E20858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25EBB06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587A71B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1B59E34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165D7C7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2EB8041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326601E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02424AF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2AE15A9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4B854A0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2406433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36341FA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7F61FF3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389B379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107E900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5103CC1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0325EC9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432FCC62">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0012BD0">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672D256D">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5D2E988B">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5D490378">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44" w:name="_Toc82182547"/>
      <w:bookmarkStart w:id="445" w:name="_Toc102860070"/>
      <w:bookmarkStart w:id="446" w:name="_Toc142508365"/>
      <w:bookmarkStart w:id="447" w:name="_Toc104991871"/>
      <w:bookmarkStart w:id="448" w:name="_Toc102860414"/>
      <w:bookmarkStart w:id="449" w:name="_Toc140596924"/>
      <w:bookmarkStart w:id="450" w:name="_Toc86764084"/>
      <w:bookmarkStart w:id="451" w:name="_Toc94107205"/>
      <w:bookmarkStart w:id="452" w:name="_Toc26967"/>
      <w:bookmarkStart w:id="453" w:name="_Toc3993"/>
      <w:bookmarkStart w:id="454" w:name="_Toc6287"/>
      <w:bookmarkStart w:id="455" w:name="_Toc169091777"/>
      <w:r>
        <w:rPr>
          <w:rFonts w:hint="eastAsia" w:ascii="宋体" w:hAnsi="宋体" w:eastAsia="宋体" w:cs="宋体"/>
          <w:b/>
          <w:color w:val="auto"/>
          <w:kern w:val="44"/>
          <w:sz w:val="32"/>
          <w:szCs w:val="32"/>
          <w:highlight w:val="none"/>
        </w:rPr>
        <w:t>四</w:t>
      </w:r>
      <w:bookmarkEnd w:id="444"/>
      <w:bookmarkEnd w:id="445"/>
      <w:bookmarkEnd w:id="446"/>
      <w:bookmarkEnd w:id="447"/>
      <w:bookmarkEnd w:id="448"/>
      <w:bookmarkEnd w:id="449"/>
      <w:bookmarkEnd w:id="450"/>
      <w:bookmarkEnd w:id="451"/>
      <w:bookmarkStart w:id="456" w:name="_Toc102860415"/>
      <w:bookmarkStart w:id="457" w:name="_Toc94107206"/>
      <w:bookmarkStart w:id="458" w:name="_Toc140596925"/>
      <w:bookmarkStart w:id="459" w:name="_Toc102860071"/>
      <w:bookmarkStart w:id="460" w:name="_Toc104991872"/>
      <w:bookmarkStart w:id="461" w:name="_Toc142508366"/>
      <w:r>
        <w:rPr>
          <w:rFonts w:hint="eastAsia" w:ascii="宋体" w:hAnsi="宋体" w:eastAsia="宋体" w:cs="宋体"/>
          <w:b/>
          <w:color w:val="auto"/>
          <w:kern w:val="0"/>
          <w:sz w:val="32"/>
          <w:szCs w:val="32"/>
          <w:highlight w:val="none"/>
        </w:rPr>
        <w:t>、投标报价表格式</w:t>
      </w:r>
      <w:bookmarkEnd w:id="440"/>
      <w:bookmarkEnd w:id="441"/>
      <w:bookmarkEnd w:id="442"/>
      <w:bookmarkEnd w:id="443"/>
      <w:bookmarkEnd w:id="452"/>
      <w:bookmarkEnd w:id="453"/>
      <w:bookmarkEnd w:id="454"/>
      <w:bookmarkEnd w:id="455"/>
      <w:bookmarkEnd w:id="456"/>
      <w:bookmarkEnd w:id="457"/>
      <w:bookmarkEnd w:id="458"/>
      <w:bookmarkEnd w:id="459"/>
      <w:bookmarkEnd w:id="460"/>
      <w:bookmarkEnd w:id="461"/>
    </w:p>
    <w:p w14:paraId="2E50A430">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62" w:name="_Toc2395_WPSOffice_Level3"/>
      <w:bookmarkStart w:id="463" w:name="_Toc140596926"/>
      <w:bookmarkStart w:id="464" w:name="_Toc104991873"/>
      <w:bookmarkStart w:id="465" w:name="_Toc1105"/>
      <w:bookmarkStart w:id="466" w:name="_Toc18589"/>
      <w:bookmarkStart w:id="467" w:name="_Toc169091778"/>
      <w:bookmarkStart w:id="468" w:name="_Toc102860416"/>
      <w:bookmarkStart w:id="469" w:name="_Toc94107207"/>
      <w:bookmarkStart w:id="470" w:name="_Toc102860072"/>
      <w:bookmarkStart w:id="471" w:name="_Toc8776"/>
      <w:bookmarkStart w:id="472" w:name="_Toc142508367"/>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462"/>
      <w:bookmarkEnd w:id="463"/>
      <w:bookmarkEnd w:id="464"/>
      <w:bookmarkEnd w:id="465"/>
      <w:bookmarkEnd w:id="466"/>
      <w:bookmarkEnd w:id="467"/>
      <w:bookmarkEnd w:id="468"/>
      <w:bookmarkEnd w:id="469"/>
      <w:bookmarkEnd w:id="470"/>
      <w:bookmarkEnd w:id="471"/>
      <w:bookmarkEnd w:id="472"/>
    </w:p>
    <w:p w14:paraId="7E7E8DD2">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465A303B">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东莞市水务环境投资控股集团管网有限公司2026年运维维修工器具类物资采购项目</w:t>
      </w:r>
    </w:p>
    <w:p w14:paraId="232D0826">
      <w:pPr>
        <w:spacing w:line="360" w:lineRule="auto"/>
        <w:rPr>
          <w:rFonts w:ascii="宋体" w:hAnsi="宋体" w:eastAsia="宋体" w:cs="宋体"/>
          <w:color w:val="auto"/>
          <w:kern w:val="0"/>
          <w:szCs w:val="21"/>
          <w:highlight w:val="none"/>
          <w:u w:val="single"/>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szCs w:val="21"/>
          <w:highlight w:val="none"/>
          <w:u w:val="single"/>
          <w:lang w:val="zh-CN"/>
        </w:rPr>
        <w:t>YDZB25DGQY0136</w:t>
      </w:r>
    </w:p>
    <w:tbl>
      <w:tblPr>
        <w:tblStyle w:val="4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3A1C8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04048FB1">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0EDF5D55">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68EC42F5">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rPr>
              <w:t>投标折扣系数</w:t>
            </w:r>
          </w:p>
        </w:tc>
        <w:tc>
          <w:tcPr>
            <w:tcW w:w="642" w:type="pct"/>
            <w:tcBorders>
              <w:top w:val="single" w:color="auto" w:sz="4" w:space="0"/>
              <w:left w:val="single" w:color="auto" w:sz="4" w:space="0"/>
              <w:bottom w:val="single" w:color="auto" w:sz="4" w:space="0"/>
              <w:right w:val="single" w:color="auto" w:sz="4" w:space="0"/>
            </w:tcBorders>
            <w:vAlign w:val="center"/>
          </w:tcPr>
          <w:p w14:paraId="2BD79B02">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1DC935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037409F6">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14:paraId="77B20108">
            <w:pPr>
              <w:autoSpaceDE w:val="0"/>
              <w:autoSpaceDN w:val="0"/>
              <w:spacing w:line="360" w:lineRule="auto"/>
              <w:jc w:val="center"/>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东莞市水务环境投资控股集团管网有限公司2026年运维维修工器具类物资采购项目</w:t>
            </w:r>
          </w:p>
        </w:tc>
        <w:tc>
          <w:tcPr>
            <w:tcW w:w="1578" w:type="pct"/>
            <w:tcBorders>
              <w:top w:val="single" w:color="auto" w:sz="4" w:space="0"/>
              <w:left w:val="single" w:color="auto" w:sz="4" w:space="0"/>
              <w:right w:val="single" w:color="auto" w:sz="4" w:space="0"/>
            </w:tcBorders>
            <w:vAlign w:val="center"/>
          </w:tcPr>
          <w:p w14:paraId="5C91BD48">
            <w:pPr>
              <w:tabs>
                <w:tab w:val="left" w:pos="8610"/>
              </w:tabs>
              <w:spacing w:line="360" w:lineRule="auto"/>
              <w:rPr>
                <w:rFonts w:ascii="宋体" w:hAnsi="宋体" w:eastAsia="宋体" w:cs="Times New Roman"/>
                <w:color w:val="auto"/>
                <w:kern w:val="0"/>
                <w:szCs w:val="21"/>
                <w:highlight w:val="none"/>
              </w:rPr>
            </w:pPr>
          </w:p>
        </w:tc>
        <w:tc>
          <w:tcPr>
            <w:tcW w:w="642" w:type="pct"/>
            <w:tcBorders>
              <w:top w:val="single" w:color="auto" w:sz="4" w:space="0"/>
              <w:left w:val="single" w:color="auto" w:sz="4" w:space="0"/>
              <w:right w:val="single" w:color="auto" w:sz="4" w:space="0"/>
            </w:tcBorders>
            <w:vAlign w:val="center"/>
          </w:tcPr>
          <w:p w14:paraId="463EDF99">
            <w:pPr>
              <w:tabs>
                <w:tab w:val="left" w:pos="8610"/>
              </w:tabs>
              <w:spacing w:line="360" w:lineRule="auto"/>
              <w:jc w:val="center"/>
              <w:rPr>
                <w:rFonts w:ascii="宋体" w:hAnsi="宋体" w:eastAsia="宋体" w:cs="Times New Roman"/>
                <w:color w:val="auto"/>
                <w:kern w:val="0"/>
                <w:szCs w:val="21"/>
                <w:highlight w:val="none"/>
              </w:rPr>
            </w:pPr>
          </w:p>
        </w:tc>
      </w:tr>
    </w:tbl>
    <w:p w14:paraId="64C0E9ED">
      <w:pPr>
        <w:rPr>
          <w:rFonts w:ascii="宋体" w:hAnsi="宋体" w:eastAsia="宋体" w:cs="宋体"/>
          <w:color w:val="auto"/>
          <w:kern w:val="0"/>
          <w:sz w:val="20"/>
          <w:szCs w:val="21"/>
          <w:highlight w:val="none"/>
        </w:rPr>
      </w:pPr>
    </w:p>
    <w:p w14:paraId="731D5701">
      <w:pPr>
        <w:spacing w:line="360" w:lineRule="auto"/>
        <w:ind w:left="716" w:leftChars="-59" w:hanging="840" w:hangingChars="4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4B46E773">
      <w:pPr>
        <w:spacing w:line="360" w:lineRule="auto"/>
        <w:ind w:left="396" w:leftChars="-58" w:hanging="518" w:hangingChars="247"/>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1）本项目的投标报价采用统一折扣系数报价，合同履约过程中，采购清单中物资不含税中标综合单价按以下方式计算：不含税中标综合单价=不含税预算综合单价×中标折扣系数，以实际供货数量进行结算，不含税中标综合单价出现小数点，保留小数点后两位，从小数点后第3位四舍五入。</w:t>
      </w:r>
    </w:p>
    <w:p w14:paraId="609D869D">
      <w:pPr>
        <w:spacing w:line="360" w:lineRule="auto"/>
        <w:ind w:left="399" w:leftChars="-58" w:hanging="521" w:hangingChars="247"/>
        <w:contextualSpacing/>
        <w:rPr>
          <w:rFonts w:ascii="宋体" w:hAnsi="宋体" w:eastAsia="宋体" w:cs="宋体"/>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color w:val="auto"/>
          <w:szCs w:val="21"/>
          <w:highlight w:val="none"/>
          <w:u w:val="single"/>
          <w:lang w:val="zh-CN"/>
        </w:rPr>
        <w:t>投标人的报价范围为</w:t>
      </w:r>
      <w:r>
        <w:rPr>
          <w:rFonts w:hint="eastAsia" w:ascii="宋体" w:hAnsi="宋体" w:eastAsia="宋体" w:cs="宋体"/>
          <w:b/>
          <w:color w:val="auto"/>
          <w:szCs w:val="21"/>
          <w:highlight w:val="none"/>
          <w:u w:val="single"/>
        </w:rPr>
        <w:t>（0.00，1.00]</w:t>
      </w:r>
      <w:r>
        <w:rPr>
          <w:rFonts w:hint="eastAsia" w:ascii="宋体" w:hAnsi="宋体" w:eastAsia="宋体" w:cs="宋体"/>
          <w:b/>
          <w:bCs/>
          <w:color w:val="auto"/>
          <w:szCs w:val="21"/>
          <w:highlight w:val="none"/>
          <w:u w:val="single"/>
          <w:lang w:val="zh-CN"/>
        </w:rPr>
        <w:t>（保留小数点后两位）</w:t>
      </w:r>
      <w:r>
        <w:rPr>
          <w:rFonts w:hint="eastAsia" w:ascii="宋体" w:hAnsi="宋体" w:eastAsia="宋体" w:cs="宋体"/>
          <w:b/>
          <w:color w:val="auto"/>
          <w:szCs w:val="21"/>
          <w:highlight w:val="none"/>
          <w:u w:val="single"/>
          <w:lang w:val="zh-CN"/>
        </w:rPr>
        <w:t>，即投标人的折扣系数</w:t>
      </w:r>
      <w:r>
        <w:rPr>
          <w:rFonts w:hint="eastAsia" w:ascii="宋体" w:hAnsi="宋体" w:eastAsia="宋体" w:cs="宋体"/>
          <w:b/>
          <w:color w:val="auto"/>
          <w:szCs w:val="21"/>
          <w:highlight w:val="none"/>
          <w:u w:val="single"/>
        </w:rPr>
        <w:t>报价</w:t>
      </w:r>
      <w:r>
        <w:rPr>
          <w:rFonts w:hint="eastAsia" w:ascii="宋体" w:hAnsi="宋体" w:eastAsia="宋体" w:cs="宋体"/>
          <w:b/>
          <w:color w:val="auto"/>
          <w:szCs w:val="21"/>
          <w:highlight w:val="none"/>
          <w:u w:val="single"/>
          <w:lang w:val="zh-CN"/>
        </w:rPr>
        <w:t>不得超过1.00，且不能为0.00或负数。投标人未按招标文件要求进行折扣系数报价的，将被视为无效投标</w:t>
      </w:r>
      <w:r>
        <w:rPr>
          <w:rFonts w:hint="eastAsia" w:ascii="宋体" w:hAnsi="宋体" w:eastAsia="宋体" w:cs="宋体"/>
          <w:b/>
          <w:bCs/>
          <w:color w:val="auto"/>
          <w:highlight w:val="none"/>
          <w:u w:val="single"/>
        </w:rPr>
        <w:t>。折扣系数报价需保留小数点后两位，否则评标委员会按去“尾”或补“零”的方式进行修正为保留小数点后两位，投标人须接受被修正后的报价（例：如投标折扣系数为0.789，则被修正为0.78；如投标折扣系数为0.7，则被修正为0.70）。</w:t>
      </w:r>
    </w:p>
    <w:p w14:paraId="4056595A">
      <w:pPr>
        <w:spacing w:line="360" w:lineRule="auto"/>
        <w:ind w:left="399" w:leftChars="-58" w:hanging="521" w:hangingChars="247"/>
        <w:contextualSpacing/>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（3）本表一式二份，一份随唱标信封一起提交，一份编入投标文件商务文件</w:t>
      </w:r>
      <w:r>
        <w:rPr>
          <w:rFonts w:hint="eastAsia" w:ascii="宋体" w:hAnsi="宋体" w:eastAsia="宋体" w:cs="宋体"/>
          <w:b/>
          <w:bCs/>
          <w:color w:val="auto"/>
          <w:szCs w:val="21"/>
          <w:highlight w:val="none"/>
          <w:lang w:val="zh-CN"/>
        </w:rPr>
        <w:t>。</w:t>
      </w:r>
    </w:p>
    <w:p w14:paraId="7BFC1854">
      <w:pPr>
        <w:spacing w:line="360" w:lineRule="auto"/>
        <w:ind w:left="399" w:leftChars="-58" w:hanging="521" w:hangingChars="247"/>
        <w:contextualSpacing/>
        <w:rPr>
          <w:rFonts w:ascii="宋体" w:hAnsi="宋体" w:eastAsia="宋体" w:cs="宋体"/>
          <w:b/>
          <w:bCs/>
          <w:color w:val="auto"/>
          <w:highlight w:val="none"/>
          <w:lang w:val="zh-CN"/>
        </w:rPr>
      </w:pPr>
      <w:r>
        <w:rPr>
          <w:rFonts w:hint="eastAsia" w:ascii="宋体" w:hAnsi="宋体" w:eastAsia="宋体" w:cs="宋体"/>
          <w:b/>
          <w:bCs/>
          <w:color w:val="auto"/>
          <w:highlight w:val="none"/>
          <w:lang w:val="zh-CN"/>
        </w:rPr>
        <w:t>（4）折扣系数保留小数点后两位。</w:t>
      </w:r>
    </w:p>
    <w:p w14:paraId="6FA8F582">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38BF301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187FDACD">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2007009">
      <w:pPr>
        <w:autoSpaceDE w:val="0"/>
        <w:autoSpaceDN w:val="0"/>
        <w:adjustRightInd w:val="0"/>
        <w:spacing w:line="360" w:lineRule="auto"/>
        <w:ind w:right="275" w:rightChars="131"/>
        <w:jc w:val="right"/>
        <w:rPr>
          <w:rFonts w:ascii="宋体" w:hAnsi="宋体" w:eastAsia="宋体" w:cs="宋体"/>
          <w:color w:val="auto"/>
          <w:kern w:val="0"/>
          <w:szCs w:val="21"/>
          <w:highlight w:val="none"/>
        </w:rPr>
      </w:pPr>
    </w:p>
    <w:p w14:paraId="1E8136ED">
      <w:pPr>
        <w:autoSpaceDE w:val="0"/>
        <w:autoSpaceDN w:val="0"/>
        <w:adjustRightInd w:val="0"/>
        <w:spacing w:line="360" w:lineRule="auto"/>
        <w:ind w:firstLine="5668" w:firstLineChars="2362"/>
        <w:rPr>
          <w:rFonts w:ascii="宋体" w:hAnsi="宋体" w:eastAsia="宋体" w:cs="Times New Roman"/>
          <w:color w:val="auto"/>
          <w:sz w:val="24"/>
          <w:szCs w:val="24"/>
          <w:highlight w:val="none"/>
          <w:lang w:val="zh-CN"/>
        </w:rPr>
      </w:pPr>
    </w:p>
    <w:p w14:paraId="08E6B5BD">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473" w:name="_Toc94107209"/>
      <w:bookmarkStart w:id="474" w:name="_Toc142508369"/>
      <w:bookmarkStart w:id="475" w:name="_Toc102860074"/>
      <w:bookmarkStart w:id="476" w:name="_Toc140596928"/>
      <w:bookmarkStart w:id="477" w:name="_Toc18828"/>
      <w:bookmarkStart w:id="478" w:name="_Toc29765"/>
      <w:bookmarkStart w:id="479" w:name="_Toc104991875"/>
      <w:bookmarkStart w:id="480" w:name="_Toc1977725"/>
      <w:bookmarkStart w:id="481" w:name="_Toc24015"/>
      <w:bookmarkStart w:id="482" w:name="_Toc102860418"/>
      <w:bookmarkStart w:id="483" w:name="_Toc169091779"/>
      <w:bookmarkStart w:id="484" w:name="_Toc486167712"/>
      <w:bookmarkStart w:id="485" w:name="_Toc20759_WPSOffice_Level2"/>
      <w:bookmarkStart w:id="486" w:name="_Toc533708124"/>
      <w:r>
        <w:rPr>
          <w:rFonts w:hint="eastAsia" w:ascii="宋体" w:hAnsi="宋体" w:eastAsia="宋体" w:cs="宋体"/>
          <w:b/>
          <w:bCs/>
          <w:color w:val="auto"/>
          <w:sz w:val="30"/>
          <w:szCs w:val="30"/>
          <w:highlight w:val="none"/>
        </w:rPr>
        <w:t>五</w:t>
      </w:r>
      <w:r>
        <w:rPr>
          <w:rFonts w:hint="eastAsia" w:ascii="宋体" w:hAnsi="宋体" w:eastAsia="宋体" w:cs="宋体"/>
          <w:b/>
          <w:color w:val="auto"/>
          <w:kern w:val="0"/>
          <w:sz w:val="32"/>
          <w:szCs w:val="32"/>
          <w:highlight w:val="none"/>
        </w:rPr>
        <w:t>、投标人资格证明文件</w:t>
      </w:r>
      <w:bookmarkEnd w:id="473"/>
      <w:bookmarkEnd w:id="474"/>
      <w:bookmarkEnd w:id="475"/>
      <w:bookmarkEnd w:id="476"/>
      <w:bookmarkEnd w:id="477"/>
      <w:bookmarkEnd w:id="478"/>
      <w:bookmarkEnd w:id="479"/>
      <w:bookmarkEnd w:id="480"/>
      <w:bookmarkEnd w:id="481"/>
      <w:bookmarkEnd w:id="482"/>
      <w:bookmarkEnd w:id="483"/>
    </w:p>
    <w:p w14:paraId="72A40B43">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87" w:name="_Toc169091780"/>
      <w:bookmarkStart w:id="488" w:name="_Toc5653"/>
      <w:bookmarkStart w:id="489" w:name="_Toc31420"/>
      <w:bookmarkStart w:id="490" w:name="_Toc94107210"/>
      <w:bookmarkStart w:id="491" w:name="_Toc140596929"/>
      <w:bookmarkStart w:id="492" w:name="_Toc102860075"/>
      <w:bookmarkStart w:id="493" w:name="_Toc28382"/>
      <w:bookmarkStart w:id="494" w:name="_Toc142508370"/>
      <w:bookmarkStart w:id="495" w:name="_Toc102860419"/>
      <w:bookmarkStart w:id="496" w:name="_Toc104991876"/>
      <w:bookmarkStart w:id="497" w:name="_Toc1977726"/>
      <w:r>
        <w:rPr>
          <w:rFonts w:hint="eastAsia" w:ascii="宋体" w:hAnsi="宋体" w:eastAsia="宋体" w:cs="宋体"/>
          <w:b/>
          <w:color w:val="auto"/>
          <w:kern w:val="0"/>
          <w:sz w:val="30"/>
          <w:szCs w:val="30"/>
          <w:highlight w:val="none"/>
        </w:rPr>
        <w:t>5.1 多证合一营业执照（或事业单位法人证书）复印件</w:t>
      </w:r>
      <w:bookmarkEnd w:id="487"/>
      <w:bookmarkEnd w:id="488"/>
      <w:bookmarkEnd w:id="489"/>
      <w:bookmarkEnd w:id="490"/>
      <w:bookmarkEnd w:id="491"/>
      <w:bookmarkEnd w:id="492"/>
      <w:bookmarkEnd w:id="493"/>
      <w:bookmarkEnd w:id="494"/>
      <w:bookmarkEnd w:id="495"/>
      <w:bookmarkEnd w:id="496"/>
    </w:p>
    <w:p w14:paraId="0C4B20E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AEB9FC5">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447A927F">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98" w:name="_Toc26345"/>
      <w:bookmarkStart w:id="499" w:name="_Toc140596930"/>
      <w:bookmarkStart w:id="500" w:name="_Toc142508371"/>
      <w:bookmarkStart w:id="501" w:name="_Toc102860420"/>
      <w:bookmarkStart w:id="502" w:name="_Toc9489"/>
      <w:bookmarkStart w:id="503" w:name="_Toc94107211"/>
      <w:bookmarkStart w:id="504" w:name="_Toc32447"/>
      <w:bookmarkStart w:id="505" w:name="_Toc102860076"/>
      <w:bookmarkStart w:id="506" w:name="_Toc169091781"/>
      <w:bookmarkStart w:id="507" w:name="_Toc104991877"/>
      <w:r>
        <w:rPr>
          <w:rFonts w:hint="eastAsia" w:ascii="宋体" w:hAnsi="宋体" w:eastAsia="宋体" w:cs="宋体"/>
          <w:b/>
          <w:color w:val="auto"/>
          <w:kern w:val="0"/>
          <w:sz w:val="30"/>
          <w:szCs w:val="30"/>
          <w:highlight w:val="none"/>
        </w:rPr>
        <w:t>5.2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498"/>
      <w:bookmarkEnd w:id="499"/>
      <w:bookmarkEnd w:id="500"/>
      <w:bookmarkEnd w:id="501"/>
      <w:bookmarkEnd w:id="502"/>
      <w:bookmarkEnd w:id="503"/>
      <w:bookmarkEnd w:id="504"/>
      <w:bookmarkEnd w:id="505"/>
      <w:bookmarkEnd w:id="506"/>
      <w:bookmarkEnd w:id="507"/>
    </w:p>
    <w:p w14:paraId="3085D5AE">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08" w:name="_Toc644"/>
      <w:bookmarkStart w:id="509" w:name="_Toc142508372"/>
      <w:bookmarkStart w:id="510" w:name="_Toc102860421"/>
      <w:bookmarkStart w:id="511" w:name="_Toc94107212"/>
      <w:bookmarkStart w:id="512" w:name="_Toc23068"/>
      <w:bookmarkStart w:id="513" w:name="_Toc102860077"/>
      <w:bookmarkStart w:id="514" w:name="_Toc104991878"/>
      <w:bookmarkStart w:id="515" w:name="_Toc21657"/>
      <w:bookmarkStart w:id="516" w:name="_Toc169091782"/>
      <w:bookmarkStart w:id="517" w:name="_Toc140596931"/>
      <w:r>
        <w:rPr>
          <w:rFonts w:hint="eastAsia" w:ascii="宋体" w:hAnsi="宋体" w:eastAsia="宋体" w:cs="宋体"/>
          <w:b/>
          <w:color w:val="auto"/>
          <w:kern w:val="0"/>
          <w:sz w:val="30"/>
          <w:szCs w:val="30"/>
          <w:highlight w:val="none"/>
        </w:rPr>
        <w:t>5.3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08"/>
      <w:bookmarkEnd w:id="509"/>
      <w:bookmarkEnd w:id="510"/>
      <w:bookmarkEnd w:id="511"/>
      <w:bookmarkEnd w:id="512"/>
      <w:bookmarkEnd w:id="513"/>
      <w:bookmarkEnd w:id="514"/>
      <w:bookmarkEnd w:id="515"/>
      <w:bookmarkEnd w:id="516"/>
      <w:bookmarkEnd w:id="517"/>
    </w:p>
    <w:p w14:paraId="4EF86810">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84"/>
      <w:bookmarkEnd w:id="485"/>
      <w:bookmarkEnd w:id="486"/>
      <w:bookmarkEnd w:id="497"/>
    </w:p>
    <w:p w14:paraId="196980F0">
      <w:pPr>
        <w:spacing w:before="120" w:after="120" w:line="360" w:lineRule="auto"/>
        <w:ind w:firstLine="608" w:firstLineChars="202"/>
        <w:jc w:val="center"/>
        <w:rPr>
          <w:rFonts w:ascii="宋体" w:hAnsi="宋体" w:eastAsia="宋体" w:cs="宋体"/>
          <w:b/>
          <w:color w:val="auto"/>
          <w:sz w:val="30"/>
          <w:szCs w:val="30"/>
          <w:highlight w:val="none"/>
        </w:rPr>
      </w:pPr>
    </w:p>
    <w:p w14:paraId="4A850D17">
      <w:pPr>
        <w:spacing w:before="120" w:after="120" w:line="360" w:lineRule="auto"/>
        <w:ind w:firstLine="608" w:firstLineChars="202"/>
        <w:jc w:val="center"/>
        <w:rPr>
          <w:rFonts w:ascii="宋体" w:hAnsi="宋体" w:eastAsia="宋体" w:cs="宋体"/>
          <w:b/>
          <w:bCs/>
          <w:color w:val="auto"/>
          <w:sz w:val="30"/>
          <w:szCs w:val="30"/>
          <w:highlight w:val="none"/>
        </w:rPr>
      </w:pPr>
      <w:bookmarkStart w:id="518" w:name="_Toc11033_WPSOffice_Level3"/>
      <w:r>
        <w:rPr>
          <w:rFonts w:hint="eastAsia" w:ascii="宋体" w:hAnsi="宋体" w:eastAsia="宋体" w:cs="宋体"/>
          <w:b/>
          <w:color w:val="auto"/>
          <w:sz w:val="30"/>
          <w:szCs w:val="30"/>
          <w:highlight w:val="none"/>
        </w:rPr>
        <w:t>法定代</w:t>
      </w:r>
      <w:bookmarkStart w:id="519" w:name="_Toc36971359"/>
      <w:bookmarkStart w:id="520" w:name="_Toc45995270"/>
      <w:r>
        <w:rPr>
          <w:rFonts w:hint="eastAsia" w:ascii="宋体" w:hAnsi="宋体" w:eastAsia="宋体" w:cs="宋体"/>
          <w:b/>
          <w:color w:val="auto"/>
          <w:sz w:val="30"/>
          <w:szCs w:val="30"/>
          <w:highlight w:val="none"/>
        </w:rPr>
        <w:t>表人身份证明书</w:t>
      </w:r>
      <w:bookmarkEnd w:id="518"/>
    </w:p>
    <w:bookmarkEnd w:id="519"/>
    <w:bookmarkEnd w:id="520"/>
    <w:p w14:paraId="18B15BBA">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131C5594">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40C88CB2">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7163D4DC">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1E3A9CC1">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1125EDA5">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48A37029">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6C3662F8">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29B71DDC">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AD16AD1">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C7D258A"/>
                          <w:p w14:paraId="3DB0A4DA"/>
                          <w:p w14:paraId="67D0FCB3"/>
                          <w:p w14:paraId="2434A8AC"/>
                          <w:p w14:paraId="289AD7D5">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7C7D258A"/>
                    <w:p w14:paraId="3DB0A4DA"/>
                    <w:p w14:paraId="67D0FCB3"/>
                    <w:p w14:paraId="2434A8AC"/>
                    <w:p w14:paraId="289AD7D5">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B711BC0"/>
                          <w:p w14:paraId="08E0F5CD"/>
                          <w:p w14:paraId="71DF1DED"/>
                          <w:p w14:paraId="7F0E81D2"/>
                          <w:p w14:paraId="6C3C5CE6">
                            <w:pPr>
                              <w:jc w:val="center"/>
                              <w:rPr>
                                <w:szCs w:val="21"/>
                              </w:rPr>
                            </w:pPr>
                            <w:r>
                              <w:rPr>
                                <w:rFonts w:hint="eastAsia"/>
                                <w:szCs w:val="21"/>
                              </w:rPr>
                              <w:t>法定代表人身份证反面</w:t>
                            </w:r>
                          </w:p>
                          <w:p w14:paraId="45EF2023">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3B711BC0"/>
                    <w:p w14:paraId="08E0F5CD"/>
                    <w:p w14:paraId="71DF1DED"/>
                    <w:p w14:paraId="7F0E81D2"/>
                    <w:p w14:paraId="6C3C5CE6">
                      <w:pPr>
                        <w:jc w:val="center"/>
                        <w:rPr>
                          <w:szCs w:val="21"/>
                        </w:rPr>
                      </w:pPr>
                      <w:r>
                        <w:rPr>
                          <w:rFonts w:hint="eastAsia"/>
                          <w:szCs w:val="21"/>
                        </w:rPr>
                        <w:t>法定代表人身份证反面</w:t>
                      </w:r>
                    </w:p>
                    <w:p w14:paraId="45EF2023">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2242EDE"/>
                          <w:p w14:paraId="5C166191"/>
                          <w:p w14:paraId="6C7B49EE"/>
                          <w:p w14:paraId="1CA765DE"/>
                          <w:p w14:paraId="74B0BE8B">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62242EDE"/>
                    <w:p w14:paraId="5C166191"/>
                    <w:p w14:paraId="6C7B49EE"/>
                    <w:p w14:paraId="1CA765DE"/>
                    <w:p w14:paraId="74B0BE8B">
                      <w:pPr>
                        <w:jc w:val="center"/>
                      </w:pPr>
                      <w:r>
                        <w:rPr>
                          <w:rFonts w:hint="eastAsia"/>
                        </w:rPr>
                        <w:t>身份证正面</w:t>
                      </w:r>
                    </w:p>
                  </w:txbxContent>
                </v:textbox>
              </v:shape>
            </w:pict>
          </mc:Fallback>
        </mc:AlternateContent>
      </w:r>
    </w:p>
    <w:p w14:paraId="78FEA320">
      <w:pPr>
        <w:autoSpaceDE w:val="0"/>
        <w:autoSpaceDN w:val="0"/>
        <w:adjustRightInd w:val="0"/>
        <w:jc w:val="left"/>
        <w:rPr>
          <w:rFonts w:ascii="宋体" w:hAnsi="宋体" w:eastAsia="宋体" w:cs="宋体"/>
          <w:color w:val="auto"/>
          <w:kern w:val="0"/>
          <w:sz w:val="24"/>
          <w:szCs w:val="24"/>
          <w:highlight w:val="none"/>
        </w:rPr>
      </w:pPr>
    </w:p>
    <w:p w14:paraId="4C7B1F34">
      <w:pPr>
        <w:autoSpaceDE w:val="0"/>
        <w:autoSpaceDN w:val="0"/>
        <w:adjustRightInd w:val="0"/>
        <w:jc w:val="left"/>
        <w:rPr>
          <w:rFonts w:ascii="宋体" w:hAnsi="宋体" w:eastAsia="宋体" w:cs="宋体"/>
          <w:color w:val="auto"/>
          <w:kern w:val="0"/>
          <w:sz w:val="24"/>
          <w:szCs w:val="24"/>
          <w:highlight w:val="none"/>
        </w:rPr>
      </w:pPr>
    </w:p>
    <w:p w14:paraId="6796108C">
      <w:pPr>
        <w:autoSpaceDE w:val="0"/>
        <w:autoSpaceDN w:val="0"/>
        <w:adjustRightInd w:val="0"/>
        <w:jc w:val="left"/>
        <w:rPr>
          <w:rFonts w:ascii="宋体" w:hAnsi="宋体" w:eastAsia="宋体" w:cs="宋体"/>
          <w:color w:val="auto"/>
          <w:kern w:val="0"/>
          <w:sz w:val="24"/>
          <w:szCs w:val="24"/>
          <w:highlight w:val="none"/>
        </w:rPr>
      </w:pPr>
    </w:p>
    <w:p w14:paraId="3491DAC2">
      <w:pPr>
        <w:autoSpaceDE w:val="0"/>
        <w:autoSpaceDN w:val="0"/>
        <w:adjustRightInd w:val="0"/>
        <w:jc w:val="left"/>
        <w:rPr>
          <w:rFonts w:ascii="宋体" w:hAnsi="宋体" w:eastAsia="宋体" w:cs="宋体"/>
          <w:color w:val="auto"/>
          <w:kern w:val="0"/>
          <w:sz w:val="24"/>
          <w:szCs w:val="24"/>
          <w:highlight w:val="none"/>
        </w:rPr>
      </w:pPr>
    </w:p>
    <w:p w14:paraId="0BA3FBC4">
      <w:pPr>
        <w:autoSpaceDE w:val="0"/>
        <w:autoSpaceDN w:val="0"/>
        <w:adjustRightInd w:val="0"/>
        <w:jc w:val="left"/>
        <w:rPr>
          <w:rFonts w:ascii="宋体" w:hAnsi="宋体" w:eastAsia="宋体" w:cs="宋体"/>
          <w:color w:val="auto"/>
          <w:kern w:val="0"/>
          <w:sz w:val="24"/>
          <w:szCs w:val="24"/>
          <w:highlight w:val="none"/>
        </w:rPr>
      </w:pPr>
    </w:p>
    <w:p w14:paraId="18305619">
      <w:pPr>
        <w:autoSpaceDE w:val="0"/>
        <w:autoSpaceDN w:val="0"/>
        <w:adjustRightInd w:val="0"/>
        <w:jc w:val="left"/>
        <w:rPr>
          <w:rFonts w:ascii="宋体" w:hAnsi="宋体" w:eastAsia="宋体" w:cs="宋体"/>
          <w:color w:val="auto"/>
          <w:kern w:val="0"/>
          <w:sz w:val="24"/>
          <w:szCs w:val="24"/>
          <w:highlight w:val="none"/>
        </w:rPr>
      </w:pPr>
    </w:p>
    <w:p w14:paraId="3BCA34D8">
      <w:pPr>
        <w:autoSpaceDE w:val="0"/>
        <w:autoSpaceDN w:val="0"/>
        <w:adjustRightInd w:val="0"/>
        <w:jc w:val="left"/>
        <w:rPr>
          <w:rFonts w:ascii="宋体" w:hAnsi="宋体" w:eastAsia="宋体" w:cs="宋体"/>
          <w:color w:val="auto"/>
          <w:kern w:val="0"/>
          <w:sz w:val="24"/>
          <w:szCs w:val="24"/>
          <w:highlight w:val="none"/>
        </w:rPr>
      </w:pPr>
    </w:p>
    <w:p w14:paraId="1999FBDE">
      <w:pPr>
        <w:autoSpaceDE w:val="0"/>
        <w:autoSpaceDN w:val="0"/>
        <w:adjustRightInd w:val="0"/>
        <w:jc w:val="left"/>
        <w:rPr>
          <w:rFonts w:ascii="宋体" w:hAnsi="宋体" w:eastAsia="宋体" w:cs="宋体"/>
          <w:color w:val="auto"/>
          <w:kern w:val="0"/>
          <w:sz w:val="24"/>
          <w:szCs w:val="24"/>
          <w:highlight w:val="none"/>
        </w:rPr>
      </w:pPr>
    </w:p>
    <w:p w14:paraId="033B1F4A">
      <w:pPr>
        <w:autoSpaceDE w:val="0"/>
        <w:autoSpaceDN w:val="0"/>
        <w:adjustRightInd w:val="0"/>
        <w:jc w:val="left"/>
        <w:rPr>
          <w:rFonts w:ascii="宋体" w:hAnsi="宋体" w:eastAsia="宋体" w:cs="宋体"/>
          <w:color w:val="auto"/>
          <w:kern w:val="0"/>
          <w:sz w:val="24"/>
          <w:szCs w:val="24"/>
          <w:highlight w:val="none"/>
        </w:rPr>
      </w:pPr>
    </w:p>
    <w:p w14:paraId="3DFA61E5">
      <w:pPr>
        <w:autoSpaceDE w:val="0"/>
        <w:autoSpaceDN w:val="0"/>
        <w:adjustRightInd w:val="0"/>
        <w:jc w:val="left"/>
        <w:rPr>
          <w:rFonts w:ascii="宋体" w:hAnsi="宋体" w:eastAsia="宋体" w:cs="宋体"/>
          <w:b/>
          <w:color w:val="auto"/>
          <w:kern w:val="0"/>
          <w:szCs w:val="21"/>
          <w:highlight w:val="none"/>
        </w:rPr>
      </w:pPr>
    </w:p>
    <w:p w14:paraId="4C928F54">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206797BF">
      <w:pPr>
        <w:autoSpaceDE w:val="0"/>
        <w:autoSpaceDN w:val="0"/>
        <w:adjustRightInd w:val="0"/>
        <w:jc w:val="left"/>
        <w:rPr>
          <w:rFonts w:ascii="宋体" w:hAnsi="宋体" w:eastAsia="宋体" w:cs="宋体"/>
          <w:color w:val="auto"/>
          <w:kern w:val="0"/>
          <w:szCs w:val="21"/>
          <w:highlight w:val="none"/>
        </w:rPr>
      </w:pPr>
    </w:p>
    <w:p w14:paraId="476316B9">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25"/>
      <w:bookmarkEnd w:id="426"/>
      <w:bookmarkEnd w:id="427"/>
      <w:bookmarkStart w:id="521" w:name="_Toc533708125"/>
      <w:bookmarkStart w:id="522" w:name="_Toc486167713"/>
      <w:bookmarkStart w:id="523" w:name="_Toc6240_WPSOffice_Level2"/>
      <w:bookmarkStart w:id="524" w:name="_Toc1977727"/>
      <w:r>
        <w:rPr>
          <w:rFonts w:hint="eastAsia" w:ascii="宋体" w:hAnsi="宋体" w:eastAsia="宋体" w:cs="宋体"/>
          <w:b/>
          <w:color w:val="auto"/>
          <w:szCs w:val="24"/>
          <w:highlight w:val="none"/>
        </w:rPr>
        <w:t>（2）法定代表人授权书格式</w:t>
      </w:r>
      <w:bookmarkEnd w:id="521"/>
      <w:bookmarkEnd w:id="522"/>
      <w:bookmarkEnd w:id="523"/>
      <w:bookmarkEnd w:id="524"/>
    </w:p>
    <w:p w14:paraId="16C477FA">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373FED19">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25" w:name="_Toc29146_WPSOffice_Level3"/>
      <w:r>
        <w:rPr>
          <w:rFonts w:hint="eastAsia" w:ascii="宋体" w:hAnsi="宋体" w:eastAsia="宋体" w:cs="宋体"/>
          <w:b/>
          <w:bCs/>
          <w:color w:val="auto"/>
          <w:sz w:val="30"/>
          <w:szCs w:val="30"/>
          <w:highlight w:val="none"/>
          <w:lang w:val="zh-CN"/>
        </w:rPr>
        <w:t>法定代表人授权书</w:t>
      </w:r>
      <w:bookmarkEnd w:id="525"/>
    </w:p>
    <w:p w14:paraId="5E1030E3">
      <w:pPr>
        <w:autoSpaceDE w:val="0"/>
        <w:autoSpaceDN w:val="0"/>
        <w:adjustRightInd w:val="0"/>
        <w:spacing w:line="360" w:lineRule="auto"/>
        <w:jc w:val="center"/>
        <w:rPr>
          <w:rFonts w:ascii="宋体" w:hAnsi="宋体" w:eastAsia="宋体" w:cs="宋体"/>
          <w:color w:val="auto"/>
          <w:szCs w:val="28"/>
          <w:highlight w:val="none"/>
          <w:lang w:val="zh-CN"/>
        </w:rPr>
      </w:pPr>
    </w:p>
    <w:p w14:paraId="1572F469">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致：东莞市水务环境投资控股集团管网有限公司</w:t>
      </w:r>
    </w:p>
    <w:p w14:paraId="6889EA58">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kern w:val="0"/>
          <w:szCs w:val="21"/>
          <w:highlight w:val="none"/>
          <w:u w:val="single"/>
          <w:lang w:eastAsia="zh-CN"/>
        </w:rPr>
        <w:t>东莞市水务环境投资控股集团管网有限公司2026年运维维修工器具类物资采购项目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YDZB25DGQY0136</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4DAD8794">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2ED1E780">
      <w:pPr>
        <w:spacing w:before="120" w:after="120" w:line="360" w:lineRule="auto"/>
        <w:ind w:left="348" w:leftChars="136" w:hanging="62"/>
        <w:rPr>
          <w:rFonts w:ascii="宋体" w:hAnsi="宋体" w:eastAsia="宋体" w:cs="宋体"/>
          <w:color w:val="auto"/>
          <w:szCs w:val="24"/>
          <w:highlight w:val="none"/>
        </w:rPr>
      </w:pPr>
    </w:p>
    <w:p w14:paraId="45B9B2F2">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2B4AA83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7CF4538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05422912">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5B7C8A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17CF199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5BDD54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53C081E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1DC750A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32E41BA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443078C"/>
                          <w:p w14:paraId="768F47B2"/>
                          <w:p w14:paraId="0B7AAAF8"/>
                          <w:p w14:paraId="7350619D"/>
                          <w:p w14:paraId="125F2592">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443078C"/>
                    <w:p w14:paraId="768F47B2"/>
                    <w:p w14:paraId="0B7AAAF8"/>
                    <w:p w14:paraId="7350619D"/>
                    <w:p w14:paraId="125F2592">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EC58611"/>
                          <w:p w14:paraId="429D1E52"/>
                          <w:p w14:paraId="460AC061"/>
                          <w:p w14:paraId="3DD07075"/>
                          <w:p w14:paraId="206FCB29">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2EC58611"/>
                    <w:p w14:paraId="429D1E52"/>
                    <w:p w14:paraId="460AC061"/>
                    <w:p w14:paraId="3DD07075"/>
                    <w:p w14:paraId="206FCB29">
                      <w:pPr>
                        <w:jc w:val="center"/>
                        <w:rPr>
                          <w:rFonts w:hAnsi="宋体"/>
                        </w:rPr>
                      </w:pPr>
                      <w:r>
                        <w:rPr>
                          <w:rFonts w:hint="eastAsia" w:hAnsi="宋体"/>
                        </w:rPr>
                        <w:t>法定代表人身份证正面</w:t>
                      </w:r>
                    </w:p>
                  </w:txbxContent>
                </v:textbox>
              </v:shape>
            </w:pict>
          </mc:Fallback>
        </mc:AlternateContent>
      </w:r>
    </w:p>
    <w:p w14:paraId="012587E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497A87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D6C13C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96ABFE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107034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6989EE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FB1FE5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0B2E76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13F276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81334D4"/>
                          <w:p w14:paraId="23BB5DC1">
                            <w:pPr>
                              <w:jc w:val="center"/>
                              <w:rPr>
                                <w:rFonts w:hAnsi="宋体"/>
                                <w:color w:val="FF0000"/>
                              </w:rPr>
                            </w:pPr>
                          </w:p>
                          <w:p w14:paraId="6B52BAAC">
                            <w:pPr>
                              <w:jc w:val="center"/>
                              <w:rPr>
                                <w:rFonts w:hAnsi="宋体"/>
                                <w:color w:val="FF0000"/>
                              </w:rPr>
                            </w:pPr>
                          </w:p>
                          <w:p w14:paraId="74557D84">
                            <w:pPr>
                              <w:jc w:val="center"/>
                              <w:rPr>
                                <w:rFonts w:hAnsi="宋体"/>
                                <w:color w:val="FF0000"/>
                              </w:rPr>
                            </w:pPr>
                          </w:p>
                          <w:p w14:paraId="45DA00F8">
                            <w:pPr>
                              <w:jc w:val="center"/>
                            </w:pPr>
                            <w:r>
                              <w:rPr>
                                <w:rFonts w:hint="eastAsia" w:hAnsi="宋体"/>
                              </w:rPr>
                              <w:t>被授权人身份证反面</w:t>
                            </w:r>
                          </w:p>
                          <w:p w14:paraId="1C61EE05"/>
                          <w:p w14:paraId="523F660B"/>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681334D4"/>
                    <w:p w14:paraId="23BB5DC1">
                      <w:pPr>
                        <w:jc w:val="center"/>
                        <w:rPr>
                          <w:rFonts w:hAnsi="宋体"/>
                          <w:color w:val="FF0000"/>
                        </w:rPr>
                      </w:pPr>
                    </w:p>
                    <w:p w14:paraId="6B52BAAC">
                      <w:pPr>
                        <w:jc w:val="center"/>
                        <w:rPr>
                          <w:rFonts w:hAnsi="宋体"/>
                          <w:color w:val="FF0000"/>
                        </w:rPr>
                      </w:pPr>
                    </w:p>
                    <w:p w14:paraId="74557D84">
                      <w:pPr>
                        <w:jc w:val="center"/>
                        <w:rPr>
                          <w:rFonts w:hAnsi="宋体"/>
                          <w:color w:val="FF0000"/>
                        </w:rPr>
                      </w:pPr>
                    </w:p>
                    <w:p w14:paraId="45DA00F8">
                      <w:pPr>
                        <w:jc w:val="center"/>
                      </w:pPr>
                      <w:r>
                        <w:rPr>
                          <w:rFonts w:hint="eastAsia" w:hAnsi="宋体"/>
                        </w:rPr>
                        <w:t>被授权人身份证反面</w:t>
                      </w:r>
                    </w:p>
                    <w:p w14:paraId="1C61EE05"/>
                    <w:p w14:paraId="523F660B"/>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B0A6D54"/>
                          <w:p w14:paraId="541092B8">
                            <w:pPr>
                              <w:jc w:val="center"/>
                              <w:rPr>
                                <w:rFonts w:hAnsi="宋体"/>
                                <w:color w:val="FF0000"/>
                              </w:rPr>
                            </w:pPr>
                          </w:p>
                          <w:p w14:paraId="196F6100">
                            <w:pPr>
                              <w:jc w:val="center"/>
                              <w:rPr>
                                <w:rFonts w:hAnsi="宋体"/>
                                <w:color w:val="FF0000"/>
                              </w:rPr>
                            </w:pPr>
                          </w:p>
                          <w:p w14:paraId="1AC7DBF2">
                            <w:pPr>
                              <w:jc w:val="center"/>
                              <w:rPr>
                                <w:rFonts w:hAnsi="宋体"/>
                                <w:color w:val="FF0000"/>
                              </w:rPr>
                            </w:pPr>
                          </w:p>
                          <w:p w14:paraId="782E6893">
                            <w:pPr>
                              <w:jc w:val="center"/>
                            </w:pPr>
                            <w:r>
                              <w:rPr>
                                <w:rFonts w:hint="eastAsia" w:hAnsi="宋体"/>
                              </w:rPr>
                              <w:t>被授权人身份证正面</w:t>
                            </w:r>
                          </w:p>
                          <w:p w14:paraId="6D966CBA"/>
                          <w:p w14:paraId="0E9F91C8"/>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7B0A6D54"/>
                    <w:p w14:paraId="541092B8">
                      <w:pPr>
                        <w:jc w:val="center"/>
                        <w:rPr>
                          <w:rFonts w:hAnsi="宋体"/>
                          <w:color w:val="FF0000"/>
                        </w:rPr>
                      </w:pPr>
                    </w:p>
                    <w:p w14:paraId="196F6100">
                      <w:pPr>
                        <w:jc w:val="center"/>
                        <w:rPr>
                          <w:rFonts w:hAnsi="宋体"/>
                          <w:color w:val="FF0000"/>
                        </w:rPr>
                      </w:pPr>
                    </w:p>
                    <w:p w14:paraId="1AC7DBF2">
                      <w:pPr>
                        <w:jc w:val="center"/>
                        <w:rPr>
                          <w:rFonts w:hAnsi="宋体"/>
                          <w:color w:val="FF0000"/>
                        </w:rPr>
                      </w:pPr>
                    </w:p>
                    <w:p w14:paraId="782E6893">
                      <w:pPr>
                        <w:jc w:val="center"/>
                      </w:pPr>
                      <w:r>
                        <w:rPr>
                          <w:rFonts w:hint="eastAsia" w:hAnsi="宋体"/>
                        </w:rPr>
                        <w:t>被授权人身份证正面</w:t>
                      </w:r>
                    </w:p>
                    <w:p w14:paraId="6D966CBA"/>
                    <w:p w14:paraId="0E9F91C8"/>
                  </w:txbxContent>
                </v:textbox>
              </v:shape>
            </w:pict>
          </mc:Fallback>
        </mc:AlternateContent>
      </w:r>
    </w:p>
    <w:p w14:paraId="342E4C6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A9F282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FC6A3C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6594C0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F580FC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69E5972">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47AE93E9">
      <w:pPr>
        <w:pStyle w:val="6"/>
        <w:pageBreakBefore/>
        <w:spacing w:line="360" w:lineRule="auto"/>
        <w:rPr>
          <w:rFonts w:hAnsi="宋体"/>
          <w:b/>
          <w:color w:val="auto"/>
          <w:sz w:val="30"/>
          <w:szCs w:val="30"/>
          <w:highlight w:val="none"/>
          <w:lang w:val="zh-CN"/>
        </w:rPr>
      </w:pPr>
      <w:bookmarkStart w:id="526" w:name="_Toc8338"/>
      <w:bookmarkStart w:id="527" w:name="_Toc30070"/>
      <w:bookmarkStart w:id="528" w:name="_Toc18660"/>
      <w:bookmarkStart w:id="529" w:name="_Toc169091783"/>
      <w:bookmarkStart w:id="530" w:name="_Toc1977730"/>
      <w:bookmarkStart w:id="531" w:name="_Toc140596933"/>
      <w:bookmarkStart w:id="532" w:name="_Toc142508373"/>
      <w:bookmarkStart w:id="533" w:name="_Toc104991880"/>
      <w:bookmarkStart w:id="534" w:name="_Toc94107214"/>
      <w:r>
        <w:rPr>
          <w:rFonts w:hint="eastAsia" w:hAnsi="宋体" w:cs="宋体"/>
          <w:b/>
          <w:color w:val="auto"/>
          <w:sz w:val="30"/>
          <w:szCs w:val="30"/>
          <w:highlight w:val="none"/>
        </w:rPr>
        <w:t>5.4</w:t>
      </w:r>
      <w:r>
        <w:rPr>
          <w:rFonts w:hAnsi="宋体" w:cs="宋体"/>
          <w:b/>
          <w:color w:val="auto"/>
          <w:sz w:val="30"/>
          <w:szCs w:val="30"/>
          <w:highlight w:val="none"/>
        </w:rPr>
        <w:t xml:space="preserve"> </w:t>
      </w:r>
      <w:r>
        <w:rPr>
          <w:rFonts w:hint="eastAsia" w:hAnsi="宋体"/>
          <w:b/>
          <w:bCs/>
          <w:color w:val="auto"/>
          <w:kern w:val="2"/>
          <w:sz w:val="32"/>
          <w:szCs w:val="32"/>
          <w:highlight w:val="none"/>
        </w:rPr>
        <w:t>资格业绩</w:t>
      </w:r>
      <w:r>
        <w:rPr>
          <w:rFonts w:hint="eastAsia" w:hAnsi="宋体"/>
          <w:b/>
          <w:bCs/>
          <w:color w:val="auto"/>
          <w:sz w:val="32"/>
          <w:szCs w:val="32"/>
          <w:highlight w:val="none"/>
        </w:rPr>
        <w:t>【投标人提供一份202</w:t>
      </w:r>
      <w:r>
        <w:rPr>
          <w:rFonts w:hint="eastAsia" w:hAnsi="宋体"/>
          <w:b/>
          <w:bCs/>
          <w:color w:val="auto"/>
          <w:sz w:val="32"/>
          <w:szCs w:val="32"/>
          <w:highlight w:val="none"/>
          <w:lang w:val="en-US" w:eastAsia="zh-CN"/>
        </w:rPr>
        <w:t>2</w:t>
      </w:r>
      <w:r>
        <w:rPr>
          <w:rFonts w:hint="eastAsia" w:hAnsi="宋体"/>
          <w:b/>
          <w:bCs/>
          <w:color w:val="auto"/>
          <w:sz w:val="32"/>
          <w:szCs w:val="32"/>
          <w:highlight w:val="none"/>
        </w:rPr>
        <w:t>年1月1日以来运维维修工器具类物资在国内的销售业绩（合同签订日期为202</w:t>
      </w:r>
      <w:r>
        <w:rPr>
          <w:rFonts w:hint="eastAsia" w:hAnsi="宋体"/>
          <w:b/>
          <w:bCs/>
          <w:color w:val="auto"/>
          <w:sz w:val="32"/>
          <w:szCs w:val="32"/>
          <w:highlight w:val="none"/>
          <w:lang w:val="en-US" w:eastAsia="zh-CN"/>
        </w:rPr>
        <w:t>2</w:t>
      </w:r>
      <w:r>
        <w:rPr>
          <w:rFonts w:hint="eastAsia" w:hAnsi="宋体"/>
          <w:b/>
          <w:bCs/>
          <w:color w:val="auto"/>
          <w:sz w:val="32"/>
          <w:szCs w:val="32"/>
          <w:highlight w:val="none"/>
        </w:rPr>
        <w:t>年1月1日或以后）</w:t>
      </w:r>
      <w:bookmarkEnd w:id="526"/>
      <w:bookmarkEnd w:id="527"/>
      <w:r>
        <w:rPr>
          <w:rFonts w:hint="eastAsia" w:hAnsi="宋体"/>
          <w:b/>
          <w:bCs/>
          <w:color w:val="auto"/>
          <w:sz w:val="32"/>
          <w:szCs w:val="32"/>
          <w:highlight w:val="none"/>
        </w:rPr>
        <w:t>】</w:t>
      </w:r>
      <w:bookmarkEnd w:id="528"/>
      <w:bookmarkEnd w:id="529"/>
    </w:p>
    <w:tbl>
      <w:tblPr>
        <w:tblStyle w:val="43"/>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7"/>
        <w:gridCol w:w="1274"/>
        <w:gridCol w:w="1623"/>
        <w:gridCol w:w="1425"/>
        <w:gridCol w:w="1259"/>
        <w:gridCol w:w="841"/>
        <w:gridCol w:w="708"/>
        <w:gridCol w:w="931"/>
        <w:gridCol w:w="612"/>
      </w:tblGrid>
      <w:tr w14:paraId="53917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74FB1B00">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686" w:type="pct"/>
            <w:tcBorders>
              <w:top w:val="single" w:color="auto" w:sz="4" w:space="0"/>
              <w:left w:val="single" w:color="auto" w:sz="4" w:space="0"/>
              <w:bottom w:val="single" w:color="auto" w:sz="4" w:space="0"/>
              <w:right w:val="single" w:color="auto" w:sz="4" w:space="0"/>
            </w:tcBorders>
            <w:vAlign w:val="center"/>
          </w:tcPr>
          <w:p w14:paraId="61C0AD78">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2A867A99">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874" w:type="pct"/>
            <w:tcBorders>
              <w:top w:val="single" w:color="auto" w:sz="4" w:space="0"/>
              <w:left w:val="single" w:color="auto" w:sz="4" w:space="0"/>
              <w:bottom w:val="single" w:color="auto" w:sz="4" w:space="0"/>
              <w:right w:val="single" w:color="auto" w:sz="4" w:space="0"/>
            </w:tcBorders>
            <w:vAlign w:val="center"/>
          </w:tcPr>
          <w:p w14:paraId="535029AB">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项目内容</w:t>
            </w:r>
          </w:p>
        </w:tc>
        <w:tc>
          <w:tcPr>
            <w:tcW w:w="767" w:type="pct"/>
            <w:tcBorders>
              <w:top w:val="single" w:color="auto" w:sz="4" w:space="0"/>
              <w:left w:val="single" w:color="auto" w:sz="4" w:space="0"/>
              <w:bottom w:val="single" w:color="auto" w:sz="4" w:space="0"/>
              <w:right w:val="single" w:color="auto" w:sz="4" w:space="0"/>
            </w:tcBorders>
            <w:vAlign w:val="center"/>
          </w:tcPr>
          <w:p w14:paraId="552EB7A9">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合同金额（单位：万元）</w:t>
            </w:r>
          </w:p>
        </w:tc>
        <w:tc>
          <w:tcPr>
            <w:tcW w:w="678" w:type="pct"/>
            <w:tcBorders>
              <w:top w:val="single" w:color="auto" w:sz="4" w:space="0"/>
              <w:left w:val="single" w:color="auto" w:sz="4" w:space="0"/>
              <w:bottom w:val="single" w:color="auto" w:sz="4" w:space="0"/>
              <w:right w:val="single" w:color="auto" w:sz="4" w:space="0"/>
            </w:tcBorders>
            <w:vAlign w:val="center"/>
          </w:tcPr>
          <w:p w14:paraId="4AD47244">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453" w:type="pct"/>
            <w:tcBorders>
              <w:top w:val="single" w:color="auto" w:sz="4" w:space="0"/>
              <w:left w:val="single" w:color="auto" w:sz="4" w:space="0"/>
              <w:bottom w:val="single" w:color="auto" w:sz="4" w:space="0"/>
              <w:right w:val="single" w:color="auto" w:sz="4" w:space="0"/>
            </w:tcBorders>
            <w:vAlign w:val="center"/>
          </w:tcPr>
          <w:p w14:paraId="781ACAE7">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1048B1CB">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381" w:type="pct"/>
            <w:tcBorders>
              <w:top w:val="single" w:color="auto" w:sz="4" w:space="0"/>
              <w:left w:val="single" w:color="auto" w:sz="4" w:space="0"/>
              <w:bottom w:val="single" w:color="auto" w:sz="4" w:space="0"/>
              <w:right w:val="single" w:color="auto" w:sz="4" w:space="0"/>
            </w:tcBorders>
            <w:vAlign w:val="center"/>
          </w:tcPr>
          <w:p w14:paraId="1FC27698">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09C4D9CA">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501" w:type="pct"/>
            <w:tcBorders>
              <w:top w:val="single" w:color="auto" w:sz="4" w:space="0"/>
              <w:left w:val="single" w:color="auto" w:sz="4" w:space="0"/>
              <w:bottom w:val="single" w:color="auto" w:sz="4" w:space="0"/>
              <w:right w:val="single" w:color="auto" w:sz="4" w:space="0"/>
            </w:tcBorders>
            <w:vAlign w:val="center"/>
          </w:tcPr>
          <w:p w14:paraId="7D46D34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329" w:type="pct"/>
            <w:tcBorders>
              <w:top w:val="single" w:color="auto" w:sz="4" w:space="0"/>
              <w:left w:val="single" w:color="auto" w:sz="4" w:space="0"/>
              <w:bottom w:val="single" w:color="auto" w:sz="4" w:space="0"/>
              <w:right w:val="single" w:color="auto" w:sz="4" w:space="0"/>
            </w:tcBorders>
            <w:vAlign w:val="center"/>
          </w:tcPr>
          <w:p w14:paraId="632CD4C0">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0D72D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69B37B35">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686" w:type="pct"/>
            <w:tcBorders>
              <w:top w:val="single" w:color="auto" w:sz="4" w:space="0"/>
              <w:left w:val="single" w:color="auto" w:sz="4" w:space="0"/>
              <w:bottom w:val="single" w:color="auto" w:sz="4" w:space="0"/>
              <w:right w:val="single" w:color="auto" w:sz="4" w:space="0"/>
            </w:tcBorders>
            <w:vAlign w:val="center"/>
          </w:tcPr>
          <w:p w14:paraId="16C113B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vAlign w:val="center"/>
          </w:tcPr>
          <w:p w14:paraId="794C734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67" w:type="pct"/>
            <w:tcBorders>
              <w:top w:val="single" w:color="auto" w:sz="4" w:space="0"/>
              <w:left w:val="single" w:color="auto" w:sz="4" w:space="0"/>
              <w:bottom w:val="single" w:color="auto" w:sz="4" w:space="0"/>
              <w:right w:val="single" w:color="auto" w:sz="4" w:space="0"/>
            </w:tcBorders>
            <w:vAlign w:val="center"/>
          </w:tcPr>
          <w:p w14:paraId="671C65A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tcPr>
          <w:p w14:paraId="150BEC8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53" w:type="pct"/>
            <w:tcBorders>
              <w:top w:val="single" w:color="auto" w:sz="4" w:space="0"/>
              <w:left w:val="single" w:color="auto" w:sz="4" w:space="0"/>
              <w:bottom w:val="single" w:color="auto" w:sz="4" w:space="0"/>
              <w:right w:val="single" w:color="auto" w:sz="4" w:space="0"/>
            </w:tcBorders>
            <w:vAlign w:val="center"/>
          </w:tcPr>
          <w:p w14:paraId="217236D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110AAB5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5697CBF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62A1831E">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9BF65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101D107E">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686" w:type="pct"/>
            <w:tcBorders>
              <w:top w:val="single" w:color="auto" w:sz="4" w:space="0"/>
              <w:left w:val="single" w:color="auto" w:sz="4" w:space="0"/>
              <w:bottom w:val="single" w:color="auto" w:sz="4" w:space="0"/>
              <w:right w:val="single" w:color="auto" w:sz="4" w:space="0"/>
            </w:tcBorders>
            <w:vAlign w:val="center"/>
          </w:tcPr>
          <w:p w14:paraId="0EBB588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vAlign w:val="center"/>
          </w:tcPr>
          <w:p w14:paraId="314C9C8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67" w:type="pct"/>
            <w:tcBorders>
              <w:top w:val="single" w:color="auto" w:sz="4" w:space="0"/>
              <w:left w:val="single" w:color="auto" w:sz="4" w:space="0"/>
              <w:bottom w:val="single" w:color="auto" w:sz="4" w:space="0"/>
              <w:right w:val="single" w:color="auto" w:sz="4" w:space="0"/>
            </w:tcBorders>
            <w:vAlign w:val="center"/>
          </w:tcPr>
          <w:p w14:paraId="18A3E26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tcPr>
          <w:p w14:paraId="042FE10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53" w:type="pct"/>
            <w:tcBorders>
              <w:top w:val="single" w:color="auto" w:sz="4" w:space="0"/>
              <w:left w:val="single" w:color="auto" w:sz="4" w:space="0"/>
              <w:bottom w:val="single" w:color="auto" w:sz="4" w:space="0"/>
              <w:right w:val="single" w:color="auto" w:sz="4" w:space="0"/>
            </w:tcBorders>
            <w:vAlign w:val="center"/>
          </w:tcPr>
          <w:p w14:paraId="78B23A9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6517755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587F42F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09EA6E16">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7E5D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4D65FB0E">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686" w:type="pct"/>
            <w:tcBorders>
              <w:top w:val="single" w:color="auto" w:sz="4" w:space="0"/>
              <w:left w:val="single" w:color="auto" w:sz="4" w:space="0"/>
              <w:bottom w:val="single" w:color="auto" w:sz="4" w:space="0"/>
              <w:right w:val="single" w:color="auto" w:sz="4" w:space="0"/>
            </w:tcBorders>
            <w:vAlign w:val="center"/>
          </w:tcPr>
          <w:p w14:paraId="4D0E433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vAlign w:val="center"/>
          </w:tcPr>
          <w:p w14:paraId="27EA377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67" w:type="pct"/>
            <w:tcBorders>
              <w:top w:val="single" w:color="auto" w:sz="4" w:space="0"/>
              <w:left w:val="single" w:color="auto" w:sz="4" w:space="0"/>
              <w:bottom w:val="single" w:color="auto" w:sz="4" w:space="0"/>
              <w:right w:val="single" w:color="auto" w:sz="4" w:space="0"/>
            </w:tcBorders>
            <w:vAlign w:val="center"/>
          </w:tcPr>
          <w:p w14:paraId="1AD7A81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tcPr>
          <w:p w14:paraId="7784024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53" w:type="pct"/>
            <w:tcBorders>
              <w:top w:val="single" w:color="auto" w:sz="4" w:space="0"/>
              <w:left w:val="single" w:color="auto" w:sz="4" w:space="0"/>
              <w:bottom w:val="single" w:color="auto" w:sz="4" w:space="0"/>
              <w:right w:val="single" w:color="auto" w:sz="4" w:space="0"/>
            </w:tcBorders>
            <w:vAlign w:val="center"/>
          </w:tcPr>
          <w:p w14:paraId="693D289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55B0AB2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559CCEC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53211723">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486145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18212FA1">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686" w:type="pct"/>
            <w:tcBorders>
              <w:top w:val="single" w:color="auto" w:sz="4" w:space="0"/>
              <w:left w:val="single" w:color="auto" w:sz="4" w:space="0"/>
              <w:bottom w:val="single" w:color="auto" w:sz="4" w:space="0"/>
              <w:right w:val="single" w:color="auto" w:sz="4" w:space="0"/>
            </w:tcBorders>
            <w:vAlign w:val="center"/>
          </w:tcPr>
          <w:p w14:paraId="27FFB0F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vAlign w:val="center"/>
          </w:tcPr>
          <w:p w14:paraId="7244021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67" w:type="pct"/>
            <w:tcBorders>
              <w:top w:val="single" w:color="auto" w:sz="4" w:space="0"/>
              <w:left w:val="single" w:color="auto" w:sz="4" w:space="0"/>
              <w:bottom w:val="single" w:color="auto" w:sz="4" w:space="0"/>
              <w:right w:val="single" w:color="auto" w:sz="4" w:space="0"/>
            </w:tcBorders>
            <w:vAlign w:val="center"/>
          </w:tcPr>
          <w:p w14:paraId="671CA13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tcPr>
          <w:p w14:paraId="7F987AE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53" w:type="pct"/>
            <w:tcBorders>
              <w:top w:val="single" w:color="auto" w:sz="4" w:space="0"/>
              <w:left w:val="single" w:color="auto" w:sz="4" w:space="0"/>
              <w:bottom w:val="single" w:color="auto" w:sz="4" w:space="0"/>
              <w:right w:val="single" w:color="auto" w:sz="4" w:space="0"/>
            </w:tcBorders>
            <w:vAlign w:val="center"/>
          </w:tcPr>
          <w:p w14:paraId="541E2E2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28675AF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79F5FBB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0C1C4614">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4A4B352E">
      <w:pPr>
        <w:spacing w:line="360" w:lineRule="auto"/>
        <w:rPr>
          <w:rFonts w:hAnsi="宋体"/>
          <w:color w:val="auto"/>
          <w:szCs w:val="21"/>
          <w:highlight w:val="none"/>
          <w:lang w:val="zh-CN"/>
        </w:rPr>
      </w:pPr>
    </w:p>
    <w:p w14:paraId="20C794EC">
      <w:pPr>
        <w:spacing w:line="360" w:lineRule="auto"/>
        <w:ind w:left="424" w:hanging="424" w:hangingChars="201"/>
        <w:rPr>
          <w:rFonts w:ascii="宋体" w:hAnsi="宋体" w:eastAsia="宋体" w:cs="宋体"/>
          <w:b/>
          <w:color w:val="auto"/>
          <w:szCs w:val="21"/>
          <w:highlight w:val="none"/>
          <w:lang w:val="zh-CN"/>
        </w:rPr>
      </w:pPr>
    </w:p>
    <w:p w14:paraId="7AFB99D6">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095D16A5">
      <w:pPr>
        <w:spacing w:line="360" w:lineRule="auto"/>
        <w:ind w:left="424" w:hanging="424" w:hangingChars="201"/>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（1）作为投标人资格条件证明的业绩放置在此处；</w:t>
      </w:r>
    </w:p>
    <w:p w14:paraId="358C7D83">
      <w:pPr>
        <w:spacing w:line="360" w:lineRule="auto"/>
        <w:ind w:left="422" w:hanging="424" w:hangingChars="201"/>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（2）业绩须同时提供①业绩销售合同复印件（合同卖方为投标人，需显示合同买方公章）；②已供货产品任意一张发票复印件（发票开具日期须在本项目招标公告发布之日前）；</w:t>
      </w:r>
    </w:p>
    <w:p w14:paraId="167BF0E5">
      <w:pPr>
        <w:tabs>
          <w:tab w:val="left" w:pos="567"/>
        </w:tabs>
        <w:autoSpaceDE w:val="0"/>
        <w:autoSpaceDN w:val="0"/>
        <w:adjustRightInd w:val="0"/>
        <w:spacing w:line="360" w:lineRule="auto"/>
        <w:ind w:left="422" w:leftChars="0" w:hanging="422" w:hangingChars="200"/>
        <w:jc w:val="left"/>
        <w:outlineLvl w:val="2"/>
        <w:rPr>
          <w:rFonts w:ascii="宋体" w:hAnsi="宋体" w:eastAsia="宋体" w:cs="宋体"/>
          <w:b/>
          <w:color w:val="auto"/>
          <w:szCs w:val="21"/>
          <w:highlight w:val="none"/>
          <w:lang w:val="zh-CN"/>
        </w:rPr>
      </w:pPr>
      <w:bookmarkStart w:id="535" w:name="_Toc30500"/>
      <w:bookmarkStart w:id="536" w:name="_Toc169091784"/>
      <w:bookmarkStart w:id="537" w:name="_Toc14967"/>
      <w:bookmarkStart w:id="538" w:name="_Toc6253"/>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3</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合同必须能反映资格条件</w:t>
      </w:r>
      <w:r>
        <w:rPr>
          <w:rFonts w:hint="eastAsia" w:ascii="宋体" w:hAnsi="宋体" w:eastAsia="宋体" w:cs="宋体"/>
          <w:b/>
          <w:color w:val="auto"/>
          <w:szCs w:val="21"/>
          <w:highlight w:val="none"/>
          <w:lang w:val="zh-CN"/>
        </w:rPr>
        <w:t>【合同签订日期为202</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年1月1日或以后，合同标的必须包含运维维修工器具类物资（即五金材料、维修工具及材料、巡查养护工具及材料中任意一类）】，</w:t>
      </w:r>
      <w:r>
        <w:rPr>
          <w:rFonts w:hint="eastAsia" w:ascii="宋体" w:hAnsi="宋体" w:eastAsia="宋体" w:cs="宋体"/>
          <w:b/>
          <w:color w:val="auto"/>
          <w:szCs w:val="21"/>
          <w:highlight w:val="none"/>
        </w:rPr>
        <w:t>否则，需</w:t>
      </w:r>
      <w:r>
        <w:rPr>
          <w:rFonts w:hint="eastAsia" w:ascii="宋体" w:hAnsi="宋体" w:eastAsia="宋体" w:cs="宋体"/>
          <w:b/>
          <w:bCs/>
          <w:color w:val="auto"/>
          <w:szCs w:val="21"/>
          <w:highlight w:val="none"/>
        </w:rPr>
        <w:t>同时提供合同</w:t>
      </w:r>
      <w:r>
        <w:rPr>
          <w:rFonts w:hint="eastAsia" w:ascii="宋体" w:hAnsi="宋体" w:eastAsia="宋体" w:cs="宋体"/>
          <w:b/>
          <w:bCs/>
          <w:color w:val="auto"/>
          <w:szCs w:val="21"/>
          <w:highlight w:val="none"/>
          <w:lang w:val="zh-CN"/>
        </w:rPr>
        <w:t>买方</w:t>
      </w:r>
      <w:r>
        <w:rPr>
          <w:rFonts w:hint="eastAsia" w:ascii="宋体" w:hAnsi="宋体" w:eastAsia="宋体" w:cs="宋体"/>
          <w:b/>
          <w:bCs/>
          <w:color w:val="auto"/>
          <w:szCs w:val="21"/>
          <w:highlight w:val="none"/>
        </w:rPr>
        <w:t>出具的书面补充说明文件复印件作为证明文件（书面补充说明文件复印件需能显示合同买方公章）</w:t>
      </w:r>
      <w:r>
        <w:rPr>
          <w:rFonts w:hint="eastAsia" w:ascii="宋体" w:hAnsi="宋体" w:eastAsia="宋体" w:cs="宋体"/>
          <w:b/>
          <w:color w:val="auto"/>
          <w:szCs w:val="21"/>
          <w:highlight w:val="none"/>
          <w:lang w:val="zh-CN"/>
        </w:rPr>
        <w:t>；</w:t>
      </w:r>
      <w:bookmarkEnd w:id="535"/>
      <w:bookmarkEnd w:id="536"/>
    </w:p>
    <w:p w14:paraId="770DAB04">
      <w:pPr>
        <w:tabs>
          <w:tab w:val="left" w:pos="567"/>
        </w:tabs>
        <w:autoSpaceDE w:val="0"/>
        <w:autoSpaceDN w:val="0"/>
        <w:adjustRightInd w:val="0"/>
        <w:spacing w:line="360" w:lineRule="auto"/>
        <w:ind w:left="422" w:leftChars="0" w:hanging="422" w:hangingChars="200"/>
        <w:jc w:val="left"/>
        <w:outlineLvl w:val="2"/>
        <w:rPr>
          <w:rFonts w:ascii="宋体" w:hAnsi="宋体" w:eastAsia="宋体" w:cs="宋体"/>
          <w:b/>
          <w:color w:val="auto"/>
          <w:kern w:val="0"/>
          <w:sz w:val="30"/>
          <w:szCs w:val="30"/>
          <w:highlight w:val="none"/>
        </w:rPr>
      </w:pPr>
      <w:bookmarkStart w:id="539" w:name="_Toc169091785"/>
      <w:bookmarkStart w:id="540" w:name="_Toc17677"/>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4</w:t>
      </w:r>
      <w:r>
        <w:rPr>
          <w:rFonts w:hint="eastAsia" w:ascii="宋体" w:hAnsi="宋体" w:eastAsia="宋体" w:cs="宋体"/>
          <w:b/>
          <w:color w:val="auto"/>
          <w:szCs w:val="21"/>
          <w:highlight w:val="none"/>
          <w:lang w:val="zh-CN"/>
        </w:rPr>
        <w:t>）</w:t>
      </w:r>
      <w:bookmarkEnd w:id="537"/>
      <w:bookmarkEnd w:id="538"/>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539"/>
      <w:bookmarkEnd w:id="540"/>
    </w:p>
    <w:p w14:paraId="55121120">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5C9E56E2">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41" w:name="_Toc21750"/>
      <w:bookmarkStart w:id="542" w:name="_Toc169091786"/>
      <w:bookmarkStart w:id="543" w:name="_Toc31879"/>
      <w:bookmarkStart w:id="544" w:name="_Toc8979"/>
      <w:r>
        <w:rPr>
          <w:rFonts w:hint="eastAsia" w:ascii="宋体" w:hAnsi="宋体" w:eastAsia="宋体" w:cs="宋体"/>
          <w:b/>
          <w:color w:val="auto"/>
          <w:kern w:val="0"/>
          <w:sz w:val="30"/>
          <w:szCs w:val="30"/>
          <w:highlight w:val="none"/>
        </w:rPr>
        <w:t>5.5 最近3年投标人牵涉的其他（失信和违法）处罚说明格式</w:t>
      </w:r>
      <w:bookmarkEnd w:id="530"/>
      <w:bookmarkEnd w:id="531"/>
      <w:bookmarkEnd w:id="532"/>
      <w:bookmarkEnd w:id="533"/>
      <w:bookmarkEnd w:id="534"/>
      <w:bookmarkEnd w:id="541"/>
      <w:bookmarkEnd w:id="542"/>
      <w:bookmarkEnd w:id="543"/>
      <w:bookmarkEnd w:id="544"/>
    </w:p>
    <w:p w14:paraId="3F184D2F">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E34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4DDA177D">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0F82747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00E7829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5C1D80F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4B02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1336B699">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15F1AB44">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2170D4EA">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4DE7ABD3">
            <w:pPr>
              <w:autoSpaceDE w:val="0"/>
              <w:autoSpaceDN w:val="0"/>
              <w:adjustRightInd w:val="0"/>
              <w:spacing w:line="360" w:lineRule="auto"/>
              <w:jc w:val="center"/>
              <w:rPr>
                <w:rFonts w:ascii="宋体" w:hAnsi="宋体" w:eastAsia="宋体" w:cs="宋体"/>
                <w:color w:val="auto"/>
                <w:kern w:val="0"/>
                <w:szCs w:val="21"/>
                <w:highlight w:val="none"/>
              </w:rPr>
            </w:pPr>
          </w:p>
        </w:tc>
      </w:tr>
      <w:tr w14:paraId="4BB3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0740865E">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389166C8">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76CEE184">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4B839C79">
            <w:pPr>
              <w:autoSpaceDE w:val="0"/>
              <w:autoSpaceDN w:val="0"/>
              <w:adjustRightInd w:val="0"/>
              <w:spacing w:line="360" w:lineRule="auto"/>
              <w:jc w:val="center"/>
              <w:rPr>
                <w:rFonts w:ascii="宋体" w:hAnsi="宋体" w:eastAsia="宋体" w:cs="宋体"/>
                <w:color w:val="auto"/>
                <w:kern w:val="0"/>
                <w:szCs w:val="21"/>
                <w:highlight w:val="none"/>
              </w:rPr>
            </w:pPr>
          </w:p>
        </w:tc>
      </w:tr>
      <w:tr w14:paraId="60B4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2992433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682FA3D3">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0FE22D7D">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350D3241">
            <w:pPr>
              <w:autoSpaceDE w:val="0"/>
              <w:autoSpaceDN w:val="0"/>
              <w:adjustRightInd w:val="0"/>
              <w:spacing w:line="360" w:lineRule="auto"/>
              <w:jc w:val="center"/>
              <w:rPr>
                <w:rFonts w:ascii="宋体" w:hAnsi="宋体" w:eastAsia="宋体" w:cs="宋体"/>
                <w:color w:val="auto"/>
                <w:kern w:val="0"/>
                <w:szCs w:val="21"/>
                <w:highlight w:val="none"/>
              </w:rPr>
            </w:pPr>
          </w:p>
        </w:tc>
      </w:tr>
    </w:tbl>
    <w:p w14:paraId="208C379F">
      <w:pPr>
        <w:autoSpaceDE w:val="0"/>
        <w:autoSpaceDN w:val="0"/>
        <w:adjustRightInd w:val="0"/>
        <w:spacing w:line="360" w:lineRule="auto"/>
        <w:jc w:val="left"/>
        <w:rPr>
          <w:rFonts w:ascii="宋体" w:hAnsi="宋体" w:eastAsia="宋体" w:cs="宋体"/>
          <w:color w:val="auto"/>
          <w:kern w:val="0"/>
          <w:szCs w:val="21"/>
          <w:highlight w:val="none"/>
        </w:rPr>
      </w:pPr>
    </w:p>
    <w:p w14:paraId="31F548F2">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3E8A14BF">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24B56BC1">
      <w:pPr>
        <w:autoSpaceDE w:val="0"/>
        <w:autoSpaceDN w:val="0"/>
        <w:adjustRightInd w:val="0"/>
        <w:spacing w:line="360" w:lineRule="auto"/>
        <w:jc w:val="center"/>
        <w:rPr>
          <w:rFonts w:ascii="宋体" w:hAnsi="宋体" w:eastAsia="宋体" w:cs="宋体"/>
          <w:color w:val="auto"/>
          <w:kern w:val="0"/>
          <w:sz w:val="24"/>
          <w:szCs w:val="24"/>
          <w:highlight w:val="none"/>
        </w:rPr>
      </w:pPr>
    </w:p>
    <w:p w14:paraId="74401379">
      <w:pPr>
        <w:spacing w:line="360" w:lineRule="auto"/>
        <w:ind w:firstLine="494" w:firstLineChars="206"/>
        <w:rPr>
          <w:rFonts w:ascii="宋体" w:hAnsi="宋体" w:eastAsia="宋体" w:cs="宋体"/>
          <w:color w:val="auto"/>
          <w:kern w:val="0"/>
          <w:sz w:val="24"/>
          <w:szCs w:val="24"/>
          <w:highlight w:val="none"/>
        </w:rPr>
      </w:pPr>
    </w:p>
    <w:p w14:paraId="3BE93093">
      <w:pPr>
        <w:spacing w:line="360" w:lineRule="auto"/>
        <w:ind w:firstLine="494" w:firstLineChars="206"/>
        <w:rPr>
          <w:rFonts w:ascii="宋体" w:hAnsi="宋体" w:eastAsia="宋体" w:cs="宋体"/>
          <w:color w:val="auto"/>
          <w:kern w:val="0"/>
          <w:sz w:val="24"/>
          <w:szCs w:val="24"/>
          <w:highlight w:val="none"/>
        </w:rPr>
      </w:pPr>
    </w:p>
    <w:p w14:paraId="7A4B74AF">
      <w:pPr>
        <w:spacing w:line="360" w:lineRule="auto"/>
        <w:ind w:firstLine="494" w:firstLineChars="206"/>
        <w:rPr>
          <w:rFonts w:ascii="宋体" w:hAnsi="宋体" w:eastAsia="宋体" w:cs="宋体"/>
          <w:color w:val="auto"/>
          <w:kern w:val="0"/>
          <w:sz w:val="24"/>
          <w:szCs w:val="24"/>
          <w:highlight w:val="none"/>
        </w:rPr>
      </w:pPr>
    </w:p>
    <w:p w14:paraId="6AE0B69E">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F835716">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614B4B25">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45" w:name="_Toc94107215"/>
      <w:bookmarkStart w:id="546" w:name="_Toc13237"/>
      <w:bookmarkStart w:id="547" w:name="_Toc2031_WPSOffice_Level2"/>
      <w:bookmarkStart w:id="548" w:name="_Toc140596934"/>
      <w:bookmarkStart w:id="549" w:name="_Toc142508374"/>
      <w:bookmarkStart w:id="550" w:name="_Toc102860423"/>
      <w:bookmarkStart w:id="551" w:name="_Toc104991881"/>
      <w:bookmarkStart w:id="552" w:name="_Toc486167714"/>
      <w:bookmarkStart w:id="553" w:name="_Toc102860079"/>
      <w:bookmarkStart w:id="554" w:name="_Toc1977731"/>
      <w:bookmarkStart w:id="555" w:name="_Toc533708126"/>
    </w:p>
    <w:p w14:paraId="203298C0">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56" w:name="_Toc11148"/>
      <w:bookmarkStart w:id="557" w:name="_Toc14536"/>
      <w:bookmarkStart w:id="558" w:name="_Toc169091787"/>
      <w:r>
        <w:rPr>
          <w:rFonts w:hint="eastAsia" w:ascii="宋体" w:hAnsi="宋体" w:eastAsia="宋体" w:cs="宋体"/>
          <w:b/>
          <w:color w:val="auto"/>
          <w:sz w:val="32"/>
          <w:szCs w:val="32"/>
          <w:highlight w:val="none"/>
        </w:rPr>
        <w:t>六</w:t>
      </w:r>
      <w:r>
        <w:rPr>
          <w:rFonts w:hint="eastAsia" w:ascii="宋体" w:hAnsi="宋体" w:eastAsia="宋体" w:cs="宋体"/>
          <w:b/>
          <w:color w:val="auto"/>
          <w:kern w:val="0"/>
          <w:sz w:val="32"/>
          <w:szCs w:val="32"/>
          <w:highlight w:val="none"/>
        </w:rPr>
        <w:t>、投标人基本情况一览表</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0D5E55E8">
      <w:pPr>
        <w:autoSpaceDE w:val="0"/>
        <w:autoSpaceDN w:val="0"/>
        <w:adjustRightInd w:val="0"/>
        <w:spacing w:line="360" w:lineRule="auto"/>
        <w:jc w:val="center"/>
        <w:rPr>
          <w:rFonts w:ascii="宋体" w:hAnsi="宋体" w:eastAsia="宋体" w:cs="宋体"/>
          <w:b/>
          <w:bCs/>
          <w:color w:val="auto"/>
          <w:sz w:val="30"/>
          <w:szCs w:val="30"/>
          <w:highlight w:val="none"/>
        </w:rPr>
      </w:pPr>
      <w:bookmarkStart w:id="559" w:name="_Toc2773_WPSOffice_Level3"/>
      <w:r>
        <w:rPr>
          <w:rFonts w:hint="eastAsia" w:ascii="宋体" w:hAnsi="宋体" w:eastAsia="宋体" w:cs="宋体"/>
          <w:b/>
          <w:bCs/>
          <w:color w:val="auto"/>
          <w:sz w:val="30"/>
          <w:szCs w:val="30"/>
          <w:highlight w:val="none"/>
          <w:lang w:val="zh-CN"/>
        </w:rPr>
        <w:t>投标人基本情况一览表</w:t>
      </w:r>
      <w:bookmarkEnd w:id="559"/>
    </w:p>
    <w:p w14:paraId="3A3629F3">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41B7801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w:t>
      </w:r>
      <w:r>
        <w:rPr>
          <w:rFonts w:hint="eastAsia" w:ascii="宋体" w:hAnsi="宋体" w:eastAsia="宋体" w:cs="宋体"/>
          <w:color w:val="auto"/>
          <w:szCs w:val="24"/>
          <w:highlight w:val="none"/>
          <w:u w:val="single"/>
        </w:rPr>
        <w:t xml:space="preserve">                                        </w:t>
      </w:r>
    </w:p>
    <w:p w14:paraId="5873AA8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w:t>
      </w:r>
      <w:r>
        <w:rPr>
          <w:rFonts w:hint="eastAsia" w:ascii="宋体" w:hAnsi="宋体" w:eastAsia="宋体" w:cs="宋体"/>
          <w:color w:val="auto"/>
          <w:szCs w:val="24"/>
          <w:highlight w:val="none"/>
          <w:u w:val="single"/>
        </w:rPr>
        <w:t xml:space="preserve">                                          </w:t>
      </w:r>
    </w:p>
    <w:p w14:paraId="625577EF">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w:t>
      </w:r>
      <w:r>
        <w:rPr>
          <w:rFonts w:hint="eastAsia" w:ascii="宋体" w:hAnsi="宋体" w:eastAsia="宋体" w:cs="宋体"/>
          <w:color w:val="auto"/>
          <w:szCs w:val="24"/>
          <w:highlight w:val="none"/>
          <w:u w:val="single"/>
        </w:rPr>
        <w:t xml:space="preserve">                                          </w:t>
      </w:r>
    </w:p>
    <w:p w14:paraId="008BFD3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 xml:space="preserve"> </w:t>
      </w:r>
    </w:p>
    <w:p w14:paraId="0BE8716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 xml:space="preserve"> </w:t>
      </w:r>
    </w:p>
    <w:p w14:paraId="599361C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w:t>
      </w:r>
      <w:r>
        <w:rPr>
          <w:rFonts w:hint="eastAsia" w:ascii="宋体" w:hAnsi="宋体" w:eastAsia="宋体" w:cs="宋体"/>
          <w:color w:val="auto"/>
          <w:szCs w:val="24"/>
          <w:highlight w:val="none"/>
          <w:u w:val="single"/>
        </w:rPr>
        <w:t xml:space="preserve">                                </w:t>
      </w:r>
    </w:p>
    <w:p w14:paraId="05C9595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w:t>
      </w:r>
      <w:r>
        <w:rPr>
          <w:rFonts w:hint="eastAsia" w:ascii="宋体" w:hAnsi="宋体" w:eastAsia="宋体" w:cs="宋体"/>
          <w:color w:val="auto"/>
          <w:szCs w:val="24"/>
          <w:highlight w:val="none"/>
          <w:u w:val="single"/>
        </w:rPr>
        <w:t xml:space="preserve">                                          </w:t>
      </w:r>
    </w:p>
    <w:p w14:paraId="525D4D1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w:t>
      </w:r>
      <w:r>
        <w:rPr>
          <w:rFonts w:hint="eastAsia" w:ascii="宋体" w:hAnsi="宋体" w:eastAsia="宋体" w:cs="宋体"/>
          <w:color w:val="auto"/>
          <w:szCs w:val="24"/>
          <w:highlight w:val="none"/>
          <w:u w:val="single"/>
        </w:rPr>
        <w:t xml:space="preserve">                                          </w:t>
      </w:r>
    </w:p>
    <w:p w14:paraId="6B12BA6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w:t>
      </w:r>
      <w:r>
        <w:rPr>
          <w:rFonts w:hint="eastAsia" w:ascii="宋体" w:hAnsi="宋体" w:eastAsia="宋体" w:cs="宋体"/>
          <w:color w:val="auto"/>
          <w:szCs w:val="24"/>
          <w:highlight w:val="none"/>
          <w:u w:val="single"/>
        </w:rPr>
        <w:t xml:space="preserve">                                          </w:t>
      </w:r>
    </w:p>
    <w:p w14:paraId="4975CC9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w:t>
      </w:r>
      <w:r>
        <w:rPr>
          <w:rFonts w:hint="eastAsia" w:ascii="宋体" w:hAnsi="宋体" w:eastAsia="宋体" w:cs="宋体"/>
          <w:color w:val="auto"/>
          <w:szCs w:val="24"/>
          <w:highlight w:val="none"/>
          <w:u w:val="single"/>
        </w:rPr>
        <w:t xml:space="preserve">                                          </w:t>
      </w:r>
    </w:p>
    <w:p w14:paraId="49E4D493">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w:t>
      </w:r>
      <w:r>
        <w:rPr>
          <w:rFonts w:hint="eastAsia" w:ascii="宋体" w:hAnsi="宋体" w:eastAsia="宋体" w:cs="宋体"/>
          <w:color w:val="auto"/>
          <w:szCs w:val="24"/>
          <w:highlight w:val="none"/>
          <w:u w:val="single"/>
        </w:rPr>
        <w:t xml:space="preserve">                                    </w:t>
      </w:r>
    </w:p>
    <w:p w14:paraId="36DF0988">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（9）项目主要联系人（姓名、职务、通讯）：</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 xml:space="preserve">   </w:t>
      </w:r>
    </w:p>
    <w:p w14:paraId="3FC4EF51">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w:t>
      </w:r>
      <w:r>
        <w:rPr>
          <w:rFonts w:hint="eastAsia" w:ascii="宋体" w:hAnsi="宋体" w:eastAsia="宋体" w:cs="宋体"/>
          <w:color w:val="auto"/>
          <w:szCs w:val="24"/>
          <w:highlight w:val="none"/>
          <w:u w:val="single"/>
        </w:rPr>
        <w:t xml:space="preserve">                 </w:t>
      </w:r>
    </w:p>
    <w:p w14:paraId="4C6A9393">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w:t>
      </w:r>
      <w:r>
        <w:rPr>
          <w:rFonts w:hint="eastAsia" w:ascii="宋体" w:hAnsi="宋体" w:eastAsia="宋体" w:cs="宋体"/>
          <w:color w:val="auto"/>
          <w:szCs w:val="24"/>
          <w:highlight w:val="none"/>
          <w:u w:val="single"/>
        </w:rPr>
        <w:t xml:space="preserve">                            </w:t>
      </w:r>
    </w:p>
    <w:p w14:paraId="3C2D9FC2">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w:t>
      </w:r>
      <w:r>
        <w:rPr>
          <w:rFonts w:hint="eastAsia" w:ascii="宋体" w:hAnsi="宋体" w:eastAsia="宋体" w:cs="宋体"/>
          <w:color w:val="auto"/>
          <w:szCs w:val="24"/>
          <w:highlight w:val="none"/>
          <w:u w:val="single"/>
        </w:rPr>
        <w:t xml:space="preserve">                    </w:t>
      </w:r>
    </w:p>
    <w:p w14:paraId="69E66397">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22206332">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25F5B8B8">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u w:val="single"/>
        </w:rPr>
        <w:t xml:space="preserve">                                                  </w:t>
      </w:r>
    </w:p>
    <w:p w14:paraId="2EB1867C">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4F1D9B92">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u w:val="single"/>
        </w:rPr>
        <w:t xml:space="preserve">                                                  </w:t>
      </w:r>
    </w:p>
    <w:p w14:paraId="3DB250EA">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17B1C68C">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3537213C">
      <w:pPr>
        <w:autoSpaceDE w:val="0"/>
        <w:autoSpaceDN w:val="0"/>
        <w:adjustRightInd w:val="0"/>
        <w:spacing w:line="360" w:lineRule="auto"/>
        <w:ind w:firstLine="420" w:firstLineChars="200"/>
        <w:rPr>
          <w:rFonts w:ascii="宋体" w:hAnsi="宋体" w:eastAsia="宋体" w:cs="宋体"/>
          <w:color w:val="auto"/>
          <w:szCs w:val="24"/>
          <w:highlight w:val="none"/>
        </w:rPr>
      </w:pPr>
    </w:p>
    <w:p w14:paraId="200C312C">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6E4E7CD5">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1D9B9FCB">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60" w:name="_Toc3711"/>
      <w:bookmarkStart w:id="561" w:name="_Toc140596935"/>
      <w:bookmarkStart w:id="562" w:name="_Toc169091788"/>
      <w:bookmarkStart w:id="563" w:name="_Toc102860080"/>
      <w:bookmarkStart w:id="564" w:name="_Toc102860424"/>
      <w:bookmarkStart w:id="565" w:name="_Toc142508375"/>
      <w:bookmarkStart w:id="566" w:name="_Toc18646"/>
      <w:bookmarkStart w:id="567" w:name="_Toc94107216"/>
      <w:bookmarkStart w:id="568" w:name="_Toc4495"/>
      <w:bookmarkStart w:id="569" w:name="_Toc104991882"/>
      <w:bookmarkStart w:id="570" w:name="_Toc533708128"/>
      <w:bookmarkStart w:id="571" w:name="_Toc486167715"/>
      <w:bookmarkStart w:id="572" w:name="_Toc9051_WPSOffice_Level2"/>
      <w:bookmarkStart w:id="573" w:name="_Toc1977733"/>
      <w:r>
        <w:rPr>
          <w:rFonts w:hint="eastAsia" w:ascii="宋体" w:hAnsi="宋体" w:eastAsia="宋体" w:cs="宋体"/>
          <w:b/>
          <w:color w:val="auto"/>
          <w:sz w:val="32"/>
          <w:szCs w:val="32"/>
          <w:highlight w:val="none"/>
        </w:rPr>
        <w:t>七</w:t>
      </w:r>
      <w:r>
        <w:rPr>
          <w:rFonts w:hint="eastAsia" w:ascii="宋体" w:hAnsi="宋体" w:eastAsia="宋体" w:cs="宋体"/>
          <w:b/>
          <w:color w:val="auto"/>
          <w:sz w:val="32"/>
          <w:szCs w:val="32"/>
          <w:highlight w:val="none"/>
          <w:lang w:val="zh-CN"/>
        </w:rPr>
        <w:t>、投标人财务状况表格式</w:t>
      </w:r>
      <w:bookmarkEnd w:id="560"/>
      <w:bookmarkEnd w:id="561"/>
      <w:bookmarkEnd w:id="562"/>
      <w:bookmarkEnd w:id="563"/>
      <w:bookmarkEnd w:id="564"/>
      <w:bookmarkEnd w:id="565"/>
      <w:bookmarkEnd w:id="566"/>
      <w:bookmarkEnd w:id="567"/>
      <w:bookmarkEnd w:id="568"/>
      <w:bookmarkEnd w:id="569"/>
    </w:p>
    <w:p w14:paraId="388DD3A9">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334DB113">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31845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51BA35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58B5ADB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5AF6E08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11143C0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7773312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5BE9A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DBEB279">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2</w:t>
            </w:r>
          </w:p>
        </w:tc>
        <w:tc>
          <w:tcPr>
            <w:tcW w:w="1944" w:type="dxa"/>
            <w:vAlign w:val="center"/>
          </w:tcPr>
          <w:p w14:paraId="4810345E">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133FE1B3">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49CF7ABC">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F9F0C38">
            <w:pPr>
              <w:autoSpaceDE w:val="0"/>
              <w:autoSpaceDN w:val="0"/>
              <w:adjustRightInd w:val="0"/>
              <w:spacing w:line="360" w:lineRule="auto"/>
              <w:jc w:val="center"/>
              <w:rPr>
                <w:rFonts w:ascii="宋体" w:hAnsi="宋体" w:eastAsia="宋体" w:cs="宋体"/>
                <w:color w:val="auto"/>
                <w:kern w:val="0"/>
                <w:szCs w:val="21"/>
                <w:highlight w:val="none"/>
              </w:rPr>
            </w:pPr>
          </w:p>
        </w:tc>
      </w:tr>
      <w:tr w14:paraId="6936CA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66326D9">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3</w:t>
            </w:r>
          </w:p>
        </w:tc>
        <w:tc>
          <w:tcPr>
            <w:tcW w:w="1944" w:type="dxa"/>
            <w:vAlign w:val="center"/>
          </w:tcPr>
          <w:p w14:paraId="1E5F927C">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1E4A4AA2">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4F193F0F">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09147263">
            <w:pPr>
              <w:autoSpaceDE w:val="0"/>
              <w:autoSpaceDN w:val="0"/>
              <w:adjustRightInd w:val="0"/>
              <w:spacing w:line="360" w:lineRule="auto"/>
              <w:jc w:val="center"/>
              <w:rPr>
                <w:rFonts w:ascii="宋体" w:hAnsi="宋体" w:eastAsia="宋体" w:cs="宋体"/>
                <w:color w:val="auto"/>
                <w:kern w:val="0"/>
                <w:szCs w:val="21"/>
                <w:highlight w:val="none"/>
              </w:rPr>
            </w:pPr>
          </w:p>
        </w:tc>
      </w:tr>
      <w:tr w14:paraId="5507B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3E654E7">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4</w:t>
            </w:r>
          </w:p>
        </w:tc>
        <w:tc>
          <w:tcPr>
            <w:tcW w:w="1944" w:type="dxa"/>
            <w:vAlign w:val="center"/>
          </w:tcPr>
          <w:p w14:paraId="640F5120">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56AC9AE5">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6D4D9572">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52A29A9">
            <w:pPr>
              <w:autoSpaceDE w:val="0"/>
              <w:autoSpaceDN w:val="0"/>
              <w:adjustRightInd w:val="0"/>
              <w:spacing w:line="360" w:lineRule="auto"/>
              <w:jc w:val="center"/>
              <w:rPr>
                <w:rFonts w:ascii="宋体" w:hAnsi="宋体" w:eastAsia="宋体" w:cs="宋体"/>
                <w:color w:val="auto"/>
                <w:kern w:val="0"/>
                <w:szCs w:val="21"/>
                <w:highlight w:val="none"/>
              </w:rPr>
            </w:pPr>
          </w:p>
        </w:tc>
      </w:tr>
      <w:tr w14:paraId="7858C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2617C17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7D00A678">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4140EA5E">
            <w:pPr>
              <w:autoSpaceDE w:val="0"/>
              <w:autoSpaceDN w:val="0"/>
              <w:adjustRightInd w:val="0"/>
              <w:spacing w:line="360" w:lineRule="auto"/>
              <w:jc w:val="center"/>
              <w:rPr>
                <w:rFonts w:ascii="宋体" w:hAnsi="宋体" w:eastAsia="宋体" w:cs="宋体"/>
                <w:color w:val="auto"/>
                <w:kern w:val="0"/>
                <w:szCs w:val="21"/>
                <w:highlight w:val="none"/>
              </w:rPr>
            </w:pPr>
          </w:p>
        </w:tc>
      </w:tr>
    </w:tbl>
    <w:p w14:paraId="76E8D469">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675E948C">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5938DA0F">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1DD52A65">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10AA8F31">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70"/>
    <w:bookmarkEnd w:id="571"/>
    <w:bookmarkEnd w:id="572"/>
    <w:bookmarkEnd w:id="573"/>
    <w:p w14:paraId="5D3F1C49">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574" w:name="_Toc25552"/>
      <w:bookmarkStart w:id="575" w:name="_Toc15551"/>
      <w:bookmarkStart w:id="576" w:name="_Toc739_WPSOffice_Level2"/>
      <w:bookmarkStart w:id="577" w:name="_Toc102860425"/>
      <w:bookmarkStart w:id="578" w:name="_Toc1977736"/>
      <w:bookmarkStart w:id="579" w:name="_Toc140596936"/>
      <w:bookmarkStart w:id="580" w:name="_Toc486167716"/>
      <w:bookmarkStart w:id="581" w:name="_Toc533708130"/>
      <w:bookmarkStart w:id="582" w:name="_Toc20034"/>
      <w:bookmarkStart w:id="583" w:name="_Toc142508376"/>
      <w:bookmarkStart w:id="584" w:name="_Toc102860081"/>
      <w:bookmarkStart w:id="585" w:name="_Toc104991883"/>
      <w:bookmarkStart w:id="586" w:name="_Toc169091789"/>
      <w:bookmarkStart w:id="587" w:name="_Toc94107217"/>
      <w:r>
        <w:rPr>
          <w:rFonts w:hint="eastAsia" w:ascii="宋体" w:hAnsi="宋体" w:eastAsia="宋体" w:cs="宋体"/>
          <w:b/>
          <w:color w:val="auto"/>
          <w:kern w:val="0"/>
          <w:sz w:val="32"/>
          <w:szCs w:val="32"/>
          <w:highlight w:val="none"/>
        </w:rPr>
        <w:t>八</w:t>
      </w:r>
      <w:r>
        <w:rPr>
          <w:rFonts w:hint="eastAsia" w:ascii="宋体" w:hAnsi="宋体" w:eastAsia="宋体" w:cs="宋体"/>
          <w:b/>
          <w:color w:val="auto"/>
          <w:kern w:val="0"/>
          <w:sz w:val="32"/>
          <w:szCs w:val="32"/>
          <w:highlight w:val="none"/>
          <w:lang w:val="zh-CN"/>
        </w:rPr>
        <w:t>、标准化体系认证</w:t>
      </w:r>
      <w:bookmarkEnd w:id="574"/>
    </w:p>
    <w:p w14:paraId="2C8690BF">
      <w:pPr>
        <w:tabs>
          <w:tab w:val="left" w:pos="567"/>
        </w:tabs>
        <w:wordWrap w:val="0"/>
        <w:adjustRightInd w:val="0"/>
        <w:spacing w:line="360" w:lineRule="auto"/>
        <w:ind w:firstLine="420" w:firstLineChars="200"/>
        <w:jc w:val="left"/>
        <w:outlineLvl w:val="2"/>
        <w:rPr>
          <w:rFonts w:ascii="宋体" w:hAnsi="宋体" w:eastAsia="宋体" w:cs="宋体"/>
          <w:bCs/>
          <w:color w:val="auto"/>
          <w:kern w:val="0"/>
          <w:szCs w:val="21"/>
          <w:highlight w:val="none"/>
          <w:lang w:val="zh-CN"/>
        </w:rPr>
      </w:pPr>
      <w:bookmarkStart w:id="588" w:name="_Toc30818"/>
      <w:r>
        <w:rPr>
          <w:rFonts w:hint="eastAsia" w:ascii="宋体" w:hAnsi="宋体" w:eastAsia="宋体" w:cs="宋体"/>
          <w:bCs/>
          <w:color w:val="auto"/>
          <w:kern w:val="0"/>
          <w:szCs w:val="21"/>
          <w:highlight w:val="none"/>
          <w:lang w:val="zh-CN"/>
        </w:rPr>
        <w:t>备注：投标人应提供上述证书复印件及能显示证书有效状态的全国认证认可信息公共服务平台（http://cx.cnca.cn/)查询结果凭证{凭证界面需显示有“全国认证认可信息公共服务平台”或“认证证书（需显示网址cx.cnca.cn）”}。</w:t>
      </w:r>
      <w:bookmarkEnd w:id="588"/>
    </w:p>
    <w:p w14:paraId="71DB9A3E">
      <w:pPr>
        <w:pageBreakBefore/>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589" w:name="_Toc30042"/>
      <w:r>
        <w:rPr>
          <w:rFonts w:hint="eastAsia" w:ascii="宋体" w:hAnsi="宋体" w:eastAsia="宋体" w:cs="宋体"/>
          <w:b/>
          <w:color w:val="auto"/>
          <w:kern w:val="0"/>
          <w:sz w:val="32"/>
          <w:szCs w:val="32"/>
          <w:highlight w:val="none"/>
        </w:rPr>
        <w:t>九、</w:t>
      </w:r>
      <w:r>
        <w:rPr>
          <w:rFonts w:hint="eastAsia" w:ascii="宋体" w:hAnsi="宋体" w:eastAsia="宋体" w:cs="宋体"/>
          <w:b/>
          <w:color w:val="auto"/>
          <w:kern w:val="0"/>
          <w:sz w:val="32"/>
          <w:szCs w:val="32"/>
          <w:highlight w:val="none"/>
          <w:lang w:val="zh-CN"/>
        </w:rPr>
        <w:t>合同条款偏离表格式</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9"/>
    </w:p>
    <w:p w14:paraId="68E5CBFB">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590" w:name="_Toc26412_WPSOffice_Level3"/>
      <w:r>
        <w:rPr>
          <w:rFonts w:hint="eastAsia" w:ascii="宋体" w:hAnsi="宋体" w:eastAsia="宋体" w:cs="宋体"/>
          <w:b/>
          <w:bCs/>
          <w:color w:val="auto"/>
          <w:kern w:val="0"/>
          <w:sz w:val="28"/>
          <w:szCs w:val="30"/>
          <w:highlight w:val="none"/>
          <w:lang w:val="zh-CN"/>
        </w:rPr>
        <w:t>东莞市水务环境投资控股集团管网有限公司2026年运维维修工器具类物资采购项目合同条款偏离表</w:t>
      </w:r>
      <w:bookmarkEnd w:id="590"/>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14BB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2575B03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35B8F90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7140A6A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7C0D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6131317B">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4B8D085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1E1260B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502A3ED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646E024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6332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A78DB2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13EC9D39">
            <w:pPr>
              <w:autoSpaceDE w:val="0"/>
              <w:autoSpaceDN w:val="0"/>
              <w:adjustRightInd w:val="0"/>
              <w:spacing w:line="400" w:lineRule="exact"/>
              <w:jc w:val="center"/>
              <w:rPr>
                <w:rFonts w:ascii="宋体" w:hAnsi="宋体" w:eastAsia="宋体" w:cs="宋体"/>
                <w:bCs/>
                <w:color w:val="auto"/>
                <w:kern w:val="0"/>
                <w:szCs w:val="21"/>
                <w:highlight w:val="none"/>
              </w:rPr>
            </w:pPr>
            <w:r>
              <w:rPr>
                <w:rFonts w:ascii="宋体" w:hAnsi="宋体" w:eastAsia="宋体" w:cs="宋体"/>
                <w:bCs/>
                <w:color w:val="auto"/>
                <w:szCs w:val="21"/>
                <w:highlight w:val="none"/>
              </w:rPr>
              <w:t>第一条</w:t>
            </w:r>
          </w:p>
        </w:tc>
        <w:tc>
          <w:tcPr>
            <w:tcW w:w="3055" w:type="dxa"/>
            <w:vAlign w:val="center"/>
          </w:tcPr>
          <w:p w14:paraId="7A4D3ECB">
            <w:pPr>
              <w:autoSpaceDE w:val="0"/>
              <w:autoSpaceDN w:val="0"/>
              <w:adjustRightInd w:val="0"/>
              <w:spacing w:line="400" w:lineRule="exact"/>
              <w:jc w:val="center"/>
              <w:rPr>
                <w:rFonts w:ascii="宋体" w:hAnsi="宋体" w:eastAsia="宋体" w:cs="Times New Roman"/>
                <w:bCs/>
                <w:color w:val="auto"/>
                <w:kern w:val="0"/>
                <w:szCs w:val="21"/>
                <w:highlight w:val="none"/>
              </w:rPr>
            </w:pPr>
            <w:r>
              <w:rPr>
                <w:rFonts w:hint="eastAsia" w:ascii="宋体" w:hAnsi="宋体" w:eastAsia="宋体" w:cs="宋体"/>
                <w:bCs/>
                <w:color w:val="auto"/>
                <w:szCs w:val="21"/>
                <w:highlight w:val="none"/>
              </w:rPr>
              <w:t>供货资格及范围</w:t>
            </w:r>
          </w:p>
        </w:tc>
        <w:tc>
          <w:tcPr>
            <w:tcW w:w="1346" w:type="dxa"/>
            <w:vAlign w:val="center"/>
          </w:tcPr>
          <w:p w14:paraId="60A4803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C7BEFD5">
            <w:pPr>
              <w:autoSpaceDE w:val="0"/>
              <w:autoSpaceDN w:val="0"/>
              <w:adjustRightInd w:val="0"/>
              <w:spacing w:line="400" w:lineRule="exact"/>
              <w:jc w:val="center"/>
              <w:rPr>
                <w:rFonts w:ascii="宋体" w:hAnsi="宋体" w:eastAsia="宋体" w:cs="宋体"/>
                <w:color w:val="auto"/>
                <w:kern w:val="0"/>
                <w:szCs w:val="21"/>
                <w:highlight w:val="none"/>
              </w:rPr>
            </w:pPr>
          </w:p>
        </w:tc>
      </w:tr>
      <w:tr w14:paraId="6CFC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15DAED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302485A9">
            <w:pPr>
              <w:autoSpaceDE w:val="0"/>
              <w:autoSpaceDN w:val="0"/>
              <w:adjustRightInd w:val="0"/>
              <w:spacing w:line="400" w:lineRule="exact"/>
              <w:jc w:val="center"/>
              <w:rPr>
                <w:rFonts w:ascii="宋体" w:hAnsi="宋体" w:eastAsia="宋体" w:cs="宋体"/>
                <w:bCs/>
                <w:color w:val="auto"/>
                <w:kern w:val="0"/>
                <w:szCs w:val="21"/>
                <w:highlight w:val="none"/>
              </w:rPr>
            </w:pPr>
            <w:r>
              <w:rPr>
                <w:rFonts w:ascii="宋体" w:hAnsi="宋体" w:eastAsia="宋体" w:cs="宋体"/>
                <w:bCs/>
                <w:color w:val="auto"/>
                <w:szCs w:val="21"/>
                <w:highlight w:val="none"/>
              </w:rPr>
              <w:t>第二条</w:t>
            </w:r>
          </w:p>
        </w:tc>
        <w:tc>
          <w:tcPr>
            <w:tcW w:w="3055" w:type="dxa"/>
            <w:vAlign w:val="center"/>
          </w:tcPr>
          <w:p w14:paraId="71052EE0">
            <w:pPr>
              <w:autoSpaceDE w:val="0"/>
              <w:autoSpaceDN w:val="0"/>
              <w:adjustRightInd w:val="0"/>
              <w:spacing w:line="400" w:lineRule="exact"/>
              <w:jc w:val="center"/>
              <w:rPr>
                <w:rFonts w:ascii="宋体" w:hAnsi="宋体" w:eastAsia="宋体" w:cs="Times New Roman"/>
                <w:bCs/>
                <w:color w:val="auto"/>
                <w:kern w:val="0"/>
                <w:szCs w:val="21"/>
                <w:highlight w:val="none"/>
              </w:rPr>
            </w:pPr>
            <w:r>
              <w:rPr>
                <w:rFonts w:hint="eastAsia" w:ascii="宋体" w:hAnsi="宋体" w:eastAsia="宋体" w:cs="宋体"/>
                <w:bCs/>
                <w:color w:val="auto"/>
                <w:szCs w:val="21"/>
                <w:highlight w:val="none"/>
              </w:rPr>
              <w:t>合同供货期</w:t>
            </w:r>
          </w:p>
        </w:tc>
        <w:tc>
          <w:tcPr>
            <w:tcW w:w="1346" w:type="dxa"/>
            <w:vAlign w:val="center"/>
          </w:tcPr>
          <w:p w14:paraId="683009A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6CE4C1A">
            <w:pPr>
              <w:autoSpaceDE w:val="0"/>
              <w:autoSpaceDN w:val="0"/>
              <w:adjustRightInd w:val="0"/>
              <w:spacing w:line="400" w:lineRule="exact"/>
              <w:jc w:val="center"/>
              <w:rPr>
                <w:rFonts w:ascii="宋体" w:hAnsi="宋体" w:eastAsia="宋体" w:cs="宋体"/>
                <w:color w:val="auto"/>
                <w:kern w:val="0"/>
                <w:szCs w:val="21"/>
                <w:highlight w:val="none"/>
              </w:rPr>
            </w:pPr>
          </w:p>
        </w:tc>
      </w:tr>
      <w:tr w14:paraId="6E20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F76F21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690BAC8C">
            <w:pPr>
              <w:autoSpaceDE w:val="0"/>
              <w:autoSpaceDN w:val="0"/>
              <w:adjustRightInd w:val="0"/>
              <w:spacing w:line="400" w:lineRule="exact"/>
              <w:jc w:val="center"/>
              <w:rPr>
                <w:rFonts w:ascii="宋体" w:hAnsi="宋体" w:eastAsia="宋体" w:cs="宋体"/>
                <w:bCs/>
                <w:color w:val="auto"/>
                <w:kern w:val="0"/>
                <w:szCs w:val="21"/>
                <w:highlight w:val="none"/>
              </w:rPr>
            </w:pPr>
            <w:r>
              <w:rPr>
                <w:rFonts w:ascii="宋体" w:hAnsi="宋体" w:eastAsia="宋体" w:cs="宋体"/>
                <w:bCs/>
                <w:color w:val="auto"/>
                <w:szCs w:val="21"/>
                <w:highlight w:val="none"/>
              </w:rPr>
              <w:t>第三条</w:t>
            </w:r>
          </w:p>
        </w:tc>
        <w:tc>
          <w:tcPr>
            <w:tcW w:w="3055" w:type="dxa"/>
            <w:vAlign w:val="center"/>
          </w:tcPr>
          <w:p w14:paraId="702EEE25">
            <w:pPr>
              <w:autoSpaceDE w:val="0"/>
              <w:autoSpaceDN w:val="0"/>
              <w:adjustRightInd w:val="0"/>
              <w:spacing w:line="400" w:lineRule="exact"/>
              <w:jc w:val="center"/>
              <w:rPr>
                <w:rFonts w:ascii="宋体" w:hAnsi="宋体" w:eastAsia="宋体" w:cs="Times New Roman"/>
                <w:bCs/>
                <w:color w:val="auto"/>
                <w:kern w:val="0"/>
                <w:szCs w:val="21"/>
                <w:highlight w:val="none"/>
              </w:rPr>
            </w:pPr>
            <w:r>
              <w:rPr>
                <w:rFonts w:hint="eastAsia" w:ascii="宋体" w:hAnsi="宋体" w:eastAsia="宋体" w:cs="宋体"/>
                <w:bCs/>
                <w:color w:val="auto"/>
                <w:szCs w:val="21"/>
                <w:highlight w:val="none"/>
              </w:rPr>
              <w:t>货物质量要求</w:t>
            </w:r>
          </w:p>
        </w:tc>
        <w:tc>
          <w:tcPr>
            <w:tcW w:w="1346" w:type="dxa"/>
            <w:vAlign w:val="center"/>
          </w:tcPr>
          <w:p w14:paraId="673A6C8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D24B08B">
            <w:pPr>
              <w:autoSpaceDE w:val="0"/>
              <w:autoSpaceDN w:val="0"/>
              <w:adjustRightInd w:val="0"/>
              <w:spacing w:line="400" w:lineRule="exact"/>
              <w:jc w:val="center"/>
              <w:rPr>
                <w:rFonts w:ascii="宋体" w:hAnsi="宋体" w:eastAsia="宋体" w:cs="宋体"/>
                <w:color w:val="auto"/>
                <w:kern w:val="0"/>
                <w:szCs w:val="21"/>
                <w:highlight w:val="none"/>
              </w:rPr>
            </w:pPr>
          </w:p>
        </w:tc>
      </w:tr>
      <w:tr w14:paraId="1931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858EFC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591258BA">
            <w:pPr>
              <w:autoSpaceDE w:val="0"/>
              <w:autoSpaceDN w:val="0"/>
              <w:adjustRightInd w:val="0"/>
              <w:spacing w:line="400" w:lineRule="exact"/>
              <w:jc w:val="center"/>
              <w:rPr>
                <w:rFonts w:ascii="宋体" w:hAnsi="宋体" w:eastAsia="宋体" w:cs="宋体"/>
                <w:bCs/>
                <w:color w:val="auto"/>
                <w:kern w:val="0"/>
                <w:szCs w:val="21"/>
                <w:highlight w:val="none"/>
              </w:rPr>
            </w:pPr>
            <w:r>
              <w:rPr>
                <w:rFonts w:ascii="宋体" w:hAnsi="宋体" w:eastAsia="宋体" w:cs="宋体"/>
                <w:bCs/>
                <w:color w:val="auto"/>
                <w:szCs w:val="21"/>
                <w:highlight w:val="none"/>
              </w:rPr>
              <w:t>第四条</w:t>
            </w:r>
          </w:p>
        </w:tc>
        <w:tc>
          <w:tcPr>
            <w:tcW w:w="3055" w:type="dxa"/>
            <w:vAlign w:val="center"/>
          </w:tcPr>
          <w:p w14:paraId="643281F1">
            <w:pPr>
              <w:autoSpaceDE w:val="0"/>
              <w:autoSpaceDN w:val="0"/>
              <w:adjustRightInd w:val="0"/>
              <w:spacing w:line="400" w:lineRule="exact"/>
              <w:jc w:val="center"/>
              <w:rPr>
                <w:rFonts w:ascii="宋体" w:hAnsi="宋体" w:eastAsia="宋体" w:cs="Times New Roman"/>
                <w:bCs/>
                <w:color w:val="auto"/>
                <w:kern w:val="0"/>
                <w:szCs w:val="21"/>
                <w:highlight w:val="none"/>
              </w:rPr>
            </w:pPr>
            <w:r>
              <w:rPr>
                <w:rFonts w:hint="eastAsia" w:ascii="宋体" w:hAnsi="宋体" w:eastAsia="宋体" w:cs="宋体"/>
                <w:bCs/>
                <w:color w:val="auto"/>
                <w:szCs w:val="21"/>
                <w:highlight w:val="none"/>
              </w:rPr>
              <w:t>交货约定</w:t>
            </w:r>
          </w:p>
        </w:tc>
        <w:tc>
          <w:tcPr>
            <w:tcW w:w="1346" w:type="dxa"/>
            <w:vAlign w:val="center"/>
          </w:tcPr>
          <w:p w14:paraId="70523E4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1EE885D">
            <w:pPr>
              <w:autoSpaceDE w:val="0"/>
              <w:autoSpaceDN w:val="0"/>
              <w:adjustRightInd w:val="0"/>
              <w:spacing w:line="400" w:lineRule="exact"/>
              <w:jc w:val="center"/>
              <w:rPr>
                <w:rFonts w:ascii="宋体" w:hAnsi="宋体" w:eastAsia="宋体" w:cs="宋体"/>
                <w:color w:val="auto"/>
                <w:kern w:val="0"/>
                <w:szCs w:val="21"/>
                <w:highlight w:val="none"/>
              </w:rPr>
            </w:pPr>
          </w:p>
        </w:tc>
      </w:tr>
      <w:tr w14:paraId="306D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25B09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50A72FDC">
            <w:pPr>
              <w:autoSpaceDE w:val="0"/>
              <w:autoSpaceDN w:val="0"/>
              <w:adjustRightInd w:val="0"/>
              <w:spacing w:line="400" w:lineRule="exact"/>
              <w:jc w:val="center"/>
              <w:rPr>
                <w:rFonts w:ascii="宋体" w:hAnsi="宋体" w:eastAsia="宋体" w:cs="宋体"/>
                <w:bCs/>
                <w:color w:val="auto"/>
                <w:kern w:val="0"/>
                <w:szCs w:val="21"/>
                <w:highlight w:val="none"/>
              </w:rPr>
            </w:pPr>
            <w:r>
              <w:rPr>
                <w:rFonts w:hint="eastAsia" w:ascii="宋体" w:hAnsi="宋体" w:eastAsia="宋体" w:cs="宋体"/>
                <w:bCs/>
                <w:color w:val="auto"/>
                <w:szCs w:val="21"/>
                <w:highlight w:val="none"/>
              </w:rPr>
              <w:t>第五条</w:t>
            </w:r>
          </w:p>
        </w:tc>
        <w:tc>
          <w:tcPr>
            <w:tcW w:w="3055" w:type="dxa"/>
            <w:vAlign w:val="center"/>
          </w:tcPr>
          <w:p w14:paraId="77ABC198">
            <w:pPr>
              <w:autoSpaceDE w:val="0"/>
              <w:autoSpaceDN w:val="0"/>
              <w:adjustRightInd w:val="0"/>
              <w:spacing w:line="400" w:lineRule="exact"/>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包装、运输及安装</w:t>
            </w:r>
          </w:p>
        </w:tc>
        <w:tc>
          <w:tcPr>
            <w:tcW w:w="1346" w:type="dxa"/>
            <w:vAlign w:val="center"/>
          </w:tcPr>
          <w:p w14:paraId="371791A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EC2664F">
            <w:pPr>
              <w:autoSpaceDE w:val="0"/>
              <w:autoSpaceDN w:val="0"/>
              <w:adjustRightInd w:val="0"/>
              <w:spacing w:line="400" w:lineRule="exact"/>
              <w:jc w:val="center"/>
              <w:rPr>
                <w:rFonts w:ascii="宋体" w:hAnsi="宋体" w:eastAsia="宋体" w:cs="宋体"/>
                <w:color w:val="auto"/>
                <w:kern w:val="0"/>
                <w:szCs w:val="21"/>
                <w:highlight w:val="none"/>
              </w:rPr>
            </w:pPr>
          </w:p>
        </w:tc>
      </w:tr>
      <w:tr w14:paraId="5B85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6A8173DF">
            <w:pPr>
              <w:autoSpaceDE w:val="0"/>
              <w:autoSpaceDN w:val="0"/>
              <w:adjustRightIn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6</w:t>
            </w:r>
          </w:p>
        </w:tc>
        <w:tc>
          <w:tcPr>
            <w:tcW w:w="1425" w:type="dxa"/>
            <w:vAlign w:val="center"/>
          </w:tcPr>
          <w:p w14:paraId="2816E5FB">
            <w:pPr>
              <w:autoSpaceDE w:val="0"/>
              <w:autoSpaceDN w:val="0"/>
              <w:adjustRightInd w:val="0"/>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第六条</w:t>
            </w:r>
          </w:p>
        </w:tc>
        <w:tc>
          <w:tcPr>
            <w:tcW w:w="3055" w:type="dxa"/>
            <w:vAlign w:val="center"/>
          </w:tcPr>
          <w:p w14:paraId="56BB70A1">
            <w:pPr>
              <w:autoSpaceDE w:val="0"/>
              <w:autoSpaceDN w:val="0"/>
              <w:adjustRightInd w:val="0"/>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验收要求</w:t>
            </w:r>
          </w:p>
        </w:tc>
        <w:tc>
          <w:tcPr>
            <w:tcW w:w="1346" w:type="dxa"/>
            <w:vAlign w:val="center"/>
          </w:tcPr>
          <w:p w14:paraId="7D56B8A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F9D5DF5">
            <w:pPr>
              <w:autoSpaceDE w:val="0"/>
              <w:autoSpaceDN w:val="0"/>
              <w:adjustRightInd w:val="0"/>
              <w:spacing w:line="400" w:lineRule="exact"/>
              <w:jc w:val="center"/>
              <w:rPr>
                <w:rFonts w:ascii="宋体" w:hAnsi="宋体" w:eastAsia="宋体" w:cs="宋体"/>
                <w:color w:val="auto"/>
                <w:kern w:val="0"/>
                <w:szCs w:val="21"/>
                <w:highlight w:val="none"/>
              </w:rPr>
            </w:pPr>
          </w:p>
        </w:tc>
      </w:tr>
      <w:tr w14:paraId="6AAE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6681C433">
            <w:pPr>
              <w:autoSpaceDE w:val="0"/>
              <w:autoSpaceDN w:val="0"/>
              <w:adjustRightInd w:val="0"/>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7</w:t>
            </w:r>
          </w:p>
        </w:tc>
        <w:tc>
          <w:tcPr>
            <w:tcW w:w="1425" w:type="dxa"/>
            <w:vAlign w:val="center"/>
          </w:tcPr>
          <w:p w14:paraId="22525B31">
            <w:pPr>
              <w:autoSpaceDE w:val="0"/>
              <w:autoSpaceDN w:val="0"/>
              <w:adjustRightInd w:val="0"/>
              <w:spacing w:line="400" w:lineRule="exact"/>
              <w:jc w:val="center"/>
              <w:rPr>
                <w:rFonts w:ascii="宋体" w:hAnsi="宋体" w:eastAsia="宋体" w:cs="宋体"/>
                <w:bCs/>
                <w:color w:val="auto"/>
                <w:kern w:val="0"/>
                <w:szCs w:val="21"/>
                <w:highlight w:val="none"/>
              </w:rPr>
            </w:pPr>
            <w:r>
              <w:rPr>
                <w:rFonts w:hint="eastAsia" w:ascii="宋体" w:hAnsi="宋体" w:eastAsia="宋体" w:cs="宋体"/>
                <w:bCs/>
                <w:color w:val="auto"/>
                <w:szCs w:val="21"/>
                <w:highlight w:val="none"/>
              </w:rPr>
              <w:t>第七条</w:t>
            </w:r>
          </w:p>
        </w:tc>
        <w:tc>
          <w:tcPr>
            <w:tcW w:w="3055" w:type="dxa"/>
            <w:vAlign w:val="center"/>
          </w:tcPr>
          <w:p w14:paraId="27CB0B96">
            <w:pPr>
              <w:autoSpaceDE w:val="0"/>
              <w:autoSpaceDN w:val="0"/>
              <w:adjustRightInd w:val="0"/>
              <w:spacing w:line="400" w:lineRule="exact"/>
              <w:jc w:val="center"/>
              <w:rPr>
                <w:rFonts w:ascii="宋体" w:hAnsi="宋体" w:eastAsia="宋体" w:cs="Times New Roman"/>
                <w:bCs/>
                <w:color w:val="auto"/>
                <w:kern w:val="0"/>
                <w:szCs w:val="21"/>
                <w:highlight w:val="none"/>
              </w:rPr>
            </w:pPr>
            <w:r>
              <w:rPr>
                <w:rFonts w:hint="eastAsia" w:ascii="宋体" w:hAnsi="宋体" w:eastAsia="宋体" w:cs="宋体"/>
                <w:bCs/>
                <w:color w:val="auto"/>
                <w:szCs w:val="21"/>
                <w:highlight w:val="none"/>
              </w:rPr>
              <w:t>综合单价、暂定合同价及付款方式</w:t>
            </w:r>
          </w:p>
        </w:tc>
        <w:tc>
          <w:tcPr>
            <w:tcW w:w="1346" w:type="dxa"/>
            <w:vAlign w:val="center"/>
          </w:tcPr>
          <w:p w14:paraId="7A5D4B3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2028866">
            <w:pPr>
              <w:autoSpaceDE w:val="0"/>
              <w:autoSpaceDN w:val="0"/>
              <w:adjustRightInd w:val="0"/>
              <w:spacing w:line="400" w:lineRule="exact"/>
              <w:jc w:val="center"/>
              <w:rPr>
                <w:rFonts w:ascii="宋体" w:hAnsi="宋体" w:eastAsia="宋体" w:cs="宋体"/>
                <w:color w:val="auto"/>
                <w:kern w:val="0"/>
                <w:szCs w:val="21"/>
                <w:highlight w:val="none"/>
              </w:rPr>
            </w:pPr>
          </w:p>
        </w:tc>
      </w:tr>
      <w:tr w14:paraId="4D21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4085122F">
            <w:pPr>
              <w:autoSpaceDE w:val="0"/>
              <w:autoSpaceDN w:val="0"/>
              <w:adjustRightInd w:val="0"/>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8</w:t>
            </w:r>
          </w:p>
        </w:tc>
        <w:tc>
          <w:tcPr>
            <w:tcW w:w="1425" w:type="dxa"/>
            <w:vAlign w:val="center"/>
          </w:tcPr>
          <w:p w14:paraId="1DF11440">
            <w:pPr>
              <w:autoSpaceDE w:val="0"/>
              <w:autoSpaceDN w:val="0"/>
              <w:adjustRightInd w:val="0"/>
              <w:spacing w:line="400" w:lineRule="exact"/>
              <w:jc w:val="center"/>
              <w:rPr>
                <w:rFonts w:ascii="宋体" w:hAnsi="宋体" w:eastAsia="宋体" w:cs="宋体"/>
                <w:bCs/>
                <w:color w:val="auto"/>
                <w:kern w:val="0"/>
                <w:szCs w:val="21"/>
                <w:highlight w:val="none"/>
              </w:rPr>
            </w:pPr>
            <w:r>
              <w:rPr>
                <w:rFonts w:hint="eastAsia" w:ascii="宋体" w:hAnsi="宋体" w:eastAsia="宋体" w:cs="宋体"/>
                <w:bCs/>
                <w:color w:val="auto"/>
                <w:szCs w:val="21"/>
                <w:highlight w:val="none"/>
              </w:rPr>
              <w:t>第八条</w:t>
            </w:r>
          </w:p>
        </w:tc>
        <w:tc>
          <w:tcPr>
            <w:tcW w:w="3055" w:type="dxa"/>
            <w:vAlign w:val="center"/>
          </w:tcPr>
          <w:p w14:paraId="75CD853F">
            <w:pPr>
              <w:autoSpaceDE w:val="0"/>
              <w:autoSpaceDN w:val="0"/>
              <w:adjustRightInd w:val="0"/>
              <w:spacing w:line="400" w:lineRule="exact"/>
              <w:jc w:val="center"/>
              <w:rPr>
                <w:rFonts w:ascii="宋体" w:hAnsi="宋体" w:eastAsia="宋体" w:cs="Times New Roman"/>
                <w:bCs/>
                <w:color w:val="auto"/>
                <w:kern w:val="0"/>
                <w:szCs w:val="21"/>
                <w:highlight w:val="none"/>
              </w:rPr>
            </w:pPr>
            <w:r>
              <w:rPr>
                <w:rFonts w:hint="eastAsia" w:ascii="宋体" w:hAnsi="宋体" w:eastAsia="宋体" w:cs="宋体"/>
                <w:bCs/>
                <w:color w:val="auto"/>
                <w:szCs w:val="21"/>
                <w:highlight w:val="none"/>
              </w:rPr>
              <w:t>质保及售后要求</w:t>
            </w:r>
          </w:p>
        </w:tc>
        <w:tc>
          <w:tcPr>
            <w:tcW w:w="1346" w:type="dxa"/>
            <w:vAlign w:val="center"/>
          </w:tcPr>
          <w:p w14:paraId="3F21F6A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79D082C">
            <w:pPr>
              <w:autoSpaceDE w:val="0"/>
              <w:autoSpaceDN w:val="0"/>
              <w:adjustRightInd w:val="0"/>
              <w:spacing w:line="400" w:lineRule="exact"/>
              <w:jc w:val="center"/>
              <w:rPr>
                <w:rFonts w:ascii="宋体" w:hAnsi="宋体" w:eastAsia="宋体" w:cs="宋体"/>
                <w:color w:val="auto"/>
                <w:kern w:val="0"/>
                <w:szCs w:val="21"/>
                <w:highlight w:val="none"/>
              </w:rPr>
            </w:pPr>
          </w:p>
        </w:tc>
      </w:tr>
      <w:tr w14:paraId="4FCE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3B8D9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5FF73423">
            <w:pPr>
              <w:autoSpaceDE w:val="0"/>
              <w:autoSpaceDN w:val="0"/>
              <w:adjustRightInd w:val="0"/>
              <w:spacing w:line="400" w:lineRule="exact"/>
              <w:jc w:val="center"/>
              <w:rPr>
                <w:rFonts w:ascii="宋体" w:hAnsi="宋体" w:eastAsia="宋体" w:cs="宋体"/>
                <w:bCs/>
                <w:color w:val="auto"/>
                <w:kern w:val="0"/>
                <w:szCs w:val="21"/>
                <w:highlight w:val="none"/>
              </w:rPr>
            </w:pPr>
            <w:r>
              <w:rPr>
                <w:rFonts w:hint="eastAsia" w:ascii="宋体" w:hAnsi="宋体" w:eastAsia="宋体" w:cs="宋体"/>
                <w:bCs/>
                <w:color w:val="auto"/>
                <w:szCs w:val="21"/>
                <w:highlight w:val="none"/>
              </w:rPr>
              <w:t>第九条</w:t>
            </w:r>
          </w:p>
        </w:tc>
        <w:tc>
          <w:tcPr>
            <w:tcW w:w="3055" w:type="dxa"/>
            <w:vAlign w:val="center"/>
          </w:tcPr>
          <w:p w14:paraId="2993FE8A">
            <w:pPr>
              <w:autoSpaceDE w:val="0"/>
              <w:autoSpaceDN w:val="0"/>
              <w:adjustRightInd w:val="0"/>
              <w:spacing w:line="400" w:lineRule="exact"/>
              <w:jc w:val="center"/>
              <w:rPr>
                <w:rFonts w:ascii="宋体" w:hAnsi="宋体" w:eastAsia="宋体" w:cs="Times New Roman"/>
                <w:bCs/>
                <w:color w:val="auto"/>
                <w:kern w:val="0"/>
                <w:szCs w:val="21"/>
                <w:highlight w:val="none"/>
              </w:rPr>
            </w:pPr>
            <w:r>
              <w:rPr>
                <w:rFonts w:hint="eastAsia" w:ascii="宋体" w:hAnsi="宋体" w:eastAsia="宋体" w:cs="宋体"/>
                <w:bCs/>
                <w:color w:val="auto"/>
                <w:szCs w:val="21"/>
                <w:highlight w:val="none"/>
              </w:rPr>
              <w:t>履约担保</w:t>
            </w:r>
          </w:p>
        </w:tc>
        <w:tc>
          <w:tcPr>
            <w:tcW w:w="1346" w:type="dxa"/>
            <w:vAlign w:val="center"/>
          </w:tcPr>
          <w:p w14:paraId="2EB3413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B2B6984">
            <w:pPr>
              <w:autoSpaceDE w:val="0"/>
              <w:autoSpaceDN w:val="0"/>
              <w:adjustRightInd w:val="0"/>
              <w:spacing w:line="400" w:lineRule="exact"/>
              <w:jc w:val="center"/>
              <w:rPr>
                <w:rFonts w:ascii="宋体" w:hAnsi="宋体" w:eastAsia="宋体" w:cs="宋体"/>
                <w:color w:val="auto"/>
                <w:kern w:val="0"/>
                <w:szCs w:val="21"/>
                <w:highlight w:val="none"/>
              </w:rPr>
            </w:pPr>
          </w:p>
        </w:tc>
      </w:tr>
      <w:tr w14:paraId="36F4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44822A53">
            <w:pPr>
              <w:autoSpaceDE w:val="0"/>
              <w:autoSpaceDN w:val="0"/>
              <w:adjustRightInd w:val="0"/>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10</w:t>
            </w:r>
          </w:p>
        </w:tc>
        <w:tc>
          <w:tcPr>
            <w:tcW w:w="1425" w:type="dxa"/>
            <w:shd w:val="clear" w:color="auto" w:fill="auto"/>
            <w:vAlign w:val="center"/>
          </w:tcPr>
          <w:p w14:paraId="28DCE4EF">
            <w:pPr>
              <w:autoSpaceDE w:val="0"/>
              <w:autoSpaceDN w:val="0"/>
              <w:adjustRightInd w:val="0"/>
              <w:spacing w:line="400" w:lineRule="exact"/>
              <w:jc w:val="center"/>
              <w:rPr>
                <w:rFonts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szCs w:val="21"/>
                <w:highlight w:val="none"/>
              </w:rPr>
              <w:t>第十条</w:t>
            </w:r>
          </w:p>
        </w:tc>
        <w:tc>
          <w:tcPr>
            <w:tcW w:w="3055" w:type="dxa"/>
            <w:vAlign w:val="center"/>
          </w:tcPr>
          <w:p w14:paraId="30D076DD">
            <w:pPr>
              <w:autoSpaceDE w:val="0"/>
              <w:autoSpaceDN w:val="0"/>
              <w:adjustRightInd w:val="0"/>
              <w:spacing w:line="400" w:lineRule="exact"/>
              <w:jc w:val="center"/>
              <w:rPr>
                <w:rFonts w:ascii="宋体" w:hAnsi="宋体" w:eastAsia="宋体" w:cs="Times New Roman"/>
                <w:bCs/>
                <w:color w:val="auto"/>
                <w:kern w:val="0"/>
                <w:szCs w:val="21"/>
                <w:highlight w:val="none"/>
              </w:rPr>
            </w:pPr>
            <w:r>
              <w:rPr>
                <w:rFonts w:hint="eastAsia" w:ascii="宋体" w:hAnsi="宋体" w:eastAsia="宋体" w:cs="宋体"/>
                <w:bCs/>
                <w:color w:val="auto"/>
                <w:szCs w:val="21"/>
                <w:highlight w:val="none"/>
              </w:rPr>
              <w:t>违约责任</w:t>
            </w:r>
          </w:p>
        </w:tc>
        <w:tc>
          <w:tcPr>
            <w:tcW w:w="1346" w:type="dxa"/>
            <w:vAlign w:val="center"/>
          </w:tcPr>
          <w:p w14:paraId="15FF4F5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7CC743F">
            <w:pPr>
              <w:autoSpaceDE w:val="0"/>
              <w:autoSpaceDN w:val="0"/>
              <w:adjustRightInd w:val="0"/>
              <w:spacing w:line="400" w:lineRule="exact"/>
              <w:jc w:val="center"/>
              <w:rPr>
                <w:rFonts w:ascii="宋体" w:hAnsi="宋体" w:eastAsia="宋体" w:cs="宋体"/>
                <w:color w:val="auto"/>
                <w:kern w:val="0"/>
                <w:szCs w:val="21"/>
                <w:highlight w:val="none"/>
              </w:rPr>
            </w:pPr>
          </w:p>
        </w:tc>
      </w:tr>
      <w:tr w14:paraId="57AF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48284688">
            <w:pPr>
              <w:autoSpaceDE w:val="0"/>
              <w:autoSpaceDN w:val="0"/>
              <w:adjustRightInd w:val="0"/>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11</w:t>
            </w:r>
          </w:p>
        </w:tc>
        <w:tc>
          <w:tcPr>
            <w:tcW w:w="1425" w:type="dxa"/>
            <w:shd w:val="clear" w:color="auto" w:fill="auto"/>
            <w:vAlign w:val="center"/>
          </w:tcPr>
          <w:p w14:paraId="73AA8B55">
            <w:pPr>
              <w:autoSpaceDE w:val="0"/>
              <w:autoSpaceDN w:val="0"/>
              <w:adjustRightInd w:val="0"/>
              <w:spacing w:line="400" w:lineRule="exact"/>
              <w:jc w:val="center"/>
              <w:rPr>
                <w:rFonts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szCs w:val="21"/>
                <w:highlight w:val="none"/>
              </w:rPr>
              <w:t>第十一条</w:t>
            </w:r>
          </w:p>
        </w:tc>
        <w:tc>
          <w:tcPr>
            <w:tcW w:w="3055" w:type="dxa"/>
            <w:vAlign w:val="center"/>
          </w:tcPr>
          <w:p w14:paraId="7174512B">
            <w:pPr>
              <w:autoSpaceDE w:val="0"/>
              <w:autoSpaceDN w:val="0"/>
              <w:adjustRightInd w:val="0"/>
              <w:spacing w:line="400" w:lineRule="exact"/>
              <w:jc w:val="center"/>
              <w:rPr>
                <w:rFonts w:ascii="宋体" w:hAnsi="宋体" w:eastAsia="宋体" w:cs="Times New Roman"/>
                <w:bCs/>
                <w:color w:val="auto"/>
                <w:kern w:val="0"/>
                <w:szCs w:val="21"/>
                <w:highlight w:val="none"/>
              </w:rPr>
            </w:pPr>
            <w:r>
              <w:rPr>
                <w:rFonts w:hint="eastAsia" w:ascii="宋体" w:hAnsi="宋体" w:eastAsia="宋体" w:cs="宋体"/>
                <w:bCs/>
                <w:color w:val="auto"/>
                <w:szCs w:val="21"/>
                <w:highlight w:val="none"/>
              </w:rPr>
              <w:t>不可抗力</w:t>
            </w:r>
          </w:p>
        </w:tc>
        <w:tc>
          <w:tcPr>
            <w:tcW w:w="1346" w:type="dxa"/>
            <w:vAlign w:val="center"/>
          </w:tcPr>
          <w:p w14:paraId="5CA1F42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271B27B">
            <w:pPr>
              <w:autoSpaceDE w:val="0"/>
              <w:autoSpaceDN w:val="0"/>
              <w:adjustRightInd w:val="0"/>
              <w:spacing w:line="400" w:lineRule="exact"/>
              <w:jc w:val="center"/>
              <w:rPr>
                <w:rFonts w:ascii="宋体" w:hAnsi="宋体" w:eastAsia="宋体" w:cs="宋体"/>
                <w:color w:val="auto"/>
                <w:kern w:val="0"/>
                <w:szCs w:val="21"/>
                <w:highlight w:val="none"/>
              </w:rPr>
            </w:pPr>
          </w:p>
        </w:tc>
      </w:tr>
      <w:tr w14:paraId="3E00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520E16DC">
            <w:pPr>
              <w:autoSpaceDE w:val="0"/>
              <w:autoSpaceDN w:val="0"/>
              <w:adjustRightInd w:val="0"/>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12</w:t>
            </w:r>
          </w:p>
        </w:tc>
        <w:tc>
          <w:tcPr>
            <w:tcW w:w="1425" w:type="dxa"/>
            <w:shd w:val="clear" w:color="auto" w:fill="auto"/>
            <w:vAlign w:val="center"/>
          </w:tcPr>
          <w:p w14:paraId="6DF63E8B">
            <w:pPr>
              <w:autoSpaceDE w:val="0"/>
              <w:autoSpaceDN w:val="0"/>
              <w:adjustRightInd w:val="0"/>
              <w:spacing w:line="400" w:lineRule="exact"/>
              <w:jc w:val="center"/>
              <w:rPr>
                <w:rFonts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szCs w:val="21"/>
                <w:highlight w:val="none"/>
              </w:rPr>
              <w:t>第十二条</w:t>
            </w:r>
          </w:p>
        </w:tc>
        <w:tc>
          <w:tcPr>
            <w:tcW w:w="3055" w:type="dxa"/>
            <w:vAlign w:val="center"/>
          </w:tcPr>
          <w:p w14:paraId="393BBCE4">
            <w:pPr>
              <w:autoSpaceDE w:val="0"/>
              <w:autoSpaceDN w:val="0"/>
              <w:adjustRightInd w:val="0"/>
              <w:spacing w:line="400" w:lineRule="exact"/>
              <w:jc w:val="center"/>
              <w:rPr>
                <w:rFonts w:ascii="宋体" w:hAnsi="宋体" w:eastAsia="宋体" w:cs="Times New Roman"/>
                <w:bCs/>
                <w:color w:val="auto"/>
                <w:kern w:val="0"/>
                <w:szCs w:val="21"/>
                <w:highlight w:val="none"/>
              </w:rPr>
            </w:pPr>
            <w:r>
              <w:rPr>
                <w:rFonts w:hint="eastAsia" w:ascii="宋体" w:hAnsi="宋体" w:eastAsia="宋体" w:cs="宋体"/>
                <w:bCs/>
                <w:color w:val="auto"/>
                <w:szCs w:val="21"/>
                <w:highlight w:val="none"/>
              </w:rPr>
              <w:t>承诺与保证</w:t>
            </w:r>
          </w:p>
        </w:tc>
        <w:tc>
          <w:tcPr>
            <w:tcW w:w="1346" w:type="dxa"/>
            <w:vAlign w:val="center"/>
          </w:tcPr>
          <w:p w14:paraId="2D05B69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538A290">
            <w:pPr>
              <w:autoSpaceDE w:val="0"/>
              <w:autoSpaceDN w:val="0"/>
              <w:adjustRightInd w:val="0"/>
              <w:spacing w:line="400" w:lineRule="exact"/>
              <w:jc w:val="center"/>
              <w:rPr>
                <w:rFonts w:ascii="宋体" w:hAnsi="宋体" w:eastAsia="宋体" w:cs="宋体"/>
                <w:color w:val="auto"/>
                <w:kern w:val="0"/>
                <w:szCs w:val="21"/>
                <w:highlight w:val="none"/>
              </w:rPr>
            </w:pPr>
          </w:p>
        </w:tc>
      </w:tr>
      <w:tr w14:paraId="1E65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21E80CA5">
            <w:pPr>
              <w:autoSpaceDE w:val="0"/>
              <w:autoSpaceDN w:val="0"/>
              <w:adjustRightInd w:val="0"/>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13</w:t>
            </w:r>
          </w:p>
        </w:tc>
        <w:tc>
          <w:tcPr>
            <w:tcW w:w="1425" w:type="dxa"/>
            <w:shd w:val="clear" w:color="auto" w:fill="auto"/>
            <w:vAlign w:val="center"/>
          </w:tcPr>
          <w:p w14:paraId="40A7A802">
            <w:pPr>
              <w:autoSpaceDE w:val="0"/>
              <w:autoSpaceDN w:val="0"/>
              <w:adjustRightInd w:val="0"/>
              <w:spacing w:line="400" w:lineRule="exact"/>
              <w:jc w:val="center"/>
              <w:rPr>
                <w:rFonts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szCs w:val="21"/>
                <w:highlight w:val="none"/>
              </w:rPr>
              <w:t>第十三条</w:t>
            </w:r>
          </w:p>
        </w:tc>
        <w:tc>
          <w:tcPr>
            <w:tcW w:w="3055" w:type="dxa"/>
            <w:vAlign w:val="center"/>
          </w:tcPr>
          <w:p w14:paraId="0B6F95AA">
            <w:pPr>
              <w:autoSpaceDE w:val="0"/>
              <w:autoSpaceDN w:val="0"/>
              <w:adjustRightInd w:val="0"/>
              <w:spacing w:line="400" w:lineRule="exact"/>
              <w:jc w:val="center"/>
              <w:rPr>
                <w:rFonts w:ascii="宋体" w:hAnsi="宋体" w:eastAsia="宋体" w:cs="Times New Roman"/>
                <w:bCs/>
                <w:color w:val="auto"/>
                <w:kern w:val="0"/>
                <w:szCs w:val="21"/>
                <w:highlight w:val="none"/>
              </w:rPr>
            </w:pPr>
            <w:r>
              <w:rPr>
                <w:rFonts w:hint="eastAsia" w:ascii="宋体" w:hAnsi="宋体" w:eastAsia="宋体" w:cs="宋体"/>
                <w:bCs/>
                <w:color w:val="auto"/>
                <w:szCs w:val="21"/>
                <w:highlight w:val="none"/>
              </w:rPr>
              <w:t>合同争议的解决办法</w:t>
            </w:r>
          </w:p>
        </w:tc>
        <w:tc>
          <w:tcPr>
            <w:tcW w:w="1346" w:type="dxa"/>
            <w:vAlign w:val="center"/>
          </w:tcPr>
          <w:p w14:paraId="33B19C2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712CA35">
            <w:pPr>
              <w:autoSpaceDE w:val="0"/>
              <w:autoSpaceDN w:val="0"/>
              <w:adjustRightInd w:val="0"/>
              <w:spacing w:line="400" w:lineRule="exact"/>
              <w:jc w:val="center"/>
              <w:rPr>
                <w:rFonts w:ascii="宋体" w:hAnsi="宋体" w:eastAsia="宋体" w:cs="宋体"/>
                <w:color w:val="auto"/>
                <w:kern w:val="0"/>
                <w:szCs w:val="21"/>
                <w:highlight w:val="none"/>
              </w:rPr>
            </w:pPr>
          </w:p>
        </w:tc>
      </w:tr>
      <w:tr w14:paraId="0C42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349CCF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7A9006CE">
            <w:pPr>
              <w:autoSpaceDE w:val="0"/>
              <w:autoSpaceDN w:val="0"/>
              <w:adjustRightInd w:val="0"/>
              <w:spacing w:line="400" w:lineRule="exact"/>
              <w:jc w:val="center"/>
              <w:rPr>
                <w:rFonts w:ascii="宋体" w:hAnsi="宋体" w:eastAsia="宋体" w:cs="宋体"/>
                <w:bCs/>
                <w:color w:val="auto"/>
                <w:kern w:val="0"/>
                <w:szCs w:val="21"/>
                <w:highlight w:val="none"/>
              </w:rPr>
            </w:pPr>
            <w:r>
              <w:rPr>
                <w:rFonts w:hint="eastAsia" w:ascii="宋体" w:hAnsi="宋体" w:eastAsia="宋体" w:cs="宋体"/>
                <w:bCs/>
                <w:color w:val="auto"/>
                <w:szCs w:val="21"/>
                <w:highlight w:val="none"/>
              </w:rPr>
              <w:t>第十</w:t>
            </w:r>
            <w:r>
              <w:rPr>
                <w:rFonts w:hint="eastAsia" w:ascii="宋体" w:hAnsi="宋体" w:eastAsia="宋体" w:cs="宋体"/>
                <w:bCs/>
                <w:color w:val="auto"/>
                <w:szCs w:val="21"/>
                <w:highlight w:val="none"/>
                <w:lang w:val="en-US" w:eastAsia="zh-CN"/>
              </w:rPr>
              <w:t>四</w:t>
            </w:r>
            <w:r>
              <w:rPr>
                <w:rFonts w:hint="eastAsia" w:ascii="宋体" w:hAnsi="宋体" w:eastAsia="宋体" w:cs="宋体"/>
                <w:bCs/>
                <w:color w:val="auto"/>
                <w:szCs w:val="21"/>
                <w:highlight w:val="none"/>
              </w:rPr>
              <w:t>条</w:t>
            </w:r>
          </w:p>
        </w:tc>
        <w:tc>
          <w:tcPr>
            <w:tcW w:w="3055" w:type="dxa"/>
            <w:vAlign w:val="center"/>
          </w:tcPr>
          <w:p w14:paraId="7CC8508E">
            <w:pPr>
              <w:autoSpaceDE w:val="0"/>
              <w:autoSpaceDN w:val="0"/>
              <w:adjustRightInd w:val="0"/>
              <w:spacing w:line="400" w:lineRule="exact"/>
              <w:jc w:val="center"/>
              <w:rPr>
                <w:rFonts w:ascii="宋体" w:hAnsi="宋体" w:eastAsia="宋体" w:cs="Times New Roman"/>
                <w:bCs/>
                <w:color w:val="auto"/>
                <w:kern w:val="0"/>
                <w:szCs w:val="21"/>
                <w:highlight w:val="none"/>
              </w:rPr>
            </w:pPr>
            <w:r>
              <w:rPr>
                <w:rFonts w:hint="eastAsia" w:ascii="宋体" w:hAnsi="宋体" w:eastAsia="宋体" w:cs="宋体"/>
                <w:bCs/>
                <w:color w:val="auto"/>
                <w:szCs w:val="21"/>
                <w:highlight w:val="none"/>
              </w:rPr>
              <w:t>其他</w:t>
            </w:r>
          </w:p>
        </w:tc>
        <w:tc>
          <w:tcPr>
            <w:tcW w:w="1346" w:type="dxa"/>
            <w:vAlign w:val="center"/>
          </w:tcPr>
          <w:p w14:paraId="0707B35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2742559">
            <w:pPr>
              <w:autoSpaceDE w:val="0"/>
              <w:autoSpaceDN w:val="0"/>
              <w:adjustRightInd w:val="0"/>
              <w:spacing w:line="400" w:lineRule="exact"/>
              <w:jc w:val="center"/>
              <w:rPr>
                <w:rFonts w:ascii="宋体" w:hAnsi="宋体" w:eastAsia="宋体" w:cs="宋体"/>
                <w:color w:val="auto"/>
                <w:kern w:val="0"/>
                <w:szCs w:val="21"/>
                <w:highlight w:val="none"/>
              </w:rPr>
            </w:pPr>
          </w:p>
        </w:tc>
      </w:tr>
      <w:tr w14:paraId="7DA5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F6344F5">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1425" w:type="dxa"/>
            <w:vAlign w:val="center"/>
          </w:tcPr>
          <w:p w14:paraId="4DFF24E8">
            <w:pPr>
              <w:autoSpaceDE w:val="0"/>
              <w:autoSpaceDN w:val="0"/>
              <w:adjustRightInd w:val="0"/>
              <w:spacing w:line="40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附件5</w:t>
            </w:r>
          </w:p>
        </w:tc>
        <w:tc>
          <w:tcPr>
            <w:tcW w:w="3055" w:type="dxa"/>
            <w:vAlign w:val="center"/>
          </w:tcPr>
          <w:p w14:paraId="579CE15C">
            <w:pPr>
              <w:autoSpaceDE w:val="0"/>
              <w:autoSpaceDN w:val="0"/>
              <w:adjustRightInd w:val="0"/>
              <w:spacing w:line="400" w:lineRule="exact"/>
              <w:jc w:val="center"/>
              <w:rPr>
                <w:rFonts w:ascii="宋体" w:hAnsi="宋体" w:eastAsia="宋体" w:cs="宋体"/>
                <w:bCs/>
                <w:color w:val="auto"/>
                <w:kern w:val="0"/>
                <w:szCs w:val="21"/>
                <w:highlight w:val="none"/>
              </w:rPr>
            </w:pPr>
            <w:r>
              <w:rPr>
                <w:rFonts w:hint="eastAsia" w:ascii="宋体" w:hAnsi="宋体" w:eastAsia="宋体" w:cs="宋体"/>
                <w:bCs/>
                <w:color w:val="auto"/>
                <w:szCs w:val="21"/>
                <w:highlight w:val="none"/>
              </w:rPr>
              <w:t>廉洁协议书</w:t>
            </w:r>
          </w:p>
        </w:tc>
        <w:tc>
          <w:tcPr>
            <w:tcW w:w="1346" w:type="dxa"/>
            <w:vAlign w:val="center"/>
          </w:tcPr>
          <w:p w14:paraId="4D10115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54A7CAA">
            <w:pPr>
              <w:autoSpaceDE w:val="0"/>
              <w:autoSpaceDN w:val="0"/>
              <w:adjustRightInd w:val="0"/>
              <w:spacing w:line="400" w:lineRule="exact"/>
              <w:jc w:val="center"/>
              <w:rPr>
                <w:rFonts w:ascii="宋体" w:hAnsi="宋体" w:eastAsia="宋体" w:cs="宋体"/>
                <w:color w:val="auto"/>
                <w:kern w:val="0"/>
                <w:szCs w:val="21"/>
                <w:highlight w:val="none"/>
              </w:rPr>
            </w:pPr>
          </w:p>
        </w:tc>
      </w:tr>
      <w:tr w14:paraId="7657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D22381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616E3D9B">
            <w:pPr>
              <w:autoSpaceDE w:val="0"/>
              <w:autoSpaceDN w:val="0"/>
              <w:adjustRightInd w:val="0"/>
              <w:spacing w:line="40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一</w:t>
            </w:r>
          </w:p>
        </w:tc>
        <w:tc>
          <w:tcPr>
            <w:tcW w:w="3055" w:type="dxa"/>
            <w:vAlign w:val="center"/>
          </w:tcPr>
          <w:p w14:paraId="3216E677">
            <w:pPr>
              <w:autoSpaceDE w:val="0"/>
              <w:autoSpaceDN w:val="0"/>
              <w:adjustRightInd w:val="0"/>
              <w:spacing w:line="40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不可撤销银行履约保函</w:t>
            </w:r>
          </w:p>
        </w:tc>
        <w:tc>
          <w:tcPr>
            <w:tcW w:w="1346" w:type="dxa"/>
            <w:vAlign w:val="center"/>
          </w:tcPr>
          <w:p w14:paraId="796298C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DFB510E">
            <w:pPr>
              <w:autoSpaceDE w:val="0"/>
              <w:autoSpaceDN w:val="0"/>
              <w:adjustRightInd w:val="0"/>
              <w:spacing w:line="400" w:lineRule="exact"/>
              <w:jc w:val="center"/>
              <w:rPr>
                <w:rFonts w:ascii="宋体" w:hAnsi="宋体" w:eastAsia="宋体" w:cs="宋体"/>
                <w:color w:val="auto"/>
                <w:kern w:val="0"/>
                <w:szCs w:val="21"/>
                <w:highlight w:val="none"/>
              </w:rPr>
            </w:pPr>
          </w:p>
        </w:tc>
      </w:tr>
      <w:tr w14:paraId="135C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41FA38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3BE5ABB9">
            <w:pPr>
              <w:autoSpaceDE w:val="0"/>
              <w:autoSpaceDN w:val="0"/>
              <w:adjustRightInd w:val="0"/>
              <w:spacing w:line="40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二</w:t>
            </w:r>
          </w:p>
        </w:tc>
        <w:tc>
          <w:tcPr>
            <w:tcW w:w="3055" w:type="dxa"/>
            <w:vAlign w:val="center"/>
          </w:tcPr>
          <w:p w14:paraId="1F23389E">
            <w:pPr>
              <w:autoSpaceDE w:val="0"/>
              <w:autoSpaceDN w:val="0"/>
              <w:adjustRightInd w:val="0"/>
              <w:spacing w:line="40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履约保证保险凭证</w:t>
            </w:r>
          </w:p>
        </w:tc>
        <w:tc>
          <w:tcPr>
            <w:tcW w:w="1346" w:type="dxa"/>
            <w:vAlign w:val="center"/>
          </w:tcPr>
          <w:p w14:paraId="7FC6FF4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2D88B2E">
            <w:pPr>
              <w:autoSpaceDE w:val="0"/>
              <w:autoSpaceDN w:val="0"/>
              <w:adjustRightInd w:val="0"/>
              <w:spacing w:line="400" w:lineRule="exact"/>
              <w:jc w:val="center"/>
              <w:rPr>
                <w:rFonts w:ascii="宋体" w:hAnsi="宋体" w:eastAsia="宋体" w:cs="宋体"/>
                <w:color w:val="auto"/>
                <w:kern w:val="0"/>
                <w:szCs w:val="21"/>
                <w:highlight w:val="none"/>
              </w:rPr>
            </w:pPr>
          </w:p>
        </w:tc>
      </w:tr>
      <w:tr w14:paraId="2358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1242E8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1425" w:type="dxa"/>
            <w:vAlign w:val="center"/>
          </w:tcPr>
          <w:p w14:paraId="4C984A89">
            <w:pPr>
              <w:autoSpaceDE w:val="0"/>
              <w:autoSpaceDN w:val="0"/>
              <w:adjustRightInd w:val="0"/>
              <w:spacing w:line="40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三</w:t>
            </w:r>
          </w:p>
        </w:tc>
        <w:tc>
          <w:tcPr>
            <w:tcW w:w="3055" w:type="dxa"/>
            <w:vAlign w:val="center"/>
          </w:tcPr>
          <w:p w14:paraId="0F88A884">
            <w:pPr>
              <w:autoSpaceDE w:val="0"/>
              <w:autoSpaceDN w:val="0"/>
              <w:adjustRightInd w:val="0"/>
              <w:spacing w:line="40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担保公司履约担保书</w:t>
            </w:r>
          </w:p>
        </w:tc>
        <w:tc>
          <w:tcPr>
            <w:tcW w:w="1346" w:type="dxa"/>
            <w:vAlign w:val="center"/>
          </w:tcPr>
          <w:p w14:paraId="3C03BEE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AADE447">
            <w:pPr>
              <w:autoSpaceDE w:val="0"/>
              <w:autoSpaceDN w:val="0"/>
              <w:adjustRightInd w:val="0"/>
              <w:spacing w:line="400" w:lineRule="exact"/>
              <w:jc w:val="center"/>
              <w:rPr>
                <w:rFonts w:ascii="宋体" w:hAnsi="宋体" w:eastAsia="宋体" w:cs="宋体"/>
                <w:color w:val="auto"/>
                <w:kern w:val="0"/>
                <w:szCs w:val="21"/>
                <w:highlight w:val="none"/>
              </w:rPr>
            </w:pPr>
          </w:p>
        </w:tc>
      </w:tr>
    </w:tbl>
    <w:p w14:paraId="0C770B97">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579C29B8">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39519552">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4CB4D3FE">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6E6680F4">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736D0F45">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1727A6D2">
      <w:pPr>
        <w:spacing w:line="360" w:lineRule="auto"/>
        <w:ind w:left="357" w:leftChars="-100" w:hanging="567" w:hangingChars="270"/>
        <w:rPr>
          <w:rFonts w:ascii="宋体" w:hAnsi="宋体" w:eastAsia="宋体" w:cs="宋体"/>
          <w:color w:val="auto"/>
          <w:szCs w:val="21"/>
          <w:highlight w:val="none"/>
        </w:rPr>
      </w:pPr>
    </w:p>
    <w:p w14:paraId="34FDE3BC">
      <w:pPr>
        <w:spacing w:line="360" w:lineRule="auto"/>
        <w:ind w:left="357" w:leftChars="-100" w:hanging="567" w:hangingChars="270"/>
        <w:rPr>
          <w:rFonts w:ascii="宋体" w:hAnsi="宋体" w:eastAsia="宋体" w:cs="宋体"/>
          <w:color w:val="auto"/>
          <w:szCs w:val="21"/>
          <w:highlight w:val="none"/>
        </w:rPr>
      </w:pPr>
    </w:p>
    <w:p w14:paraId="1618B21C">
      <w:pPr>
        <w:spacing w:line="360" w:lineRule="auto"/>
        <w:ind w:left="357" w:leftChars="-100" w:hanging="567" w:hangingChars="270"/>
        <w:rPr>
          <w:rFonts w:ascii="宋体" w:hAnsi="宋体" w:eastAsia="宋体" w:cs="宋体"/>
          <w:color w:val="auto"/>
          <w:szCs w:val="21"/>
          <w:highlight w:val="none"/>
        </w:rPr>
      </w:pPr>
    </w:p>
    <w:p w14:paraId="2D9C7A44">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4D227868">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31374030">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91" w:name="_Toc94107218"/>
      <w:bookmarkStart w:id="592" w:name="_Toc2075"/>
      <w:bookmarkStart w:id="593" w:name="_Toc104991884"/>
      <w:bookmarkStart w:id="594" w:name="_Toc142508377"/>
      <w:bookmarkStart w:id="595" w:name="_Toc140596937"/>
      <w:bookmarkStart w:id="596" w:name="_Toc19676"/>
      <w:bookmarkStart w:id="597" w:name="_Toc13348"/>
      <w:bookmarkStart w:id="598" w:name="_Toc102860082"/>
      <w:bookmarkStart w:id="599" w:name="_Toc102860426"/>
      <w:bookmarkStart w:id="600" w:name="_Toc169091790"/>
      <w:bookmarkStart w:id="601" w:name="_Toc27980_WPSOffice_Level2"/>
      <w:bookmarkStart w:id="602" w:name="_Toc486167717"/>
      <w:r>
        <w:rPr>
          <w:rFonts w:hint="eastAsia" w:ascii="宋体" w:hAnsi="宋体" w:eastAsia="宋体" w:cs="宋体"/>
          <w:b/>
          <w:color w:val="auto"/>
          <w:kern w:val="0"/>
          <w:sz w:val="32"/>
          <w:szCs w:val="32"/>
          <w:highlight w:val="none"/>
        </w:rPr>
        <w:t>十、业绩表格式</w:t>
      </w:r>
      <w:bookmarkEnd w:id="591"/>
      <w:bookmarkEnd w:id="592"/>
      <w:bookmarkEnd w:id="593"/>
      <w:bookmarkEnd w:id="594"/>
      <w:bookmarkEnd w:id="595"/>
      <w:bookmarkEnd w:id="596"/>
      <w:bookmarkEnd w:id="597"/>
      <w:bookmarkEnd w:id="598"/>
      <w:bookmarkEnd w:id="599"/>
      <w:bookmarkEnd w:id="600"/>
    </w:p>
    <w:p w14:paraId="230AD843">
      <w:pPr>
        <w:autoSpaceDE w:val="0"/>
        <w:autoSpaceDN w:val="0"/>
        <w:adjustRightInd w:val="0"/>
        <w:spacing w:line="360" w:lineRule="auto"/>
        <w:ind w:firstLine="602"/>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投标人</w:t>
      </w:r>
      <w:r>
        <w:rPr>
          <w:rFonts w:hint="eastAsia" w:ascii="宋体" w:hAnsi="宋体" w:eastAsia="宋体" w:cs="Times New Roman"/>
          <w:b/>
          <w:bCs/>
          <w:color w:val="auto"/>
          <w:sz w:val="30"/>
          <w:szCs w:val="30"/>
          <w:highlight w:val="none"/>
        </w:rPr>
        <w:t>202</w:t>
      </w:r>
      <w:r>
        <w:rPr>
          <w:rFonts w:hint="eastAsia" w:ascii="宋体" w:hAnsi="宋体" w:eastAsia="宋体" w:cs="Times New Roman"/>
          <w:b/>
          <w:bCs/>
          <w:color w:val="auto"/>
          <w:sz w:val="30"/>
          <w:szCs w:val="30"/>
          <w:highlight w:val="none"/>
          <w:lang w:val="en-US" w:eastAsia="zh-CN"/>
        </w:rPr>
        <w:t>2</w:t>
      </w:r>
      <w:r>
        <w:rPr>
          <w:rFonts w:hint="eastAsia" w:ascii="宋体" w:hAnsi="宋体" w:eastAsia="宋体" w:cs="Times New Roman"/>
          <w:b/>
          <w:bCs/>
          <w:color w:val="auto"/>
          <w:sz w:val="30"/>
          <w:szCs w:val="30"/>
          <w:highlight w:val="none"/>
        </w:rPr>
        <w:t>年1月1日</w:t>
      </w:r>
      <w:r>
        <w:rPr>
          <w:rFonts w:hint="eastAsia" w:ascii="宋体" w:hAnsi="宋体" w:eastAsia="宋体" w:cs="Times New Roman"/>
          <w:b/>
          <w:bCs/>
          <w:color w:val="auto"/>
          <w:sz w:val="30"/>
          <w:szCs w:val="30"/>
          <w:highlight w:val="none"/>
          <w:lang w:val="zh-CN"/>
        </w:rPr>
        <w:t>至今承接的运维维修工器具类物资在国内的销售业绩业绩表</w:t>
      </w:r>
    </w:p>
    <w:tbl>
      <w:tblPr>
        <w:tblStyle w:val="43"/>
        <w:tblW w:w="500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79"/>
        <w:gridCol w:w="1663"/>
        <w:gridCol w:w="1493"/>
        <w:gridCol w:w="1873"/>
        <w:gridCol w:w="1113"/>
        <w:gridCol w:w="949"/>
        <w:gridCol w:w="1013"/>
        <w:gridCol w:w="988"/>
        <w:gridCol w:w="603"/>
      </w:tblGrid>
      <w:tr w14:paraId="7C6E1C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68790076">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801" w:type="pct"/>
            <w:tcBorders>
              <w:top w:val="single" w:color="auto" w:sz="4" w:space="0"/>
              <w:left w:val="single" w:color="auto" w:sz="4" w:space="0"/>
              <w:bottom w:val="single" w:color="auto" w:sz="4" w:space="0"/>
              <w:right w:val="single" w:color="auto" w:sz="4" w:space="0"/>
            </w:tcBorders>
            <w:vAlign w:val="center"/>
          </w:tcPr>
          <w:p w14:paraId="49BE4286">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项目名称</w:t>
            </w:r>
          </w:p>
        </w:tc>
        <w:tc>
          <w:tcPr>
            <w:tcW w:w="719" w:type="pct"/>
            <w:tcBorders>
              <w:top w:val="single" w:color="auto" w:sz="4" w:space="0"/>
              <w:left w:val="single" w:color="auto" w:sz="4" w:space="0"/>
              <w:bottom w:val="single" w:color="auto" w:sz="4" w:space="0"/>
              <w:right w:val="single" w:color="auto" w:sz="4" w:space="0"/>
            </w:tcBorders>
            <w:vAlign w:val="center"/>
          </w:tcPr>
          <w:p w14:paraId="6B08E42E">
            <w:pPr>
              <w:autoSpaceDE w:val="0"/>
              <w:autoSpaceDN w:val="0"/>
              <w:adjustRightInd w:val="0"/>
              <w:jc w:val="center"/>
              <w:rPr>
                <w:rFonts w:ascii="宋体" w:hAnsi="宋体" w:cs="Times New Roman"/>
                <w:color w:val="auto"/>
                <w:kern w:val="0"/>
                <w:szCs w:val="21"/>
                <w:highlight w:val="none"/>
              </w:rPr>
            </w:pPr>
            <w:r>
              <w:rPr>
                <w:rFonts w:hint="eastAsia" w:ascii="宋体" w:hAnsi="宋体" w:eastAsia="宋体" w:cs="宋体"/>
                <w:color w:val="auto"/>
                <w:kern w:val="0"/>
                <w:szCs w:val="21"/>
                <w:highlight w:val="none"/>
              </w:rPr>
              <w:t>项目内容</w:t>
            </w:r>
          </w:p>
        </w:tc>
        <w:tc>
          <w:tcPr>
            <w:tcW w:w="902" w:type="pct"/>
            <w:tcBorders>
              <w:top w:val="single" w:color="auto" w:sz="4" w:space="0"/>
              <w:left w:val="single" w:color="auto" w:sz="4" w:space="0"/>
              <w:bottom w:val="single" w:color="auto" w:sz="4" w:space="0"/>
              <w:right w:val="single" w:color="auto" w:sz="4" w:space="0"/>
            </w:tcBorders>
            <w:vAlign w:val="center"/>
          </w:tcPr>
          <w:p w14:paraId="3729AAF0">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单项合同中运维维修工器具类物资的金额（单位：万元）</w:t>
            </w:r>
          </w:p>
        </w:tc>
        <w:tc>
          <w:tcPr>
            <w:tcW w:w="536" w:type="pct"/>
            <w:tcBorders>
              <w:top w:val="single" w:color="auto" w:sz="4" w:space="0"/>
              <w:left w:val="single" w:color="auto" w:sz="4" w:space="0"/>
              <w:bottom w:val="single" w:color="auto" w:sz="4" w:space="0"/>
              <w:right w:val="single" w:color="auto" w:sz="4" w:space="0"/>
            </w:tcBorders>
            <w:vAlign w:val="center"/>
          </w:tcPr>
          <w:p w14:paraId="0629C737">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457" w:type="pct"/>
            <w:tcBorders>
              <w:top w:val="single" w:color="auto" w:sz="4" w:space="0"/>
              <w:left w:val="single" w:color="auto" w:sz="4" w:space="0"/>
              <w:bottom w:val="single" w:color="auto" w:sz="4" w:space="0"/>
              <w:right w:val="single" w:color="auto" w:sz="4" w:space="0"/>
            </w:tcBorders>
            <w:vAlign w:val="center"/>
          </w:tcPr>
          <w:p w14:paraId="32AD1F29">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0E12C3BB">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488" w:type="pct"/>
            <w:tcBorders>
              <w:top w:val="single" w:color="auto" w:sz="4" w:space="0"/>
              <w:left w:val="single" w:color="auto" w:sz="4" w:space="0"/>
              <w:bottom w:val="single" w:color="auto" w:sz="4" w:space="0"/>
              <w:right w:val="single" w:color="auto" w:sz="4" w:space="0"/>
            </w:tcBorders>
            <w:vAlign w:val="center"/>
          </w:tcPr>
          <w:p w14:paraId="4153225B">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5D90EF27">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476" w:type="pct"/>
            <w:tcBorders>
              <w:top w:val="single" w:color="auto" w:sz="4" w:space="0"/>
              <w:left w:val="single" w:color="auto" w:sz="4" w:space="0"/>
              <w:bottom w:val="single" w:color="auto" w:sz="4" w:space="0"/>
              <w:right w:val="single" w:color="auto" w:sz="4" w:space="0"/>
            </w:tcBorders>
            <w:vAlign w:val="center"/>
          </w:tcPr>
          <w:p w14:paraId="387DD2C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290" w:type="pct"/>
            <w:tcBorders>
              <w:top w:val="single" w:color="auto" w:sz="4" w:space="0"/>
              <w:left w:val="single" w:color="auto" w:sz="4" w:space="0"/>
              <w:bottom w:val="single" w:color="auto" w:sz="4" w:space="0"/>
              <w:right w:val="single" w:color="auto" w:sz="4" w:space="0"/>
            </w:tcBorders>
            <w:vAlign w:val="center"/>
          </w:tcPr>
          <w:p w14:paraId="58F1C440">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2F9A4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7625FB66">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801" w:type="pct"/>
            <w:tcBorders>
              <w:top w:val="single" w:color="auto" w:sz="4" w:space="0"/>
              <w:left w:val="single" w:color="auto" w:sz="4" w:space="0"/>
              <w:bottom w:val="single" w:color="auto" w:sz="4" w:space="0"/>
              <w:right w:val="single" w:color="auto" w:sz="4" w:space="0"/>
            </w:tcBorders>
            <w:vAlign w:val="center"/>
          </w:tcPr>
          <w:p w14:paraId="4BFE353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637D569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02" w:type="pct"/>
            <w:tcBorders>
              <w:top w:val="single" w:color="auto" w:sz="4" w:space="0"/>
              <w:left w:val="single" w:color="auto" w:sz="4" w:space="0"/>
              <w:bottom w:val="single" w:color="auto" w:sz="4" w:space="0"/>
              <w:right w:val="single" w:color="auto" w:sz="4" w:space="0"/>
            </w:tcBorders>
            <w:vAlign w:val="center"/>
          </w:tcPr>
          <w:p w14:paraId="11A04D4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6" w:type="pct"/>
            <w:tcBorders>
              <w:top w:val="single" w:color="auto" w:sz="4" w:space="0"/>
              <w:left w:val="single" w:color="auto" w:sz="4" w:space="0"/>
              <w:bottom w:val="single" w:color="auto" w:sz="4" w:space="0"/>
              <w:right w:val="single" w:color="auto" w:sz="4" w:space="0"/>
            </w:tcBorders>
          </w:tcPr>
          <w:p w14:paraId="145EC44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58A103C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8" w:type="pct"/>
            <w:tcBorders>
              <w:top w:val="single" w:color="auto" w:sz="4" w:space="0"/>
              <w:left w:val="single" w:color="auto" w:sz="4" w:space="0"/>
              <w:bottom w:val="single" w:color="auto" w:sz="4" w:space="0"/>
              <w:right w:val="single" w:color="auto" w:sz="4" w:space="0"/>
            </w:tcBorders>
            <w:vAlign w:val="center"/>
          </w:tcPr>
          <w:p w14:paraId="65A66E7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6" w:type="pct"/>
            <w:tcBorders>
              <w:top w:val="single" w:color="auto" w:sz="4" w:space="0"/>
              <w:left w:val="single" w:color="auto" w:sz="4" w:space="0"/>
              <w:bottom w:val="single" w:color="auto" w:sz="4" w:space="0"/>
              <w:right w:val="single" w:color="auto" w:sz="4" w:space="0"/>
            </w:tcBorders>
            <w:vAlign w:val="center"/>
          </w:tcPr>
          <w:p w14:paraId="2B9D116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290" w:type="pct"/>
            <w:tcBorders>
              <w:top w:val="single" w:color="auto" w:sz="4" w:space="0"/>
              <w:left w:val="single" w:color="auto" w:sz="4" w:space="0"/>
              <w:bottom w:val="single" w:color="auto" w:sz="4" w:space="0"/>
              <w:right w:val="single" w:color="auto" w:sz="4" w:space="0"/>
            </w:tcBorders>
            <w:vAlign w:val="center"/>
          </w:tcPr>
          <w:p w14:paraId="0E65363D">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251223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0FA75A0E">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801" w:type="pct"/>
            <w:tcBorders>
              <w:top w:val="single" w:color="auto" w:sz="4" w:space="0"/>
              <w:left w:val="single" w:color="auto" w:sz="4" w:space="0"/>
              <w:bottom w:val="single" w:color="auto" w:sz="4" w:space="0"/>
              <w:right w:val="single" w:color="auto" w:sz="4" w:space="0"/>
            </w:tcBorders>
            <w:vAlign w:val="center"/>
          </w:tcPr>
          <w:p w14:paraId="7376479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4AF7F33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02" w:type="pct"/>
            <w:tcBorders>
              <w:top w:val="single" w:color="auto" w:sz="4" w:space="0"/>
              <w:left w:val="single" w:color="auto" w:sz="4" w:space="0"/>
              <w:bottom w:val="single" w:color="auto" w:sz="4" w:space="0"/>
              <w:right w:val="single" w:color="auto" w:sz="4" w:space="0"/>
            </w:tcBorders>
            <w:vAlign w:val="center"/>
          </w:tcPr>
          <w:p w14:paraId="7B3C722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6" w:type="pct"/>
            <w:tcBorders>
              <w:top w:val="single" w:color="auto" w:sz="4" w:space="0"/>
              <w:left w:val="single" w:color="auto" w:sz="4" w:space="0"/>
              <w:bottom w:val="single" w:color="auto" w:sz="4" w:space="0"/>
              <w:right w:val="single" w:color="auto" w:sz="4" w:space="0"/>
            </w:tcBorders>
          </w:tcPr>
          <w:p w14:paraId="6244C38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0F1FB80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8" w:type="pct"/>
            <w:tcBorders>
              <w:top w:val="single" w:color="auto" w:sz="4" w:space="0"/>
              <w:left w:val="single" w:color="auto" w:sz="4" w:space="0"/>
              <w:bottom w:val="single" w:color="auto" w:sz="4" w:space="0"/>
              <w:right w:val="single" w:color="auto" w:sz="4" w:space="0"/>
            </w:tcBorders>
            <w:vAlign w:val="center"/>
          </w:tcPr>
          <w:p w14:paraId="0E1F98C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6" w:type="pct"/>
            <w:tcBorders>
              <w:top w:val="single" w:color="auto" w:sz="4" w:space="0"/>
              <w:left w:val="single" w:color="auto" w:sz="4" w:space="0"/>
              <w:bottom w:val="single" w:color="auto" w:sz="4" w:space="0"/>
              <w:right w:val="single" w:color="auto" w:sz="4" w:space="0"/>
            </w:tcBorders>
            <w:vAlign w:val="center"/>
          </w:tcPr>
          <w:p w14:paraId="0820B89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290" w:type="pct"/>
            <w:tcBorders>
              <w:top w:val="single" w:color="auto" w:sz="4" w:space="0"/>
              <w:left w:val="single" w:color="auto" w:sz="4" w:space="0"/>
              <w:bottom w:val="single" w:color="auto" w:sz="4" w:space="0"/>
              <w:right w:val="single" w:color="auto" w:sz="4" w:space="0"/>
            </w:tcBorders>
            <w:vAlign w:val="center"/>
          </w:tcPr>
          <w:p w14:paraId="2A811A7D">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2770C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2171B7E8">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801" w:type="pct"/>
            <w:tcBorders>
              <w:top w:val="single" w:color="auto" w:sz="4" w:space="0"/>
              <w:left w:val="single" w:color="auto" w:sz="4" w:space="0"/>
              <w:bottom w:val="single" w:color="auto" w:sz="4" w:space="0"/>
              <w:right w:val="single" w:color="auto" w:sz="4" w:space="0"/>
            </w:tcBorders>
            <w:vAlign w:val="center"/>
          </w:tcPr>
          <w:p w14:paraId="3A88EDC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06CB9B8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02" w:type="pct"/>
            <w:tcBorders>
              <w:top w:val="single" w:color="auto" w:sz="4" w:space="0"/>
              <w:left w:val="single" w:color="auto" w:sz="4" w:space="0"/>
              <w:bottom w:val="single" w:color="auto" w:sz="4" w:space="0"/>
              <w:right w:val="single" w:color="auto" w:sz="4" w:space="0"/>
            </w:tcBorders>
            <w:vAlign w:val="center"/>
          </w:tcPr>
          <w:p w14:paraId="78172B3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6" w:type="pct"/>
            <w:tcBorders>
              <w:top w:val="single" w:color="auto" w:sz="4" w:space="0"/>
              <w:left w:val="single" w:color="auto" w:sz="4" w:space="0"/>
              <w:bottom w:val="single" w:color="auto" w:sz="4" w:space="0"/>
              <w:right w:val="single" w:color="auto" w:sz="4" w:space="0"/>
            </w:tcBorders>
          </w:tcPr>
          <w:p w14:paraId="7C35380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298F31A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8" w:type="pct"/>
            <w:tcBorders>
              <w:top w:val="single" w:color="auto" w:sz="4" w:space="0"/>
              <w:left w:val="single" w:color="auto" w:sz="4" w:space="0"/>
              <w:bottom w:val="single" w:color="auto" w:sz="4" w:space="0"/>
              <w:right w:val="single" w:color="auto" w:sz="4" w:space="0"/>
            </w:tcBorders>
            <w:vAlign w:val="center"/>
          </w:tcPr>
          <w:p w14:paraId="5835D64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6" w:type="pct"/>
            <w:tcBorders>
              <w:top w:val="single" w:color="auto" w:sz="4" w:space="0"/>
              <w:left w:val="single" w:color="auto" w:sz="4" w:space="0"/>
              <w:bottom w:val="single" w:color="auto" w:sz="4" w:space="0"/>
              <w:right w:val="single" w:color="auto" w:sz="4" w:space="0"/>
            </w:tcBorders>
            <w:vAlign w:val="center"/>
          </w:tcPr>
          <w:p w14:paraId="00307D4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290" w:type="pct"/>
            <w:tcBorders>
              <w:top w:val="single" w:color="auto" w:sz="4" w:space="0"/>
              <w:left w:val="single" w:color="auto" w:sz="4" w:space="0"/>
              <w:bottom w:val="single" w:color="auto" w:sz="4" w:space="0"/>
              <w:right w:val="single" w:color="auto" w:sz="4" w:space="0"/>
            </w:tcBorders>
            <w:vAlign w:val="center"/>
          </w:tcPr>
          <w:p w14:paraId="4FFE99A7">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0AA4F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54688034">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801" w:type="pct"/>
            <w:tcBorders>
              <w:top w:val="single" w:color="auto" w:sz="4" w:space="0"/>
              <w:left w:val="single" w:color="auto" w:sz="4" w:space="0"/>
              <w:bottom w:val="single" w:color="auto" w:sz="4" w:space="0"/>
              <w:right w:val="single" w:color="auto" w:sz="4" w:space="0"/>
            </w:tcBorders>
            <w:vAlign w:val="center"/>
          </w:tcPr>
          <w:p w14:paraId="453BC3E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58EDD88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02" w:type="pct"/>
            <w:tcBorders>
              <w:top w:val="single" w:color="auto" w:sz="4" w:space="0"/>
              <w:left w:val="single" w:color="auto" w:sz="4" w:space="0"/>
              <w:bottom w:val="single" w:color="auto" w:sz="4" w:space="0"/>
              <w:right w:val="single" w:color="auto" w:sz="4" w:space="0"/>
            </w:tcBorders>
            <w:vAlign w:val="center"/>
          </w:tcPr>
          <w:p w14:paraId="61CBEBF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6" w:type="pct"/>
            <w:tcBorders>
              <w:top w:val="single" w:color="auto" w:sz="4" w:space="0"/>
              <w:left w:val="single" w:color="auto" w:sz="4" w:space="0"/>
              <w:bottom w:val="single" w:color="auto" w:sz="4" w:space="0"/>
              <w:right w:val="single" w:color="auto" w:sz="4" w:space="0"/>
            </w:tcBorders>
          </w:tcPr>
          <w:p w14:paraId="535DD6C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0F0912C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8" w:type="pct"/>
            <w:tcBorders>
              <w:top w:val="single" w:color="auto" w:sz="4" w:space="0"/>
              <w:left w:val="single" w:color="auto" w:sz="4" w:space="0"/>
              <w:bottom w:val="single" w:color="auto" w:sz="4" w:space="0"/>
              <w:right w:val="single" w:color="auto" w:sz="4" w:space="0"/>
            </w:tcBorders>
            <w:vAlign w:val="center"/>
          </w:tcPr>
          <w:p w14:paraId="73BFE98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6" w:type="pct"/>
            <w:tcBorders>
              <w:top w:val="single" w:color="auto" w:sz="4" w:space="0"/>
              <w:left w:val="single" w:color="auto" w:sz="4" w:space="0"/>
              <w:bottom w:val="single" w:color="auto" w:sz="4" w:space="0"/>
              <w:right w:val="single" w:color="auto" w:sz="4" w:space="0"/>
            </w:tcBorders>
            <w:vAlign w:val="center"/>
          </w:tcPr>
          <w:p w14:paraId="4064975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290" w:type="pct"/>
            <w:tcBorders>
              <w:top w:val="single" w:color="auto" w:sz="4" w:space="0"/>
              <w:left w:val="single" w:color="auto" w:sz="4" w:space="0"/>
              <w:bottom w:val="single" w:color="auto" w:sz="4" w:space="0"/>
              <w:right w:val="single" w:color="auto" w:sz="4" w:space="0"/>
            </w:tcBorders>
            <w:vAlign w:val="center"/>
          </w:tcPr>
          <w:p w14:paraId="4F57E239">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408E907F">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55776900">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448AB88B">
      <w:pPr>
        <w:autoSpaceDE w:val="0"/>
        <w:autoSpaceDN w:val="0"/>
        <w:adjustRightInd w:val="0"/>
        <w:snapToGrid w:val="0"/>
        <w:spacing w:line="360" w:lineRule="auto"/>
        <w:ind w:left="481" w:leftChars="-41" w:hanging="567" w:hangingChars="270"/>
        <w:jc w:val="left"/>
        <w:rPr>
          <w:rFonts w:ascii="宋体" w:hAnsi="宋体" w:eastAsia="宋体" w:cs="Times New Roman"/>
          <w:b/>
          <w:bCs/>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宋体"/>
          <w:b/>
          <w:bCs/>
          <w:color w:val="auto"/>
          <w:szCs w:val="21"/>
          <w:highlight w:val="none"/>
        </w:rPr>
        <w:t>同一个单项合同的业绩可以同时在资格业绩和评分业绩重复放置</w:t>
      </w:r>
      <w:r>
        <w:rPr>
          <w:rFonts w:hint="eastAsia" w:ascii="宋体" w:hAnsi="宋体" w:eastAsia="宋体" w:cs="Times New Roman"/>
          <w:b/>
          <w:bCs/>
          <w:color w:val="auto"/>
          <w:szCs w:val="24"/>
          <w:highlight w:val="none"/>
          <w:lang w:val="zh-CN"/>
        </w:rPr>
        <w:t>；</w:t>
      </w:r>
    </w:p>
    <w:p w14:paraId="765E27E8">
      <w:pPr>
        <w:snapToGrid w:val="0"/>
        <w:spacing w:line="360" w:lineRule="auto"/>
        <w:ind w:left="396" w:leftChars="-58" w:hanging="518" w:hangingChars="247"/>
        <w:rPr>
          <w:rFonts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b/>
          <w:bCs/>
          <w:color w:val="auto"/>
          <w:szCs w:val="21"/>
          <w:highlight w:val="none"/>
        </w:rPr>
        <w:t>业绩须同时提供①运维维修工器具类物资销售合同复印件（合同卖方为投标人，需显示合同买方公章）；②已供货产品任意一张发票复印件（发票开具日期须在本项目招标公告发布之日前）；</w:t>
      </w:r>
    </w:p>
    <w:p w14:paraId="57384694">
      <w:pPr>
        <w:snapToGrid w:val="0"/>
        <w:spacing w:line="360" w:lineRule="auto"/>
        <w:ind w:left="399" w:leftChars="-58" w:hanging="521" w:hangingChars="247"/>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（3）合同必须能反映评分条件【合同签订日期为202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年1月1日或以后，合同标的必须包含运维维修工器具类物资（即五金材料、维修工具及材料、巡查养护工具及材料中任意一类）、合同金额，如合同中有多种产品的，以合同中运维维修工器具类物资的金额为准】，否则，需同时提供合同买方出具的书面补充说明文件复印件作为证明文件（书面补充说明文件复印件需能显示合同买方公章）；</w:t>
      </w:r>
    </w:p>
    <w:p w14:paraId="7951A40C">
      <w:pPr>
        <w:snapToGrid w:val="0"/>
        <w:spacing w:line="360" w:lineRule="auto"/>
        <w:ind w:left="399" w:leftChars="-58" w:hanging="521" w:hangingChars="247"/>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（4）若业绩为框架式协议或资格入围无明确金额的合同，必须同时提供合同期限内已供货产品发票金额统计表和发票复印件；</w:t>
      </w:r>
    </w:p>
    <w:p w14:paraId="0AE3F854">
      <w:pPr>
        <w:snapToGrid w:val="0"/>
        <w:spacing w:line="360" w:lineRule="auto"/>
        <w:ind w:left="399" w:leftChars="-58" w:hanging="521" w:hangingChars="247"/>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（5）未按上述要求在此格式下提供证明材料的业绩，或在此格式下所附材料无法证明填报项目属投标人完成的或符合本项评分要求的业绩，在评标时将不予考虑。</w:t>
      </w:r>
    </w:p>
    <w:p w14:paraId="178405E1">
      <w:pPr>
        <w:snapToGrid w:val="0"/>
        <w:spacing w:line="360" w:lineRule="auto"/>
        <w:ind w:left="399" w:leftChars="-58" w:hanging="521" w:hangingChars="247"/>
        <w:rPr>
          <w:rFonts w:hint="eastAsia" w:ascii="宋体" w:hAnsi="宋体" w:eastAsia="宋体" w:cs="宋体"/>
          <w:b/>
          <w:color w:val="auto"/>
          <w:szCs w:val="21"/>
          <w:highlight w:val="none"/>
        </w:rPr>
      </w:pPr>
    </w:p>
    <w:p w14:paraId="29079CFA">
      <w:pPr>
        <w:snapToGrid w:val="0"/>
        <w:spacing w:line="360" w:lineRule="auto"/>
        <w:ind w:left="399" w:leftChars="-58" w:hanging="521" w:hangingChars="247"/>
        <w:rPr>
          <w:rFonts w:ascii="宋体" w:hAnsi="宋体" w:eastAsia="宋体" w:cs="宋体"/>
          <w:color w:val="auto"/>
          <w:szCs w:val="21"/>
          <w:highlight w:val="none"/>
        </w:rPr>
      </w:pPr>
      <w:r>
        <w:rPr>
          <w:rFonts w:hint="eastAsia" w:ascii="宋体" w:hAnsi="宋体" w:eastAsia="宋体" w:cs="宋体"/>
          <w:b/>
          <w:color w:val="auto"/>
          <w:szCs w:val="21"/>
          <w:highlight w:val="none"/>
        </w:rPr>
        <w:t>说明：运维维修工器具指五金材料、维修工具及材料、巡查养护工具及材料，投标人提供的业绩包含以上任一类即可得分。</w:t>
      </w:r>
    </w:p>
    <w:p w14:paraId="7BAE559D">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00F67523">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5C9D65C5">
      <w:pPr>
        <w:pageBreakBefore/>
        <w:snapToGrid w:val="0"/>
        <w:spacing w:line="360" w:lineRule="auto"/>
        <w:ind w:left="671" w:leftChars="-58" w:right="420" w:hanging="793" w:hangingChars="247"/>
        <w:jc w:val="center"/>
        <w:rPr>
          <w:rFonts w:ascii="宋体" w:hAnsi="宋体" w:eastAsia="宋体" w:cs="宋体"/>
          <w:b/>
          <w:color w:val="auto"/>
          <w:sz w:val="32"/>
          <w:highlight w:val="none"/>
        </w:rPr>
      </w:pPr>
      <w:r>
        <w:rPr>
          <w:rFonts w:hint="eastAsia" w:ascii="宋体" w:hAnsi="宋体" w:eastAsia="宋体" w:cs="宋体"/>
          <w:b/>
          <w:color w:val="auto"/>
          <w:sz w:val="32"/>
          <w:highlight w:val="none"/>
        </w:rPr>
        <w:t>附表：已供货运维维修工器具类物资发票金额统计表</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2943"/>
        <w:gridCol w:w="1947"/>
        <w:gridCol w:w="1489"/>
        <w:gridCol w:w="1746"/>
        <w:gridCol w:w="1286"/>
        <w:gridCol w:w="13"/>
      </w:tblGrid>
      <w:tr w14:paraId="1232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pct"/>
            <w:gridSpan w:val="2"/>
            <w:tcBorders>
              <w:top w:val="single" w:color="auto" w:sz="4" w:space="0"/>
              <w:left w:val="single" w:color="auto" w:sz="4" w:space="0"/>
              <w:bottom w:val="single" w:color="auto" w:sz="4" w:space="0"/>
              <w:right w:val="single" w:color="auto" w:sz="4" w:space="0"/>
            </w:tcBorders>
            <w:vAlign w:val="center"/>
          </w:tcPr>
          <w:p w14:paraId="669694F3">
            <w:pPr>
              <w:pStyle w:val="21"/>
              <w:snapToGrid w:val="0"/>
              <w:spacing w:line="360" w:lineRule="auto"/>
              <w:ind w:left="0" w:leftChars="0"/>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3125" w:type="pct"/>
            <w:gridSpan w:val="5"/>
            <w:tcBorders>
              <w:top w:val="single" w:color="auto" w:sz="4" w:space="0"/>
              <w:left w:val="single" w:color="auto" w:sz="4" w:space="0"/>
              <w:bottom w:val="single" w:color="auto" w:sz="4" w:space="0"/>
              <w:right w:val="single" w:color="auto" w:sz="4" w:space="0"/>
            </w:tcBorders>
            <w:vAlign w:val="center"/>
          </w:tcPr>
          <w:p w14:paraId="014F2709">
            <w:pPr>
              <w:pStyle w:val="21"/>
              <w:snapToGrid w:val="0"/>
              <w:spacing w:line="360" w:lineRule="auto"/>
              <w:ind w:left="0" w:leftChars="0"/>
              <w:jc w:val="center"/>
              <w:rPr>
                <w:rFonts w:ascii="宋体" w:hAnsi="宋体" w:cs="宋体"/>
                <w:color w:val="auto"/>
                <w:szCs w:val="21"/>
                <w:highlight w:val="none"/>
              </w:rPr>
            </w:pPr>
          </w:p>
        </w:tc>
      </w:tr>
      <w:tr w14:paraId="6AB1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pct"/>
            <w:gridSpan w:val="2"/>
            <w:tcBorders>
              <w:top w:val="single" w:color="auto" w:sz="4" w:space="0"/>
              <w:left w:val="single" w:color="auto" w:sz="4" w:space="0"/>
              <w:bottom w:val="single" w:color="auto" w:sz="4" w:space="0"/>
              <w:right w:val="single" w:color="auto" w:sz="4" w:space="0"/>
            </w:tcBorders>
            <w:vAlign w:val="center"/>
          </w:tcPr>
          <w:p w14:paraId="2B7BE638">
            <w:pPr>
              <w:pStyle w:val="21"/>
              <w:snapToGrid w:val="0"/>
              <w:spacing w:line="360" w:lineRule="auto"/>
              <w:ind w:left="0" w:leftChars="0"/>
              <w:jc w:val="center"/>
              <w:rPr>
                <w:rFonts w:ascii="宋体" w:hAnsi="宋体" w:cs="宋体"/>
                <w:color w:val="auto"/>
                <w:szCs w:val="21"/>
                <w:highlight w:val="none"/>
              </w:rPr>
            </w:pPr>
            <w:r>
              <w:rPr>
                <w:rFonts w:hint="eastAsia" w:ascii="宋体" w:hAnsi="宋体" w:cs="宋体"/>
                <w:color w:val="auto"/>
                <w:szCs w:val="21"/>
                <w:highlight w:val="none"/>
              </w:rPr>
              <w:t>合同约定的供货期</w:t>
            </w:r>
          </w:p>
        </w:tc>
        <w:tc>
          <w:tcPr>
            <w:tcW w:w="3125" w:type="pct"/>
            <w:gridSpan w:val="5"/>
            <w:tcBorders>
              <w:top w:val="single" w:color="auto" w:sz="4" w:space="0"/>
              <w:left w:val="single" w:color="auto" w:sz="4" w:space="0"/>
              <w:bottom w:val="single" w:color="auto" w:sz="4" w:space="0"/>
              <w:right w:val="single" w:color="auto" w:sz="4" w:space="0"/>
            </w:tcBorders>
            <w:vAlign w:val="center"/>
          </w:tcPr>
          <w:p w14:paraId="79F7993D">
            <w:pPr>
              <w:pStyle w:val="21"/>
              <w:snapToGrid w:val="0"/>
              <w:spacing w:line="360" w:lineRule="auto"/>
              <w:ind w:left="0" w:leftChars="0"/>
              <w:jc w:val="center"/>
              <w:rPr>
                <w:rFonts w:ascii="宋体" w:hAnsi="宋体" w:cs="宋体"/>
                <w:color w:val="auto"/>
                <w:szCs w:val="21"/>
                <w:highlight w:val="none"/>
              </w:rPr>
            </w:pPr>
          </w:p>
        </w:tc>
      </w:tr>
      <w:tr w14:paraId="4261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pct"/>
            <w:gridSpan w:val="2"/>
            <w:tcBorders>
              <w:top w:val="single" w:color="auto" w:sz="4" w:space="0"/>
              <w:left w:val="single" w:color="auto" w:sz="4" w:space="0"/>
              <w:bottom w:val="single" w:color="auto" w:sz="4" w:space="0"/>
              <w:right w:val="single" w:color="auto" w:sz="4" w:space="0"/>
            </w:tcBorders>
            <w:vAlign w:val="center"/>
          </w:tcPr>
          <w:p w14:paraId="69458596">
            <w:pPr>
              <w:pStyle w:val="21"/>
              <w:snapToGrid w:val="0"/>
              <w:spacing w:line="360" w:lineRule="auto"/>
              <w:ind w:left="0" w:leftChars="0"/>
              <w:jc w:val="center"/>
              <w:rPr>
                <w:rFonts w:ascii="宋体" w:hAnsi="宋体" w:cs="宋体"/>
                <w:color w:val="auto"/>
                <w:szCs w:val="21"/>
                <w:highlight w:val="none"/>
              </w:rPr>
            </w:pPr>
            <w:r>
              <w:rPr>
                <w:rFonts w:hint="eastAsia" w:ascii="宋体" w:hAnsi="宋体" w:cs="宋体"/>
                <w:color w:val="auto"/>
                <w:szCs w:val="21"/>
                <w:highlight w:val="none"/>
              </w:rPr>
              <w:t>发票抬头（</w:t>
            </w:r>
            <w:r>
              <w:rPr>
                <w:rFonts w:hint="eastAsia" w:ascii="宋体" w:hAnsi="宋体" w:cs="宋体"/>
                <w:color w:val="auto"/>
                <w:highlight w:val="none"/>
              </w:rPr>
              <w:t>合同买方）</w:t>
            </w:r>
          </w:p>
        </w:tc>
        <w:tc>
          <w:tcPr>
            <w:tcW w:w="3125" w:type="pct"/>
            <w:gridSpan w:val="5"/>
            <w:tcBorders>
              <w:top w:val="single" w:color="auto" w:sz="4" w:space="0"/>
              <w:left w:val="single" w:color="auto" w:sz="4" w:space="0"/>
              <w:bottom w:val="single" w:color="auto" w:sz="4" w:space="0"/>
              <w:right w:val="single" w:color="auto" w:sz="4" w:space="0"/>
            </w:tcBorders>
            <w:vAlign w:val="center"/>
          </w:tcPr>
          <w:p w14:paraId="16857FF3">
            <w:pPr>
              <w:pStyle w:val="21"/>
              <w:snapToGrid w:val="0"/>
              <w:spacing w:line="360" w:lineRule="auto"/>
              <w:ind w:left="0" w:leftChars="0"/>
              <w:jc w:val="center"/>
              <w:rPr>
                <w:rFonts w:ascii="宋体" w:hAnsi="宋体" w:cs="宋体"/>
                <w:color w:val="auto"/>
                <w:szCs w:val="21"/>
                <w:highlight w:val="none"/>
              </w:rPr>
            </w:pPr>
          </w:p>
        </w:tc>
      </w:tr>
      <w:tr w14:paraId="0CFA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jc w:val="center"/>
        </w:trPr>
        <w:tc>
          <w:tcPr>
            <w:tcW w:w="456" w:type="pct"/>
            <w:tcBorders>
              <w:top w:val="single" w:color="auto" w:sz="4" w:space="0"/>
              <w:left w:val="single" w:color="auto" w:sz="4" w:space="0"/>
              <w:bottom w:val="single" w:color="auto" w:sz="4" w:space="0"/>
              <w:right w:val="single" w:color="auto" w:sz="4" w:space="0"/>
            </w:tcBorders>
            <w:vAlign w:val="center"/>
          </w:tcPr>
          <w:p w14:paraId="07824694">
            <w:pPr>
              <w:pStyle w:val="21"/>
              <w:snapToGrid w:val="0"/>
              <w:spacing w:line="360" w:lineRule="auto"/>
              <w:ind w:left="0" w:leftChars="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18" w:type="pct"/>
            <w:tcBorders>
              <w:top w:val="single" w:color="auto" w:sz="4" w:space="0"/>
              <w:left w:val="single" w:color="auto" w:sz="4" w:space="0"/>
              <w:bottom w:val="single" w:color="auto" w:sz="4" w:space="0"/>
              <w:right w:val="single" w:color="auto" w:sz="4" w:space="0"/>
            </w:tcBorders>
            <w:vAlign w:val="center"/>
          </w:tcPr>
          <w:p w14:paraId="1A361BEC">
            <w:pPr>
              <w:pStyle w:val="21"/>
              <w:snapToGrid w:val="0"/>
              <w:spacing w:line="360" w:lineRule="auto"/>
              <w:ind w:left="0" w:leftChars="0"/>
              <w:jc w:val="center"/>
              <w:rPr>
                <w:rFonts w:ascii="宋体" w:hAnsi="宋体" w:cs="宋体"/>
                <w:color w:val="auto"/>
                <w:szCs w:val="21"/>
                <w:highlight w:val="none"/>
              </w:rPr>
            </w:pPr>
            <w:r>
              <w:rPr>
                <w:rFonts w:hint="eastAsia" w:ascii="宋体" w:hAnsi="宋体" w:cs="宋体"/>
                <w:color w:val="auto"/>
                <w:szCs w:val="21"/>
                <w:highlight w:val="none"/>
              </w:rPr>
              <w:t>发票名目</w:t>
            </w:r>
          </w:p>
        </w:tc>
        <w:tc>
          <w:tcPr>
            <w:tcW w:w="939" w:type="pct"/>
            <w:tcBorders>
              <w:top w:val="single" w:color="auto" w:sz="4" w:space="0"/>
              <w:left w:val="single" w:color="auto" w:sz="4" w:space="0"/>
              <w:bottom w:val="single" w:color="auto" w:sz="4" w:space="0"/>
              <w:right w:val="single" w:color="auto" w:sz="4" w:space="0"/>
            </w:tcBorders>
            <w:vAlign w:val="center"/>
          </w:tcPr>
          <w:p w14:paraId="1A9FD8EC">
            <w:pPr>
              <w:pStyle w:val="21"/>
              <w:snapToGrid w:val="0"/>
              <w:spacing w:line="360" w:lineRule="auto"/>
              <w:ind w:left="0" w:leftChars="0"/>
              <w:jc w:val="center"/>
              <w:rPr>
                <w:rFonts w:ascii="宋体" w:hAnsi="宋体" w:cs="宋体"/>
                <w:color w:val="auto"/>
                <w:szCs w:val="21"/>
                <w:highlight w:val="none"/>
              </w:rPr>
            </w:pPr>
            <w:r>
              <w:rPr>
                <w:rFonts w:hint="eastAsia" w:ascii="宋体" w:hAnsi="宋体" w:cs="宋体"/>
                <w:color w:val="auto"/>
                <w:szCs w:val="21"/>
                <w:highlight w:val="none"/>
              </w:rPr>
              <w:t>运维维修工器具类物资发票金额</w:t>
            </w:r>
            <w:r>
              <w:rPr>
                <w:rFonts w:hint="eastAsia" w:ascii="宋体" w:hAnsi="宋体" w:cs="宋体"/>
                <w:b/>
                <w:bCs/>
                <w:color w:val="auto"/>
                <w:szCs w:val="21"/>
                <w:highlight w:val="none"/>
              </w:rPr>
              <w:t>（单位：万元）</w:t>
            </w:r>
          </w:p>
        </w:tc>
        <w:tc>
          <w:tcPr>
            <w:tcW w:w="718" w:type="pct"/>
            <w:tcBorders>
              <w:top w:val="single" w:color="auto" w:sz="4" w:space="0"/>
              <w:left w:val="single" w:color="auto" w:sz="4" w:space="0"/>
              <w:bottom w:val="single" w:color="auto" w:sz="4" w:space="0"/>
              <w:right w:val="single" w:color="auto" w:sz="4" w:space="0"/>
            </w:tcBorders>
            <w:vAlign w:val="center"/>
          </w:tcPr>
          <w:p w14:paraId="2EBBF688">
            <w:pPr>
              <w:pStyle w:val="21"/>
              <w:snapToGrid w:val="0"/>
              <w:spacing w:line="360" w:lineRule="auto"/>
              <w:ind w:left="0" w:leftChars="0"/>
              <w:jc w:val="center"/>
              <w:rPr>
                <w:rFonts w:ascii="宋体" w:hAnsi="宋体" w:cs="宋体"/>
                <w:color w:val="auto"/>
                <w:szCs w:val="21"/>
                <w:highlight w:val="none"/>
              </w:rPr>
            </w:pPr>
            <w:r>
              <w:rPr>
                <w:rFonts w:hint="eastAsia" w:ascii="宋体" w:hAnsi="宋体" w:cs="宋体"/>
                <w:color w:val="auto"/>
                <w:szCs w:val="21"/>
                <w:highlight w:val="none"/>
              </w:rPr>
              <w:t>发票号码</w:t>
            </w:r>
          </w:p>
        </w:tc>
        <w:tc>
          <w:tcPr>
            <w:tcW w:w="842" w:type="pct"/>
            <w:tcBorders>
              <w:top w:val="single" w:color="auto" w:sz="4" w:space="0"/>
              <w:left w:val="single" w:color="auto" w:sz="4" w:space="0"/>
              <w:bottom w:val="single" w:color="auto" w:sz="4" w:space="0"/>
              <w:right w:val="single" w:color="auto" w:sz="4" w:space="0"/>
            </w:tcBorders>
            <w:vAlign w:val="center"/>
          </w:tcPr>
          <w:p w14:paraId="26C57329">
            <w:pPr>
              <w:pStyle w:val="21"/>
              <w:snapToGrid w:val="0"/>
              <w:spacing w:line="360" w:lineRule="auto"/>
              <w:ind w:left="0" w:leftChars="0"/>
              <w:jc w:val="center"/>
              <w:rPr>
                <w:rFonts w:ascii="宋体" w:hAnsi="宋体" w:cs="宋体"/>
                <w:color w:val="auto"/>
                <w:szCs w:val="21"/>
                <w:highlight w:val="none"/>
              </w:rPr>
            </w:pPr>
            <w:r>
              <w:rPr>
                <w:rFonts w:hint="eastAsia" w:ascii="宋体" w:hAnsi="宋体" w:cs="宋体"/>
                <w:color w:val="auto"/>
                <w:szCs w:val="21"/>
                <w:highlight w:val="none"/>
              </w:rPr>
              <w:t>发票所属时期</w:t>
            </w:r>
          </w:p>
        </w:tc>
        <w:tc>
          <w:tcPr>
            <w:tcW w:w="620" w:type="pct"/>
            <w:tcBorders>
              <w:top w:val="single" w:color="auto" w:sz="4" w:space="0"/>
              <w:left w:val="single" w:color="auto" w:sz="4" w:space="0"/>
              <w:bottom w:val="single" w:color="auto" w:sz="4" w:space="0"/>
              <w:right w:val="single" w:color="auto" w:sz="4" w:space="0"/>
            </w:tcBorders>
            <w:vAlign w:val="center"/>
          </w:tcPr>
          <w:p w14:paraId="27BF8DF9">
            <w:pPr>
              <w:pStyle w:val="21"/>
              <w:snapToGrid w:val="0"/>
              <w:spacing w:line="360" w:lineRule="auto"/>
              <w:ind w:left="0" w:leftChars="0"/>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6A72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jc w:val="center"/>
        </w:trPr>
        <w:tc>
          <w:tcPr>
            <w:tcW w:w="456" w:type="pct"/>
            <w:tcBorders>
              <w:top w:val="single" w:color="auto" w:sz="4" w:space="0"/>
              <w:left w:val="single" w:color="auto" w:sz="4" w:space="0"/>
              <w:bottom w:val="single" w:color="auto" w:sz="4" w:space="0"/>
              <w:right w:val="single" w:color="auto" w:sz="4" w:space="0"/>
            </w:tcBorders>
            <w:vAlign w:val="center"/>
          </w:tcPr>
          <w:p w14:paraId="6FBFE2CE">
            <w:pPr>
              <w:pStyle w:val="21"/>
              <w:snapToGrid w:val="0"/>
              <w:spacing w:line="360" w:lineRule="auto"/>
              <w:ind w:left="0" w:leftChars="0"/>
              <w:jc w:val="center"/>
              <w:rPr>
                <w:rFonts w:ascii="宋体" w:hAnsi="宋体" w:cs="宋体"/>
                <w:color w:val="auto"/>
                <w:szCs w:val="21"/>
                <w:highlight w:val="none"/>
              </w:rPr>
            </w:pPr>
            <w:r>
              <w:rPr>
                <w:rFonts w:hint="eastAsia" w:ascii="宋体" w:hAnsi="宋体" w:cs="宋体"/>
                <w:color w:val="auto"/>
                <w:szCs w:val="21"/>
                <w:highlight w:val="none"/>
              </w:rPr>
              <w:t>1</w:t>
            </w:r>
          </w:p>
        </w:tc>
        <w:tc>
          <w:tcPr>
            <w:tcW w:w="1418" w:type="pct"/>
            <w:tcBorders>
              <w:top w:val="single" w:color="auto" w:sz="4" w:space="0"/>
              <w:left w:val="single" w:color="auto" w:sz="4" w:space="0"/>
              <w:bottom w:val="single" w:color="auto" w:sz="4" w:space="0"/>
              <w:right w:val="single" w:color="auto" w:sz="4" w:space="0"/>
            </w:tcBorders>
            <w:vAlign w:val="center"/>
          </w:tcPr>
          <w:p w14:paraId="7D6370A7">
            <w:pPr>
              <w:pStyle w:val="21"/>
              <w:snapToGrid w:val="0"/>
              <w:spacing w:line="360" w:lineRule="auto"/>
              <w:ind w:left="0" w:leftChars="0"/>
              <w:jc w:val="center"/>
              <w:rPr>
                <w:rFonts w:ascii="宋体" w:hAnsi="宋体" w:cs="宋体"/>
                <w:color w:val="auto"/>
                <w:szCs w:val="21"/>
                <w:highlight w:val="none"/>
              </w:rPr>
            </w:pPr>
          </w:p>
        </w:tc>
        <w:tc>
          <w:tcPr>
            <w:tcW w:w="939" w:type="pct"/>
            <w:tcBorders>
              <w:top w:val="single" w:color="auto" w:sz="4" w:space="0"/>
              <w:left w:val="single" w:color="auto" w:sz="4" w:space="0"/>
              <w:bottom w:val="single" w:color="auto" w:sz="4" w:space="0"/>
              <w:right w:val="single" w:color="auto" w:sz="4" w:space="0"/>
            </w:tcBorders>
            <w:vAlign w:val="center"/>
          </w:tcPr>
          <w:p w14:paraId="747EA033">
            <w:pPr>
              <w:pStyle w:val="21"/>
              <w:snapToGrid w:val="0"/>
              <w:spacing w:line="360" w:lineRule="auto"/>
              <w:ind w:left="0" w:leftChars="0"/>
              <w:jc w:val="center"/>
              <w:rPr>
                <w:rFonts w:ascii="宋体" w:hAnsi="宋体" w:cs="宋体"/>
                <w:color w:val="auto"/>
                <w:szCs w:val="21"/>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3F8157D4">
            <w:pPr>
              <w:pStyle w:val="21"/>
              <w:snapToGrid w:val="0"/>
              <w:spacing w:line="360" w:lineRule="auto"/>
              <w:ind w:left="0" w:leftChars="0"/>
              <w:jc w:val="center"/>
              <w:rPr>
                <w:rFonts w:ascii="宋体" w:hAnsi="宋体" w:cs="宋体"/>
                <w:color w:val="auto"/>
                <w:szCs w:val="21"/>
                <w:highlight w:val="none"/>
              </w:rPr>
            </w:pPr>
          </w:p>
        </w:tc>
        <w:tc>
          <w:tcPr>
            <w:tcW w:w="842" w:type="pct"/>
            <w:tcBorders>
              <w:top w:val="single" w:color="auto" w:sz="4" w:space="0"/>
              <w:left w:val="single" w:color="auto" w:sz="4" w:space="0"/>
              <w:bottom w:val="single" w:color="auto" w:sz="4" w:space="0"/>
              <w:right w:val="single" w:color="auto" w:sz="4" w:space="0"/>
            </w:tcBorders>
            <w:vAlign w:val="center"/>
          </w:tcPr>
          <w:p w14:paraId="280B47E7">
            <w:pPr>
              <w:pStyle w:val="21"/>
              <w:snapToGrid w:val="0"/>
              <w:spacing w:line="360" w:lineRule="auto"/>
              <w:ind w:left="0" w:leftChars="0"/>
              <w:jc w:val="center"/>
              <w:rPr>
                <w:rFonts w:ascii="宋体" w:hAnsi="宋体" w:cs="宋体"/>
                <w:color w:val="auto"/>
                <w:szCs w:val="21"/>
                <w:highlight w:val="none"/>
              </w:rPr>
            </w:pPr>
          </w:p>
        </w:tc>
        <w:tc>
          <w:tcPr>
            <w:tcW w:w="620" w:type="pct"/>
            <w:tcBorders>
              <w:top w:val="single" w:color="auto" w:sz="4" w:space="0"/>
              <w:left w:val="single" w:color="auto" w:sz="4" w:space="0"/>
              <w:bottom w:val="single" w:color="auto" w:sz="4" w:space="0"/>
              <w:right w:val="single" w:color="auto" w:sz="4" w:space="0"/>
            </w:tcBorders>
            <w:vAlign w:val="center"/>
          </w:tcPr>
          <w:p w14:paraId="15AC419F">
            <w:pPr>
              <w:pStyle w:val="21"/>
              <w:snapToGrid w:val="0"/>
              <w:spacing w:line="360" w:lineRule="auto"/>
              <w:ind w:left="0" w:leftChars="0"/>
              <w:jc w:val="center"/>
              <w:rPr>
                <w:rFonts w:ascii="宋体" w:hAnsi="宋体" w:cs="宋体"/>
                <w:color w:val="auto"/>
                <w:szCs w:val="21"/>
                <w:highlight w:val="none"/>
              </w:rPr>
            </w:pPr>
          </w:p>
        </w:tc>
      </w:tr>
      <w:tr w14:paraId="5326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jc w:val="center"/>
        </w:trPr>
        <w:tc>
          <w:tcPr>
            <w:tcW w:w="456" w:type="pct"/>
            <w:tcBorders>
              <w:top w:val="single" w:color="auto" w:sz="4" w:space="0"/>
              <w:left w:val="single" w:color="auto" w:sz="4" w:space="0"/>
              <w:bottom w:val="single" w:color="auto" w:sz="4" w:space="0"/>
              <w:right w:val="single" w:color="auto" w:sz="4" w:space="0"/>
            </w:tcBorders>
            <w:vAlign w:val="center"/>
          </w:tcPr>
          <w:p w14:paraId="6792FC48">
            <w:pPr>
              <w:pStyle w:val="21"/>
              <w:snapToGrid w:val="0"/>
              <w:spacing w:line="360" w:lineRule="auto"/>
              <w:ind w:left="0" w:leftChars="0"/>
              <w:jc w:val="center"/>
              <w:rPr>
                <w:rFonts w:ascii="宋体" w:hAnsi="宋体" w:cs="宋体"/>
                <w:color w:val="auto"/>
                <w:szCs w:val="21"/>
                <w:highlight w:val="none"/>
              </w:rPr>
            </w:pPr>
            <w:r>
              <w:rPr>
                <w:rFonts w:hint="eastAsia" w:ascii="宋体" w:hAnsi="宋体" w:cs="宋体"/>
                <w:color w:val="auto"/>
                <w:szCs w:val="21"/>
                <w:highlight w:val="none"/>
              </w:rPr>
              <w:t>2</w:t>
            </w:r>
          </w:p>
        </w:tc>
        <w:tc>
          <w:tcPr>
            <w:tcW w:w="1418" w:type="pct"/>
            <w:tcBorders>
              <w:top w:val="single" w:color="auto" w:sz="4" w:space="0"/>
              <w:left w:val="single" w:color="auto" w:sz="4" w:space="0"/>
              <w:bottom w:val="single" w:color="auto" w:sz="4" w:space="0"/>
              <w:right w:val="single" w:color="auto" w:sz="4" w:space="0"/>
            </w:tcBorders>
            <w:vAlign w:val="center"/>
          </w:tcPr>
          <w:p w14:paraId="6E256CA3">
            <w:pPr>
              <w:pStyle w:val="21"/>
              <w:snapToGrid w:val="0"/>
              <w:spacing w:line="360" w:lineRule="auto"/>
              <w:ind w:left="0" w:leftChars="0"/>
              <w:jc w:val="center"/>
              <w:rPr>
                <w:rFonts w:ascii="宋体" w:hAnsi="宋体" w:cs="宋体"/>
                <w:color w:val="auto"/>
                <w:szCs w:val="21"/>
                <w:highlight w:val="none"/>
              </w:rPr>
            </w:pPr>
          </w:p>
        </w:tc>
        <w:tc>
          <w:tcPr>
            <w:tcW w:w="939" w:type="pct"/>
            <w:tcBorders>
              <w:top w:val="single" w:color="auto" w:sz="4" w:space="0"/>
              <w:left w:val="single" w:color="auto" w:sz="4" w:space="0"/>
              <w:bottom w:val="single" w:color="auto" w:sz="4" w:space="0"/>
              <w:right w:val="single" w:color="auto" w:sz="4" w:space="0"/>
            </w:tcBorders>
            <w:vAlign w:val="center"/>
          </w:tcPr>
          <w:p w14:paraId="5D9871CB">
            <w:pPr>
              <w:pStyle w:val="21"/>
              <w:snapToGrid w:val="0"/>
              <w:spacing w:line="360" w:lineRule="auto"/>
              <w:ind w:left="0" w:leftChars="0"/>
              <w:jc w:val="center"/>
              <w:rPr>
                <w:rFonts w:ascii="宋体" w:hAnsi="宋体" w:cs="宋体"/>
                <w:color w:val="auto"/>
                <w:szCs w:val="21"/>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46905CA0">
            <w:pPr>
              <w:pStyle w:val="21"/>
              <w:snapToGrid w:val="0"/>
              <w:spacing w:line="360" w:lineRule="auto"/>
              <w:ind w:left="0" w:leftChars="0"/>
              <w:jc w:val="center"/>
              <w:rPr>
                <w:rFonts w:ascii="宋体" w:hAnsi="宋体" w:cs="宋体"/>
                <w:color w:val="auto"/>
                <w:szCs w:val="21"/>
                <w:highlight w:val="none"/>
              </w:rPr>
            </w:pPr>
          </w:p>
        </w:tc>
        <w:tc>
          <w:tcPr>
            <w:tcW w:w="842" w:type="pct"/>
            <w:tcBorders>
              <w:top w:val="single" w:color="auto" w:sz="4" w:space="0"/>
              <w:left w:val="single" w:color="auto" w:sz="4" w:space="0"/>
              <w:bottom w:val="single" w:color="auto" w:sz="4" w:space="0"/>
              <w:right w:val="single" w:color="auto" w:sz="4" w:space="0"/>
            </w:tcBorders>
            <w:vAlign w:val="center"/>
          </w:tcPr>
          <w:p w14:paraId="1C8E2795">
            <w:pPr>
              <w:pStyle w:val="21"/>
              <w:snapToGrid w:val="0"/>
              <w:spacing w:line="360" w:lineRule="auto"/>
              <w:ind w:left="0" w:leftChars="0"/>
              <w:jc w:val="center"/>
              <w:rPr>
                <w:rFonts w:ascii="宋体" w:hAnsi="宋体" w:cs="宋体"/>
                <w:color w:val="auto"/>
                <w:szCs w:val="21"/>
                <w:highlight w:val="none"/>
              </w:rPr>
            </w:pPr>
          </w:p>
        </w:tc>
        <w:tc>
          <w:tcPr>
            <w:tcW w:w="620" w:type="pct"/>
            <w:tcBorders>
              <w:top w:val="single" w:color="auto" w:sz="4" w:space="0"/>
              <w:left w:val="single" w:color="auto" w:sz="4" w:space="0"/>
              <w:bottom w:val="single" w:color="auto" w:sz="4" w:space="0"/>
              <w:right w:val="single" w:color="auto" w:sz="4" w:space="0"/>
            </w:tcBorders>
            <w:vAlign w:val="center"/>
          </w:tcPr>
          <w:p w14:paraId="6E001B4F">
            <w:pPr>
              <w:pStyle w:val="21"/>
              <w:snapToGrid w:val="0"/>
              <w:spacing w:line="360" w:lineRule="auto"/>
              <w:ind w:left="0" w:leftChars="0"/>
              <w:jc w:val="center"/>
              <w:rPr>
                <w:rFonts w:ascii="宋体" w:hAnsi="宋体" w:cs="宋体"/>
                <w:color w:val="auto"/>
                <w:szCs w:val="21"/>
                <w:highlight w:val="none"/>
              </w:rPr>
            </w:pPr>
          </w:p>
        </w:tc>
      </w:tr>
      <w:tr w14:paraId="048D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jc w:val="center"/>
        </w:trPr>
        <w:tc>
          <w:tcPr>
            <w:tcW w:w="456" w:type="pct"/>
            <w:tcBorders>
              <w:top w:val="single" w:color="auto" w:sz="4" w:space="0"/>
              <w:left w:val="single" w:color="auto" w:sz="4" w:space="0"/>
              <w:bottom w:val="single" w:color="auto" w:sz="4" w:space="0"/>
              <w:right w:val="single" w:color="auto" w:sz="4" w:space="0"/>
            </w:tcBorders>
            <w:vAlign w:val="center"/>
          </w:tcPr>
          <w:p w14:paraId="0B1535C3">
            <w:pPr>
              <w:pStyle w:val="21"/>
              <w:snapToGrid w:val="0"/>
              <w:spacing w:line="360" w:lineRule="auto"/>
              <w:ind w:left="0" w:leftChars="0"/>
              <w:jc w:val="center"/>
              <w:rPr>
                <w:rFonts w:ascii="宋体" w:hAnsi="宋体" w:cs="宋体"/>
                <w:color w:val="auto"/>
                <w:szCs w:val="21"/>
                <w:highlight w:val="none"/>
              </w:rPr>
            </w:pPr>
            <w:r>
              <w:rPr>
                <w:rFonts w:hint="eastAsia" w:ascii="宋体" w:hAnsi="宋体" w:cs="宋体"/>
                <w:color w:val="auto"/>
                <w:szCs w:val="21"/>
                <w:highlight w:val="none"/>
              </w:rPr>
              <w:t>3</w:t>
            </w:r>
          </w:p>
        </w:tc>
        <w:tc>
          <w:tcPr>
            <w:tcW w:w="1418" w:type="pct"/>
            <w:tcBorders>
              <w:top w:val="single" w:color="auto" w:sz="4" w:space="0"/>
              <w:left w:val="single" w:color="auto" w:sz="4" w:space="0"/>
              <w:bottom w:val="single" w:color="auto" w:sz="4" w:space="0"/>
              <w:right w:val="single" w:color="auto" w:sz="4" w:space="0"/>
            </w:tcBorders>
            <w:vAlign w:val="center"/>
          </w:tcPr>
          <w:p w14:paraId="57B8C8E8">
            <w:pPr>
              <w:pStyle w:val="21"/>
              <w:snapToGrid w:val="0"/>
              <w:spacing w:line="360" w:lineRule="auto"/>
              <w:ind w:left="0" w:leftChars="0"/>
              <w:jc w:val="center"/>
              <w:rPr>
                <w:rFonts w:ascii="宋体" w:hAnsi="宋体" w:cs="宋体"/>
                <w:color w:val="auto"/>
                <w:szCs w:val="21"/>
                <w:highlight w:val="none"/>
              </w:rPr>
            </w:pPr>
          </w:p>
        </w:tc>
        <w:tc>
          <w:tcPr>
            <w:tcW w:w="939" w:type="pct"/>
            <w:tcBorders>
              <w:top w:val="single" w:color="auto" w:sz="4" w:space="0"/>
              <w:left w:val="single" w:color="auto" w:sz="4" w:space="0"/>
              <w:bottom w:val="single" w:color="auto" w:sz="4" w:space="0"/>
              <w:right w:val="single" w:color="auto" w:sz="4" w:space="0"/>
            </w:tcBorders>
            <w:vAlign w:val="center"/>
          </w:tcPr>
          <w:p w14:paraId="1E141232">
            <w:pPr>
              <w:pStyle w:val="21"/>
              <w:snapToGrid w:val="0"/>
              <w:spacing w:line="360" w:lineRule="auto"/>
              <w:ind w:left="0" w:leftChars="0"/>
              <w:jc w:val="center"/>
              <w:rPr>
                <w:rFonts w:ascii="宋体" w:hAnsi="宋体" w:cs="宋体"/>
                <w:color w:val="auto"/>
                <w:szCs w:val="21"/>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7AD8B538">
            <w:pPr>
              <w:pStyle w:val="21"/>
              <w:snapToGrid w:val="0"/>
              <w:spacing w:line="360" w:lineRule="auto"/>
              <w:ind w:left="0" w:leftChars="0"/>
              <w:jc w:val="center"/>
              <w:rPr>
                <w:rFonts w:ascii="宋体" w:hAnsi="宋体" w:cs="宋体"/>
                <w:color w:val="auto"/>
                <w:szCs w:val="21"/>
                <w:highlight w:val="none"/>
              </w:rPr>
            </w:pPr>
          </w:p>
        </w:tc>
        <w:tc>
          <w:tcPr>
            <w:tcW w:w="842" w:type="pct"/>
            <w:tcBorders>
              <w:top w:val="single" w:color="auto" w:sz="4" w:space="0"/>
              <w:left w:val="single" w:color="auto" w:sz="4" w:space="0"/>
              <w:bottom w:val="single" w:color="auto" w:sz="4" w:space="0"/>
              <w:right w:val="single" w:color="auto" w:sz="4" w:space="0"/>
            </w:tcBorders>
            <w:vAlign w:val="center"/>
          </w:tcPr>
          <w:p w14:paraId="667EBFE5">
            <w:pPr>
              <w:pStyle w:val="21"/>
              <w:snapToGrid w:val="0"/>
              <w:spacing w:line="360" w:lineRule="auto"/>
              <w:ind w:left="0" w:leftChars="0"/>
              <w:jc w:val="center"/>
              <w:rPr>
                <w:rFonts w:ascii="宋体" w:hAnsi="宋体" w:cs="宋体"/>
                <w:color w:val="auto"/>
                <w:szCs w:val="21"/>
                <w:highlight w:val="none"/>
              </w:rPr>
            </w:pPr>
          </w:p>
        </w:tc>
        <w:tc>
          <w:tcPr>
            <w:tcW w:w="620" w:type="pct"/>
            <w:tcBorders>
              <w:top w:val="single" w:color="auto" w:sz="4" w:space="0"/>
              <w:left w:val="single" w:color="auto" w:sz="4" w:space="0"/>
              <w:bottom w:val="single" w:color="auto" w:sz="4" w:space="0"/>
              <w:right w:val="single" w:color="auto" w:sz="4" w:space="0"/>
            </w:tcBorders>
            <w:vAlign w:val="center"/>
          </w:tcPr>
          <w:p w14:paraId="0C69AA86">
            <w:pPr>
              <w:pStyle w:val="21"/>
              <w:snapToGrid w:val="0"/>
              <w:spacing w:line="360" w:lineRule="auto"/>
              <w:ind w:left="0" w:leftChars="0"/>
              <w:jc w:val="center"/>
              <w:rPr>
                <w:rFonts w:ascii="宋体" w:hAnsi="宋体" w:cs="宋体"/>
                <w:color w:val="auto"/>
                <w:szCs w:val="21"/>
                <w:highlight w:val="none"/>
              </w:rPr>
            </w:pPr>
          </w:p>
        </w:tc>
      </w:tr>
      <w:tr w14:paraId="68805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jc w:val="center"/>
        </w:trPr>
        <w:tc>
          <w:tcPr>
            <w:tcW w:w="456" w:type="pct"/>
            <w:tcBorders>
              <w:top w:val="single" w:color="auto" w:sz="4" w:space="0"/>
              <w:left w:val="single" w:color="auto" w:sz="4" w:space="0"/>
              <w:bottom w:val="single" w:color="auto" w:sz="4" w:space="0"/>
              <w:right w:val="single" w:color="auto" w:sz="4" w:space="0"/>
            </w:tcBorders>
            <w:vAlign w:val="center"/>
          </w:tcPr>
          <w:p w14:paraId="532DC1A5">
            <w:pPr>
              <w:pStyle w:val="21"/>
              <w:snapToGrid w:val="0"/>
              <w:spacing w:line="360" w:lineRule="auto"/>
              <w:ind w:left="0" w:leftChars="0"/>
              <w:jc w:val="center"/>
              <w:rPr>
                <w:rFonts w:ascii="宋体" w:hAnsi="宋体" w:cs="宋体"/>
                <w:color w:val="auto"/>
                <w:szCs w:val="21"/>
                <w:highlight w:val="none"/>
              </w:rPr>
            </w:pPr>
            <w:r>
              <w:rPr>
                <w:rFonts w:hint="eastAsia" w:ascii="宋体" w:hAnsi="宋体" w:cs="宋体"/>
                <w:color w:val="auto"/>
                <w:szCs w:val="21"/>
                <w:highlight w:val="none"/>
              </w:rPr>
              <w:t>...</w:t>
            </w:r>
          </w:p>
        </w:tc>
        <w:tc>
          <w:tcPr>
            <w:tcW w:w="1418" w:type="pct"/>
            <w:tcBorders>
              <w:top w:val="single" w:color="auto" w:sz="4" w:space="0"/>
              <w:left w:val="single" w:color="auto" w:sz="4" w:space="0"/>
              <w:bottom w:val="single" w:color="auto" w:sz="4" w:space="0"/>
              <w:right w:val="single" w:color="auto" w:sz="4" w:space="0"/>
            </w:tcBorders>
            <w:vAlign w:val="center"/>
          </w:tcPr>
          <w:p w14:paraId="2D65A2E3">
            <w:pPr>
              <w:pStyle w:val="21"/>
              <w:snapToGrid w:val="0"/>
              <w:spacing w:line="360" w:lineRule="auto"/>
              <w:ind w:left="0" w:leftChars="0"/>
              <w:jc w:val="center"/>
              <w:rPr>
                <w:rFonts w:ascii="宋体" w:hAnsi="宋体" w:cs="宋体"/>
                <w:color w:val="auto"/>
                <w:szCs w:val="21"/>
                <w:highlight w:val="none"/>
              </w:rPr>
            </w:pPr>
          </w:p>
        </w:tc>
        <w:tc>
          <w:tcPr>
            <w:tcW w:w="939" w:type="pct"/>
            <w:tcBorders>
              <w:top w:val="single" w:color="auto" w:sz="4" w:space="0"/>
              <w:left w:val="single" w:color="auto" w:sz="4" w:space="0"/>
              <w:bottom w:val="single" w:color="auto" w:sz="4" w:space="0"/>
              <w:right w:val="single" w:color="auto" w:sz="4" w:space="0"/>
            </w:tcBorders>
            <w:vAlign w:val="center"/>
          </w:tcPr>
          <w:p w14:paraId="60963D17">
            <w:pPr>
              <w:pStyle w:val="21"/>
              <w:snapToGrid w:val="0"/>
              <w:spacing w:line="360" w:lineRule="auto"/>
              <w:ind w:left="0" w:leftChars="0"/>
              <w:jc w:val="center"/>
              <w:rPr>
                <w:rFonts w:ascii="宋体" w:hAnsi="宋体" w:cs="宋体"/>
                <w:color w:val="auto"/>
                <w:szCs w:val="21"/>
                <w:highlight w:val="none"/>
              </w:rPr>
            </w:pPr>
          </w:p>
        </w:tc>
        <w:tc>
          <w:tcPr>
            <w:tcW w:w="718" w:type="pct"/>
            <w:tcBorders>
              <w:top w:val="single" w:color="auto" w:sz="4" w:space="0"/>
              <w:left w:val="single" w:color="auto" w:sz="4" w:space="0"/>
              <w:bottom w:val="single" w:color="auto" w:sz="4" w:space="0"/>
              <w:right w:val="single" w:color="auto" w:sz="4" w:space="0"/>
            </w:tcBorders>
            <w:vAlign w:val="center"/>
          </w:tcPr>
          <w:p w14:paraId="4ED5BC93">
            <w:pPr>
              <w:pStyle w:val="21"/>
              <w:snapToGrid w:val="0"/>
              <w:spacing w:line="360" w:lineRule="auto"/>
              <w:ind w:left="0" w:leftChars="0"/>
              <w:jc w:val="center"/>
              <w:rPr>
                <w:rFonts w:ascii="宋体" w:hAnsi="宋体" w:cs="宋体"/>
                <w:color w:val="auto"/>
                <w:szCs w:val="21"/>
                <w:highlight w:val="none"/>
              </w:rPr>
            </w:pPr>
          </w:p>
        </w:tc>
        <w:tc>
          <w:tcPr>
            <w:tcW w:w="842" w:type="pct"/>
            <w:tcBorders>
              <w:top w:val="single" w:color="auto" w:sz="4" w:space="0"/>
              <w:left w:val="single" w:color="auto" w:sz="4" w:space="0"/>
              <w:bottom w:val="single" w:color="auto" w:sz="4" w:space="0"/>
              <w:right w:val="single" w:color="auto" w:sz="4" w:space="0"/>
            </w:tcBorders>
            <w:vAlign w:val="center"/>
          </w:tcPr>
          <w:p w14:paraId="7DEC4EC1">
            <w:pPr>
              <w:pStyle w:val="21"/>
              <w:snapToGrid w:val="0"/>
              <w:spacing w:line="360" w:lineRule="auto"/>
              <w:ind w:left="0" w:leftChars="0"/>
              <w:jc w:val="center"/>
              <w:rPr>
                <w:rFonts w:ascii="宋体" w:hAnsi="宋体" w:cs="宋体"/>
                <w:color w:val="auto"/>
                <w:szCs w:val="21"/>
                <w:highlight w:val="none"/>
              </w:rPr>
            </w:pPr>
          </w:p>
        </w:tc>
        <w:tc>
          <w:tcPr>
            <w:tcW w:w="620" w:type="pct"/>
            <w:tcBorders>
              <w:top w:val="single" w:color="auto" w:sz="4" w:space="0"/>
              <w:left w:val="single" w:color="auto" w:sz="4" w:space="0"/>
              <w:bottom w:val="single" w:color="auto" w:sz="4" w:space="0"/>
              <w:right w:val="single" w:color="auto" w:sz="4" w:space="0"/>
            </w:tcBorders>
            <w:vAlign w:val="center"/>
          </w:tcPr>
          <w:p w14:paraId="02A39DE2">
            <w:pPr>
              <w:pStyle w:val="21"/>
              <w:snapToGrid w:val="0"/>
              <w:spacing w:line="360" w:lineRule="auto"/>
              <w:ind w:left="0" w:leftChars="0"/>
              <w:jc w:val="center"/>
              <w:rPr>
                <w:rFonts w:ascii="宋体" w:hAnsi="宋体" w:cs="宋体"/>
                <w:color w:val="auto"/>
                <w:szCs w:val="21"/>
                <w:highlight w:val="none"/>
              </w:rPr>
            </w:pPr>
          </w:p>
        </w:tc>
      </w:tr>
      <w:tr w14:paraId="634C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jc w:val="center"/>
        </w:trPr>
        <w:tc>
          <w:tcPr>
            <w:tcW w:w="1875" w:type="pct"/>
            <w:gridSpan w:val="2"/>
            <w:tcBorders>
              <w:top w:val="single" w:color="auto" w:sz="4" w:space="0"/>
              <w:left w:val="single" w:color="auto" w:sz="4" w:space="0"/>
              <w:bottom w:val="single" w:color="auto" w:sz="4" w:space="0"/>
              <w:right w:val="single" w:color="auto" w:sz="4" w:space="0"/>
            </w:tcBorders>
            <w:vAlign w:val="center"/>
          </w:tcPr>
          <w:p w14:paraId="3AF58B69">
            <w:pPr>
              <w:pStyle w:val="21"/>
              <w:snapToGrid w:val="0"/>
              <w:spacing w:line="360" w:lineRule="auto"/>
              <w:ind w:left="0" w:leftChars="0"/>
              <w:jc w:val="center"/>
              <w:rPr>
                <w:rFonts w:ascii="宋体" w:hAnsi="宋体" w:cs="宋体"/>
                <w:color w:val="auto"/>
                <w:szCs w:val="21"/>
                <w:highlight w:val="none"/>
              </w:rPr>
            </w:pPr>
            <w:r>
              <w:rPr>
                <w:rFonts w:hint="eastAsia" w:ascii="宋体" w:hAnsi="宋体" w:cs="宋体"/>
                <w:color w:val="auto"/>
                <w:szCs w:val="21"/>
                <w:highlight w:val="none"/>
              </w:rPr>
              <w:t>发票金额合计（单位：万元）</w:t>
            </w:r>
          </w:p>
        </w:tc>
        <w:tc>
          <w:tcPr>
            <w:tcW w:w="3119" w:type="pct"/>
            <w:gridSpan w:val="4"/>
            <w:tcBorders>
              <w:top w:val="single" w:color="auto" w:sz="4" w:space="0"/>
              <w:left w:val="single" w:color="auto" w:sz="4" w:space="0"/>
              <w:bottom w:val="single" w:color="auto" w:sz="4" w:space="0"/>
              <w:right w:val="single" w:color="auto" w:sz="4" w:space="0"/>
            </w:tcBorders>
            <w:vAlign w:val="center"/>
          </w:tcPr>
          <w:p w14:paraId="752E3C3B">
            <w:pPr>
              <w:pStyle w:val="21"/>
              <w:snapToGrid w:val="0"/>
              <w:spacing w:line="360" w:lineRule="auto"/>
              <w:ind w:left="0" w:leftChars="0"/>
              <w:jc w:val="center"/>
              <w:rPr>
                <w:rFonts w:ascii="宋体" w:hAnsi="宋体" w:cs="宋体"/>
                <w:color w:val="auto"/>
                <w:szCs w:val="21"/>
                <w:highlight w:val="none"/>
              </w:rPr>
            </w:pPr>
          </w:p>
        </w:tc>
      </w:tr>
    </w:tbl>
    <w:p w14:paraId="2D857FE7">
      <w:pPr>
        <w:snapToGrid w:val="0"/>
        <w:spacing w:line="360" w:lineRule="auto"/>
        <w:ind w:left="491" w:leftChars="-57" w:hanging="611" w:hangingChars="291"/>
        <w:rPr>
          <w:rFonts w:ascii="宋体" w:hAnsi="宋体" w:eastAsia="宋体" w:cs="宋体"/>
          <w:color w:val="auto"/>
          <w:highlight w:val="none"/>
        </w:rPr>
      </w:pPr>
    </w:p>
    <w:p w14:paraId="2544E70F">
      <w:pPr>
        <w:snapToGrid w:val="0"/>
        <w:spacing w:line="360" w:lineRule="auto"/>
        <w:ind w:left="491" w:leftChars="-57" w:hanging="611" w:hangingChars="291"/>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21EA3396">
      <w:pPr>
        <w:snapToGrid w:val="0"/>
        <w:spacing w:line="360" w:lineRule="auto"/>
        <w:ind w:left="396" w:leftChars="-58" w:hanging="518" w:hangingChars="247"/>
        <w:rPr>
          <w:rFonts w:ascii="宋体" w:hAnsi="宋体" w:eastAsia="宋体" w:cs="宋体"/>
          <w:color w:val="auto"/>
          <w:szCs w:val="21"/>
          <w:highlight w:val="none"/>
        </w:rPr>
      </w:pPr>
      <w:r>
        <w:rPr>
          <w:rFonts w:hint="eastAsia" w:ascii="宋体" w:hAnsi="宋体" w:eastAsia="宋体" w:cs="宋体"/>
          <w:color w:val="auto"/>
          <w:szCs w:val="21"/>
          <w:highlight w:val="none"/>
        </w:rPr>
        <w:t>（1）投标人提供框架式协议或资格入围无明确金额的合同时，须同时提供本统计表及供货发票复印件，本统计表及供货发票复印件应后附于合同复印件。</w:t>
      </w:r>
    </w:p>
    <w:p w14:paraId="33286E2D">
      <w:pPr>
        <w:snapToGrid w:val="0"/>
        <w:spacing w:line="360" w:lineRule="auto"/>
        <w:ind w:left="396" w:leftChars="-58" w:hanging="518" w:hangingChars="247"/>
        <w:rPr>
          <w:rFonts w:ascii="宋体" w:hAnsi="宋体" w:eastAsia="宋体" w:cs="宋体"/>
          <w:color w:val="auto"/>
          <w:szCs w:val="21"/>
          <w:highlight w:val="none"/>
        </w:rPr>
      </w:pPr>
      <w:r>
        <w:rPr>
          <w:rFonts w:hint="eastAsia" w:ascii="宋体" w:hAnsi="宋体" w:eastAsia="宋体" w:cs="宋体"/>
          <w:color w:val="auto"/>
          <w:szCs w:val="21"/>
          <w:highlight w:val="none"/>
        </w:rPr>
        <w:t>（2）发票抬头应为合同供货购买方，收款人应为投标人，且发票名目、所属时期应与合同约定内容一致，否则不计分。</w:t>
      </w:r>
    </w:p>
    <w:p w14:paraId="4A672C3F">
      <w:pPr>
        <w:snapToGrid w:val="0"/>
        <w:spacing w:line="360" w:lineRule="auto"/>
        <w:ind w:left="396" w:leftChars="-58" w:hanging="518" w:hangingChars="247"/>
        <w:rPr>
          <w:rFonts w:ascii="宋体" w:hAnsi="宋体" w:eastAsia="宋体" w:cs="宋体"/>
          <w:color w:val="auto"/>
          <w:szCs w:val="21"/>
          <w:highlight w:val="none"/>
        </w:rPr>
      </w:pPr>
      <w:r>
        <w:rPr>
          <w:rFonts w:hint="eastAsia" w:ascii="宋体" w:hAnsi="宋体" w:eastAsia="宋体" w:cs="宋体"/>
          <w:color w:val="auto"/>
          <w:szCs w:val="21"/>
          <w:highlight w:val="none"/>
        </w:rPr>
        <w:t>（3）发票合计金额视为投标人所提供该项供货业绩中运维维修工器具类物资的供货金额，并按此金额进行评审。</w:t>
      </w:r>
    </w:p>
    <w:p w14:paraId="76BC3E29">
      <w:pPr>
        <w:widowControl/>
        <w:rPr>
          <w:rFonts w:ascii="宋体" w:hAnsi="宋体" w:eastAsia="宋体" w:cs="Times New Roman"/>
          <w:b/>
          <w:bCs/>
          <w:color w:val="auto"/>
          <w:sz w:val="30"/>
          <w:szCs w:val="30"/>
          <w:highlight w:val="none"/>
          <w:lang w:val="zh-CN"/>
        </w:rPr>
      </w:pPr>
      <w:r>
        <w:rPr>
          <w:rFonts w:hAnsi="宋体"/>
          <w:b/>
          <w:bCs/>
          <w:color w:val="auto"/>
          <w:sz w:val="30"/>
          <w:szCs w:val="30"/>
          <w:highlight w:val="none"/>
        </w:rPr>
        <w:br w:type="page"/>
      </w:r>
    </w:p>
    <w:bookmarkEnd w:id="601"/>
    <w:bookmarkEnd w:id="602"/>
    <w:p w14:paraId="6B78B207">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603" w:name="_Toc102860083"/>
      <w:bookmarkStart w:id="604" w:name="_Toc169091791"/>
      <w:bookmarkStart w:id="605" w:name="_Toc140596938"/>
      <w:bookmarkStart w:id="606" w:name="_Toc18175_WPSOffice_Level2"/>
      <w:bookmarkStart w:id="607" w:name="_Toc13822"/>
      <w:bookmarkStart w:id="608" w:name="_Toc533708132"/>
      <w:bookmarkStart w:id="609" w:name="_Toc102860427"/>
      <w:bookmarkStart w:id="610" w:name="_Toc486167719"/>
      <w:bookmarkStart w:id="611" w:name="_Toc1977737"/>
      <w:bookmarkStart w:id="612" w:name="_Toc104991885"/>
      <w:bookmarkStart w:id="613" w:name="_Toc8138"/>
      <w:bookmarkStart w:id="614" w:name="_Toc142508378"/>
      <w:bookmarkStart w:id="615" w:name="_Toc94107220"/>
      <w:bookmarkStart w:id="616" w:name="_Toc11745"/>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rPr>
        <w:t>一</w:t>
      </w:r>
      <w:r>
        <w:rPr>
          <w:rFonts w:hint="eastAsia" w:ascii="宋体" w:hAnsi="宋体" w:eastAsia="宋体" w:cs="宋体"/>
          <w:b/>
          <w:bCs/>
          <w:color w:val="auto"/>
          <w:kern w:val="0"/>
          <w:sz w:val="32"/>
          <w:szCs w:val="32"/>
          <w:highlight w:val="none"/>
          <w:lang w:val="zh-CN"/>
        </w:rPr>
        <w:t>、投标保证金汇入情况说明</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7F96D80C">
      <w:pPr>
        <w:autoSpaceDE w:val="0"/>
        <w:autoSpaceDN w:val="0"/>
        <w:adjustRightInd w:val="0"/>
        <w:spacing w:line="360" w:lineRule="auto"/>
        <w:jc w:val="left"/>
        <w:rPr>
          <w:rFonts w:ascii="宋体" w:hAnsi="宋体" w:eastAsia="宋体" w:cs="宋体"/>
          <w:color w:val="auto"/>
          <w:szCs w:val="24"/>
          <w:highlight w:val="none"/>
        </w:rPr>
      </w:pPr>
    </w:p>
    <w:p w14:paraId="27A589A2">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617" w:name="_Toc31832_WPSOffice_Level3"/>
      <w:r>
        <w:rPr>
          <w:rFonts w:hint="eastAsia" w:ascii="宋体" w:hAnsi="宋体" w:eastAsia="宋体" w:cs="宋体"/>
          <w:b/>
          <w:bCs/>
          <w:color w:val="auto"/>
          <w:kern w:val="0"/>
          <w:sz w:val="24"/>
          <w:szCs w:val="24"/>
          <w:highlight w:val="none"/>
        </w:rPr>
        <w:t>投标保证金汇入情况说明</w:t>
      </w:r>
      <w:bookmarkEnd w:id="617"/>
    </w:p>
    <w:p w14:paraId="03907577">
      <w:pPr>
        <w:autoSpaceDE w:val="0"/>
        <w:autoSpaceDN w:val="0"/>
        <w:adjustRightInd w:val="0"/>
        <w:spacing w:line="360" w:lineRule="auto"/>
        <w:jc w:val="center"/>
        <w:rPr>
          <w:rFonts w:ascii="宋体" w:hAnsi="宋体" w:eastAsia="宋体" w:cs="宋体"/>
          <w:b/>
          <w:bCs/>
          <w:color w:val="auto"/>
          <w:kern w:val="0"/>
          <w:szCs w:val="24"/>
          <w:highlight w:val="none"/>
        </w:rPr>
      </w:pPr>
    </w:p>
    <w:p w14:paraId="14CA1C5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东莞市水务环境投资控股集团管网有限公司</w:t>
      </w:r>
      <w:r>
        <w:rPr>
          <w:rFonts w:hint="eastAsia" w:ascii="宋体" w:hAnsi="宋体" w:eastAsia="宋体" w:cs="宋体"/>
          <w:color w:val="auto"/>
          <w:szCs w:val="21"/>
          <w:highlight w:val="none"/>
        </w:rPr>
        <w:t>：</w:t>
      </w:r>
    </w:p>
    <w:p w14:paraId="66CA428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东莞市水务环境投资控股集团管网有限公司2026年运维维修工器具类物资采购项目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YDZB25DGQY0136</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2E4A9E5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本单位投标保证金的汇款情况：（详见附件－投标保证金进账单）</w:t>
      </w:r>
    </w:p>
    <w:p w14:paraId="5C15700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094D06F2">
      <w:pPr>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rPr>
        <w:t>（大写）人民币      元（小写：¥      元）</w:t>
      </w:r>
    </w:p>
    <w:p w14:paraId="227B8E5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12CE5F0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1CAEFAC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29DE16F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0BC8FF1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投标保证金退回时，请按上述资料退回。</w:t>
      </w:r>
    </w:p>
    <w:p w14:paraId="2EDBDDB2">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1F559C18">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356E8A96">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574AF3B2">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555CE6F0">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325A8433">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4AA44EEC">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7CA5F5B8">
      <w:pPr>
        <w:spacing w:line="360" w:lineRule="auto"/>
        <w:ind w:left="340" w:leftChars="162" w:firstLine="425"/>
        <w:rPr>
          <w:rFonts w:ascii="宋体" w:hAnsi="宋体" w:eastAsia="宋体" w:cs="宋体"/>
          <w:b/>
          <w:bCs/>
          <w:color w:val="auto"/>
          <w:szCs w:val="21"/>
          <w:highlight w:val="none"/>
        </w:rPr>
      </w:pPr>
      <w:bookmarkStart w:id="618" w:name="_Toc26208_WPSOffice_Level3"/>
      <w:r>
        <w:rPr>
          <w:rFonts w:hint="eastAsia" w:ascii="宋体" w:hAnsi="宋体" w:eastAsia="宋体" w:cs="宋体"/>
          <w:b/>
          <w:bCs/>
          <w:color w:val="auto"/>
          <w:szCs w:val="21"/>
          <w:highlight w:val="none"/>
        </w:rPr>
        <w:t>附：1、我方投标保证金汇款凭证（复印件）</w:t>
      </w:r>
      <w:bookmarkEnd w:id="618"/>
    </w:p>
    <w:p w14:paraId="765ACA05">
      <w:pPr>
        <w:spacing w:line="360" w:lineRule="auto"/>
        <w:ind w:left="340" w:leftChars="162" w:firstLine="839" w:firstLineChars="398"/>
        <w:rPr>
          <w:rFonts w:ascii="宋体" w:hAnsi="宋体" w:eastAsia="宋体" w:cs="宋体"/>
          <w:b/>
          <w:bCs/>
          <w:color w:val="auto"/>
          <w:szCs w:val="21"/>
          <w:highlight w:val="none"/>
        </w:rPr>
      </w:pPr>
      <w:bookmarkStart w:id="619" w:name="_Toc12992_WPSOffice_Level3"/>
      <w:r>
        <w:rPr>
          <w:rFonts w:hint="eastAsia" w:ascii="宋体" w:hAnsi="宋体" w:eastAsia="宋体" w:cs="宋体"/>
          <w:b/>
          <w:bCs/>
          <w:color w:val="auto"/>
          <w:szCs w:val="21"/>
          <w:highlight w:val="none"/>
        </w:rPr>
        <w:t>2、我方基本账户开户许可证（复印件）</w:t>
      </w:r>
      <w:bookmarkEnd w:id="619"/>
    </w:p>
    <w:p w14:paraId="57592980">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5CC07315">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7F976570">
      <w:pPr>
        <w:spacing w:line="360" w:lineRule="auto"/>
        <w:ind w:firstLine="424" w:firstLineChars="202"/>
        <w:rPr>
          <w:rFonts w:ascii="宋体" w:hAnsi="宋体" w:eastAsia="宋体" w:cs="宋体"/>
          <w:color w:val="auto"/>
          <w:szCs w:val="24"/>
          <w:highlight w:val="none"/>
        </w:rPr>
      </w:pPr>
      <w:bookmarkStart w:id="620" w:name="_Toc486167721"/>
    </w:p>
    <w:p w14:paraId="034C5743">
      <w:pPr>
        <w:spacing w:line="360" w:lineRule="auto"/>
        <w:ind w:firstLine="424" w:firstLineChars="202"/>
        <w:rPr>
          <w:rFonts w:ascii="宋体" w:hAnsi="宋体" w:eastAsia="宋体" w:cs="宋体"/>
          <w:color w:val="auto"/>
          <w:szCs w:val="24"/>
          <w:highlight w:val="none"/>
        </w:rPr>
      </w:pPr>
      <w:bookmarkStart w:id="621" w:name="_Toc533708134"/>
    </w:p>
    <w:p w14:paraId="7A47500A">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11DEAD02">
      <w:pPr>
        <w:pageBreakBefore/>
        <w:autoSpaceDE w:val="0"/>
        <w:autoSpaceDN w:val="0"/>
        <w:adjustRightInd w:val="0"/>
        <w:spacing w:line="360" w:lineRule="auto"/>
        <w:jc w:val="left"/>
        <w:rPr>
          <w:rFonts w:hint="eastAsia" w:ascii="宋体" w:hAnsi="宋体" w:eastAsia="宋体" w:cs="宋体"/>
          <w:b/>
          <w:color w:val="auto"/>
          <w:kern w:val="0"/>
          <w:sz w:val="32"/>
          <w:szCs w:val="32"/>
          <w:highlight w:val="none"/>
          <w:lang w:val="zh-CN" w:eastAsia="zh-CN"/>
        </w:rPr>
      </w:pPr>
      <w:bookmarkStart w:id="622" w:name="_Toc102860084"/>
      <w:bookmarkStart w:id="623" w:name="_Toc18032"/>
      <w:bookmarkStart w:id="624" w:name="_Toc142508379"/>
      <w:bookmarkStart w:id="625" w:name="_Toc102860428"/>
      <w:bookmarkStart w:id="626" w:name="_Toc169091792"/>
      <w:bookmarkStart w:id="627" w:name="_Toc3221"/>
      <w:bookmarkStart w:id="628" w:name="_Toc1977738"/>
      <w:bookmarkStart w:id="629" w:name="_Toc140596939"/>
      <w:bookmarkStart w:id="630" w:name="_Toc16292"/>
      <w:bookmarkStart w:id="631" w:name="_Toc104991886"/>
      <w:bookmarkStart w:id="632" w:name="_Toc94107221"/>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zh-CN"/>
        </w:rPr>
        <w:t>、</w:t>
      </w:r>
      <w:r>
        <w:rPr>
          <w:rFonts w:hint="eastAsia" w:ascii="宋体" w:hAnsi="宋体" w:eastAsia="宋体" w:cs="宋体"/>
          <w:b/>
          <w:color w:val="auto"/>
          <w:kern w:val="0"/>
          <w:sz w:val="32"/>
          <w:szCs w:val="32"/>
          <w:highlight w:val="none"/>
          <w:lang w:val="zh-CN" w:eastAsia="zh-CN"/>
        </w:rPr>
        <w:t>中标服务费承诺书格式</w:t>
      </w:r>
    </w:p>
    <w:p w14:paraId="4905540C">
      <w:pPr>
        <w:spacing w:line="360" w:lineRule="auto"/>
        <w:jc w:val="center"/>
        <w:outlineLvl w:val="9"/>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中标服务费承诺书</w:t>
      </w:r>
    </w:p>
    <w:p w14:paraId="18D9D6D4">
      <w:pPr>
        <w:spacing w:line="360" w:lineRule="auto"/>
        <w:jc w:val="both"/>
        <w:outlineLvl w:val="9"/>
        <w:rPr>
          <w:rFonts w:hint="eastAsia" w:ascii="宋体" w:hAnsi="宋体" w:eastAsia="宋体" w:cs="宋体"/>
          <w:b/>
          <w:bCs/>
          <w:color w:val="auto"/>
          <w:kern w:val="2"/>
          <w:highlight w:val="none"/>
          <w:lang w:val="zh-CN"/>
        </w:rPr>
      </w:pPr>
    </w:p>
    <w:p w14:paraId="4C9A8070">
      <w:pPr>
        <w:spacing w:line="360" w:lineRule="auto"/>
        <w:jc w:val="both"/>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致：广东有德招标采购有限公司</w:t>
      </w:r>
    </w:p>
    <w:p w14:paraId="7D2046FA">
      <w:pPr>
        <w:spacing w:line="360" w:lineRule="auto"/>
        <w:ind w:right="893"/>
        <w:jc w:val="both"/>
        <w:outlineLvl w:val="9"/>
        <w:rPr>
          <w:rFonts w:hint="eastAsia" w:ascii="宋体" w:hAnsi="宋体" w:eastAsia="宋体" w:cs="宋体"/>
          <w:color w:val="auto"/>
          <w:kern w:val="2"/>
          <w:sz w:val="21"/>
          <w:szCs w:val="21"/>
          <w:highlight w:val="none"/>
          <w:lang w:val="zh-CN"/>
        </w:rPr>
      </w:pPr>
    </w:p>
    <w:p w14:paraId="02DBDACF">
      <w:pPr>
        <w:tabs>
          <w:tab w:val="left" w:pos="-142"/>
        </w:tabs>
        <w:spacing w:line="360" w:lineRule="auto"/>
        <w:ind w:left="-31" w:leftChars="-15" w:right="18" w:firstLine="457" w:firstLineChars="218"/>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在贵司代理的东莞市水务环境投资控股集团管网有限公司2026年运维维修工器具类物资采购项目</w:t>
      </w:r>
      <w:r>
        <w:rPr>
          <w:rFonts w:hint="eastAsia" w:ascii="宋体" w:hAnsi="宋体" w:eastAsia="宋体" w:cs="宋体"/>
          <w:color w:val="auto"/>
          <w:kern w:val="2"/>
          <w:sz w:val="21"/>
          <w:szCs w:val="21"/>
          <w:highlight w:val="none"/>
          <w:lang w:val="zh-CN"/>
        </w:rPr>
        <w:t>（招标编号：</w:t>
      </w:r>
      <w:r>
        <w:rPr>
          <w:rFonts w:hint="eastAsia" w:ascii="宋体" w:hAnsi="宋体" w:eastAsia="宋体" w:cs="宋体"/>
          <w:color w:val="auto"/>
          <w:kern w:val="0"/>
          <w:szCs w:val="21"/>
          <w:highlight w:val="none"/>
          <w:u w:val="single"/>
        </w:rPr>
        <w:t>YDZB25DGQY0136</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highlight w:val="none"/>
          <w:lang w:val="zh-CN"/>
        </w:rPr>
        <w:t>招标中，我司如获中标，保证在领取中标通知书原件之</w:t>
      </w:r>
      <w:r>
        <w:rPr>
          <w:rFonts w:hint="eastAsia" w:ascii="宋体" w:hAnsi="宋体" w:eastAsia="宋体" w:cs="宋体"/>
          <w:color w:val="auto"/>
          <w:kern w:val="2"/>
          <w:sz w:val="21"/>
          <w:highlight w:val="none"/>
        </w:rPr>
        <w:t>前</w:t>
      </w:r>
      <w:r>
        <w:rPr>
          <w:rFonts w:hint="eastAsia" w:ascii="宋体" w:hAnsi="宋体" w:eastAsia="宋体" w:cs="宋体"/>
          <w:color w:val="auto"/>
          <w:kern w:val="2"/>
          <w:sz w:val="21"/>
          <w:highlight w:val="none"/>
          <w:lang w:val="zh-CN"/>
        </w:rPr>
        <w:t>按招标文件的规定向贵</w:t>
      </w:r>
      <w:r>
        <w:rPr>
          <w:rFonts w:hint="eastAsia" w:ascii="宋体" w:hAnsi="宋体" w:eastAsia="宋体" w:cs="宋体"/>
          <w:color w:val="auto"/>
          <w:kern w:val="2"/>
          <w:sz w:val="21"/>
          <w:szCs w:val="21"/>
          <w:highlight w:val="none"/>
          <w:lang w:val="zh-CN"/>
        </w:rPr>
        <w:t>司（即广东有德招标采购有限公司）指定的银行账号一次性交纳中标服务费</w:t>
      </w:r>
      <w:r>
        <w:rPr>
          <w:rFonts w:hint="eastAsia" w:ascii="宋体" w:hAnsi="宋体" w:eastAsia="宋体" w:cs="宋体"/>
          <w:color w:val="auto"/>
          <w:kern w:val="2"/>
          <w:sz w:val="21"/>
          <w:highlight w:val="none"/>
          <w:lang w:val="zh-CN"/>
        </w:rPr>
        <w:t>。</w:t>
      </w:r>
    </w:p>
    <w:p w14:paraId="7BF8CC98">
      <w:pPr>
        <w:spacing w:line="360" w:lineRule="auto"/>
        <w:ind w:right="893"/>
        <w:jc w:val="both"/>
        <w:outlineLvl w:val="9"/>
        <w:rPr>
          <w:rFonts w:hint="eastAsia" w:ascii="宋体" w:hAnsi="宋体" w:eastAsia="宋体" w:cs="宋体"/>
          <w:color w:val="auto"/>
          <w:kern w:val="2"/>
          <w:sz w:val="21"/>
          <w:szCs w:val="21"/>
          <w:highlight w:val="none"/>
          <w:lang w:val="zh-CN"/>
        </w:rPr>
      </w:pPr>
    </w:p>
    <w:p w14:paraId="36831481">
      <w:pPr>
        <w:spacing w:line="360" w:lineRule="auto"/>
        <w:ind w:right="893" w:firstLine="480"/>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特此承诺。</w:t>
      </w:r>
    </w:p>
    <w:p w14:paraId="69C17DE8">
      <w:pPr>
        <w:spacing w:line="360" w:lineRule="auto"/>
        <w:ind w:right="893"/>
        <w:jc w:val="both"/>
        <w:outlineLvl w:val="9"/>
        <w:rPr>
          <w:rFonts w:hint="eastAsia" w:ascii="宋体" w:hAnsi="宋体" w:eastAsia="宋体" w:cs="宋体"/>
          <w:color w:val="auto"/>
          <w:kern w:val="2"/>
          <w:sz w:val="21"/>
          <w:highlight w:val="none"/>
          <w:lang w:val="zh-CN"/>
        </w:rPr>
      </w:pPr>
    </w:p>
    <w:p w14:paraId="4B915830">
      <w:pPr>
        <w:spacing w:line="360" w:lineRule="auto"/>
        <w:ind w:right="893"/>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地址：</w:t>
      </w:r>
      <w:r>
        <w:rPr>
          <w:rFonts w:hint="eastAsia" w:ascii="宋体" w:hAnsi="宋体" w:eastAsia="宋体" w:cs="宋体"/>
          <w:color w:val="auto"/>
          <w:kern w:val="2"/>
          <w:sz w:val="21"/>
          <w:highlight w:val="none"/>
          <w:u w:val="single"/>
          <w:lang w:val="zh-CN"/>
        </w:rPr>
        <w:t xml:space="preserve">                       </w:t>
      </w:r>
    </w:p>
    <w:p w14:paraId="737EFF84">
      <w:pPr>
        <w:spacing w:line="360" w:lineRule="auto"/>
        <w:ind w:right="893"/>
        <w:jc w:val="both"/>
        <w:outlineLvl w:val="9"/>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 xml:space="preserve">电话： </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       传真： </w:t>
      </w:r>
      <w:r>
        <w:rPr>
          <w:rFonts w:hint="eastAsia" w:ascii="宋体" w:hAnsi="宋体" w:eastAsia="宋体" w:cs="宋体"/>
          <w:color w:val="auto"/>
          <w:kern w:val="2"/>
          <w:sz w:val="21"/>
          <w:highlight w:val="none"/>
          <w:u w:val="single"/>
          <w:lang w:val="zh-CN"/>
        </w:rPr>
        <w:t xml:space="preserve">                  </w:t>
      </w:r>
    </w:p>
    <w:p w14:paraId="2935D7FA">
      <w:pPr>
        <w:spacing w:line="360" w:lineRule="auto"/>
        <w:ind w:right="893"/>
        <w:jc w:val="both"/>
        <w:outlineLvl w:val="9"/>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 xml:space="preserve">邮箱： </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       邮编： </w:t>
      </w:r>
      <w:r>
        <w:rPr>
          <w:rFonts w:hint="eastAsia" w:ascii="宋体" w:hAnsi="宋体" w:eastAsia="宋体" w:cs="宋体"/>
          <w:color w:val="auto"/>
          <w:kern w:val="2"/>
          <w:sz w:val="21"/>
          <w:highlight w:val="none"/>
          <w:u w:val="single"/>
          <w:lang w:val="zh-CN"/>
        </w:rPr>
        <w:t xml:space="preserve">                  </w:t>
      </w:r>
    </w:p>
    <w:p w14:paraId="609EEB20">
      <w:pPr>
        <w:spacing w:line="360" w:lineRule="auto"/>
        <w:ind w:right="893"/>
        <w:jc w:val="both"/>
        <w:outlineLvl w:val="9"/>
        <w:rPr>
          <w:rFonts w:hint="eastAsia" w:ascii="宋体" w:hAnsi="宋体" w:eastAsia="宋体" w:cs="宋体"/>
          <w:color w:val="auto"/>
          <w:kern w:val="2"/>
          <w:sz w:val="21"/>
          <w:highlight w:val="none"/>
          <w:lang w:val="zh-CN"/>
        </w:rPr>
      </w:pPr>
    </w:p>
    <w:p w14:paraId="40AFB1E1">
      <w:pPr>
        <w:pStyle w:val="217"/>
        <w:rPr>
          <w:rFonts w:hint="eastAsia" w:ascii="宋体" w:hAnsi="宋体" w:eastAsia="宋体" w:cs="宋体"/>
          <w:color w:val="auto"/>
          <w:highlight w:val="none"/>
          <w:lang w:val="zh-CN"/>
        </w:rPr>
      </w:pPr>
    </w:p>
    <w:p w14:paraId="581C9759">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7044AACA">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60BA518C">
      <w:pPr>
        <w:pageBreakBefore/>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r>
        <w:rPr>
          <w:rFonts w:hint="eastAsia" w:ascii="宋体" w:hAnsi="宋体" w:eastAsia="宋体" w:cs="宋体"/>
          <w:b/>
          <w:bCs/>
          <w:color w:val="auto"/>
          <w:kern w:val="0"/>
          <w:sz w:val="32"/>
          <w:szCs w:val="32"/>
          <w:highlight w:val="none"/>
          <w:lang w:val="en-US" w:eastAsia="zh-CN"/>
        </w:rPr>
        <w:t>十三、</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622"/>
      <w:bookmarkEnd w:id="623"/>
      <w:bookmarkEnd w:id="624"/>
      <w:bookmarkEnd w:id="625"/>
      <w:bookmarkEnd w:id="626"/>
      <w:bookmarkEnd w:id="627"/>
      <w:bookmarkEnd w:id="628"/>
      <w:bookmarkEnd w:id="629"/>
      <w:bookmarkEnd w:id="630"/>
      <w:bookmarkEnd w:id="631"/>
      <w:bookmarkEnd w:id="632"/>
    </w:p>
    <w:p w14:paraId="24503C2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33" w:name="_Toc32677"/>
      <w:bookmarkStart w:id="634" w:name="_Toc15051"/>
      <w:bookmarkStart w:id="635" w:name="_Toc14341"/>
      <w:bookmarkStart w:id="636" w:name="_Toc142508380"/>
      <w:bookmarkStart w:id="637" w:name="_Toc1977739"/>
      <w:bookmarkStart w:id="638" w:name="_Toc94107222"/>
      <w:bookmarkStart w:id="639" w:name="_Toc169091793"/>
      <w:bookmarkStart w:id="640" w:name="_Toc102860085"/>
      <w:bookmarkStart w:id="641" w:name="_Toc102860429"/>
      <w:bookmarkStart w:id="642" w:name="_Toc140596940"/>
      <w:bookmarkStart w:id="643" w:name="_Toc104991887"/>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、技术响应文件格式</w:t>
      </w:r>
      <w:bookmarkEnd w:id="621"/>
      <w:bookmarkEnd w:id="633"/>
      <w:bookmarkEnd w:id="634"/>
      <w:bookmarkEnd w:id="635"/>
      <w:bookmarkEnd w:id="636"/>
      <w:bookmarkEnd w:id="637"/>
      <w:bookmarkEnd w:id="638"/>
      <w:bookmarkEnd w:id="639"/>
      <w:bookmarkEnd w:id="640"/>
      <w:bookmarkEnd w:id="641"/>
      <w:bookmarkEnd w:id="642"/>
      <w:bookmarkEnd w:id="643"/>
    </w:p>
    <w:p w14:paraId="210BCECD">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6E2961C8">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4</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725A4531">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2、投标品牌表；</w:t>
      </w:r>
    </w:p>
    <w:p w14:paraId="07267F1F">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szCs w:val="21"/>
          <w:highlight w:val="none"/>
        </w:rPr>
        <w:t>整体供货服务流程</w:t>
      </w:r>
      <w:bookmarkStart w:id="644" w:name="_Hlk134007036"/>
      <w:r>
        <w:rPr>
          <w:rFonts w:hint="eastAsia" w:ascii="宋体" w:hAnsi="宋体" w:eastAsia="宋体" w:cs="宋体"/>
          <w:color w:val="auto"/>
          <w:szCs w:val="21"/>
          <w:highlight w:val="none"/>
        </w:rPr>
        <w:t>（投标人自行编写）</w:t>
      </w:r>
      <w:bookmarkEnd w:id="644"/>
      <w:r>
        <w:rPr>
          <w:rFonts w:hint="eastAsia" w:ascii="宋体" w:hAnsi="宋体" w:eastAsia="宋体" w:cs="宋体"/>
          <w:color w:val="auto"/>
          <w:kern w:val="0"/>
          <w:szCs w:val="21"/>
          <w:highlight w:val="none"/>
        </w:rPr>
        <w:t>；</w:t>
      </w:r>
    </w:p>
    <w:p w14:paraId="0AAA2EB1">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lang w:val="zh-CN"/>
        </w:rPr>
        <w:t>供货计划及进度保证措施方案（投标人自行编写）</w:t>
      </w:r>
      <w:r>
        <w:rPr>
          <w:rFonts w:hint="eastAsia" w:ascii="宋体" w:hAnsi="宋体" w:eastAsia="宋体" w:cs="宋体"/>
          <w:color w:val="auto"/>
          <w:kern w:val="0"/>
          <w:szCs w:val="21"/>
          <w:highlight w:val="none"/>
        </w:rPr>
        <w:t>；</w:t>
      </w:r>
    </w:p>
    <w:p w14:paraId="3B63CD64">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szCs w:val="21"/>
          <w:highlight w:val="none"/>
        </w:rPr>
        <w:t>售后服务质量保证和承诺</w:t>
      </w:r>
      <w:r>
        <w:rPr>
          <w:rFonts w:hint="eastAsia" w:ascii="宋体" w:hAnsi="宋体" w:eastAsia="宋体" w:cs="宋体"/>
          <w:color w:val="auto"/>
          <w:szCs w:val="21"/>
          <w:highlight w:val="none"/>
          <w:lang w:val="zh-CN"/>
        </w:rPr>
        <w:t>（投标人自行编写）；</w:t>
      </w:r>
    </w:p>
    <w:p w14:paraId="5BF7DD9F">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6、投标人认为有必要提供的其它材料（不做强制要求）。</w:t>
      </w:r>
    </w:p>
    <w:p w14:paraId="155F52FB">
      <w:pP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2299C934">
      <w:pPr>
        <w:pStyle w:val="21"/>
        <w:spacing w:line="360" w:lineRule="auto"/>
        <w:jc w:val="center"/>
        <w:rPr>
          <w:rFonts w:ascii="宋体" w:hAnsi="宋体" w:cs="宋体"/>
          <w:color w:val="auto"/>
          <w:sz w:val="84"/>
          <w:highlight w:val="none"/>
        </w:rPr>
      </w:pPr>
    </w:p>
    <w:p w14:paraId="5167307C">
      <w:pPr>
        <w:pStyle w:val="21"/>
        <w:spacing w:line="360" w:lineRule="auto"/>
        <w:jc w:val="center"/>
        <w:rPr>
          <w:rFonts w:ascii="宋体" w:hAnsi="宋体" w:cs="宋体"/>
          <w:color w:val="auto"/>
          <w:sz w:val="84"/>
          <w:highlight w:val="none"/>
        </w:rPr>
      </w:pPr>
    </w:p>
    <w:p w14:paraId="2A127667">
      <w:pPr>
        <w:pStyle w:val="21"/>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0DF19399">
      <w:pPr>
        <w:pStyle w:val="21"/>
        <w:spacing w:line="360" w:lineRule="auto"/>
        <w:rPr>
          <w:rFonts w:ascii="宋体" w:hAnsi="宋体" w:cs="宋体"/>
          <w:color w:val="auto"/>
          <w:highlight w:val="none"/>
        </w:rPr>
      </w:pPr>
    </w:p>
    <w:p w14:paraId="7FC45C2E">
      <w:pPr>
        <w:pStyle w:val="21"/>
        <w:spacing w:line="360" w:lineRule="auto"/>
        <w:rPr>
          <w:rFonts w:ascii="宋体" w:hAnsi="宋体" w:cs="宋体"/>
          <w:color w:val="auto"/>
          <w:highlight w:val="none"/>
        </w:rPr>
      </w:pPr>
    </w:p>
    <w:p w14:paraId="6E31D8B6">
      <w:pPr>
        <w:pStyle w:val="21"/>
        <w:spacing w:line="360" w:lineRule="auto"/>
        <w:rPr>
          <w:rFonts w:ascii="宋体" w:hAnsi="宋体" w:cs="宋体"/>
          <w:color w:val="auto"/>
          <w:highlight w:val="none"/>
        </w:rPr>
      </w:pPr>
    </w:p>
    <w:p w14:paraId="3945D02C">
      <w:pPr>
        <w:pStyle w:val="21"/>
        <w:spacing w:line="360" w:lineRule="auto"/>
        <w:rPr>
          <w:rFonts w:ascii="宋体" w:hAnsi="宋体" w:cs="宋体"/>
          <w:color w:val="auto"/>
          <w:highlight w:val="none"/>
        </w:rPr>
      </w:pPr>
    </w:p>
    <w:p w14:paraId="6F9217BB">
      <w:pPr>
        <w:pStyle w:val="21"/>
        <w:spacing w:line="360" w:lineRule="auto"/>
        <w:rPr>
          <w:rFonts w:ascii="宋体" w:hAnsi="宋体" w:cs="宋体"/>
          <w:color w:val="auto"/>
          <w:highlight w:val="none"/>
        </w:rPr>
      </w:pPr>
    </w:p>
    <w:p w14:paraId="34FA1238">
      <w:pPr>
        <w:pStyle w:val="21"/>
        <w:spacing w:line="360" w:lineRule="auto"/>
        <w:rPr>
          <w:rFonts w:ascii="宋体" w:hAnsi="宋体" w:cs="宋体"/>
          <w:color w:val="auto"/>
          <w:highlight w:val="none"/>
        </w:rPr>
      </w:pPr>
    </w:p>
    <w:p w14:paraId="4870E2A7">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7CE61964">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6A9B63D1">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投标文件技术部分 </w:t>
      </w:r>
    </w:p>
    <w:p w14:paraId="432E4E8B">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5E1CD16F">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w:t>
      </w:r>
    </w:p>
    <w:p w14:paraId="528F83EE">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431331FF">
      <w:pPr>
        <w:pStyle w:val="21"/>
        <w:spacing w:line="360" w:lineRule="auto"/>
        <w:rPr>
          <w:rFonts w:ascii="宋体" w:hAnsi="宋体" w:cs="宋体"/>
          <w:color w:val="auto"/>
          <w:highlight w:val="none"/>
        </w:rPr>
      </w:pPr>
    </w:p>
    <w:p w14:paraId="7DE1D0BF">
      <w:pPr>
        <w:pStyle w:val="21"/>
        <w:spacing w:line="360" w:lineRule="auto"/>
        <w:rPr>
          <w:rFonts w:ascii="宋体" w:hAnsi="宋体" w:cs="宋体"/>
          <w:color w:val="auto"/>
          <w:highlight w:val="none"/>
        </w:rPr>
      </w:pPr>
      <w:r>
        <w:rPr>
          <w:rFonts w:hint="eastAsia" w:ascii="宋体" w:hAnsi="宋体" w:cs="宋体"/>
          <w:color w:val="auto"/>
          <w:highlight w:val="none"/>
        </w:rPr>
        <w:br w:type="page"/>
      </w:r>
    </w:p>
    <w:p w14:paraId="3F8FB8C1">
      <w:pPr>
        <w:pStyle w:val="21"/>
        <w:spacing w:line="360" w:lineRule="auto"/>
        <w:rPr>
          <w:rFonts w:ascii="宋体" w:hAnsi="宋体" w:cs="宋体"/>
          <w:color w:val="auto"/>
          <w:highlight w:val="none"/>
        </w:rPr>
      </w:pPr>
    </w:p>
    <w:p w14:paraId="024E618A">
      <w:pPr>
        <w:spacing w:line="480" w:lineRule="auto"/>
        <w:ind w:firstLine="675" w:firstLineChars="224"/>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投标文件技术评审部分索引表</w:t>
      </w:r>
    </w:p>
    <w:tbl>
      <w:tblPr>
        <w:tblStyle w:val="43"/>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3043"/>
        <w:gridCol w:w="3173"/>
      </w:tblGrid>
      <w:tr w14:paraId="2E2143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2F0F006A">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7A3CC696">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467" w:type="pct"/>
            <w:vAlign w:val="center"/>
          </w:tcPr>
          <w:p w14:paraId="0FB17B81">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1530" w:type="pct"/>
            <w:tcBorders>
              <w:left w:val="single" w:color="auto" w:sz="4" w:space="0"/>
            </w:tcBorders>
            <w:vAlign w:val="center"/>
          </w:tcPr>
          <w:p w14:paraId="7A4FFB2B">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070EE8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0E420B5A">
            <w:pPr>
              <w:adjustRightInd w:val="0"/>
              <w:snapToGrid w:val="0"/>
              <w:spacing w:line="360" w:lineRule="auto"/>
              <w:jc w:val="center"/>
              <w:rPr>
                <w:rFonts w:ascii="宋体" w:hAnsi="宋体" w:eastAsia="宋体" w:cs="宋体"/>
                <w:bCs/>
                <w:color w:val="auto"/>
                <w:szCs w:val="21"/>
                <w:highlight w:val="none"/>
              </w:rPr>
            </w:pPr>
          </w:p>
        </w:tc>
        <w:tc>
          <w:tcPr>
            <w:tcW w:w="1337" w:type="pct"/>
            <w:vAlign w:val="center"/>
          </w:tcPr>
          <w:p w14:paraId="63FF814D">
            <w:pPr>
              <w:adjustRightInd w:val="0"/>
              <w:snapToGrid w:val="0"/>
              <w:spacing w:line="360" w:lineRule="auto"/>
              <w:jc w:val="center"/>
              <w:rPr>
                <w:rFonts w:ascii="宋体" w:hAnsi="宋体" w:eastAsia="宋体" w:cs="宋体"/>
                <w:bCs/>
                <w:color w:val="auto"/>
                <w:szCs w:val="21"/>
                <w:highlight w:val="none"/>
              </w:rPr>
            </w:pPr>
          </w:p>
        </w:tc>
        <w:tc>
          <w:tcPr>
            <w:tcW w:w="1467" w:type="pct"/>
            <w:vAlign w:val="center"/>
          </w:tcPr>
          <w:p w14:paraId="4D43D40F">
            <w:pPr>
              <w:adjustRightInd w:val="0"/>
              <w:snapToGrid w:val="0"/>
              <w:spacing w:line="360" w:lineRule="auto"/>
              <w:jc w:val="center"/>
              <w:rPr>
                <w:rFonts w:ascii="宋体" w:hAnsi="宋体" w:eastAsia="宋体" w:cs="宋体"/>
                <w:bCs/>
                <w:color w:val="auto"/>
                <w:szCs w:val="21"/>
                <w:highlight w:val="none"/>
              </w:rPr>
            </w:pPr>
          </w:p>
        </w:tc>
        <w:tc>
          <w:tcPr>
            <w:tcW w:w="1530" w:type="pct"/>
            <w:tcBorders>
              <w:left w:val="single" w:color="auto" w:sz="4" w:space="0"/>
            </w:tcBorders>
            <w:vAlign w:val="center"/>
          </w:tcPr>
          <w:p w14:paraId="2BEB0C98">
            <w:pPr>
              <w:adjustRightInd w:val="0"/>
              <w:snapToGrid w:val="0"/>
              <w:spacing w:line="360" w:lineRule="auto"/>
              <w:rPr>
                <w:rFonts w:ascii="宋体" w:hAnsi="宋体" w:eastAsia="宋体" w:cs="宋体"/>
                <w:bCs/>
                <w:color w:val="auto"/>
                <w:szCs w:val="21"/>
                <w:highlight w:val="none"/>
              </w:rPr>
            </w:pPr>
          </w:p>
        </w:tc>
      </w:tr>
      <w:tr w14:paraId="355D0A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274EDE1">
            <w:pPr>
              <w:rPr>
                <w:rFonts w:ascii="宋体" w:hAnsi="宋体" w:eastAsia="宋体" w:cs="宋体"/>
                <w:bCs/>
                <w:color w:val="auto"/>
                <w:szCs w:val="21"/>
                <w:highlight w:val="none"/>
              </w:rPr>
            </w:pPr>
          </w:p>
        </w:tc>
        <w:tc>
          <w:tcPr>
            <w:tcW w:w="1337" w:type="pct"/>
            <w:vAlign w:val="center"/>
          </w:tcPr>
          <w:p w14:paraId="62AD1A86">
            <w:pPr>
              <w:rPr>
                <w:rFonts w:ascii="宋体" w:hAnsi="宋体" w:eastAsia="宋体" w:cs="宋体"/>
                <w:bCs/>
                <w:color w:val="auto"/>
                <w:szCs w:val="21"/>
                <w:highlight w:val="none"/>
              </w:rPr>
            </w:pPr>
          </w:p>
        </w:tc>
        <w:tc>
          <w:tcPr>
            <w:tcW w:w="1467" w:type="pct"/>
            <w:vAlign w:val="center"/>
          </w:tcPr>
          <w:p w14:paraId="2A3F93B3">
            <w:pPr>
              <w:rPr>
                <w:rFonts w:ascii="宋体" w:hAnsi="宋体" w:eastAsia="宋体" w:cs="宋体"/>
                <w:bCs/>
                <w:color w:val="auto"/>
                <w:szCs w:val="21"/>
                <w:highlight w:val="none"/>
              </w:rPr>
            </w:pPr>
          </w:p>
        </w:tc>
        <w:tc>
          <w:tcPr>
            <w:tcW w:w="1530" w:type="pct"/>
            <w:tcBorders>
              <w:left w:val="single" w:color="auto" w:sz="4" w:space="0"/>
            </w:tcBorders>
            <w:vAlign w:val="center"/>
          </w:tcPr>
          <w:p w14:paraId="4ECE4BF2">
            <w:pPr>
              <w:adjustRightInd w:val="0"/>
              <w:snapToGrid w:val="0"/>
              <w:spacing w:line="360" w:lineRule="auto"/>
              <w:ind w:firstLine="105" w:firstLineChars="50"/>
              <w:rPr>
                <w:rFonts w:ascii="宋体" w:hAnsi="宋体" w:eastAsia="宋体" w:cs="宋体"/>
                <w:bCs/>
                <w:color w:val="auto"/>
                <w:szCs w:val="21"/>
                <w:highlight w:val="none"/>
              </w:rPr>
            </w:pPr>
          </w:p>
        </w:tc>
      </w:tr>
      <w:tr w14:paraId="1E664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2FE614A">
            <w:pPr>
              <w:adjustRightInd w:val="0"/>
              <w:snapToGrid w:val="0"/>
              <w:spacing w:line="360" w:lineRule="auto"/>
              <w:jc w:val="center"/>
              <w:rPr>
                <w:rFonts w:ascii="宋体" w:hAnsi="宋体" w:eastAsia="宋体" w:cs="宋体"/>
                <w:bCs/>
                <w:color w:val="auto"/>
                <w:szCs w:val="21"/>
                <w:highlight w:val="none"/>
              </w:rPr>
            </w:pPr>
          </w:p>
        </w:tc>
        <w:tc>
          <w:tcPr>
            <w:tcW w:w="1337" w:type="pct"/>
            <w:vAlign w:val="center"/>
          </w:tcPr>
          <w:p w14:paraId="1863AC4B">
            <w:pPr>
              <w:adjustRightInd w:val="0"/>
              <w:snapToGrid w:val="0"/>
              <w:spacing w:line="360" w:lineRule="auto"/>
              <w:rPr>
                <w:rFonts w:ascii="宋体" w:hAnsi="宋体" w:eastAsia="宋体" w:cs="宋体"/>
                <w:bCs/>
                <w:color w:val="auto"/>
                <w:szCs w:val="21"/>
                <w:highlight w:val="none"/>
              </w:rPr>
            </w:pPr>
          </w:p>
        </w:tc>
        <w:tc>
          <w:tcPr>
            <w:tcW w:w="1467" w:type="pct"/>
            <w:vAlign w:val="center"/>
          </w:tcPr>
          <w:p w14:paraId="0C2ED692">
            <w:pPr>
              <w:adjustRightInd w:val="0"/>
              <w:snapToGrid w:val="0"/>
              <w:spacing w:line="360" w:lineRule="auto"/>
              <w:jc w:val="center"/>
              <w:rPr>
                <w:rFonts w:ascii="宋体" w:hAnsi="宋体" w:eastAsia="宋体" w:cs="宋体"/>
                <w:bCs/>
                <w:color w:val="auto"/>
                <w:szCs w:val="21"/>
                <w:highlight w:val="none"/>
              </w:rPr>
            </w:pPr>
          </w:p>
        </w:tc>
        <w:tc>
          <w:tcPr>
            <w:tcW w:w="1530" w:type="pct"/>
            <w:tcBorders>
              <w:left w:val="single" w:color="auto" w:sz="4" w:space="0"/>
            </w:tcBorders>
            <w:vAlign w:val="center"/>
          </w:tcPr>
          <w:p w14:paraId="105ACEAB">
            <w:pPr>
              <w:spacing w:line="360" w:lineRule="auto"/>
              <w:ind w:firstLine="8" w:firstLineChars="4"/>
              <w:rPr>
                <w:rFonts w:ascii="宋体" w:hAnsi="宋体" w:eastAsia="宋体" w:cs="宋体"/>
                <w:bCs/>
                <w:color w:val="auto"/>
                <w:szCs w:val="21"/>
                <w:highlight w:val="none"/>
              </w:rPr>
            </w:pPr>
          </w:p>
        </w:tc>
      </w:tr>
      <w:tr w14:paraId="2F9253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82B5A32">
            <w:pPr>
              <w:adjustRightInd w:val="0"/>
              <w:snapToGrid w:val="0"/>
              <w:spacing w:line="360" w:lineRule="auto"/>
              <w:jc w:val="center"/>
              <w:rPr>
                <w:rFonts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09BE056E">
            <w:pPr>
              <w:adjustRightInd w:val="0"/>
              <w:snapToGrid w:val="0"/>
              <w:spacing w:line="360" w:lineRule="auto"/>
              <w:rPr>
                <w:rFonts w:ascii="宋体" w:hAnsi="宋体" w:eastAsia="宋体" w:cs="宋体"/>
                <w:bCs/>
                <w:color w:val="auto"/>
                <w:szCs w:val="21"/>
                <w:highlight w:val="none"/>
              </w:rPr>
            </w:pPr>
          </w:p>
        </w:tc>
        <w:tc>
          <w:tcPr>
            <w:tcW w:w="1467" w:type="pct"/>
            <w:tcBorders>
              <w:top w:val="single" w:color="auto" w:sz="6" w:space="0"/>
              <w:left w:val="single" w:color="auto" w:sz="6" w:space="0"/>
              <w:bottom w:val="outset" w:color="808080" w:sz="6" w:space="0"/>
              <w:right w:val="single" w:color="auto" w:sz="6" w:space="0"/>
            </w:tcBorders>
            <w:vAlign w:val="center"/>
          </w:tcPr>
          <w:p w14:paraId="74E69B94">
            <w:pPr>
              <w:adjustRightInd w:val="0"/>
              <w:snapToGrid w:val="0"/>
              <w:spacing w:line="360" w:lineRule="auto"/>
              <w:jc w:val="center"/>
              <w:rPr>
                <w:rFonts w:ascii="宋体" w:hAnsi="宋体" w:eastAsia="宋体" w:cs="宋体"/>
                <w:bCs/>
                <w:color w:val="auto"/>
                <w:szCs w:val="21"/>
                <w:highlight w:val="none"/>
              </w:rPr>
            </w:pPr>
          </w:p>
        </w:tc>
        <w:tc>
          <w:tcPr>
            <w:tcW w:w="1530" w:type="pct"/>
            <w:tcBorders>
              <w:top w:val="single" w:color="auto" w:sz="6" w:space="0"/>
              <w:left w:val="single" w:color="auto" w:sz="4" w:space="0"/>
              <w:bottom w:val="outset" w:color="808080" w:sz="6" w:space="0"/>
              <w:right w:val="single" w:color="auto" w:sz="6" w:space="0"/>
            </w:tcBorders>
            <w:vAlign w:val="center"/>
          </w:tcPr>
          <w:p w14:paraId="2AE02859">
            <w:pPr>
              <w:adjustRightInd w:val="0"/>
              <w:snapToGrid w:val="0"/>
              <w:spacing w:line="360" w:lineRule="auto"/>
              <w:rPr>
                <w:rFonts w:ascii="宋体" w:hAnsi="宋体" w:eastAsia="宋体" w:cs="宋体"/>
                <w:bCs/>
                <w:color w:val="auto"/>
                <w:szCs w:val="21"/>
                <w:highlight w:val="none"/>
              </w:rPr>
            </w:pPr>
          </w:p>
        </w:tc>
      </w:tr>
      <w:tr w14:paraId="081EA2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6974188A">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467" w:type="pct"/>
            <w:tcBorders>
              <w:bottom w:val="single" w:color="auto" w:sz="4" w:space="0"/>
            </w:tcBorders>
            <w:vAlign w:val="center"/>
          </w:tcPr>
          <w:p w14:paraId="480DBD64">
            <w:pPr>
              <w:adjustRightInd w:val="0"/>
              <w:snapToGrid w:val="0"/>
              <w:spacing w:line="360" w:lineRule="auto"/>
              <w:jc w:val="center"/>
              <w:rPr>
                <w:rFonts w:ascii="宋体" w:hAnsi="宋体" w:eastAsia="宋体" w:cs="宋体"/>
                <w:bCs/>
                <w:color w:val="auto"/>
                <w:szCs w:val="21"/>
                <w:highlight w:val="none"/>
              </w:rPr>
            </w:pPr>
          </w:p>
        </w:tc>
        <w:tc>
          <w:tcPr>
            <w:tcW w:w="1530" w:type="pct"/>
            <w:tcBorders>
              <w:left w:val="single" w:color="auto" w:sz="4" w:space="0"/>
              <w:bottom w:val="single" w:color="auto" w:sz="4" w:space="0"/>
            </w:tcBorders>
            <w:vAlign w:val="center"/>
          </w:tcPr>
          <w:p w14:paraId="0461691A">
            <w:pPr>
              <w:spacing w:line="360" w:lineRule="auto"/>
              <w:jc w:val="center"/>
              <w:rPr>
                <w:rFonts w:ascii="宋体" w:hAnsi="宋体" w:eastAsia="宋体" w:cs="宋体"/>
                <w:bCs/>
                <w:color w:val="auto"/>
                <w:szCs w:val="21"/>
                <w:highlight w:val="none"/>
              </w:rPr>
            </w:pPr>
          </w:p>
        </w:tc>
      </w:tr>
    </w:tbl>
    <w:p w14:paraId="48C36233">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20"/>
      <w:bookmarkStart w:id="645" w:name="_Toc169091794"/>
      <w:bookmarkStart w:id="646" w:name="_Toc104991888"/>
      <w:bookmarkStart w:id="647" w:name="_Toc94107223"/>
      <w:bookmarkStart w:id="648" w:name="_Toc102860430"/>
      <w:bookmarkStart w:id="649" w:name="_Toc1977740"/>
      <w:bookmarkStart w:id="650" w:name="_Toc533708135"/>
      <w:bookmarkStart w:id="651" w:name="_Toc20630"/>
      <w:bookmarkStart w:id="652" w:name="_Toc31631"/>
      <w:bookmarkStart w:id="653" w:name="_Toc142508381"/>
      <w:bookmarkStart w:id="654" w:name="_Toc102860086"/>
      <w:bookmarkStart w:id="655" w:name="_Toc1558"/>
      <w:bookmarkStart w:id="656" w:name="_Toc140596941"/>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用户需求偏离表格式</w:t>
      </w:r>
      <w:bookmarkEnd w:id="645"/>
      <w:bookmarkEnd w:id="646"/>
      <w:bookmarkEnd w:id="647"/>
      <w:bookmarkEnd w:id="648"/>
      <w:bookmarkEnd w:id="649"/>
      <w:bookmarkEnd w:id="650"/>
      <w:bookmarkEnd w:id="651"/>
      <w:bookmarkEnd w:id="652"/>
      <w:bookmarkEnd w:id="653"/>
      <w:bookmarkEnd w:id="654"/>
      <w:bookmarkEnd w:id="655"/>
      <w:bookmarkEnd w:id="656"/>
    </w:p>
    <w:p w14:paraId="5BAF55A2">
      <w:pPr>
        <w:spacing w:before="120" w:after="120" w:line="360" w:lineRule="auto"/>
        <w:jc w:val="center"/>
        <w:rPr>
          <w:rFonts w:ascii="宋体" w:hAnsi="宋体" w:eastAsia="宋体" w:cs="Times New Roman"/>
          <w:color w:val="auto"/>
          <w:kern w:val="0"/>
          <w:szCs w:val="21"/>
          <w:highlight w:val="none"/>
        </w:rPr>
      </w:pPr>
      <w:bookmarkStart w:id="657" w:name="_Toc17449_WPSOffice_Level3"/>
      <w:r>
        <w:rPr>
          <w:rFonts w:hint="eastAsia" w:ascii="宋体" w:hAnsi="宋体" w:eastAsia="宋体" w:cs="宋体"/>
          <w:b/>
          <w:color w:val="auto"/>
          <w:kern w:val="0"/>
          <w:sz w:val="30"/>
          <w:szCs w:val="30"/>
          <w:highlight w:val="none"/>
          <w:lang w:val="zh-CN"/>
        </w:rPr>
        <w:t>用户需求偏离表</w:t>
      </w:r>
      <w:bookmarkEnd w:id="657"/>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952"/>
        <w:gridCol w:w="4293"/>
        <w:gridCol w:w="1581"/>
        <w:gridCol w:w="1419"/>
        <w:gridCol w:w="1525"/>
      </w:tblGrid>
      <w:tr w14:paraId="35DE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14:paraId="76D3C67A">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2528" w:type="pct"/>
            <w:gridSpan w:val="2"/>
            <w:vAlign w:val="center"/>
          </w:tcPr>
          <w:p w14:paraId="67F21224">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2181" w:type="pct"/>
            <w:gridSpan w:val="3"/>
            <w:vAlign w:val="center"/>
          </w:tcPr>
          <w:p w14:paraId="3FACF0AD">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53D7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14:paraId="0804D4FE">
            <w:pPr>
              <w:keepNext/>
              <w:keepLines/>
              <w:spacing w:line="400" w:lineRule="exact"/>
              <w:jc w:val="center"/>
              <w:outlineLvl w:val="0"/>
              <w:rPr>
                <w:rFonts w:ascii="宋体" w:hAnsi="宋体" w:eastAsia="宋体" w:cs="宋体"/>
                <w:color w:val="auto"/>
                <w:kern w:val="0"/>
                <w:sz w:val="18"/>
                <w:szCs w:val="18"/>
                <w:highlight w:val="none"/>
              </w:rPr>
            </w:pPr>
          </w:p>
        </w:tc>
        <w:tc>
          <w:tcPr>
            <w:tcW w:w="459" w:type="pct"/>
            <w:vAlign w:val="center"/>
          </w:tcPr>
          <w:p w14:paraId="48EC424F">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2069" w:type="pct"/>
            <w:vAlign w:val="center"/>
          </w:tcPr>
          <w:p w14:paraId="4B9D2B9C">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762" w:type="pct"/>
            <w:vAlign w:val="center"/>
          </w:tcPr>
          <w:p w14:paraId="6B8D1FF8">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684" w:type="pct"/>
            <w:vAlign w:val="center"/>
          </w:tcPr>
          <w:p w14:paraId="2E145D9A">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735" w:type="pct"/>
            <w:vAlign w:val="center"/>
          </w:tcPr>
          <w:p w14:paraId="60F25990">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64E8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9" w:type="pct"/>
            <w:vAlign w:val="center"/>
          </w:tcPr>
          <w:p w14:paraId="14B8AB6C">
            <w:pPr>
              <w:spacing w:before="120" w:beforeLines="50" w:line="360" w:lineRule="auto"/>
              <w:jc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w:t>
            </w:r>
          </w:p>
        </w:tc>
        <w:tc>
          <w:tcPr>
            <w:tcW w:w="459" w:type="pct"/>
            <w:vAlign w:val="center"/>
          </w:tcPr>
          <w:p w14:paraId="32424247">
            <w:pPr>
              <w:spacing w:before="120" w:beforeLines="50" w:line="360" w:lineRule="auto"/>
              <w:jc w:val="center"/>
              <w:rPr>
                <w:rFonts w:ascii="宋体" w:hAnsi="宋体" w:eastAsia="宋体" w:cs="Times New Roman"/>
                <w:bCs/>
                <w:color w:val="auto"/>
                <w:kern w:val="0"/>
                <w:sz w:val="18"/>
                <w:szCs w:val="18"/>
                <w:highlight w:val="none"/>
              </w:rPr>
            </w:pPr>
            <w:r>
              <w:rPr>
                <w:rFonts w:hint="eastAsia" w:ascii="宋体" w:hAnsi="宋体" w:eastAsia="宋体" w:cs="Times New Roman"/>
                <w:bCs/>
                <w:color w:val="auto"/>
                <w:kern w:val="0"/>
                <w:sz w:val="18"/>
                <w:szCs w:val="18"/>
                <w:highlight w:val="none"/>
              </w:rPr>
              <w:t>一</w:t>
            </w:r>
          </w:p>
        </w:tc>
        <w:tc>
          <w:tcPr>
            <w:tcW w:w="2069" w:type="pct"/>
            <w:vAlign w:val="center"/>
          </w:tcPr>
          <w:p w14:paraId="62E235C4">
            <w:pPr>
              <w:adjustRightInd w:val="0"/>
              <w:spacing w:before="120" w:beforeLines="50" w:line="360" w:lineRule="auto"/>
              <w:rPr>
                <w:rFonts w:ascii="宋体" w:hAnsi="宋体" w:eastAsia="宋体" w:cs="Times New Roman"/>
                <w:bCs/>
                <w:color w:val="auto"/>
                <w:kern w:val="0"/>
                <w:sz w:val="18"/>
                <w:szCs w:val="18"/>
                <w:highlight w:val="none"/>
              </w:rPr>
            </w:pPr>
            <w:r>
              <w:rPr>
                <w:rFonts w:hint="eastAsia" w:ascii="宋体" w:hAnsi="宋体" w:eastAsia="宋体" w:cs="宋体"/>
                <w:bCs/>
                <w:color w:val="auto"/>
                <w:szCs w:val="21"/>
                <w:highlight w:val="none"/>
              </w:rPr>
              <w:t>货物采购需求</w:t>
            </w:r>
          </w:p>
        </w:tc>
        <w:tc>
          <w:tcPr>
            <w:tcW w:w="762" w:type="pct"/>
            <w:vAlign w:val="center"/>
          </w:tcPr>
          <w:p w14:paraId="2672BD8E">
            <w:pPr>
              <w:keepNext/>
              <w:keepLines/>
              <w:spacing w:line="400" w:lineRule="exact"/>
              <w:jc w:val="center"/>
              <w:outlineLvl w:val="2"/>
              <w:rPr>
                <w:rFonts w:ascii="宋体" w:hAnsi="宋体" w:eastAsia="宋体" w:cs="宋体"/>
                <w:color w:val="auto"/>
                <w:kern w:val="0"/>
                <w:sz w:val="18"/>
                <w:szCs w:val="18"/>
                <w:highlight w:val="none"/>
              </w:rPr>
            </w:pPr>
          </w:p>
        </w:tc>
        <w:tc>
          <w:tcPr>
            <w:tcW w:w="684" w:type="pct"/>
            <w:vAlign w:val="center"/>
          </w:tcPr>
          <w:p w14:paraId="6C45099D">
            <w:pPr>
              <w:keepNext/>
              <w:keepLines/>
              <w:spacing w:line="400" w:lineRule="exact"/>
              <w:jc w:val="center"/>
              <w:outlineLvl w:val="2"/>
              <w:rPr>
                <w:rFonts w:ascii="宋体" w:hAnsi="宋体" w:eastAsia="宋体" w:cs="宋体"/>
                <w:color w:val="auto"/>
                <w:kern w:val="0"/>
                <w:sz w:val="18"/>
                <w:szCs w:val="18"/>
                <w:highlight w:val="none"/>
              </w:rPr>
            </w:pPr>
          </w:p>
        </w:tc>
        <w:tc>
          <w:tcPr>
            <w:tcW w:w="735" w:type="pct"/>
            <w:vAlign w:val="center"/>
          </w:tcPr>
          <w:p w14:paraId="44A0705C">
            <w:pPr>
              <w:keepNext/>
              <w:keepLines/>
              <w:spacing w:line="400" w:lineRule="exact"/>
              <w:jc w:val="center"/>
              <w:outlineLvl w:val="2"/>
              <w:rPr>
                <w:rFonts w:ascii="宋体" w:hAnsi="宋体" w:eastAsia="宋体" w:cs="宋体"/>
                <w:color w:val="auto"/>
                <w:kern w:val="0"/>
                <w:sz w:val="18"/>
                <w:szCs w:val="18"/>
                <w:highlight w:val="none"/>
              </w:rPr>
            </w:pPr>
          </w:p>
        </w:tc>
      </w:tr>
      <w:tr w14:paraId="5B32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36CB8B2">
            <w:pPr>
              <w:spacing w:before="120" w:beforeLines="50"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59" w:type="pct"/>
            <w:vAlign w:val="center"/>
          </w:tcPr>
          <w:p w14:paraId="4182A336">
            <w:pPr>
              <w:spacing w:before="120" w:beforeLines="50" w:line="360" w:lineRule="auto"/>
              <w:jc w:val="center"/>
              <w:rPr>
                <w:rFonts w:ascii="宋体" w:hAnsi="宋体" w:eastAsia="宋体" w:cs="Times New Roman"/>
                <w:bCs/>
                <w:color w:val="auto"/>
                <w:kern w:val="0"/>
                <w:sz w:val="18"/>
                <w:szCs w:val="18"/>
                <w:highlight w:val="none"/>
              </w:rPr>
            </w:pPr>
            <w:r>
              <w:rPr>
                <w:rFonts w:hint="eastAsia" w:ascii="宋体" w:hAnsi="宋体" w:eastAsia="宋体" w:cs="Times New Roman"/>
                <w:bCs/>
                <w:color w:val="auto"/>
                <w:kern w:val="0"/>
                <w:sz w:val="18"/>
                <w:szCs w:val="18"/>
                <w:highlight w:val="none"/>
              </w:rPr>
              <w:t>二</w:t>
            </w:r>
          </w:p>
        </w:tc>
        <w:tc>
          <w:tcPr>
            <w:tcW w:w="2069" w:type="pct"/>
            <w:vAlign w:val="center"/>
          </w:tcPr>
          <w:p w14:paraId="342DFF9E">
            <w:pPr>
              <w:adjustRightInd w:val="0"/>
              <w:spacing w:before="120" w:beforeLines="50" w:line="360" w:lineRule="auto"/>
              <w:rPr>
                <w:rFonts w:ascii="宋体" w:hAnsi="宋体" w:eastAsia="宋体" w:cs="Times New Roman"/>
                <w:bCs/>
                <w:color w:val="auto"/>
                <w:sz w:val="18"/>
                <w:szCs w:val="18"/>
                <w:highlight w:val="none"/>
              </w:rPr>
            </w:pPr>
            <w:r>
              <w:rPr>
                <w:rFonts w:hint="eastAsia" w:ascii="宋体" w:hAnsi="宋体" w:eastAsia="宋体" w:cs="宋体"/>
                <w:bCs/>
                <w:color w:val="auto"/>
                <w:szCs w:val="21"/>
                <w:highlight w:val="none"/>
              </w:rPr>
              <w:t>验收要求</w:t>
            </w:r>
          </w:p>
        </w:tc>
        <w:tc>
          <w:tcPr>
            <w:tcW w:w="762" w:type="pct"/>
            <w:vAlign w:val="center"/>
          </w:tcPr>
          <w:p w14:paraId="0BA6FE86">
            <w:pPr>
              <w:keepNext/>
              <w:keepLines/>
              <w:spacing w:line="400" w:lineRule="exact"/>
              <w:jc w:val="center"/>
              <w:outlineLvl w:val="2"/>
              <w:rPr>
                <w:rFonts w:ascii="宋体" w:hAnsi="宋体" w:eastAsia="宋体" w:cs="宋体"/>
                <w:color w:val="auto"/>
                <w:kern w:val="0"/>
                <w:sz w:val="18"/>
                <w:szCs w:val="18"/>
                <w:highlight w:val="none"/>
              </w:rPr>
            </w:pPr>
          </w:p>
        </w:tc>
        <w:tc>
          <w:tcPr>
            <w:tcW w:w="684" w:type="pct"/>
            <w:vAlign w:val="center"/>
          </w:tcPr>
          <w:p w14:paraId="37400FE5">
            <w:pPr>
              <w:keepNext/>
              <w:keepLines/>
              <w:spacing w:line="400" w:lineRule="exact"/>
              <w:jc w:val="center"/>
              <w:outlineLvl w:val="2"/>
              <w:rPr>
                <w:rFonts w:ascii="宋体" w:hAnsi="宋体" w:eastAsia="宋体" w:cs="宋体"/>
                <w:color w:val="auto"/>
                <w:kern w:val="0"/>
                <w:sz w:val="18"/>
                <w:szCs w:val="18"/>
                <w:highlight w:val="none"/>
              </w:rPr>
            </w:pPr>
          </w:p>
        </w:tc>
        <w:tc>
          <w:tcPr>
            <w:tcW w:w="735" w:type="pct"/>
            <w:vAlign w:val="center"/>
          </w:tcPr>
          <w:p w14:paraId="06383316">
            <w:pPr>
              <w:keepNext/>
              <w:keepLines/>
              <w:spacing w:line="400" w:lineRule="exact"/>
              <w:jc w:val="center"/>
              <w:outlineLvl w:val="2"/>
              <w:rPr>
                <w:rFonts w:ascii="宋体" w:hAnsi="宋体" w:eastAsia="宋体" w:cs="宋体"/>
                <w:color w:val="auto"/>
                <w:kern w:val="0"/>
                <w:sz w:val="18"/>
                <w:szCs w:val="18"/>
                <w:highlight w:val="none"/>
              </w:rPr>
            </w:pPr>
          </w:p>
        </w:tc>
      </w:tr>
      <w:tr w14:paraId="4F9F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7448E0D1">
            <w:pPr>
              <w:spacing w:before="120" w:beforeLines="50"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459" w:type="pct"/>
            <w:vAlign w:val="center"/>
          </w:tcPr>
          <w:p w14:paraId="5356470C">
            <w:pPr>
              <w:spacing w:before="120" w:beforeLines="50" w:line="360" w:lineRule="auto"/>
              <w:jc w:val="center"/>
              <w:rPr>
                <w:rFonts w:ascii="宋体" w:hAnsi="宋体" w:eastAsia="宋体"/>
                <w:bCs/>
                <w:color w:val="auto"/>
                <w:sz w:val="18"/>
                <w:szCs w:val="18"/>
                <w:highlight w:val="none"/>
              </w:rPr>
            </w:pPr>
            <w:r>
              <w:rPr>
                <w:rFonts w:hint="eastAsia" w:ascii="宋体" w:hAnsi="宋体" w:eastAsia="宋体"/>
                <w:bCs/>
                <w:color w:val="auto"/>
                <w:sz w:val="18"/>
                <w:szCs w:val="18"/>
                <w:highlight w:val="none"/>
              </w:rPr>
              <w:t>三</w:t>
            </w:r>
          </w:p>
        </w:tc>
        <w:tc>
          <w:tcPr>
            <w:tcW w:w="2069" w:type="pct"/>
            <w:vAlign w:val="center"/>
          </w:tcPr>
          <w:p w14:paraId="5638E487">
            <w:pPr>
              <w:spacing w:before="120" w:beforeLines="50" w:line="360" w:lineRule="auto"/>
              <w:rPr>
                <w:rFonts w:ascii="宋体" w:hAnsi="宋体" w:eastAsia="宋体"/>
                <w:bCs/>
                <w:color w:val="auto"/>
                <w:sz w:val="18"/>
                <w:szCs w:val="18"/>
                <w:highlight w:val="none"/>
              </w:rPr>
            </w:pPr>
            <w:r>
              <w:rPr>
                <w:rFonts w:hint="eastAsia" w:ascii="宋体" w:hAnsi="宋体" w:eastAsia="宋体" w:cs="宋体"/>
                <w:bCs/>
                <w:color w:val="auto"/>
                <w:szCs w:val="21"/>
                <w:highlight w:val="none"/>
              </w:rPr>
              <w:t>质保及售后要求</w:t>
            </w:r>
          </w:p>
        </w:tc>
        <w:tc>
          <w:tcPr>
            <w:tcW w:w="762" w:type="pct"/>
            <w:vAlign w:val="center"/>
          </w:tcPr>
          <w:p w14:paraId="4DF9B7A2">
            <w:pPr>
              <w:keepNext/>
              <w:keepLines/>
              <w:spacing w:line="400" w:lineRule="exact"/>
              <w:jc w:val="center"/>
              <w:outlineLvl w:val="2"/>
              <w:rPr>
                <w:rFonts w:ascii="宋体" w:hAnsi="宋体" w:eastAsia="宋体" w:cs="宋体"/>
                <w:color w:val="auto"/>
                <w:kern w:val="0"/>
                <w:sz w:val="18"/>
                <w:szCs w:val="18"/>
                <w:highlight w:val="none"/>
              </w:rPr>
            </w:pPr>
          </w:p>
        </w:tc>
        <w:tc>
          <w:tcPr>
            <w:tcW w:w="684" w:type="pct"/>
            <w:vAlign w:val="center"/>
          </w:tcPr>
          <w:p w14:paraId="7D85E8F7">
            <w:pPr>
              <w:keepNext/>
              <w:keepLines/>
              <w:spacing w:line="400" w:lineRule="exact"/>
              <w:jc w:val="center"/>
              <w:outlineLvl w:val="2"/>
              <w:rPr>
                <w:rFonts w:ascii="宋体" w:hAnsi="宋体" w:eastAsia="宋体" w:cs="宋体"/>
                <w:color w:val="auto"/>
                <w:kern w:val="0"/>
                <w:sz w:val="18"/>
                <w:szCs w:val="18"/>
                <w:highlight w:val="none"/>
              </w:rPr>
            </w:pPr>
          </w:p>
        </w:tc>
        <w:tc>
          <w:tcPr>
            <w:tcW w:w="735" w:type="pct"/>
            <w:vAlign w:val="center"/>
          </w:tcPr>
          <w:p w14:paraId="4DD022FD">
            <w:pPr>
              <w:keepNext/>
              <w:keepLines/>
              <w:spacing w:line="400" w:lineRule="exact"/>
              <w:jc w:val="center"/>
              <w:outlineLvl w:val="2"/>
              <w:rPr>
                <w:rFonts w:ascii="宋体" w:hAnsi="宋体" w:eastAsia="宋体" w:cs="宋体"/>
                <w:color w:val="auto"/>
                <w:kern w:val="0"/>
                <w:sz w:val="18"/>
                <w:szCs w:val="18"/>
                <w:highlight w:val="none"/>
              </w:rPr>
            </w:pPr>
          </w:p>
        </w:tc>
      </w:tr>
      <w:tr w14:paraId="371D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33E3B6D">
            <w:pPr>
              <w:spacing w:before="120" w:beforeLines="50"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459" w:type="pct"/>
            <w:vAlign w:val="center"/>
          </w:tcPr>
          <w:p w14:paraId="2CBB806B">
            <w:pPr>
              <w:spacing w:before="120" w:beforeLines="50" w:line="360" w:lineRule="auto"/>
              <w:jc w:val="center"/>
              <w:rPr>
                <w:rFonts w:ascii="宋体" w:hAnsi="宋体" w:eastAsia="宋体"/>
                <w:bCs/>
                <w:color w:val="auto"/>
                <w:sz w:val="18"/>
                <w:szCs w:val="18"/>
                <w:highlight w:val="none"/>
              </w:rPr>
            </w:pPr>
            <w:r>
              <w:rPr>
                <w:rFonts w:hint="eastAsia" w:ascii="宋体" w:hAnsi="宋体" w:eastAsia="宋体"/>
                <w:bCs/>
                <w:color w:val="auto"/>
                <w:sz w:val="18"/>
                <w:szCs w:val="18"/>
                <w:highlight w:val="none"/>
              </w:rPr>
              <w:t>四</w:t>
            </w:r>
          </w:p>
        </w:tc>
        <w:tc>
          <w:tcPr>
            <w:tcW w:w="2069" w:type="pct"/>
            <w:vAlign w:val="center"/>
          </w:tcPr>
          <w:p w14:paraId="39091FA4">
            <w:pPr>
              <w:spacing w:before="120" w:beforeLines="50" w:line="360" w:lineRule="auto"/>
              <w:rPr>
                <w:rFonts w:ascii="宋体" w:hAnsi="宋体" w:eastAsia="宋体"/>
                <w:bCs/>
                <w:color w:val="auto"/>
                <w:sz w:val="18"/>
                <w:szCs w:val="18"/>
                <w:highlight w:val="none"/>
              </w:rPr>
            </w:pPr>
            <w:r>
              <w:rPr>
                <w:rFonts w:hint="eastAsia" w:ascii="宋体" w:hAnsi="宋体" w:eastAsia="宋体" w:cs="宋体"/>
                <w:bCs/>
                <w:color w:val="auto"/>
                <w:szCs w:val="21"/>
                <w:highlight w:val="none"/>
              </w:rPr>
              <w:t>履约要求</w:t>
            </w:r>
          </w:p>
        </w:tc>
        <w:tc>
          <w:tcPr>
            <w:tcW w:w="762" w:type="pct"/>
            <w:vAlign w:val="center"/>
          </w:tcPr>
          <w:p w14:paraId="0A694DDD">
            <w:pPr>
              <w:keepNext/>
              <w:keepLines/>
              <w:spacing w:line="400" w:lineRule="exact"/>
              <w:jc w:val="center"/>
              <w:outlineLvl w:val="2"/>
              <w:rPr>
                <w:rFonts w:ascii="宋体" w:hAnsi="宋体" w:eastAsia="宋体" w:cs="宋体"/>
                <w:color w:val="auto"/>
                <w:kern w:val="0"/>
                <w:sz w:val="18"/>
                <w:szCs w:val="18"/>
                <w:highlight w:val="none"/>
              </w:rPr>
            </w:pPr>
          </w:p>
        </w:tc>
        <w:tc>
          <w:tcPr>
            <w:tcW w:w="684" w:type="pct"/>
            <w:vAlign w:val="center"/>
          </w:tcPr>
          <w:p w14:paraId="625DD6F0">
            <w:pPr>
              <w:keepNext/>
              <w:keepLines/>
              <w:spacing w:line="400" w:lineRule="exact"/>
              <w:jc w:val="center"/>
              <w:outlineLvl w:val="2"/>
              <w:rPr>
                <w:rFonts w:ascii="宋体" w:hAnsi="宋体" w:eastAsia="宋体" w:cs="宋体"/>
                <w:color w:val="auto"/>
                <w:kern w:val="0"/>
                <w:sz w:val="18"/>
                <w:szCs w:val="18"/>
                <w:highlight w:val="none"/>
              </w:rPr>
            </w:pPr>
          </w:p>
        </w:tc>
        <w:tc>
          <w:tcPr>
            <w:tcW w:w="735" w:type="pct"/>
            <w:vAlign w:val="center"/>
          </w:tcPr>
          <w:p w14:paraId="536524E7">
            <w:pPr>
              <w:keepNext/>
              <w:keepLines/>
              <w:spacing w:line="400" w:lineRule="exact"/>
              <w:jc w:val="center"/>
              <w:outlineLvl w:val="2"/>
              <w:rPr>
                <w:rFonts w:ascii="宋体" w:hAnsi="宋体" w:eastAsia="宋体" w:cs="宋体"/>
                <w:color w:val="auto"/>
                <w:kern w:val="0"/>
                <w:sz w:val="18"/>
                <w:szCs w:val="18"/>
                <w:highlight w:val="none"/>
              </w:rPr>
            </w:pPr>
          </w:p>
        </w:tc>
      </w:tr>
      <w:tr w14:paraId="5B80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F67DCA7">
            <w:pPr>
              <w:spacing w:before="120" w:beforeLines="50"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459" w:type="pct"/>
            <w:vAlign w:val="center"/>
          </w:tcPr>
          <w:p w14:paraId="2E654170">
            <w:pPr>
              <w:spacing w:before="120" w:beforeLines="50" w:line="360" w:lineRule="auto"/>
              <w:jc w:val="center"/>
              <w:rPr>
                <w:rFonts w:ascii="宋体" w:hAnsi="宋体" w:eastAsia="宋体" w:cs="Times New Roman"/>
                <w:bCs/>
                <w:color w:val="auto"/>
                <w:kern w:val="0"/>
                <w:sz w:val="18"/>
                <w:szCs w:val="18"/>
                <w:highlight w:val="none"/>
              </w:rPr>
            </w:pPr>
            <w:r>
              <w:rPr>
                <w:rFonts w:hint="eastAsia" w:ascii="宋体" w:hAnsi="宋体" w:eastAsia="宋体" w:cs="Times New Roman"/>
                <w:bCs/>
                <w:color w:val="auto"/>
                <w:kern w:val="0"/>
                <w:sz w:val="18"/>
                <w:szCs w:val="18"/>
                <w:highlight w:val="none"/>
              </w:rPr>
              <w:t>五</w:t>
            </w:r>
          </w:p>
        </w:tc>
        <w:tc>
          <w:tcPr>
            <w:tcW w:w="2069" w:type="pct"/>
            <w:vAlign w:val="center"/>
          </w:tcPr>
          <w:p w14:paraId="0F777F9D">
            <w:pPr>
              <w:spacing w:before="120" w:beforeLines="50" w:line="360" w:lineRule="auto"/>
              <w:rPr>
                <w:rFonts w:ascii="宋体" w:hAnsi="宋体" w:eastAsia="宋体"/>
                <w:bCs/>
                <w:color w:val="auto"/>
                <w:sz w:val="18"/>
                <w:szCs w:val="18"/>
                <w:highlight w:val="none"/>
              </w:rPr>
            </w:pPr>
            <w:r>
              <w:rPr>
                <w:rFonts w:hint="eastAsia" w:ascii="宋体" w:hAnsi="宋体" w:eastAsia="宋体" w:cs="宋体"/>
                <w:bCs/>
                <w:color w:val="auto"/>
                <w:szCs w:val="21"/>
                <w:highlight w:val="none"/>
              </w:rPr>
              <w:t>价款要求</w:t>
            </w:r>
          </w:p>
        </w:tc>
        <w:tc>
          <w:tcPr>
            <w:tcW w:w="762" w:type="pct"/>
            <w:vAlign w:val="center"/>
          </w:tcPr>
          <w:p w14:paraId="21793BEB">
            <w:pPr>
              <w:keepNext/>
              <w:keepLines/>
              <w:spacing w:line="400" w:lineRule="exact"/>
              <w:jc w:val="center"/>
              <w:outlineLvl w:val="2"/>
              <w:rPr>
                <w:rFonts w:ascii="宋体" w:hAnsi="宋体" w:eastAsia="宋体" w:cs="宋体"/>
                <w:color w:val="auto"/>
                <w:kern w:val="0"/>
                <w:sz w:val="18"/>
                <w:szCs w:val="18"/>
                <w:highlight w:val="none"/>
              </w:rPr>
            </w:pPr>
          </w:p>
        </w:tc>
        <w:tc>
          <w:tcPr>
            <w:tcW w:w="684" w:type="pct"/>
            <w:vAlign w:val="center"/>
          </w:tcPr>
          <w:p w14:paraId="1BE4BADC">
            <w:pPr>
              <w:keepNext/>
              <w:keepLines/>
              <w:spacing w:line="400" w:lineRule="exact"/>
              <w:jc w:val="center"/>
              <w:outlineLvl w:val="2"/>
              <w:rPr>
                <w:rFonts w:ascii="宋体" w:hAnsi="宋体" w:eastAsia="宋体" w:cs="宋体"/>
                <w:color w:val="auto"/>
                <w:kern w:val="0"/>
                <w:sz w:val="18"/>
                <w:szCs w:val="18"/>
                <w:highlight w:val="none"/>
              </w:rPr>
            </w:pPr>
          </w:p>
        </w:tc>
        <w:tc>
          <w:tcPr>
            <w:tcW w:w="735" w:type="pct"/>
            <w:vAlign w:val="center"/>
          </w:tcPr>
          <w:p w14:paraId="0DE94883">
            <w:pPr>
              <w:keepNext/>
              <w:keepLines/>
              <w:spacing w:line="400" w:lineRule="exact"/>
              <w:jc w:val="center"/>
              <w:outlineLvl w:val="2"/>
              <w:rPr>
                <w:rFonts w:ascii="宋体" w:hAnsi="宋体" w:eastAsia="宋体" w:cs="宋体"/>
                <w:color w:val="auto"/>
                <w:kern w:val="0"/>
                <w:sz w:val="18"/>
                <w:szCs w:val="18"/>
                <w:highlight w:val="none"/>
              </w:rPr>
            </w:pPr>
          </w:p>
        </w:tc>
      </w:tr>
      <w:tr w14:paraId="699C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4DEEB72">
            <w:pPr>
              <w:spacing w:before="120" w:beforeLines="50" w:line="360" w:lineRule="auto"/>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459" w:type="pct"/>
            <w:vAlign w:val="center"/>
          </w:tcPr>
          <w:p w14:paraId="51BE888D">
            <w:pPr>
              <w:jc w:val="center"/>
              <w:rPr>
                <w:rFonts w:hint="eastAsia" w:ascii="宋体" w:hAnsi="宋体" w:eastAsia="宋体" w:cs="Times New Roman"/>
                <w:bCs/>
                <w:color w:val="auto"/>
                <w:kern w:val="0"/>
                <w:sz w:val="18"/>
                <w:szCs w:val="18"/>
                <w:highlight w:val="none"/>
                <w:lang w:eastAsia="zh-CN"/>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1</w:t>
            </w:r>
          </w:p>
        </w:tc>
        <w:tc>
          <w:tcPr>
            <w:tcW w:w="2069" w:type="pct"/>
            <w:vAlign w:val="center"/>
          </w:tcPr>
          <w:p w14:paraId="3384F21B">
            <w:pPr>
              <w:pStyle w:val="134"/>
              <w:ind w:firstLine="0" w:firstLineChars="0"/>
              <w:rPr>
                <w:rFonts w:ascii="宋体" w:hAnsi="宋体" w:eastAsia="宋体" w:cs="宋体"/>
                <w:bCs/>
                <w:color w:val="auto"/>
                <w:szCs w:val="21"/>
                <w:highlight w:val="none"/>
              </w:rPr>
            </w:pPr>
            <w:r>
              <w:rPr>
                <w:rFonts w:hint="eastAsia" w:ascii="宋体" w:hAnsi="宋体" w:eastAsia="宋体" w:cs="宋体"/>
                <w:color w:val="auto"/>
                <w:szCs w:val="21"/>
                <w:highlight w:val="none"/>
              </w:rPr>
              <w:t>收货地址汇总表</w:t>
            </w:r>
          </w:p>
        </w:tc>
        <w:tc>
          <w:tcPr>
            <w:tcW w:w="762" w:type="pct"/>
            <w:vAlign w:val="center"/>
          </w:tcPr>
          <w:p w14:paraId="1F2BDAAA">
            <w:pPr>
              <w:keepNext/>
              <w:keepLines/>
              <w:spacing w:line="400" w:lineRule="exact"/>
              <w:jc w:val="center"/>
              <w:outlineLvl w:val="2"/>
              <w:rPr>
                <w:rFonts w:ascii="宋体" w:hAnsi="宋体" w:eastAsia="宋体" w:cs="宋体"/>
                <w:color w:val="auto"/>
                <w:kern w:val="0"/>
                <w:sz w:val="18"/>
                <w:szCs w:val="18"/>
                <w:highlight w:val="none"/>
              </w:rPr>
            </w:pPr>
          </w:p>
        </w:tc>
        <w:tc>
          <w:tcPr>
            <w:tcW w:w="684" w:type="pct"/>
            <w:vAlign w:val="center"/>
          </w:tcPr>
          <w:p w14:paraId="5146680F">
            <w:pPr>
              <w:keepNext/>
              <w:keepLines/>
              <w:spacing w:line="400" w:lineRule="exact"/>
              <w:jc w:val="center"/>
              <w:outlineLvl w:val="2"/>
              <w:rPr>
                <w:rFonts w:ascii="宋体" w:hAnsi="宋体" w:eastAsia="宋体" w:cs="宋体"/>
                <w:color w:val="auto"/>
                <w:kern w:val="0"/>
                <w:sz w:val="18"/>
                <w:szCs w:val="18"/>
                <w:highlight w:val="none"/>
              </w:rPr>
            </w:pPr>
          </w:p>
        </w:tc>
        <w:tc>
          <w:tcPr>
            <w:tcW w:w="735" w:type="pct"/>
            <w:vAlign w:val="center"/>
          </w:tcPr>
          <w:p w14:paraId="603BAA8C">
            <w:pPr>
              <w:keepNext/>
              <w:keepLines/>
              <w:spacing w:line="400" w:lineRule="exact"/>
              <w:jc w:val="center"/>
              <w:outlineLvl w:val="2"/>
              <w:rPr>
                <w:rFonts w:ascii="宋体" w:hAnsi="宋体" w:eastAsia="宋体" w:cs="宋体"/>
                <w:color w:val="auto"/>
                <w:kern w:val="0"/>
                <w:sz w:val="18"/>
                <w:szCs w:val="18"/>
                <w:highlight w:val="none"/>
              </w:rPr>
            </w:pPr>
          </w:p>
        </w:tc>
      </w:tr>
      <w:tr w14:paraId="36F4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E8ED0B7">
            <w:pPr>
              <w:spacing w:before="120" w:beforeLines="50" w:line="360" w:lineRule="auto"/>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459" w:type="pct"/>
            <w:vAlign w:val="center"/>
          </w:tcPr>
          <w:p w14:paraId="2351534E">
            <w:pPr>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2</w:t>
            </w:r>
          </w:p>
        </w:tc>
        <w:tc>
          <w:tcPr>
            <w:tcW w:w="2069" w:type="pct"/>
            <w:vAlign w:val="center"/>
          </w:tcPr>
          <w:p w14:paraId="14A740D3">
            <w:pPr>
              <w:pStyle w:val="134"/>
              <w:ind w:firstLine="0" w:firstLineChars="0"/>
              <w:rPr>
                <w:rFonts w:ascii="宋体" w:hAnsi="宋体" w:eastAsia="宋体" w:cs="宋体"/>
                <w:bCs/>
                <w:color w:val="auto"/>
                <w:szCs w:val="21"/>
                <w:highlight w:val="none"/>
              </w:rPr>
            </w:pPr>
            <w:r>
              <w:rPr>
                <w:rFonts w:hint="eastAsia" w:ascii="宋体" w:hAnsi="宋体" w:eastAsia="宋体" w:cs="宋体"/>
                <w:color w:val="auto"/>
                <w:szCs w:val="21"/>
                <w:highlight w:val="none"/>
              </w:rPr>
              <w:t>到货验收单</w:t>
            </w:r>
          </w:p>
        </w:tc>
        <w:tc>
          <w:tcPr>
            <w:tcW w:w="762" w:type="pct"/>
            <w:vAlign w:val="center"/>
          </w:tcPr>
          <w:p w14:paraId="2A9AE52F">
            <w:pPr>
              <w:keepNext/>
              <w:keepLines/>
              <w:spacing w:line="400" w:lineRule="exact"/>
              <w:jc w:val="center"/>
              <w:outlineLvl w:val="2"/>
              <w:rPr>
                <w:rFonts w:ascii="宋体" w:hAnsi="宋体" w:eastAsia="宋体" w:cs="宋体"/>
                <w:color w:val="auto"/>
                <w:kern w:val="0"/>
                <w:sz w:val="18"/>
                <w:szCs w:val="18"/>
                <w:highlight w:val="none"/>
              </w:rPr>
            </w:pPr>
          </w:p>
        </w:tc>
        <w:tc>
          <w:tcPr>
            <w:tcW w:w="684" w:type="pct"/>
            <w:vAlign w:val="center"/>
          </w:tcPr>
          <w:p w14:paraId="476D7370">
            <w:pPr>
              <w:keepNext/>
              <w:keepLines/>
              <w:spacing w:line="400" w:lineRule="exact"/>
              <w:jc w:val="center"/>
              <w:outlineLvl w:val="2"/>
              <w:rPr>
                <w:rFonts w:ascii="宋体" w:hAnsi="宋体" w:eastAsia="宋体" w:cs="宋体"/>
                <w:color w:val="auto"/>
                <w:kern w:val="0"/>
                <w:sz w:val="18"/>
                <w:szCs w:val="18"/>
                <w:highlight w:val="none"/>
              </w:rPr>
            </w:pPr>
          </w:p>
        </w:tc>
        <w:tc>
          <w:tcPr>
            <w:tcW w:w="735" w:type="pct"/>
            <w:vAlign w:val="center"/>
          </w:tcPr>
          <w:p w14:paraId="203EB1A1">
            <w:pPr>
              <w:keepNext/>
              <w:keepLines/>
              <w:spacing w:line="400" w:lineRule="exact"/>
              <w:jc w:val="center"/>
              <w:outlineLvl w:val="2"/>
              <w:rPr>
                <w:rFonts w:ascii="宋体" w:hAnsi="宋体" w:eastAsia="宋体" w:cs="宋体"/>
                <w:color w:val="auto"/>
                <w:kern w:val="0"/>
                <w:sz w:val="18"/>
                <w:szCs w:val="18"/>
                <w:highlight w:val="none"/>
              </w:rPr>
            </w:pPr>
          </w:p>
        </w:tc>
      </w:tr>
      <w:tr w14:paraId="459F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973C6B2">
            <w:pPr>
              <w:spacing w:before="120" w:beforeLines="50" w:line="360" w:lineRule="auto"/>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459" w:type="pct"/>
            <w:vAlign w:val="center"/>
          </w:tcPr>
          <w:p w14:paraId="325C6B58">
            <w:pPr>
              <w:jc w:val="center"/>
              <w:rPr>
                <w:rFonts w:hint="eastAsia" w:ascii="宋体" w:hAnsi="宋体" w:eastAsia="宋体" w:cs="Times New Roman"/>
                <w:bCs/>
                <w:color w:val="auto"/>
                <w:kern w:val="0"/>
                <w:sz w:val="18"/>
                <w:szCs w:val="18"/>
                <w:highlight w:val="none"/>
                <w:lang w:eastAsia="zh-CN"/>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3</w:t>
            </w:r>
          </w:p>
        </w:tc>
        <w:tc>
          <w:tcPr>
            <w:tcW w:w="2069" w:type="pct"/>
            <w:vAlign w:val="center"/>
          </w:tcPr>
          <w:p w14:paraId="1CFE48BE">
            <w:pPr>
              <w:pStyle w:val="134"/>
              <w:ind w:firstLine="0" w:firstLineChars="0"/>
              <w:rPr>
                <w:rFonts w:ascii="宋体" w:hAnsi="宋体" w:eastAsia="宋体" w:cs="宋体"/>
                <w:bCs/>
                <w:color w:val="auto"/>
                <w:szCs w:val="21"/>
                <w:highlight w:val="none"/>
              </w:rPr>
            </w:pPr>
            <w:r>
              <w:rPr>
                <w:rFonts w:hint="eastAsia" w:ascii="宋体" w:hAnsi="宋体" w:eastAsia="宋体" w:cs="宋体"/>
                <w:color w:val="auto"/>
                <w:szCs w:val="21"/>
                <w:highlight w:val="none"/>
              </w:rPr>
              <w:t>供应商履约评价表</w:t>
            </w:r>
          </w:p>
        </w:tc>
        <w:tc>
          <w:tcPr>
            <w:tcW w:w="762" w:type="pct"/>
            <w:vAlign w:val="center"/>
          </w:tcPr>
          <w:p w14:paraId="55855D47">
            <w:pPr>
              <w:keepNext/>
              <w:keepLines/>
              <w:spacing w:line="400" w:lineRule="exact"/>
              <w:jc w:val="center"/>
              <w:outlineLvl w:val="2"/>
              <w:rPr>
                <w:rFonts w:ascii="宋体" w:hAnsi="宋体" w:eastAsia="宋体" w:cs="宋体"/>
                <w:color w:val="auto"/>
                <w:kern w:val="0"/>
                <w:sz w:val="18"/>
                <w:szCs w:val="18"/>
                <w:highlight w:val="none"/>
              </w:rPr>
            </w:pPr>
          </w:p>
        </w:tc>
        <w:tc>
          <w:tcPr>
            <w:tcW w:w="684" w:type="pct"/>
            <w:vAlign w:val="center"/>
          </w:tcPr>
          <w:p w14:paraId="0645D349">
            <w:pPr>
              <w:keepNext/>
              <w:keepLines/>
              <w:spacing w:line="400" w:lineRule="exact"/>
              <w:jc w:val="center"/>
              <w:outlineLvl w:val="2"/>
              <w:rPr>
                <w:rFonts w:ascii="宋体" w:hAnsi="宋体" w:eastAsia="宋体" w:cs="宋体"/>
                <w:color w:val="auto"/>
                <w:kern w:val="0"/>
                <w:sz w:val="18"/>
                <w:szCs w:val="18"/>
                <w:highlight w:val="none"/>
              </w:rPr>
            </w:pPr>
          </w:p>
        </w:tc>
        <w:tc>
          <w:tcPr>
            <w:tcW w:w="735" w:type="pct"/>
            <w:vAlign w:val="center"/>
          </w:tcPr>
          <w:p w14:paraId="29E404EF">
            <w:pPr>
              <w:keepNext/>
              <w:keepLines/>
              <w:spacing w:line="400" w:lineRule="exact"/>
              <w:jc w:val="center"/>
              <w:outlineLvl w:val="2"/>
              <w:rPr>
                <w:rFonts w:ascii="宋体" w:hAnsi="宋体" w:eastAsia="宋体" w:cs="宋体"/>
                <w:color w:val="auto"/>
                <w:kern w:val="0"/>
                <w:sz w:val="18"/>
                <w:szCs w:val="18"/>
                <w:highlight w:val="none"/>
              </w:rPr>
            </w:pPr>
          </w:p>
        </w:tc>
      </w:tr>
    </w:tbl>
    <w:p w14:paraId="28807BB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3F18D077">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1335D80B">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7842C3AA">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6B8617CC">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53AEEDCF">
      <w:pPr>
        <w:spacing w:line="360" w:lineRule="auto"/>
        <w:rPr>
          <w:rFonts w:ascii="宋体" w:hAnsi="宋体" w:eastAsia="宋体" w:cs="宋体"/>
          <w:color w:val="auto"/>
          <w:szCs w:val="21"/>
          <w:highlight w:val="none"/>
        </w:rPr>
      </w:pPr>
    </w:p>
    <w:p w14:paraId="22FC1A2A">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482C9B4D">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7571CE40">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58" w:name="_Toc20665"/>
      <w:bookmarkStart w:id="659" w:name="_Toc142508382"/>
      <w:bookmarkStart w:id="660" w:name="_Toc102860087"/>
      <w:bookmarkStart w:id="661" w:name="_Toc140596942"/>
      <w:bookmarkStart w:id="662" w:name="_Toc102860431"/>
      <w:bookmarkStart w:id="663" w:name="_Toc94107224"/>
      <w:bookmarkStart w:id="664" w:name="_Toc28623"/>
      <w:bookmarkStart w:id="665" w:name="_Toc104991889"/>
      <w:bookmarkStart w:id="666" w:name="_Toc169091795"/>
      <w:bookmarkStart w:id="667" w:name="_Toc17455"/>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658"/>
      <w:bookmarkEnd w:id="659"/>
      <w:bookmarkEnd w:id="660"/>
      <w:bookmarkEnd w:id="661"/>
      <w:bookmarkEnd w:id="662"/>
      <w:bookmarkEnd w:id="663"/>
      <w:bookmarkEnd w:id="664"/>
      <w:bookmarkEnd w:id="665"/>
      <w:r>
        <w:rPr>
          <w:rFonts w:hint="eastAsia" w:ascii="宋体" w:hAnsi="宋体" w:eastAsia="宋体" w:cs="Times New Roman"/>
          <w:b/>
          <w:color w:val="auto"/>
          <w:kern w:val="0"/>
          <w:sz w:val="30"/>
          <w:szCs w:val="30"/>
          <w:highlight w:val="none"/>
        </w:rPr>
        <w:t>投标品牌表格式</w:t>
      </w:r>
      <w:bookmarkEnd w:id="666"/>
      <w:bookmarkEnd w:id="667"/>
    </w:p>
    <w:p w14:paraId="36E5BD5B">
      <w:pPr>
        <w:spacing w:line="360" w:lineRule="auto"/>
        <w:jc w:val="center"/>
        <w:outlineLvl w:val="3"/>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rPr>
        <w:t>1</w:t>
      </w:r>
      <w:r>
        <w:rPr>
          <w:rFonts w:hint="eastAsia" w:ascii="宋体" w:hAnsi="宋体" w:eastAsia="宋体" w:cs="宋体"/>
          <w:b/>
          <w:bCs/>
          <w:color w:val="auto"/>
          <w:sz w:val="32"/>
          <w:szCs w:val="32"/>
          <w:highlight w:val="none"/>
          <w:lang w:val="en-US" w:eastAsia="zh-CN"/>
        </w:rPr>
        <w:t>4</w:t>
      </w:r>
      <w:r>
        <w:rPr>
          <w:rFonts w:hint="eastAsia" w:ascii="宋体" w:hAnsi="宋体" w:eastAsia="宋体" w:cs="宋体"/>
          <w:b/>
          <w:bCs/>
          <w:color w:val="auto"/>
          <w:sz w:val="32"/>
          <w:szCs w:val="32"/>
          <w:highlight w:val="none"/>
          <w:lang w:val="zh-CN"/>
        </w:rPr>
        <w:t>-2-1 投标品牌不匹配情况汇总表</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2903"/>
        <w:gridCol w:w="2075"/>
        <w:gridCol w:w="2075"/>
        <w:gridCol w:w="2075"/>
      </w:tblGrid>
      <w:tr w14:paraId="0D12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98" w:type="pct"/>
            <w:vAlign w:val="center"/>
          </w:tcPr>
          <w:p w14:paraId="394F550A">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399" w:type="pct"/>
            <w:vAlign w:val="center"/>
          </w:tcPr>
          <w:p w14:paraId="1ECC3C99">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设备名称</w:t>
            </w:r>
          </w:p>
        </w:tc>
        <w:tc>
          <w:tcPr>
            <w:tcW w:w="1000" w:type="pct"/>
            <w:vAlign w:val="center"/>
          </w:tcPr>
          <w:p w14:paraId="2EA5DB8E">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推荐品牌</w:t>
            </w:r>
          </w:p>
        </w:tc>
        <w:tc>
          <w:tcPr>
            <w:tcW w:w="1000" w:type="pct"/>
            <w:vAlign w:val="center"/>
          </w:tcPr>
          <w:p w14:paraId="19D16889">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规格型号</w:t>
            </w:r>
          </w:p>
        </w:tc>
        <w:tc>
          <w:tcPr>
            <w:tcW w:w="1000" w:type="pct"/>
            <w:vAlign w:val="center"/>
          </w:tcPr>
          <w:p w14:paraId="1558184B">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投标品牌</w:t>
            </w:r>
          </w:p>
        </w:tc>
      </w:tr>
      <w:tr w14:paraId="19DB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pct"/>
            <w:vAlign w:val="center"/>
          </w:tcPr>
          <w:p w14:paraId="1D6EB79A">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99" w:type="pct"/>
            <w:vAlign w:val="center"/>
          </w:tcPr>
          <w:p w14:paraId="168518A5">
            <w:pPr>
              <w:spacing w:line="360" w:lineRule="auto"/>
              <w:jc w:val="center"/>
              <w:rPr>
                <w:rFonts w:ascii="宋体" w:hAnsi="宋体" w:eastAsia="宋体" w:cs="宋体"/>
                <w:b/>
                <w:color w:val="auto"/>
                <w:szCs w:val="21"/>
                <w:highlight w:val="none"/>
              </w:rPr>
            </w:pPr>
          </w:p>
        </w:tc>
        <w:tc>
          <w:tcPr>
            <w:tcW w:w="1000" w:type="pct"/>
            <w:vAlign w:val="center"/>
          </w:tcPr>
          <w:p w14:paraId="4637F2D0">
            <w:pPr>
              <w:spacing w:line="360" w:lineRule="auto"/>
              <w:jc w:val="center"/>
              <w:rPr>
                <w:rFonts w:ascii="宋体" w:hAnsi="宋体" w:eastAsia="宋体" w:cs="宋体"/>
                <w:b/>
                <w:color w:val="auto"/>
                <w:szCs w:val="21"/>
                <w:highlight w:val="none"/>
              </w:rPr>
            </w:pPr>
          </w:p>
        </w:tc>
        <w:tc>
          <w:tcPr>
            <w:tcW w:w="1000" w:type="pct"/>
            <w:vAlign w:val="center"/>
          </w:tcPr>
          <w:p w14:paraId="61880A21">
            <w:pPr>
              <w:spacing w:line="360" w:lineRule="auto"/>
              <w:jc w:val="center"/>
              <w:rPr>
                <w:rFonts w:ascii="宋体" w:hAnsi="宋体" w:eastAsia="宋体" w:cs="宋体"/>
                <w:b/>
                <w:color w:val="auto"/>
                <w:szCs w:val="21"/>
                <w:highlight w:val="none"/>
              </w:rPr>
            </w:pPr>
          </w:p>
        </w:tc>
        <w:tc>
          <w:tcPr>
            <w:tcW w:w="1000" w:type="pct"/>
            <w:vAlign w:val="center"/>
          </w:tcPr>
          <w:p w14:paraId="27D5C118">
            <w:pPr>
              <w:spacing w:line="360" w:lineRule="auto"/>
              <w:jc w:val="center"/>
              <w:rPr>
                <w:rFonts w:ascii="宋体" w:hAnsi="宋体" w:eastAsia="宋体" w:cs="宋体"/>
                <w:b/>
                <w:color w:val="auto"/>
                <w:szCs w:val="21"/>
                <w:highlight w:val="none"/>
              </w:rPr>
            </w:pPr>
          </w:p>
        </w:tc>
      </w:tr>
      <w:tr w14:paraId="503D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pct"/>
            <w:vAlign w:val="center"/>
          </w:tcPr>
          <w:p w14:paraId="68890DF0">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99" w:type="pct"/>
            <w:vAlign w:val="center"/>
          </w:tcPr>
          <w:p w14:paraId="1337A2ED">
            <w:pPr>
              <w:spacing w:line="360" w:lineRule="auto"/>
              <w:jc w:val="center"/>
              <w:rPr>
                <w:rFonts w:ascii="宋体" w:hAnsi="宋体" w:eastAsia="宋体" w:cs="宋体"/>
                <w:b/>
                <w:color w:val="auto"/>
                <w:szCs w:val="21"/>
                <w:highlight w:val="none"/>
              </w:rPr>
            </w:pPr>
          </w:p>
        </w:tc>
        <w:tc>
          <w:tcPr>
            <w:tcW w:w="1000" w:type="pct"/>
            <w:vAlign w:val="center"/>
          </w:tcPr>
          <w:p w14:paraId="49D8E2E1">
            <w:pPr>
              <w:spacing w:line="360" w:lineRule="auto"/>
              <w:jc w:val="center"/>
              <w:rPr>
                <w:rFonts w:ascii="宋体" w:hAnsi="宋体" w:eastAsia="宋体" w:cs="宋体"/>
                <w:b/>
                <w:color w:val="auto"/>
                <w:szCs w:val="21"/>
                <w:highlight w:val="none"/>
              </w:rPr>
            </w:pPr>
          </w:p>
        </w:tc>
        <w:tc>
          <w:tcPr>
            <w:tcW w:w="1000" w:type="pct"/>
            <w:vAlign w:val="center"/>
          </w:tcPr>
          <w:p w14:paraId="4DA6924D">
            <w:pPr>
              <w:spacing w:line="360" w:lineRule="auto"/>
              <w:jc w:val="center"/>
              <w:rPr>
                <w:rFonts w:ascii="宋体" w:hAnsi="宋体" w:eastAsia="宋体" w:cs="宋体"/>
                <w:b/>
                <w:color w:val="auto"/>
                <w:szCs w:val="21"/>
                <w:highlight w:val="none"/>
              </w:rPr>
            </w:pPr>
          </w:p>
        </w:tc>
        <w:tc>
          <w:tcPr>
            <w:tcW w:w="1000" w:type="pct"/>
            <w:vAlign w:val="center"/>
          </w:tcPr>
          <w:p w14:paraId="47550E75">
            <w:pPr>
              <w:spacing w:line="360" w:lineRule="auto"/>
              <w:jc w:val="center"/>
              <w:rPr>
                <w:rFonts w:ascii="宋体" w:hAnsi="宋体" w:eastAsia="宋体" w:cs="宋体"/>
                <w:b/>
                <w:color w:val="auto"/>
                <w:szCs w:val="21"/>
                <w:highlight w:val="none"/>
              </w:rPr>
            </w:pPr>
          </w:p>
        </w:tc>
      </w:tr>
      <w:tr w14:paraId="2677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pct"/>
            <w:vAlign w:val="center"/>
          </w:tcPr>
          <w:p w14:paraId="0A078842">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399" w:type="pct"/>
            <w:vAlign w:val="center"/>
          </w:tcPr>
          <w:p w14:paraId="36F58E21">
            <w:pPr>
              <w:spacing w:line="360" w:lineRule="auto"/>
              <w:jc w:val="center"/>
              <w:rPr>
                <w:rFonts w:ascii="宋体" w:hAnsi="宋体" w:eastAsia="宋体" w:cs="宋体"/>
                <w:b/>
                <w:color w:val="auto"/>
                <w:szCs w:val="21"/>
                <w:highlight w:val="none"/>
              </w:rPr>
            </w:pPr>
          </w:p>
        </w:tc>
        <w:tc>
          <w:tcPr>
            <w:tcW w:w="1000" w:type="pct"/>
            <w:vAlign w:val="center"/>
          </w:tcPr>
          <w:p w14:paraId="3CDF1896">
            <w:pPr>
              <w:spacing w:line="360" w:lineRule="auto"/>
              <w:jc w:val="center"/>
              <w:rPr>
                <w:rFonts w:ascii="宋体" w:hAnsi="宋体" w:eastAsia="宋体" w:cs="宋体"/>
                <w:b/>
                <w:color w:val="auto"/>
                <w:szCs w:val="21"/>
                <w:highlight w:val="none"/>
              </w:rPr>
            </w:pPr>
          </w:p>
        </w:tc>
        <w:tc>
          <w:tcPr>
            <w:tcW w:w="1000" w:type="pct"/>
            <w:vAlign w:val="center"/>
          </w:tcPr>
          <w:p w14:paraId="6C241DC2">
            <w:pPr>
              <w:spacing w:line="360" w:lineRule="auto"/>
              <w:jc w:val="center"/>
              <w:rPr>
                <w:rFonts w:ascii="宋体" w:hAnsi="宋体" w:eastAsia="宋体" w:cs="宋体"/>
                <w:b/>
                <w:color w:val="auto"/>
                <w:szCs w:val="21"/>
                <w:highlight w:val="none"/>
              </w:rPr>
            </w:pPr>
          </w:p>
        </w:tc>
        <w:tc>
          <w:tcPr>
            <w:tcW w:w="1000" w:type="pct"/>
            <w:vAlign w:val="center"/>
          </w:tcPr>
          <w:p w14:paraId="2445169B">
            <w:pPr>
              <w:spacing w:line="360" w:lineRule="auto"/>
              <w:jc w:val="center"/>
              <w:rPr>
                <w:rFonts w:ascii="宋体" w:hAnsi="宋体" w:eastAsia="宋体" w:cs="宋体"/>
                <w:b/>
                <w:color w:val="auto"/>
                <w:szCs w:val="21"/>
                <w:highlight w:val="none"/>
              </w:rPr>
            </w:pPr>
          </w:p>
        </w:tc>
      </w:tr>
      <w:tr w14:paraId="1C31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pct"/>
            <w:vAlign w:val="center"/>
          </w:tcPr>
          <w:p w14:paraId="3AED4233">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99" w:type="pct"/>
            <w:vAlign w:val="center"/>
          </w:tcPr>
          <w:p w14:paraId="56955433">
            <w:pPr>
              <w:spacing w:line="360" w:lineRule="auto"/>
              <w:jc w:val="center"/>
              <w:rPr>
                <w:rFonts w:ascii="宋体" w:hAnsi="宋体" w:eastAsia="宋体" w:cs="宋体"/>
                <w:b/>
                <w:color w:val="auto"/>
                <w:szCs w:val="21"/>
                <w:highlight w:val="none"/>
              </w:rPr>
            </w:pPr>
          </w:p>
        </w:tc>
        <w:tc>
          <w:tcPr>
            <w:tcW w:w="1000" w:type="pct"/>
            <w:vAlign w:val="center"/>
          </w:tcPr>
          <w:p w14:paraId="5BDA1A2F">
            <w:pPr>
              <w:spacing w:line="360" w:lineRule="auto"/>
              <w:jc w:val="center"/>
              <w:rPr>
                <w:rFonts w:ascii="宋体" w:hAnsi="宋体" w:eastAsia="宋体" w:cs="宋体"/>
                <w:b/>
                <w:color w:val="auto"/>
                <w:szCs w:val="21"/>
                <w:highlight w:val="none"/>
              </w:rPr>
            </w:pPr>
          </w:p>
        </w:tc>
        <w:tc>
          <w:tcPr>
            <w:tcW w:w="1000" w:type="pct"/>
            <w:vAlign w:val="center"/>
          </w:tcPr>
          <w:p w14:paraId="1DB0CDC7">
            <w:pPr>
              <w:spacing w:line="360" w:lineRule="auto"/>
              <w:jc w:val="center"/>
              <w:rPr>
                <w:rFonts w:ascii="宋体" w:hAnsi="宋体" w:eastAsia="宋体" w:cs="宋体"/>
                <w:b/>
                <w:color w:val="auto"/>
                <w:szCs w:val="21"/>
                <w:highlight w:val="none"/>
              </w:rPr>
            </w:pPr>
          </w:p>
        </w:tc>
        <w:tc>
          <w:tcPr>
            <w:tcW w:w="1000" w:type="pct"/>
            <w:vAlign w:val="center"/>
          </w:tcPr>
          <w:p w14:paraId="01DA3386">
            <w:pPr>
              <w:spacing w:line="360" w:lineRule="auto"/>
              <w:jc w:val="center"/>
              <w:rPr>
                <w:rFonts w:ascii="宋体" w:hAnsi="宋体" w:eastAsia="宋体" w:cs="宋体"/>
                <w:b/>
                <w:color w:val="auto"/>
                <w:szCs w:val="21"/>
                <w:highlight w:val="none"/>
              </w:rPr>
            </w:pPr>
          </w:p>
        </w:tc>
      </w:tr>
    </w:tbl>
    <w:p w14:paraId="4BBB8296">
      <w:pPr>
        <w:snapToGrid w:val="0"/>
        <w:spacing w:line="360" w:lineRule="auto"/>
        <w:ind w:left="396" w:leftChars="-58" w:hanging="518" w:hangingChars="247"/>
        <w:rPr>
          <w:rFonts w:ascii="宋体" w:hAnsi="宋体" w:eastAsia="宋体" w:cs="宋体"/>
          <w:color w:val="auto"/>
          <w:kern w:val="3"/>
          <w:szCs w:val="21"/>
          <w:highlight w:val="none"/>
        </w:rPr>
      </w:pPr>
      <w:r>
        <w:rPr>
          <w:rFonts w:hint="eastAsia" w:ascii="宋体" w:hAnsi="宋体" w:eastAsia="宋体" w:cs="宋体"/>
          <w:color w:val="auto"/>
          <w:kern w:val="3"/>
          <w:szCs w:val="21"/>
          <w:highlight w:val="none"/>
        </w:rPr>
        <w:t>备注：</w:t>
      </w:r>
    </w:p>
    <w:p w14:paraId="1E7E723D">
      <w:pPr>
        <w:snapToGrid w:val="0"/>
        <w:spacing w:line="360" w:lineRule="auto"/>
        <w:ind w:left="399" w:leftChars="-58" w:hanging="521" w:hangingChars="247"/>
        <w:rPr>
          <w:rFonts w:ascii="宋体" w:hAnsi="宋体" w:eastAsia="宋体" w:cs="宋体"/>
          <w:b/>
          <w:color w:val="auto"/>
          <w:szCs w:val="21"/>
          <w:highlight w:val="none"/>
        </w:rPr>
      </w:pPr>
      <w:r>
        <w:rPr>
          <w:rFonts w:hint="eastAsia" w:ascii="宋体" w:hAnsi="宋体" w:eastAsia="宋体" w:cs="宋体"/>
          <w:b/>
          <w:color w:val="auto"/>
          <w:szCs w:val="21"/>
          <w:highlight w:val="none"/>
        </w:rPr>
        <w:t>（1）投标人所投品牌与推荐品牌没有1个是一致的即为不匹配。</w:t>
      </w:r>
    </w:p>
    <w:p w14:paraId="7B8DDE8B">
      <w:pPr>
        <w:snapToGrid w:val="0"/>
        <w:spacing w:line="360" w:lineRule="auto"/>
        <w:ind w:left="399" w:leftChars="-58" w:hanging="521" w:hangingChars="247"/>
        <w:rPr>
          <w:rFonts w:ascii="宋体" w:hAnsi="宋体" w:eastAsia="宋体" w:cs="宋体"/>
          <w:b/>
          <w:color w:val="auto"/>
          <w:szCs w:val="21"/>
          <w:highlight w:val="none"/>
        </w:rPr>
      </w:pPr>
      <w:r>
        <w:rPr>
          <w:rFonts w:hint="eastAsia" w:ascii="宋体" w:hAnsi="宋体" w:eastAsia="宋体" w:cs="宋体"/>
          <w:b/>
          <w:color w:val="auto"/>
          <w:szCs w:val="21"/>
          <w:highlight w:val="none"/>
        </w:rPr>
        <w:t>（2）投标人所投品牌中至少有1个品牌与推荐品牌一致的即为匹配；若推荐品牌为任意品牌的，投标人所报的任意品牌均视为匹配。</w:t>
      </w:r>
    </w:p>
    <w:p w14:paraId="55E1CEC6">
      <w:pPr>
        <w:snapToGrid w:val="0"/>
        <w:spacing w:line="360" w:lineRule="auto"/>
        <w:ind w:left="399" w:leftChars="-58" w:hanging="521" w:hangingChars="247"/>
        <w:rPr>
          <w:rFonts w:ascii="宋体" w:hAnsi="宋体" w:eastAsia="宋体" w:cs="宋体"/>
          <w:b/>
          <w:color w:val="auto"/>
          <w:szCs w:val="21"/>
          <w:highlight w:val="none"/>
        </w:rPr>
      </w:pPr>
      <w:r>
        <w:rPr>
          <w:rFonts w:hint="eastAsia" w:ascii="宋体" w:hAnsi="宋体" w:eastAsia="宋体" w:cs="宋体"/>
          <w:b/>
          <w:color w:val="auto"/>
          <w:szCs w:val="21"/>
          <w:highlight w:val="none"/>
        </w:rPr>
        <w:t>（3）投标人应对照表【1</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-2-2 投标品牌表】的投标品牌，在本表【1</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-2-1 投标品牌不匹配情况汇总表】如实地填写投标品牌不匹配的运维维修工器具类物资。若发现此表未填写视为投标人所投所有品牌与采购清单的推荐品牌匹配。</w:t>
      </w:r>
    </w:p>
    <w:p w14:paraId="27D3261D">
      <w:pPr>
        <w:snapToGrid w:val="0"/>
        <w:spacing w:line="360" w:lineRule="auto"/>
        <w:ind w:left="399" w:leftChars="-58" w:hanging="521" w:hangingChars="247"/>
        <w:rPr>
          <w:rFonts w:ascii="宋体" w:hAnsi="宋体" w:eastAsia="宋体" w:cs="宋体"/>
          <w:b/>
          <w:color w:val="auto"/>
          <w:szCs w:val="21"/>
          <w:highlight w:val="none"/>
        </w:rPr>
      </w:pPr>
      <w:r>
        <w:rPr>
          <w:rFonts w:hint="eastAsia" w:ascii="宋体" w:hAnsi="宋体" w:eastAsia="宋体" w:cs="宋体"/>
          <w:b/>
          <w:color w:val="auto"/>
          <w:szCs w:val="21"/>
          <w:highlight w:val="none"/>
        </w:rPr>
        <w:t>（4）如在表【1</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-2-2 投标品牌表】中出现投标人所投品牌不匹配情况，但未在本表中如实填写投标品牌不匹配的情况，以本表为准进行评审，且视为该项运维维修工器具的品牌与采购清单中的推荐品牌匹配。若该投标人中标，该投标人须无条件同意按照该项运维维修工器具的推荐品牌且经招标人确认后进行供货，不得拒绝。</w:t>
      </w:r>
    </w:p>
    <w:p w14:paraId="0999A830">
      <w:pPr>
        <w:snapToGrid w:val="0"/>
        <w:spacing w:line="360" w:lineRule="auto"/>
        <w:ind w:left="399" w:leftChars="-58" w:hanging="521" w:hangingChars="247"/>
        <w:rPr>
          <w:rFonts w:ascii="宋体" w:hAnsi="宋体" w:eastAsia="宋体" w:cs="宋体"/>
          <w:b/>
          <w:color w:val="auto"/>
          <w:szCs w:val="21"/>
          <w:highlight w:val="none"/>
        </w:rPr>
      </w:pPr>
      <w:r>
        <w:rPr>
          <w:rFonts w:hint="eastAsia" w:ascii="宋体" w:hAnsi="宋体" w:eastAsia="宋体" w:cs="宋体"/>
          <w:b/>
          <w:color w:val="auto"/>
          <w:szCs w:val="21"/>
          <w:highlight w:val="none"/>
        </w:rPr>
        <w:t>（5）在本表【1</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-2-1 投标品牌不匹配情况汇总表】中投标人填写的投标品牌，与表【1</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-2-2 投标品牌表】中对应的投标品牌中不一致的，以本表为准进行评审。若该投标人中标，该投标人须按照本表中填写的投标品牌进行供货。</w:t>
      </w:r>
    </w:p>
    <w:p w14:paraId="7CCD95C1">
      <w:pPr>
        <w:pStyle w:val="24"/>
        <w:spacing w:line="360" w:lineRule="auto"/>
        <w:ind w:firstLine="4200" w:firstLineChars="2000"/>
        <w:rPr>
          <w:rFonts w:hAnsi="宋体" w:cs="宋体"/>
          <w:color w:val="auto"/>
          <w:kern w:val="3"/>
          <w:szCs w:val="21"/>
          <w:highlight w:val="none"/>
          <w:u w:val="single"/>
        </w:rPr>
      </w:pPr>
      <w:r>
        <w:rPr>
          <w:rFonts w:hint="eastAsia" w:hAnsi="宋体" w:cs="宋体"/>
          <w:color w:val="auto"/>
          <w:kern w:val="3"/>
          <w:szCs w:val="21"/>
          <w:highlight w:val="none"/>
        </w:rPr>
        <w:t>投 标 人（加盖投标人法人公章）：</w:t>
      </w:r>
      <w:r>
        <w:rPr>
          <w:rFonts w:hint="eastAsia" w:hAnsi="宋体" w:cs="宋体"/>
          <w:color w:val="auto"/>
          <w:kern w:val="3"/>
          <w:szCs w:val="21"/>
          <w:highlight w:val="none"/>
          <w:u w:val="single"/>
        </w:rPr>
        <w:t xml:space="preserve">       </w:t>
      </w:r>
    </w:p>
    <w:p w14:paraId="64C23BD9">
      <w:pPr>
        <w:pStyle w:val="24"/>
        <w:spacing w:line="360" w:lineRule="auto"/>
        <w:ind w:firstLine="4200" w:firstLineChars="2000"/>
        <w:rPr>
          <w:color w:val="auto"/>
          <w:highlight w:val="none"/>
          <w:lang w:val="zh-CN"/>
        </w:rPr>
      </w:pPr>
      <w:r>
        <w:rPr>
          <w:rFonts w:hint="eastAsia" w:hAnsi="宋体" w:cs="宋体"/>
          <w:color w:val="auto"/>
          <w:szCs w:val="21"/>
          <w:highlight w:val="none"/>
        </w:rPr>
        <w:t>日  期：</w:t>
      </w:r>
      <w:r>
        <w:rPr>
          <w:rFonts w:hint="eastAsia" w:hAnsi="宋体" w:cs="宋体"/>
          <w:color w:val="auto"/>
          <w:szCs w:val="21"/>
          <w:highlight w:val="none"/>
          <w:u w:val="single"/>
        </w:rPr>
        <w:t xml:space="preserve">        </w:t>
      </w:r>
      <w:r>
        <w:rPr>
          <w:rFonts w:hint="eastAsia" w:hAnsi="宋体" w:cs="宋体"/>
          <w:color w:val="auto"/>
          <w:szCs w:val="21"/>
          <w:highlight w:val="none"/>
        </w:rPr>
        <w:t>年</w:t>
      </w:r>
      <w:r>
        <w:rPr>
          <w:rFonts w:hint="eastAsia" w:hAnsi="宋体" w:cs="宋体"/>
          <w:color w:val="auto"/>
          <w:szCs w:val="21"/>
          <w:highlight w:val="none"/>
          <w:u w:val="single"/>
        </w:rPr>
        <w:t xml:space="preserve">     </w:t>
      </w:r>
      <w:r>
        <w:rPr>
          <w:rFonts w:hint="eastAsia" w:hAnsi="宋体" w:cs="宋体"/>
          <w:color w:val="auto"/>
          <w:szCs w:val="21"/>
          <w:highlight w:val="none"/>
        </w:rPr>
        <w:t>月</w:t>
      </w:r>
      <w:r>
        <w:rPr>
          <w:rFonts w:hint="eastAsia" w:hAnsi="宋体" w:cs="宋体"/>
          <w:color w:val="auto"/>
          <w:szCs w:val="21"/>
          <w:highlight w:val="none"/>
          <w:u w:val="single"/>
        </w:rPr>
        <w:t xml:space="preserve">     </w:t>
      </w:r>
      <w:r>
        <w:rPr>
          <w:rFonts w:hint="eastAsia" w:hAnsi="宋体" w:cs="宋体"/>
          <w:color w:val="auto"/>
          <w:szCs w:val="21"/>
          <w:highlight w:val="none"/>
        </w:rPr>
        <w:t>日</w:t>
      </w:r>
    </w:p>
    <w:p w14:paraId="78A046D6">
      <w:pPr>
        <w:pStyle w:val="3"/>
        <w:spacing w:line="360" w:lineRule="auto"/>
        <w:ind w:right="-28"/>
        <w:rPr>
          <w:rFonts w:hAnsi="宋体" w:cs="宋体"/>
          <w:color w:val="auto"/>
          <w:sz w:val="30"/>
          <w:szCs w:val="30"/>
          <w:highlight w:val="none"/>
          <w:lang w:val="en-US"/>
        </w:rPr>
      </w:pPr>
    </w:p>
    <w:p w14:paraId="1B4F5A10">
      <w:pPr>
        <w:pStyle w:val="3"/>
        <w:pageBreakBefore/>
        <w:spacing w:line="360" w:lineRule="auto"/>
        <w:ind w:right="-28"/>
        <w:rPr>
          <w:rFonts w:hAnsi="宋体" w:cs="宋体"/>
          <w:color w:val="auto"/>
          <w:sz w:val="30"/>
          <w:szCs w:val="30"/>
          <w:highlight w:val="none"/>
        </w:rPr>
      </w:pPr>
      <w:r>
        <w:rPr>
          <w:rFonts w:hint="eastAsia" w:hAnsi="宋体" w:cs="宋体"/>
          <w:color w:val="auto"/>
          <w:sz w:val="32"/>
          <w:szCs w:val="32"/>
          <w:highlight w:val="none"/>
          <w:lang w:val="en-US"/>
        </w:rPr>
        <w:t>1</w:t>
      </w:r>
      <w:r>
        <w:rPr>
          <w:rFonts w:hint="eastAsia" w:hAnsi="宋体" w:cs="宋体"/>
          <w:color w:val="auto"/>
          <w:sz w:val="32"/>
          <w:szCs w:val="32"/>
          <w:highlight w:val="none"/>
          <w:lang w:val="en-US" w:eastAsia="zh-CN"/>
        </w:rPr>
        <w:t>4</w:t>
      </w:r>
      <w:r>
        <w:rPr>
          <w:rFonts w:hint="eastAsia" w:hAnsi="宋体" w:cs="宋体"/>
          <w:color w:val="auto"/>
          <w:sz w:val="32"/>
          <w:szCs w:val="32"/>
          <w:highlight w:val="none"/>
        </w:rPr>
        <w:t>-2-</w:t>
      </w:r>
      <w:r>
        <w:rPr>
          <w:rFonts w:hint="eastAsia" w:hAnsi="宋体" w:cs="宋体"/>
          <w:color w:val="auto"/>
          <w:sz w:val="32"/>
          <w:szCs w:val="32"/>
          <w:highlight w:val="none"/>
          <w:lang w:val="en-US"/>
        </w:rPr>
        <w:t>2</w:t>
      </w:r>
      <w:r>
        <w:rPr>
          <w:rFonts w:hint="eastAsia" w:hAnsi="宋体" w:cs="宋体"/>
          <w:color w:val="auto"/>
          <w:sz w:val="32"/>
          <w:szCs w:val="32"/>
          <w:highlight w:val="none"/>
        </w:rPr>
        <w:t xml:space="preserve"> </w:t>
      </w:r>
      <w:r>
        <w:rPr>
          <w:rFonts w:hint="eastAsia" w:hAnsi="宋体" w:cs="宋体"/>
          <w:color w:val="auto"/>
          <w:sz w:val="30"/>
          <w:szCs w:val="30"/>
          <w:highlight w:val="none"/>
          <w:lang w:val="en-US"/>
        </w:rPr>
        <w:t>投</w:t>
      </w:r>
      <w:r>
        <w:rPr>
          <w:rFonts w:hint="eastAsia" w:hAnsi="宋体" w:cs="宋体"/>
          <w:color w:val="auto"/>
          <w:sz w:val="30"/>
          <w:szCs w:val="30"/>
          <w:highlight w:val="none"/>
        </w:rPr>
        <w:t>标品牌表</w:t>
      </w:r>
    </w:p>
    <w:p w14:paraId="6401FD15">
      <w:pPr>
        <w:widowControl/>
        <w:spacing w:line="360" w:lineRule="auto"/>
        <w:rPr>
          <w:rFonts w:hint="eastAsia" w:ascii="宋体" w:hAnsi="宋体" w:eastAsia="宋体" w:cs="宋体"/>
          <w:bCs/>
          <w:color w:val="auto"/>
          <w:szCs w:val="21"/>
          <w:highlight w:val="none"/>
          <w:lang w:eastAsia="zh-CN"/>
        </w:rPr>
      </w:pPr>
      <w:r>
        <w:rPr>
          <w:rFonts w:hint="eastAsia" w:ascii="宋体" w:hAnsi="宋体" w:eastAsia="宋体" w:cs="宋体"/>
          <w:b/>
          <w:color w:val="auto"/>
          <w:szCs w:val="21"/>
          <w:highlight w:val="none"/>
        </w:rPr>
        <w:t>项目名称：</w:t>
      </w:r>
      <w:r>
        <w:rPr>
          <w:rFonts w:hint="eastAsia" w:ascii="宋体" w:hAnsi="宋体" w:eastAsia="宋体" w:cs="宋体"/>
          <w:bCs/>
          <w:color w:val="auto"/>
          <w:szCs w:val="21"/>
          <w:highlight w:val="none"/>
          <w:lang w:eastAsia="zh-CN"/>
        </w:rPr>
        <w:t>东莞市水务环境投资控股集团管网有限公司2026年运维维修工器具类物资采购项目</w:t>
      </w:r>
    </w:p>
    <w:p w14:paraId="181C922C">
      <w:pPr>
        <w:widowControl/>
        <w:spacing w:line="360" w:lineRule="auto"/>
        <w:rPr>
          <w:rFonts w:hint="eastAsia" w:ascii="宋体" w:hAnsi="宋体" w:eastAsia="宋体" w:cs="宋体"/>
          <w:bCs/>
          <w:color w:val="auto"/>
          <w:szCs w:val="21"/>
          <w:highlight w:val="none"/>
          <w:lang w:eastAsia="zh-CN"/>
        </w:rPr>
      </w:pPr>
      <w:r>
        <w:rPr>
          <w:rFonts w:hint="eastAsia" w:ascii="宋体" w:hAnsi="宋体" w:eastAsia="宋体" w:cs="宋体"/>
          <w:b/>
          <w:color w:val="auto"/>
          <w:szCs w:val="21"/>
          <w:highlight w:val="none"/>
        </w:rPr>
        <w:t>项目编号：</w:t>
      </w:r>
      <w:r>
        <w:rPr>
          <w:rFonts w:hint="eastAsia" w:ascii="宋体" w:hAnsi="宋体" w:eastAsia="宋体" w:cs="宋体"/>
          <w:bCs/>
          <w:color w:val="auto"/>
          <w:szCs w:val="21"/>
          <w:highlight w:val="none"/>
          <w:lang w:eastAsia="zh-CN"/>
        </w:rPr>
        <w:t>YDZB25DGQY0136</w:t>
      </w:r>
    </w:p>
    <w:p w14:paraId="1B731D56">
      <w:pPr>
        <w:widowControl/>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投标品牌填写说明：</w:t>
      </w:r>
    </w:p>
    <w:p w14:paraId="477B8F83">
      <w:pPr>
        <w:widowControl/>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投标人应根据表格要求在中标综合单价不变的前提下，每项货物填写1至3个投标人中标后能提供的品牌；中标后，招标人将根据实际需求，在每次下单时明确当批次需求的品牌。</w:t>
      </w:r>
    </w:p>
    <w:p w14:paraId="2B8EFD82">
      <w:pPr>
        <w:autoSpaceDE w:val="0"/>
        <w:autoSpaceDN w:val="0"/>
        <w:adjustRightInd w:val="0"/>
        <w:spacing w:line="360" w:lineRule="auto"/>
        <w:ind w:right="-23" w:rightChars="-11"/>
        <w:jc w:val="center"/>
        <w:rPr>
          <w:rFonts w:ascii="宋体" w:hAnsi="宋体" w:eastAsia="宋体" w:cs="宋体"/>
          <w:b/>
          <w:color w:val="auto"/>
          <w:szCs w:val="21"/>
          <w:highlight w:val="none"/>
          <w:lang w:val="zh-CN"/>
        </w:rPr>
      </w:pPr>
    </w:p>
    <w:tbl>
      <w:tblPr>
        <w:tblStyle w:val="43"/>
        <w:tblW w:w="1025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2"/>
        <w:gridCol w:w="1954"/>
        <w:gridCol w:w="2940"/>
        <w:gridCol w:w="560"/>
        <w:gridCol w:w="626"/>
        <w:gridCol w:w="1840"/>
        <w:gridCol w:w="1000"/>
        <w:gridCol w:w="667"/>
      </w:tblGrid>
      <w:tr w14:paraId="5637D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03D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序号</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FB4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设备名称</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D57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规格参数及要求</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1AC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单位</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B41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数量</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71A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推荐品牌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0AE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rPr>
              <w:t>投标品牌</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DC5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rPr>
              <w:t>备注</w:t>
            </w:r>
          </w:p>
        </w:tc>
      </w:tr>
      <w:tr w14:paraId="4BB32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6D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79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304吊环螺丝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20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FF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C96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5B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38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4C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BBEB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0C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77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304吊环螺丝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62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M8</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D7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FE0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8C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24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1D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EDEB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69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2F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304吊环螺丝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C8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40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6C9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F6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2D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15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72A0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0F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99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304吊环螺丝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BC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M12</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0C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8D0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EC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75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31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D1EA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54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9D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304吊环螺丝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98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M14</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2B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CFA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35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44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D7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5439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90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26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304吊环螺丝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4D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14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193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EE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BC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EB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1F87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3D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7E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304吊环螺丝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29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M18</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0D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227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62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20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C2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E7A9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0E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F7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304吊环螺丝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49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29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598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6E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16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A5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F1FD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93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66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304不锈钢链条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47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3mm，承重参数80KG</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E2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009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C8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17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0E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B42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F5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04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304不锈钢链条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72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5mm、承重参数150KG</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05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E2A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8A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65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A1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A867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E3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19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304不锈钢链条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8A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6mm、承重参数200KG</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A7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9ED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93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B7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F2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1185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EE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92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304不锈钢链条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78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8mm、承重参数400KG</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CB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AD1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FB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00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0B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8248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5C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12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304不锈钢链条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37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10mm、承重参数800KG</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5C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3AB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79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21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26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BC49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05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A5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304不锈钢链条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2E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12mm、承重参数1000KG</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22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2CD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1F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2E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FD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01E2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0A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73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304不锈钢链条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2C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14mm、承重参数1500KG</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71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46F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25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5C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98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DCB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FC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2D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304不锈钢D型卸扣</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6D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59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6A2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2F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20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67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9406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50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30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304不锈钢D型卸扣</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E6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M8</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DE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D17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D4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51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64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B14F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3F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1F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304不锈钢D型卸扣</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E4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9E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488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19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B0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09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150E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2D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48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304不锈钢D型卸扣</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33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M12</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B8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483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A7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CD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17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611F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21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44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304不锈钢D型卸扣</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77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M14</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3C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EC0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DA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7C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E1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E820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A9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EF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304不锈钢D型卸扣</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3F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70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42E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AA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73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AE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0832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CE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78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304不锈钢弓型卸扣</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B1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B6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638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7C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9A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6F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A8FA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5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A0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304不锈钢弓型卸扣</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54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M8</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57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4E3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41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E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62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11B7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BC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54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304不锈钢弓型卸扣</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25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6D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D40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A7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00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EB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2DFD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B0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69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304不锈钢弓型卸扣</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18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M12</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91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EB4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BB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61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3E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3158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E1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A1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304不锈钢弓型卸扣</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C4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M14</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0A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2C5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CD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81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98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6AA3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2E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88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304不锈钢弓型卸扣</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47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DA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D46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3A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B9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68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D98E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12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DB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304不锈钢D型卸扣</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9F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11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3D1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A0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AA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4B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4049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0C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2B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304不锈钢钢丝绳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D5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直径1.5mm，7*7结构（7股7丝）</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1A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0D3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B7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90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88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8596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DB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B5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304不锈钢钢丝绳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4E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直径3mm，7*19结构（7股19丝）</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04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BB6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440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FD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C2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9C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015B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5E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EB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304不锈钢钢丝绳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D2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直径6mm，7*19结构（7股19丝）</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FD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DBC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95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AD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4A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51E0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F7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0F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304不锈钢钢丝绳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58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直径8mm，7*19结构（7股19丝）</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00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992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96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BB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A0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C7C8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19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30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304不锈钢钢丝绳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75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直径10mm，7*19结构（7股19丝）</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63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A0A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25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B7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BB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BAF9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A3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2C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304不锈钢钢丝绳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98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直径12mm，7*19结构（7股19丝）</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0A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0F0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45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1B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DD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63CF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24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7B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304不锈钢钢丝绳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6F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直径14mm，7*19结构（7股19丝）</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17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B04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89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0B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2A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7455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7F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90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304不锈钢钢丝绳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00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直径16mm，7*19结构（7股19丝）</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21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2F2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80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EF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54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E97E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6B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B2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304不锈钢钢丝绳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0B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直径3mm，19*7结构（19股7丝）</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EF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9B8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BC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FD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BE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2DF1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D2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F2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304不锈钢钢丝绳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40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直径6mm，19*7结构（19股7丝）</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0A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B42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E6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B8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55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D9F6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A2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DC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304不锈钢钢丝绳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3C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直径8mm，19*7结构（19股7丝）</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5C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FB8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49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D8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E1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FAFD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51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E7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304不锈钢钢丝绳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06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直径10mm，19*7结构（19股7丝）</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5D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CA5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36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8A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0D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D736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E4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3A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304不锈钢钢丝绳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3A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直径12mm，19*7结构（19股7丝）</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64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829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BB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0C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B1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D86C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98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44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304不锈钢钢丝绳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90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直径14mm，19*7结构（19股7丝）</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62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331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34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FE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5A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874A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E6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C2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304不锈钢钢丝绳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B7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直径16mm，19*7结构（19股7丝）</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55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212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9A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AE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B4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A85E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88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C8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316不锈钢钢丝绳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66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直径1.5mm，7*7结构（7股19丝）</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CC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9C4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C6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36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93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5357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A1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76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316不锈钢钢丝绳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16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直径3mm，7*19结构（7股19丝）</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68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C28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30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88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A2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F4B1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3E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C7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316不锈钢钢丝绳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18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直径6mm，7*19结构（7股19丝）</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93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A01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6F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F7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D7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8896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3C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EE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316不锈钢钢丝绳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BF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直径8mm，7*19结构（7股19丝）</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8B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704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A1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E9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96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92D5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B4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B2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316不锈钢钢丝绳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F6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直径10mm，7*19结构（7股19丝）</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D4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1F5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70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67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F9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00F8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9D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DA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316不锈钢钢丝绳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C3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直径12mm，7*19结构（7股19丝）</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E6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B74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C7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31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CD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44BC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87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C4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316不锈钢钢丝绳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73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直径14mm，7*19结构（7股19丝）</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3C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607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C4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C2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34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F662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7B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48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316不锈钢钢丝绳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83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直径16mm，7*19结构（7股19丝）</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14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782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1E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5E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9A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0ED5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4E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2B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钢丝绳锁扣</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9E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94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F9F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4E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FA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B4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0D29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40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0B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钢丝绳锁扣</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5C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M4</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49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A68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71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84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24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61D8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F6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2E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钢丝绳锁扣</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1F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D4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D25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EE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5E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CC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D3BB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EC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EC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钢丝绳锁扣</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DB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M8</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E2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CAA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EB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B6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36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617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6E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EB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钢丝绳锁扣</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B5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91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901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315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BB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93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B5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4E1B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FF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2B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钢丝绳锁扣</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A7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M12</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40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837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32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20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5F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539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64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47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304不锈钢膨胀螺丝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75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M6*60mm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46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B4A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230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C0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EB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C8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0D9B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22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D9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304不锈钢膨胀螺丝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5E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M8*60mm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55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939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45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11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6C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6BB8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A5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0B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304不锈钢膨胀螺丝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4D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M8*70mm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06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6C6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70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4D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B2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D437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9D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22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304不锈钢膨胀螺丝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FF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M8*100mm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25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6F8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47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FD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17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6FA9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5D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D0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304不锈钢膨胀螺丝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B6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M10*80mm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6D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3A9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8C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D8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68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EEAA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21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F3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304不锈钢膨胀螺丝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C0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M10*100mm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83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E74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8E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1D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56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D416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D3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8C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304不锈钢膨胀螺丝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17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M10*110mm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68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025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59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BB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96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6AB0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20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8A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304不锈钢膨胀螺丝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00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M12*100mm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08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B1A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06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E8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B4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FD25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5D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A9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304不锈钢膨胀螺丝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60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M12*120mm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EE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6FD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DE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E1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A6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CAEB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40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15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304不锈钢膨胀螺丝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8F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M14*120mm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27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4D5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1B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50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05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E0A8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79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DF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304不锈钢膨胀螺丝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B9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M20*120mm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EC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C6C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B8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4F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B9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353B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46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F6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外六角内膨胀螺丝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1F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M6*60mm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2E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DF9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93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189C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FEF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9971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1C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D9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外六角内膨胀螺丝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EC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M8*60mm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CD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D41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1E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C99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283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23C2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24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77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外六角内膨胀螺丝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EA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M8*70mm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B4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019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A1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471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0DB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7F54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A0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4B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外六角内膨胀螺丝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A5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M8*100mm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9E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9BC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61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465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823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6775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CA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36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外六角内膨胀螺丝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B0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M10*80mm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53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330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2F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B9A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FD7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5006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66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C4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外六角内膨胀螺丝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21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M10*100mm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3D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C08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11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3FA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714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A720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C4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A9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外六角内膨胀螺丝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A8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M10*110mm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C6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8AE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22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87C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A4C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F176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5B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05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外六角内膨胀螺丝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3F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M12*100mm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FC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95C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9A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3C3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890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8CCE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05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58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外六角内膨胀螺丝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FD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M12*120mm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53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AC8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1E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5BA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A875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E8E2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8C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C9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304不锈钢膨胀弯钩螺丝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BF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M8</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CA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9EA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C1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08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7E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BD39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01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4D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304不锈钢膨胀弯钩螺丝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8B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55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B5B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3F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6A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33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DAAD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56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89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304不锈钢膨胀弯钩螺丝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CC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M12</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2B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F1A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5D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8F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03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B5AB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36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95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304不锈钢内六角螺丝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CB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M4*25mm，配一个平垫，一个弹垫，一个螺帽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E7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FC6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31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D4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BF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D843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48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92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304不锈钢内六角螺丝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DB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M4*60mm，配一个平垫，一个弹垫，一个螺帽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B6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FF9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96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A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28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FD36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A3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6A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304不锈钢内六角螺丝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27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M5*25mm，配一个平垫，一个弹垫，一个螺帽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74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C78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1B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AC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CF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A4FD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B5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52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304不锈钢内六角螺丝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67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M5*60mm，配一个平垫，一个弹垫，一个螺帽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07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019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C1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2E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EE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2921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9E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B8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304不锈钢内六角螺丝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BF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M6*30mm，配一个平垫，一个弹垫，一个螺帽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1C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4D3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EB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C9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25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AF6E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BD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31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304不锈钢内六角螺丝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24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M6*40mm，配一个平垫，一个弹垫，一个螺帽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C2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E8F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4D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15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54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D2AC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7C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56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304不锈钢内六角螺丝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C2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M8*30mm，配一个平垫，一个弹垫，一个螺帽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AC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109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32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61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F7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6948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26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5C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304不锈钢内六角螺丝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51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M8*40mm，配一个平垫，一个弹垫，一个螺帽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34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723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BE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53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4F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6C39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E9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28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304不锈钢内六角螺丝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22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M10*30mm，配一个平垫，一个弹垫，一个螺帽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A7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D4E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91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59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14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D59D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F0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C0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304不锈钢内六角螺丝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85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M10*40mm，配一个平垫，一个弹垫，一个螺帽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04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28E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16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99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14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833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51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AB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304不锈钢内六角螺丝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C1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M10*80mm，配一个平垫，一个弹垫，一个螺帽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25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11E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270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91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E9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F8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5E12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D9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2C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304不锈钢内六角螺丝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2B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M10*100mm，配一个平垫，一个弹垫，一个螺帽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D4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40F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270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E0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72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44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8E24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6A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ED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304不锈钢内六角螺丝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E7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M12*30mm，配一个平垫，一个弹垫，一个螺帽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2B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1D4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62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08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7D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8B45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1A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EA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304不锈钢内六角螺丝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58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M12*40mm，配一个平垫，一个弹垫，一个螺帽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EA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8FD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260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43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4C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62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6832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E2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B0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304不锈钢内六角螺丝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1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M12*80mm，配一个平垫，一个弹垫，一个螺帽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80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DB5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F3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15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47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1831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DE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9C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304不锈钢内六角螺丝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3A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M12*100mm，配一个平垫，一个弹垫，一个螺帽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0C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151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270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92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63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D9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F0AF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62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CF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304不锈钢内六角螺丝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64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M14*40mm，配一个平垫，一个弹垫，一个螺帽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AF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E44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3F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A6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7E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E9A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D1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BB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304不锈钢内六角螺丝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45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M14*80mm，配一个平垫，一个弹垫，一个螺帽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80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7E7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7F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96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2B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C818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B8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69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304不锈钢内六角螺丝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A2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M14*100mm，配一个平垫，一个弹垫，一个螺帽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F7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9CA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E7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45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9A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5967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2E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BC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304不锈钢内六角螺丝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03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M16*40mm，配一个平垫，一个弹垫，一个螺帽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79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99B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2A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CE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4A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D711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BB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32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304不锈钢内六角螺丝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5D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M16*80mm，配一个平垫，一个弹垫，一个螺帽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B4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F88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270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AA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C6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FA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81BD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D6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F6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304不锈钢内六角螺丝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44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M16*100mm，配一个平垫，一个弹垫，一个螺帽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10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97F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57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91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4D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D86A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65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F9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304不锈钢内六角螺丝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DD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M18*80mm，配一个平垫，一个弹垫，一个螺帽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4A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DEE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17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C2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B7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82FF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F5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15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304不锈钢内六角螺丝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FF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M18*100mm，配一个平垫，一个弹垫，一个螺帽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87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F51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6C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C9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6F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0ED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E7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87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304不锈钢内六角螺丝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B2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M20*75mm，配一个平垫，一个弹垫，一个螺帽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93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40A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09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00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67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F32B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D2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90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304不锈钢内六角螺丝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F3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M20*90mm，配一个平垫，一个弹垫，一个螺帽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01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30A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B7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20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1F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9CF4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38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CA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304不锈钢内六角螺丝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F1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M22*80mm，配一个平垫，一个弹垫，一个螺帽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3F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EF6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97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64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3D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36F3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12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F2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304不锈钢内六角螺丝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A9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M22*100mm，配一个平垫，一个弹垫，一个螺帽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7D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66D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D2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42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B7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C2EF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64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E6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304不锈钢外六角螺丝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52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M3*8mm，配一个平垫，一个弹垫，一个螺帽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01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4A7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5A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40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8D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FEA7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67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95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304不锈钢外六角螺丝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D6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M4*25mm，配一个平垫，一个弹垫，一个螺帽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D3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FFF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2E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A6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58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3D01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A1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AC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304不锈钢外六角螺丝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E6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M4*60mm，配一个平垫，一个弹垫，一个螺帽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FB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A9D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A3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A7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F3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5C2E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02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C6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304不锈钢外六角螺丝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9F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M5*25mm，配一个平垫，一个弹垫，一个螺帽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86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2B0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5A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A3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FC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A5F9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F7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00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304不锈钢外六角螺丝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65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M5*60mm，配一个平垫，一个弹垫，一个螺帽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7A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9F2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FF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75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0D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3F75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C1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34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304不锈钢外六角螺丝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40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M6*25mm，配一个平垫，一个弹垫，一个螺帽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F7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4DC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38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7C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E7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54F8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3B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82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304不锈钢外六角螺丝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81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M8*30mm，配一个平垫，一个弹垫，一个螺帽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29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B97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97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62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B7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0574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90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BE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304不锈钢外六角螺丝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29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M8*40mm，配一个平垫，一个弹垫，一个螺帽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30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E30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92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8A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41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9D2E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72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BF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304不锈钢外六角螺丝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B4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M8*50mm，配一个平垫，一个弹垫，一个螺帽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C9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A4D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8C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0A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30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AC69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60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3A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304不锈钢外六角螺丝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19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M10*30mm，配一个平垫，一个弹垫，一个螺帽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28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6D2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62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C0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8E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D98F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9A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4E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304不锈钢外六角螺丝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C2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M10*50mm，配一个平垫，一个弹垫，一个螺帽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21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388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270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BA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BB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90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7E14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DF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D8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304不锈钢外六角螺丝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55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M12*30mm，配一个平垫，一个弹垫，一个螺帽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FB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5F4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91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92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09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5D96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AD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24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304不锈钢外六角螺丝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50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M12*40mm，配一个平垫，一个弹垫，一个螺帽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46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63B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270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11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2A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37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6C9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D6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18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304不锈钢外六角螺丝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55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M14*45mm，配一个平垫，一个弹垫，一个螺帽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44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037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B9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3A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AF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665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87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F7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304不锈钢外六角螺丝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19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M14*70mm，配一个平垫，一个弹垫，一个螺帽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02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D64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370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A3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B2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FC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06D0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AA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03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304不锈钢外六角螺丝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DD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M16*80mm，配一个平垫，一个弹垫，一个螺帽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F3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F60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C8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2B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67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FA3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82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EF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304不锈钢外六角螺丝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00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M18*150mm，配一个平垫，一个弹垫，一个螺帽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3C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B2A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4C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83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C2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C058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4B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2C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304不锈钢外六角螺丝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1D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M20*80mm，配一个平垫，一个弹垫，一个螺帽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3F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423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340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72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7C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A6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16E2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A2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09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304不锈钢外六角螺丝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AB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M20*90mm，配一个平垫，一个弹垫，一个螺帽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92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23C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320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32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AB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AD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A5DC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38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F1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304不锈钢外六角螺丝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51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M22*100mm，配一个平垫，一个弹垫，一个螺帽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C6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C2A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13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3E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26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ED54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3A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47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304不锈钢圆头螺丝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78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M3*8mm，配一个平垫，一个弹垫，一个螺帽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19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35B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32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C3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F2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018F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47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28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304不锈钢圆头螺丝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2D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M3*10mm，配一个平垫，一个弹垫，一个螺帽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81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C59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06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F6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D1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80F6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1F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CA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304不锈钢圆头螺丝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E4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M3*12mm，配一个平垫，一个弹垫，一个螺帽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57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A3F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11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EB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AD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D28B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EE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7B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304不锈钢圆头螺丝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E0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M3*16mm，配一个平垫，一个弹垫，一个螺帽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D3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AC7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A8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EE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7D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B4A7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30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49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304不锈钢圆头螺丝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59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M4*10mm，配一个平垫，一个弹垫，一个螺帽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D4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9DC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A4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9E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EB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F71B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2F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82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304不锈钢圆头螺丝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6F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M4*12mm，配一个平垫，一个弹垫，一个螺帽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5C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872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71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57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77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4FC4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50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AC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304不锈钢圆头螺丝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3F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M4*16mm，配一个平垫，一个弹垫，一个螺帽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BF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4C4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82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58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EB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2258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95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07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304不锈钢圆头螺丝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8A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M4*20mm，配一个平垫，一个弹垫，一个螺帽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70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B8D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80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14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D9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5F1B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4E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F6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304不锈钢圆头螺丝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DC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M5*10mm，配一个平垫，一个弹垫，一个螺帽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37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B68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A4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DB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73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F1FF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45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19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304不锈钢圆头螺丝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AE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M5*12mm，配一个平垫，一个弹垫，一个螺帽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7C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5B2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84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DC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C3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FA8D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55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4D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304不锈钢圆头螺丝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8D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M5*20mm，配一个平垫，一个弹垫，一个螺帽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84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5D8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7B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5A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16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2C2B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DC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5D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304不锈钢自攻螺丝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CB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M4*8mm 50粒/袋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C9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9D3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4D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CC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64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F72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15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F3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304不锈钢自攻螺丝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9B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M4*16mm 50粒/袋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29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51B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32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C2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F3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345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26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94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304不锈钢自攻螺丝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C3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M4*25mm 50粒/袋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5B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FB9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88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D4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76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0911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50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0B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304不锈钢自攻螺丝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8C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M4*30mm 50粒/袋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62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770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81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00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8B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7124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6C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92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碳钢自攻螺丝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01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M4*8mm 50粒/袋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A2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576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3E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15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84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C6B9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45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F1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碳钢自攻螺丝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AD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M4*16mm 50粒/袋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26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562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FF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28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4E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29DF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29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AD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碳钢自攻螺丝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D1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M4*25mm 50粒/袋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CA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A3F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CD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F3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59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26AF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C9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06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碳钢自攻螺丝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0C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M4*30mm 50粒/袋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88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BB8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9F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23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DD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2326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5A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9D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304不锈钢十字外六角法兰自攻螺丝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AC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M4*16mm 50粒/袋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5A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A58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02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61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AF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A4D6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ED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B5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304不锈钢十字外六角法兰自攻螺丝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A6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M4*25mm 50粒/袋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5E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900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A9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83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F4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5416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B1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7B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304不锈钢十字外六角法兰自攻螺丝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F9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M6*25mm 50粒/袋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9E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062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FA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AB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EA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42F4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F6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BA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304不锈钢十字外六角法兰自攻螺丝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41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M6*50mm 50粒/袋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3B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A74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FD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3F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66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B228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ED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4F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304不锈钢钻尾丝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73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M3.8*20mm 300个/盒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3B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60A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A5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65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92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D2F6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43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CC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304不锈钢钻尾丝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05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M4.2*38mm 300个/盒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AF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B90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94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B9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BB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912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07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86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304不锈钢钻尾丝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87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M4.8*25mm 300个/盒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96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13F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5C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F0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7A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3C6D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9D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4F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304不锈钢钻尾丝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B5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M4.8*38mm 300个/盒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2F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C19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B9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4B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A1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EE84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21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17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304不锈钢钻尾丝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2E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M4.8*50mm 200个/盒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D4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07F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83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E0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AB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25CD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D9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A8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304不锈钢内六角沉杯螺钉</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1C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M8*20mm 50个/袋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5E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CCF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BE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D4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99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2666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CE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84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304不锈钢弹垫</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56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M14 厚3.4-3.8mm 50个/袋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4C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4D6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56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EC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A4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F4B8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3D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40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304不锈钢弹垫</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8E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M16 厚3.9-4.3mm 30个/袋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B8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76F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2D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0B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49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79B6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3C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CB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304不锈钢弹垫</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BC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M18 厚4.3-4.7mm 30个/袋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3B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F4D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F3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26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5A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0AE3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32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DE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304不锈钢平垫</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B7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M14，厚1.0mm或以上 50个/袋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AC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1D5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28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9D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5F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5B2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F6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C7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304不锈钢平垫</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DC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M16，厚1.0mm或以上 50个/袋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F0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DC9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2D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C3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BD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0C77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1C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11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304双叠自锁防松垫圈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CA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M8，2个/对</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89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DAF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91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19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AD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F091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6F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B2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304双叠自锁防松垫圈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42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M10，2个/对</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23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7BE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9C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F0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22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F920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60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F8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304不锈钢防松垫圈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F2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M12，2个/对</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84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3A4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5A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DA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83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77D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01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20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304双叠自锁防松垫圈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26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M14，2个/对</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9F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664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F4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7E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25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A610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94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0C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304双叠自锁防松垫圈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51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M16，2个/对</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06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77B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AA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CF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48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C61A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99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30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304双叠自锁防松垫圈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2F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M18，2个/对</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2B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09A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3E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17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18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1F3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80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6E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A102不锈钢焊条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B7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DC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80D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6D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A6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D8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964B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CF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B8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A102不锈钢焊条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73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BE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9EB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4C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B5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59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746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7F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9C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A302不锈钢焊条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49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55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321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1B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96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41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44A3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9B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36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A302不锈钢焊条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F3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F3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28D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6D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44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D7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369C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3F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65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J422碳钢焊条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BE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6E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A24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78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94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47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87D4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E1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A6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J422碳钢焊条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29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6C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E88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F1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05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EF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7F5A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F4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E4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不锈钢304氩弧焊丝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FE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30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8DD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CB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28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82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2FF4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D7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49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不锈钢304氩弧焊丝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E2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70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3CA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FC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AF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58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280F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DE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8F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不锈钢304氩弧焊丝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FF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00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F7E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97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C4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80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1840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E5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CA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不锈钢304氩弧焊丝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5A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53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2C2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EF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82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D9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821C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4A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179</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18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304不锈钢键条钢方键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63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1米一根  3mm*3mm*1米</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65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916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E7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A4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FF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1424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B4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A8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304不锈钢键条钢方键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A3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1米一根  4mm*4mm*1米</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42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95E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BC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75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13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AC0B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76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181</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9A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304不锈钢键条钢方键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DC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1米一根  5mm*5mm*1米</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8B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BBB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77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63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29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185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68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182</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1A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304不锈钢键条钢方键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F4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1米一根  6mm*6mm*1米</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4A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BDF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0E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7F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6A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549F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B8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183</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CF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304不锈钢键条钢方键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85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1米一根  7mm*7mm*1米</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BF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565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86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40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7A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A8B0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79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184</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AF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304不锈钢键条钢方键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F7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1米一根  8mm*8mm*1米</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C8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C4D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FA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86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C7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C515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1F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185</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C5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304不锈钢键条钢方键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99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1米一根  10mm*10mm*1米</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A6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759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79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10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5E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442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0D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186</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C4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304不锈钢键条钢方键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4D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1米一根  12mm*12mm*1米</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30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73E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58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27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F0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9802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22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187</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99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304不锈钢键条钢方键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CB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1米一根 14mm*14mm*1米</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8D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27F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A7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5C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E2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E1B2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AA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A8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304不锈钢方通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C8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长*宽*厚，40*20*3mm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DE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455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84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90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C5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3AC9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FF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53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304不锈钢方通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75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长*宽*厚，50*25*5mm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9D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381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B2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56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03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78C4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B2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22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304不锈钢方通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49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长*宽*厚，50*50*4mm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BC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AAF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45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D8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1B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7944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25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6B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304不锈钢方通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4D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长*宽*厚，60*30*4mm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FD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D1B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62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EB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2E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A08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2F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9F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304不锈钢方通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84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长*宽*厚，60*60*4mm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4C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D48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F7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32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12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2E6C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1E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0B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304不锈钢方通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97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长*宽*厚，80*80*3mm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4C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D39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7E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81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26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2877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5B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72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镀锌铁方通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26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长*宽*厚，50*50*4mm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B5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2FE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EF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26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0D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69C9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59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88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镀锌铁方通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CC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长*宽*厚，60*60*4mm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A0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F59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1C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2E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16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CADC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7D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71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镀锌铁圆管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81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直径80mm，厚3mm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DC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F8B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5C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C4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BD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6084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53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AA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镀锌铁圆管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FE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直径50mm，厚3mm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9D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55B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52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D7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BE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F56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3F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EA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镀锌铁圆管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64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直径40mm，厚3mm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37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1B0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D8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4F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A3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42F9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FC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54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304不锈钢圆管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87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直径48mm，厚2mm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35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5CA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3F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42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3D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B3B9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3F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FD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304不锈钢圆管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A2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直径60mm，厚2mm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86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AEF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6C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CF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83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883A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DB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C3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304不锈钢圆管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AD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直径89mm，厚2mm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81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41A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93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E8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57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E84C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C6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C5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304不锈钢圆钢</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AA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33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AF7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AA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B8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D5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9BC9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16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AC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304不锈钢圆钢</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0E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16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061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6A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C8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6F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BF7A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E6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CB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304不锈钢圆钢</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7D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直径：6mm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CB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FF2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B4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68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EF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A9B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F2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A9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304不锈钢圆钢</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CA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直径：8mm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6C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397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58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A8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0B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C4B8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A4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37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304不锈钢圆钢</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B8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89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D2B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20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A1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08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C9E3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7D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FE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304不锈钢圆钢</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C1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DE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AF7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A3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BF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17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36E8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41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F3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热镀锌圆钢</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D2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9E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219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CD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91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A0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7C9A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CB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32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热镀锌圆钢</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C4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直径：6mm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94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671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B9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F5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01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C941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44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E1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热镀锌圆钢</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8B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直径：8mm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2B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64B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A3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3E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FB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802C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6C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C0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热镀锌圆钢</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D6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8A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2EE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A9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BF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89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2C2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6D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6D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热镀锌圆钢</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06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B4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A35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3D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E7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1C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2211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E3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33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304不锈钢网</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27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正方形孔，孔10mm，丝1.5mm，宽一米</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C5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A34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A2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0F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62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FC0F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68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45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304不锈钢网</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5C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正方形孔，孔15mm，丝2mm，宽一米</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BD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246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E1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63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57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BC78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29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10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304不锈钢网</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F0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正方形孔，孔20mm，丝2mm，宽一米</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40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A97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A0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45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3F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4832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3A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9F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304不锈钢网</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F9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正方形孔，孔25mm，丝2mm，宽一米</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A3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F76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9A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D5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E1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F0B9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84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45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304不锈钢粗格栅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A0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尺寸：300*300，框架用12mm实心不锈钢圆钢，栅条用10mm实心不锈钢圆钢，间隙30mm，两侧各焊2个固定码</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C4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452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9A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07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2A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14AB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F9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50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304不锈钢粗格栅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42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尺寸：400*400，框架用12mm实心不锈钢圆钢，栅条用12mm实心不锈钢圆钢，间隙30mm，两侧各焊2个固定码</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8B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8E5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18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04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FF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CA43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19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3E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304不锈钢粗格栅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85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尺寸：500*500，框架用12mm实心不锈钢圆钢，栅条用12mm实心不锈钢圆钢，间隙30mm，两侧各焊2个固定码</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4C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AA5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0E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96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0A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D8F9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CC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9F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304不锈钢粗格栅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51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尺寸：600*600，框架用12mm实心不锈钢圆钢，栅条用12mm实心不锈钢圆钢，间隙30mm，两侧各焊2个固定码</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05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B87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F1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07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BB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36F0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7C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BD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304不锈钢粗格栅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06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尺寸：700*700，框架用12mm实心不锈钢圆钢，栅条用12mm实心不锈钢圆钢，间隙30mm，两侧各焊2个固定码</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6B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E86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2B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BE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CB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4624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5C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A6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304不锈钢粗格栅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C0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尺寸800*800m，外框用50*50*3mm不锈钢角钢,栅条用30*3mm扁钢，竖向间隔30mm，横向12mm圆钢，横向间隔300mm，顶部焊2个固定码</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6D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523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82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AC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FE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0BDA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AA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58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304不锈钢角钢</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45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边长*边长*厚，30mm*30mm*3mm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33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CD3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7C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88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59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8C2E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F3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6B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304不锈钢角钢</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3D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边长*边长*厚，40mm*40mm*3mm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8E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C01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31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F6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FF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F676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D3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A2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304不锈钢角钢</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6C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边长*边长*厚，40mm*40mm*4mm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11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573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7F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65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23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6B2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20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DB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304不锈钢角钢</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F1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边长*边长*厚，50mm*50mm*3mm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58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7FF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B0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DF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59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7BC5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9F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0C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热镀锌角钢</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30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边长*边长*厚，30mm*30mm*3mm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4C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B8F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24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3E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0A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10F6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40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E0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热镀锌角钢</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BD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边长*边长*厚，40mm*40mm*3mm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D0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B2E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C5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88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8E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237B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68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FE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热镀锌角钢</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13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边长*边长*厚，50mm*50mm*3mm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A6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BFE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EB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B7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E8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1553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2B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7D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热镀锌角钢</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23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边长*边长*厚，63mm*63mm*4mm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6E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B39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D3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56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5A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1380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C1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231</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99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不锈钢钢板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A0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304,厚度1mm，镜面</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26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559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64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F2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84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9A3E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1B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80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不锈钢花纹板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BD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长*宽*厚，3000mm*1500mm*3mm/块</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CE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D7A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FF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41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7A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BC80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BB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54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不锈钢花纹板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1D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长*宽*厚，3000mm*1500mm*4mm/块</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BA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F3E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FA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80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0E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8E84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AC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E0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镀锌花纹板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D4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长*宽*厚，3000mm*1500mm*3mm/块</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0A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934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8C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3F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9F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DC0A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AB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47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镀锌花纹板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9D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长*宽*厚，3000mm*1500mm*4mm/块</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C6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141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24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25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4A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39C9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79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81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热镀锌钢板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49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长*宽*厚，2000mm*1500mm*3mm/块</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AE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506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51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D5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93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D59C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34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9D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热镀锌钢板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87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长*宽*厚，2000mm*1500mm*1mm/块</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F1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91E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BD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74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DE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637A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4F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8A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热镀锌钢板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90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长*宽*厚，2000mm*1500mm*4mm/块</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DA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8B2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8F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45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71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1C56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36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0D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热镀锌钢板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F5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长*宽*厚，3000mm*1500mm*3mm/块</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18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F3B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CC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13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83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686B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34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34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304不锈钢扁铁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9B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宽*厚，50mm*5mm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83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784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CB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9B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FA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C19A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01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F5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304不锈钢扁铁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0E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宽*厚，40mm*4mm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98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A8A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3C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1E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C6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3EE3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9E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31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热镀锌扁铁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21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25mm*4mm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D7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9E5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DC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6D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B1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2EBC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A4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CB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热镀锌扁铁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4B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30mm*3mm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62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92E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21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D0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AD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46D9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0D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98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热镀锌扁铁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F8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30mmx4mm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59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1A6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A0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05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6D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10B2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92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C4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热镀锌扁铁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59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40mm*4mm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93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FA9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3B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F5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40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1189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E4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A5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热镀锌扁铁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25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50mm*5mm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3A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669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F6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51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EB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856F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74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38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热镀锌扁铁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2A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60mm*6mm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37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777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EA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BD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D7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7AF1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A5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BE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热镀锌扁铁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37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80mm*8mm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08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E34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5D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2E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58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C4AD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68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63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碳钢槽钢</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79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国标，8#</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0A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5E0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53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EC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54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4915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99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DE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碳钢槽钢</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E4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国标，6#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1E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A14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8B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9B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0F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347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23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66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304不锈钢槽钢</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C6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国标，6#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CC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4D7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DB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DC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85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F08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37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E7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碳钢工字钢</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7D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国标，20#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69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5CF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0C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0E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01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AB6E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AC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4E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8D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直径12mm，三级螺纹钢</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ED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A18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A1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3D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DB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B0E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2B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B8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304不锈钢喉箍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6F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手柄式，直径10-16mm  宽8mm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E8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A7D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95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88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15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F009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45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A5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304不锈钢喉箍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5C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手柄式，直径13-19mm  宽8mm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D5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AB9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D2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12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41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C1D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6F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FA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304不锈钢喉箍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0D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手柄式，直径16-25mm  宽8mm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60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D48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7B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A4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DE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E0C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8A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3B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304不锈钢喉箍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F9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手柄式，直径18-32mm 宽8mm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1F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AA2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67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92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2F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2806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1C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BF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304不锈钢喉箍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8D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手柄式，直径33-57mm  宽12mm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B5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5BB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FB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74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6F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936E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56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2F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304不锈钢喉箍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4C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手柄式，直径40-63mm，宽12mm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7C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79D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3E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05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33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FB5C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12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FF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304不锈钢喉箍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C6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手柄式，直径52-76mm  宽12mm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70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FCC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68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54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B1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EFB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00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AE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304不锈钢喉箍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B1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手柄式，直径75-95mm，宽12mm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DE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686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9C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0B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3F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7F80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0B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32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304不锈钢喉箍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5F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手柄式，直径91mm-114mm，宽12mm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79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715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28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06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7E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08DE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B8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3B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304不锈钢喉箍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90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手柄式，直径105-127mm，宽12mm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32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72E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F3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19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F3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A76E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11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24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304不锈钢喉箍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46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手柄式，直径130-152mm，宽12mm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5C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8D0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14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56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4B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4933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0F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30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304不锈钢喉箍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EC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手柄式，直径141-165mm，宽12mm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5F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AE7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9F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94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06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9FFC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79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13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304不锈钢喉箍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B0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手柄式，直径194-216mm，宽12mm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49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85D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68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1C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5F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7308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79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EF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304不锈钢喉箍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48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手柄式，直径232-254mm，宽12mm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3E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E27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FB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4E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37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F10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4B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268</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3E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304不锈钢喉箍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F8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直径304-317mm  宽12mm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37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5FE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BA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8A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00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DD13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86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2E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304不锈钢喉箍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AF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直径300-310mm，宽24mm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A7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78B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D6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CF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E4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9AB3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19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F8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快装卡箍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AB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DN200，材质：304不锈钢</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E4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9A7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C1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45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0F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3621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73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7C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快装卡箍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44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DN150，材质：304不锈钢</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CD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1E6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F1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1C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61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7E8C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1C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19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快装卡箍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72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DN250，材质：304不锈钢</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B5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2B5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EE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77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A1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0674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06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E3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快装卡箍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6F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DN300，材质：304不锈钢</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EB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AC3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88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91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38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42C3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DA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91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强力喉箍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C2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DN100，材质：304不锈钢，内圈带橡胶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94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C8D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A8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53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58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EE47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AE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C4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强力喉箍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59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DN150，材质：304不锈钢，内圈带橡胶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2E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F3A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0C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68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1D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358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80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7F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强力喉箍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FB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DN200，材质：304不锈钢，内圈带橡胶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E1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8BE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0E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0E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18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19D2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F5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DE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强力喉箍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0B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DN250，材质：304不锈钢，内圈带橡胶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D3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4DA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26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60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04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6627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9D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EB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强力喉箍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D8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DN300，材质：304不锈钢，内圈带橡胶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C4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F5D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295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E3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64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1B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8BA4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3F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06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不锈钢304双头双层卡箍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95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直径45-55mm，宽20mm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38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819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CF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98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F9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262C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BC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BE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不锈钢304双头双层卡箍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27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直径60-70mm，宽20mm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4B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A2F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B5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72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BC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700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3B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D7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不锈钢304双头双层卡箍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56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直径75-85mm，宽20mm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EA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666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F0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19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4D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6B58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34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0B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不锈钢304双头双层卡箍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AC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直径100-110mm，宽24mm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1A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303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11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28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A5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B864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F6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F7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焊接合页</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93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05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5F5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71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96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42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A810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F9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62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304不锈钢合页</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D6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02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A1B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F3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7C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01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92B2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35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285</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FE8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CC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DN50、PN6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17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片</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B7A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B2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7A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F3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151A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AB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286</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8E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41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DN65、PN6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17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片</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8F0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44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CA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B2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88BC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41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287</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11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40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DN80、PN6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68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片</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1E1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D6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F6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4F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0CC8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1A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288</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48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74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DN100、PN6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8B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片</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33E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3B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F7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A7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68AB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10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289</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1F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89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DN125、PN6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B2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片</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FC4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6F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DF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5F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9312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54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290</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4A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7E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DN150、PN6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B6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片</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11E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C5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24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09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C1E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C3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291</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34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61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DN200、PN6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01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片</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108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72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1E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F5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A53D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82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292</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8D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3C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DN250、PN6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F8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片</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A3B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B1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D8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7F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07EB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55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293</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6F8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D7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DN300、PN6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AF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片</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685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77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B9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5A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E505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0F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294</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28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1A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DN350、PN6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9D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片</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A80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4F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4F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B8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8DE2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18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295</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7E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41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DN400、PN6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AC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片</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201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1B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CD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82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B3BC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3F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B9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E6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DN50、PN6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C2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894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B8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2D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8B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1FD3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E4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3F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4E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DN65、PN6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62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2ED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E0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27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71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1076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52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E1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FF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DN80、PN6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9C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11F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18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C5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87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6559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AE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15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38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DN100、PN6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20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7F7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D9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C5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24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98C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8A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70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BC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DN125、PN6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CD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2C9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61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EF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93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669B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E3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B9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EB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DN150、PN6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57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FB5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65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D4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C6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04A4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EA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7A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E2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DN200、PN6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71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214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C5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5C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6F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EDA9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14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B9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89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DN250、PN6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F9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9EC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B1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6C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43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EE76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C5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F7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2D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DN300、PN6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27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299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AC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3A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8F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EDA1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A9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69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71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DN350、PN6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68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AE6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32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5D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41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92E7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A6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BA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1B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DN400、PN6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C4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D12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22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56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83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5412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B2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FB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CE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DN100、PN10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8A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664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B5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65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F9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0F1D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7D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90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C8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DN150、PN10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9F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A6B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A6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DB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85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A046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58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40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97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DN200、PN10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53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D8E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63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81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15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5D00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64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E7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67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DN250、PN10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33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220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17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03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AD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2E72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A7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5A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E8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DN300、PN10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85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E10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4B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61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5A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D765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F1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DA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EA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DN400、PN10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69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580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D2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40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67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A927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A3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EA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D8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DN40、PN16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99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28A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06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2C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17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7B91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D5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45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BF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DN50、PN16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CF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CF4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52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D6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24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B991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B8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81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5B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DN65、PN16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FA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E89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AF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10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6E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9C9C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90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C9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5C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DN80、PN16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65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178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6D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27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F5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C2AC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0F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34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84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DN100、PN16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AE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270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38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8B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55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E874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48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0F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80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DN125、PN16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79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797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6C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0D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89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1EAC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03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1D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B1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DN200、PN16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EE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80E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12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29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47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9246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2C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67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AA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DN250、PN16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4A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E4F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25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6F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28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4A2B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0B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5C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68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DN300、PN16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9D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1F7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04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C3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55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EF0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65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4E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法兰垫片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94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 材质：epdm，防腐，厚度3mm或以上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98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A33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90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E0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CF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D183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F3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78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法兰垫片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7E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DN150 材质：epdm，防腐，厚度3mm或以上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8E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B06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02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45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C8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083F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27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30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法兰垫片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A8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DN200 材质：epdm，防腐，厚度3mm或以上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70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C6E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5A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2A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36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A874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C6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D8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法兰垫片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55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DN250 材质：epdm，防腐，厚度3mm或以上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90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835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10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4A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BE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B4F1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4C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CD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法兰垫片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BB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DN300 材质：epdm，防腐，厚度3mm或以上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1D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A5C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B9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C2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7E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8E31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7D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3C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起重吊带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94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1T*1m 厚度7.5mm或以上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CA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540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36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94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21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B3CB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57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1B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起重吊带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42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1T*2m 厚度7.5mm或以上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92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3F0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92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5D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27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83D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BF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6C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起重吊带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07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1T*3m 厚度7.5mm或以上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80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E34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99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66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10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8D68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8C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3C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起重吊带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E5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1T*4m 厚度7.5mm或以上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B1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48E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23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A1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2B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D6FB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3E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9A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起重吊带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26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2T*1m 厚度11mm或以上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11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F4D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09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FE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71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C392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B2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C1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起重吊带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C1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2T*2m 厚度11mm或以上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3C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FE0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04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67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4E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FCE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0A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92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起重吊带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82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2T*3m 厚度11mm或以上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AC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C2A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8D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3C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FE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B59B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6C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C6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起重吊带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FF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2T*4m 厚度11mm或以上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78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AE3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89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AE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AE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F5BA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92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D1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起重吊带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CC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3T*2m 厚度11mm或以上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10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D34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02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0C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70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8E77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AE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42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起重吊带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B2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3T*4m 厚度11mm或以上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D7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0EC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EA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B3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7A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A0A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4A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F2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起重吊带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11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3T*6m 厚度11mm或以上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47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CD8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9A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77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C0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9223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45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AA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起重吊带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F6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5T*4m 厚度11mm或以上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B9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544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E1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9B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4C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ED78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C9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B7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起重吊带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B8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5T*6m 厚度11mm或以上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A8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527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FE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0A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63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74D2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D8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7F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起重大开口吊钩</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B2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1.12T，开口宽度18-28mm，材质：低碳合金钢</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79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ED9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89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ED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CE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6CF5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08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21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起重大开口吊钩</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FF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2T，开口宽度52-62mm，材质：低碳合金钢</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68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472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D6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44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07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1854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F0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B8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起重大开口吊钩</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0C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3.2T，开口宽度55-65mm，材质：低碳合金钢</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43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5A2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5D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54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E0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B4FA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A0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B4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起重大开口吊钩</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02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3.8T，开口宽度68-78mm，材质：低碳合金钢</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1F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7D4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1D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9A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71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FC0C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C4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D8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起重宽嘴吊钩</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CB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2.2T，开口宽度30-40mm，材质：低碳合金钢</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A3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CD9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8B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74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F1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2D42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EE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80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起重宽嘴吊钩</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93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3.2T，开口宽度35-45mm，材质：低碳合金钢</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2C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BDD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09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66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6C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1278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07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9C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起重吊钩吊环组合铁链</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C4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材质：G80锰钢，国标6吨1米2腿，单腿承重3T或以上，链条直径10mm或以上，配羊角吊钩</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26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612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D3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B1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0F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7BE5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FF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F7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304不锈钢快速接头卡箍套装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57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尺寸Φ306/319，含卡箍、卡盘、带硅胶垫</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6C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F07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E6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E5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7C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5410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A6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F1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304不锈钢快速接头卡箍套装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18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适配12寸水带，含卡箍、卡盘、带硅胶垫，接口带马牙</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B7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145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5C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EF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79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8F0F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1E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C2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304不锈钢快速接头卡箍套装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E4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适用管外径250mm，含卡箍、卡盘、带硅胶垫，接口带马牙</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CE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8A3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45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3A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31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D9C7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C6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2C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304不锈钢快速接头卡箍套装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F2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适用管外径200mm，含卡箍、卡盘、带硅胶垫，接口带马牙</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50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2E5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70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AD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26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AD4F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50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25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304不锈钢快速接头卡箍套装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5A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适用管外径100mm，含卡箍、卡盘、带硅胶垫，接口带马牙</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7B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8AA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27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0B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5E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5436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1E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E7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24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铝合金，C+E型，DN100，4寸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3D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6CF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FD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09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F7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626F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03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8B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19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铝合金，C+E型，DN150，6寸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83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C0C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14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22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31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5789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8C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CD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3F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铝合金，C+E型，DN200，8寸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DD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0F4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FF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42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35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B775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FB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3A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43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2爪，铝合金，不分公母，任意对接，卡式接口,接口大小4寸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9B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B3A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A7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FA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06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047B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6F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5A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0A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3爪，铝合金，不分公母，任意对接，卡式接口,接口大小6寸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B7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756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5A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95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2D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4BFF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23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2C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16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4爪，铝合金，不分公母，任意对接，卡式接口,接口大小8寸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5D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CF5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9A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4B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99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51DE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C2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99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PU直通气管接头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F7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PU-8</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CC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915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EE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01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F3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F129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AB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77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PU直通气管接头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72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PU-10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19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447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50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72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23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274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3B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52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PU直通气管接头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BC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PU-8-10(8mm变10mm)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13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73F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5A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88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25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35B0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DC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50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密封条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E4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直径2mm,丁晴橡胶，圆形</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56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04B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6C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07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01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DB0C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D3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C1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密封条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4B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直径3mm,丁晴橡胶，圆形</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C5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0B3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E1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0A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2E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0928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C2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35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密封条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40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直径4mm,丁晴橡胶，圆形</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48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0BF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16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A7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EE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A047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EB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0A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密封条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F1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直径5mm,丁晴橡胶，圆形</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60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13A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9C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10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20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8CBE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E7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365</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0A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密封条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C1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直径6mm,丁晴橡胶，圆形</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2E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09B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0C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52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15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F365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CE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366</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9A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密封条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E7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直径7mm,丁晴橡胶，圆形</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82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D01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B3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7A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FD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A4B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B0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2C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密封条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07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直径8mm,丁晴橡胶，圆形</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FA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1DE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24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8A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F9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985F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F8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368</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D0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密封条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36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直径9mm,丁晴橡胶，圆形</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B2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69E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29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B8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79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50D0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F8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DF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密封条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37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直径10mm,丁晴橡胶，圆形</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0F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947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DE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6D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3B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0D26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E4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370</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AD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密封条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61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直径11mm,丁晴橡胶，圆形</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3F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EB7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4D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2B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09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7E03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F1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AC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密封条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6C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直径12mm,丁晴橡胶，圆形</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4D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496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3F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73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FF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A1DB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CE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372</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7F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密封条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C6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直径13mm,丁晴橡胶，圆形</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B8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8D4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6D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2F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C3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2EF8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0A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C0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密封条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AF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直径14mm,丁晴橡胶，圆形</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B6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53E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DD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DF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0B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08DA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D1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374</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EB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密封条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D1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直径15mm,丁晴橡胶，圆形</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60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0F8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13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68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C6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B91F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68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375</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38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密封条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ED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直径16mm,丁晴橡胶，圆形</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B7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DEE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FF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D5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AB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B137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53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376</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68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密封条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CC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直径17mm,丁晴橡胶，圆形</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96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FCA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41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BE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D4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3608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07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377</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09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密封条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B1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直径18mm,丁晴橡胶，圆形</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B9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EDD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4F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D2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35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3B79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C0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09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氧气充装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71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10L/瓶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89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5B3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64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43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EF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AC27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DD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67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氧气充装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8B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40L/瓶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10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1F6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80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27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95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FB58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23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66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乙焕充装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B5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10L/瓶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18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19D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3A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27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E2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83C3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BC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43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乙焕充装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1B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40L/瓶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7F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3E3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8D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85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98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ADD5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B7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53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氩气充装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F0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40L/瓶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9F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9EA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6B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FE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BA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827B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BF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C4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膨胀胶粒</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7C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M6*25mm，500粒一盒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5C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EC0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35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A3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E0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9B27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2E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34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镀锌铁丝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71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74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80E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38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60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B3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0F5F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48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28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镀锌铁丝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E3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D7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C8A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C1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20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77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6C6B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3A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56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镀锌铁丝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41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4F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686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FD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CD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EA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3333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B4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02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不锈钢铁丝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FD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线径2mm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61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DDA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DF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B6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DE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D2F9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8E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F2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不锈钢铁丝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01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线径3mm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11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D78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A1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46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DB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2F99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21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69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不锈钢铁丝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65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线径4mm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AA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134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F9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BC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96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E03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30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62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气瓶推车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51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适用于10L气瓶，双瓶，带轮</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92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辆</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65A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09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E0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14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3BD1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04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EE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钨针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90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1.6MM 10支/盒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F5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D8C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35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EA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0F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5057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1A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53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钨针夹头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0D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1.6MM 10个/盒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B7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430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1F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4E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DD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EFF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EB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23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钨针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A1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2.4MM，10支/盒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61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002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99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4B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47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F0BB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AA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67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钨针夹头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3A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2.4MM，10个/盒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9C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E2A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61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50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07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97F6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93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7A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氩焊枪导流件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EA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82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407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60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DE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22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7193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32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C1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氩焊枪长枪尾</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DC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58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A50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1A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B3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10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9020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54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16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氩焊枪瓷嘴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20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CF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F40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FC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B4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EA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4D66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81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33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氩焊枪专用开关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92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C5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F07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20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FA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20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C548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8C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27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氩焊枪</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2D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通用，长10米</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68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438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6D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0B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68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3EF1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11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63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等离子切割机割咀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5D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P80割咀电极喷嘴，孔径1.5mm,10套/盒</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60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64B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D3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A0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80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B111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CB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401</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3C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等离子切割机割保护瓷咀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32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P80,材质，10个/盒</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37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E43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F2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30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EC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84A6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27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2D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十字螺丝刀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9F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杆径3.2mm,杆长 60-75mm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B3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413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62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86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C0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902D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4D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53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十字螺丝刀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33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杆径3.2mm,杆长100mm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41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121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AF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7B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C9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2815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3C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55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十字螺丝刀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7A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杆径3.2mm,杆长150mm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AA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D0F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3E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CB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5D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719C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8F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0C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十字螺丝刀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1E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杆径5mm,杆长60-75mm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44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9AD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44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C8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49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0912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8B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CF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十字螺丝刀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9D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杆径5mm,杆长100mm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FF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55B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5B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6A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FE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2FD2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BE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C9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十字螺丝刀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49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杆径5mm,杆长150mm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25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B47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1A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FC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65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0A7A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4A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25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十字螺丝刀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DE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杆径5mm,杆长200mm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F2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4F7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65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C5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72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FB03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7C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BC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十字螺丝刀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A6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杆径6mm,杆长40-60mm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F2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16B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C2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9E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C5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3D01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10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72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十字螺丝刀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69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杆径6mm,杆长100mm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26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2F4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79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79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FF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C51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83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AD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十字螺丝刀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5B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杆径6mm,杆长125mm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B5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DF7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A3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30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06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D618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27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F5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十字螺丝刀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CA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杆径6mm,杆长250mm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0B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6F0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03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96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68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E601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04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64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十字螺丝刀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E1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杆径8mm,杆长150mm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9F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8DE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35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E2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FB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390C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DE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A9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十字螺丝刀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14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杆径8mm,杆长250mm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DC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8F0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7D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29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34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5EC4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72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30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83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杆径3.2mm,杆长60-75mm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8C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DD2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16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8C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9F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E7ED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32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EA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DB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杆径3.2mm,杆长100mm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24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E8D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8D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C2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BC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8BC6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E0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68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F3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杆径3.2mm,杆长150mm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D7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122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60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DA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98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69E1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7B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6B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FB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杆径5mm,杆长60-75mm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F0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944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04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76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1E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73D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CC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D0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10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杆径5mm,杆长100mm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F9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6EB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8B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C8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46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6359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D5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D1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8E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杆径5mm,杆长150mm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C8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B25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06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70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0D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A74C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86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4F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F5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杆径5mm,杆长200mm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72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8E7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37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B2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12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83A7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B7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CD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F5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杆径6mm,杆长40-60mm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7D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AFF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C9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5B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BB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6F11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68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1C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9F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杆径6mm,杆长100mm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6E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338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EC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4D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E4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BD95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E9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1E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19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杆径6mm,杆长150mm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73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0A7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38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C7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15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6E34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45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C3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A6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杆径6mm,杆长250mm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62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300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C3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E5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C0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42AB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C9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AC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60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杆径8mm,杆长150mm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97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177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59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63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10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A440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2D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C5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EE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杆径8mm,杆长200mm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24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656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46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B4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D1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A0A6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07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07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4C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杆径8mm,杆长250mm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51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A38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49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83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D9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95FC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AB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DE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短款十字螺丝刀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15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杆径5mm,杆长30mm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D6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AAE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32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6A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7B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7C43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73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67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短款十字螺丝刀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BB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杆径6mm,杆长30mm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30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472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5F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05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02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1608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50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ED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短款一字螺丝刀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6C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杆径5mm,杆长30mm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69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C26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36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C6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8B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C2DE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95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8F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短款一字螺丝刀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DE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杆径6mm,杆长30mm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2D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F2A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DD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93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B4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F0C8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0D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39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可敲击十字螺丝刀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EC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杆径6mm，杆长150mm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84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C3C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09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C0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91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E345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11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64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可敲击十字螺丝刀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11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杆径8mm，杆长200mm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7C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E6F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CE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96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B1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E957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30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08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可敲击十字螺丝刀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BF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杆径8mm，杆长250mm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CD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D0F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38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A7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D0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3B30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5D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1A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可敲击十字螺丝刀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07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杆径8mm，杆长300mm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19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B44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42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B3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54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7F1A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51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38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可敲击一字螺丝刀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4A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杆径6mm，杆长150mm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FF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C9C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71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9F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98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C2B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74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73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可敲击一字螺丝刀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95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杆径8mm，杆长200mm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18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7D1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8B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1E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A3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E769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16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42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可敲击一字螺丝刀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0E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杆径8mm，杆长250mm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DF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026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88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00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F0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EA59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11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B5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精修螺丝刀套装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40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6件套</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E3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F5E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A2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E2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3D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B4E5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68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1C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棘轮螺丝刀组合套装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1B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含十字批头、一字批头、 梅花批头、六角批头</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9B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6A2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20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D0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52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081E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35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AF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钢丝钳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28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18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5DC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6A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7B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CD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C658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96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0B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钢丝钳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9F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52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E47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B1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9E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B0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18BA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29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52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斜口钳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47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39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A24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51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95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A0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AF11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12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9F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斜口钳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08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DB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69F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C3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44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D1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2806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BA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65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斜口钳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4A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D2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310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CB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07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C3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F6B4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5D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01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斜口钳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A9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8E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FAF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16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63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9F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E991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B5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CF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尖嘴钳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A7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73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6F1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E0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 /罗宾汉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02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0D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7186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A6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92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尖嘴钳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8C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EE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C61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D7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世达/史丹利 /宝工</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A8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27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22CD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34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3B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尖嘴钳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A9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64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FDD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33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世达/史丹利 /宝工</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9D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64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85D0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4B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06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大力钳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8D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96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B7E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D7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世达/史丹利 /宝工</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4D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81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CF0B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23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60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大力钳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84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04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CE3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84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世达/史丹利 /宝工</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D2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A1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718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0C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03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链条式大力钳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A0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33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9AF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72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世达/史丹利 /宝工</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86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50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816B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27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53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孔用卡簧钳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84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5寸，直嘴</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01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550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6D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世达/史丹利 /宝工</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BE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C5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6577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D8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D8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孔用卡簧钳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F1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7寸，直嘴</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C8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DC4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16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世达/史丹利 /宝工</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DD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90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78F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CD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C3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孔用卡簧钳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EA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9寸，直嘴</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05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5BE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4D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世达/史丹利 /宝工</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1B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E5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0A55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9E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2A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孔用卡簧钳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39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13寸，直嘴</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BB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732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6D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世达/史丹利 /宝工</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05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00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9F1E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CC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B0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孔用卡簧钳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BD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5寸，弯嘴</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0B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CA8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DA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老A/世达/史丹利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A5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D2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4D44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DB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3F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孔用卡簧钳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BA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7寸，弯嘴</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1C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F6F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FA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老A/世达/史丹利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69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77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FADA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9B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19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孔用卡簧钳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0E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9寸，弯嘴</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C3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499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D4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史丹利/钢盾/威力狮</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4B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BF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31B8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0F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61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孔用卡簧钳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C6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13寸，弯嘴</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AE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AB7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64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世达/史丹利/宝工</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23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F8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81C3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0A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0F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轴用卡簧钳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31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5寸，直嘴</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FD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61C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C2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世达/史丹利/宝工</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DD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33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46F8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3E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DB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轴用卡簧钳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D3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7寸，直嘴</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D8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60B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2B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世达/史丹利/宝工</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FA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E9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1D1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4B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58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轴用卡簧钳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E9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9寸，直嘴</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93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DAD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E4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世达/史丹利/宝工</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9C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66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3857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68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D9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轴用卡簧钳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38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13寸，直嘴</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6C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5EF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99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世达/史丹利/宝工</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4A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55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F29F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B9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0B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轴用卡簧钳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CF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5寸，弯嘴</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27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4B9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82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世达/史丹利/宝工</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F6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AE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A447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10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32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轴用卡簧钳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14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7寸，弯嘴</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CC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024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C8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世达/史丹利/宝工</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3D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09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ED3B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0A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8C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轴用卡簧钳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76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9寸，弯嘴</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44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FCF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24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世达/史丹利/宝工</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63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35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6BF8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3B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88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轴用卡簧钳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36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13寸,弯嘴</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05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C67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06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世达/史丹利/宝工</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FA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AE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4577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2D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A8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多功能剪线钳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9E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5A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3CF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8F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世达/史丹利/宝工</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94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24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8DF0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61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77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多功能剪线钳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41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D1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2C9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9B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世达/史丹利/宝工</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03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25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666D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37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BB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电缆剪线钳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B0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10英寸、剪切能力：50mm平方</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9D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AF2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55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世达/史丹利/宝工</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43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2C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8530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DD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A8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压线钳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10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尺寸：1.25-8mm²</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4C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84A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EA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世达/史丹利/宝工</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E1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B2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3556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E4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12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液压压线钳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BB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压接 4-70mm2</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D7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A36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A9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世达/史丹利/宝工</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D0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F0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0C9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3A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91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液压压线钳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72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压接 16-240mm2</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3B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9DF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92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世达/史丹利/宝工</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53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E7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32AA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C5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10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台虎钳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52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1A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DD4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0A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世达/史丹利/宝工</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21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8A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781D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8E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43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管钳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33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B8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382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D4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B5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75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368D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09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69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管钳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53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97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6C4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BA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35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A1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CFBB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DD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4D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管钳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04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1B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261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D2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7C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18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1417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1C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A3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管钳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82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AE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A5D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70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CD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B5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F530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9F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B7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管钳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55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25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419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A4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正泰/德力西/得力</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41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0E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054D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50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FA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内孔轴承拉马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35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三爪；适用内径16-38mm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83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1A5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B9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08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B1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499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16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92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内孔轴承拉马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5B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两爪；适用内径17-38MM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8F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513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E1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C7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0C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8C54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BF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BE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滑锤拉马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6D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内拉马30-90MM；外拉马18-90MM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80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964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9B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D4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48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ABFF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3B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D1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两爪拉马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4F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两寸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C9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AF1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E9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16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67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2D63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71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47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两爪拉马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FF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10英寸，拉力5.5t</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6E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CFF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63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正泰/德力西/得力</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4F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17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A94F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3A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97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三爪拉马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B9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4＂（英寸）、拉力1.5t</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FB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960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46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18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9F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818D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33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90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三爪拉马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59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8＂（英寸）、拉力4t</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FD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30B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A8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05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74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EEF2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47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54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三爪拉马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9B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16＂（英寸）、拉力9t</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62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CF8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E3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0A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DB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CDD5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76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C6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液压拉码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EC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15吨 一体式 行程100mm 张距20-360mm，爪脚长度 270mm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E7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29F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2D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4D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46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CF51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69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E0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梅花扳手套装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53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5.5mm-32mm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0D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2D8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8F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1C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A8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A3E6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CE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8C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开口扳手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F2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r>
              <w:rPr>
                <w:rStyle w:val="220"/>
                <w:rFonts w:hint="eastAsia" w:ascii="宋体" w:hAnsi="宋体" w:eastAsia="宋体" w:cs="宋体"/>
                <w:color w:val="auto"/>
                <w:sz w:val="18"/>
                <w:szCs w:val="18"/>
                <w:highlight w:val="none"/>
                <w:lang w:val="en-US" w:eastAsia="zh-CN" w:bidi="ar"/>
              </w:rPr>
              <w:t>_</w:t>
            </w:r>
            <w:r>
              <w:rPr>
                <w:rFonts w:hint="eastAsia" w:ascii="宋体" w:hAnsi="宋体" w:eastAsia="宋体" w:cs="宋体"/>
                <w:i w:val="0"/>
                <w:iCs w:val="0"/>
                <w:color w:val="auto"/>
                <w:kern w:val="0"/>
                <w:sz w:val="18"/>
                <w:szCs w:val="18"/>
                <w:highlight w:val="none"/>
                <w:u w:val="none"/>
                <w:lang w:val="en-US" w:eastAsia="zh-CN" w:bidi="ar"/>
              </w:rPr>
              <w:t>36mm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C3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56A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66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17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D5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3AEC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02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DF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开口扳手套装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99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5.5mm-32mm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36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DD6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F9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73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19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06D6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E0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59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梅花棘轮-开口扳手套装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2A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r>
              <w:rPr>
                <w:rStyle w:val="220"/>
                <w:rFonts w:hint="eastAsia" w:ascii="宋体" w:hAnsi="宋体" w:eastAsia="宋体" w:cs="宋体"/>
                <w:color w:val="auto"/>
                <w:sz w:val="18"/>
                <w:szCs w:val="18"/>
                <w:highlight w:val="none"/>
                <w:lang w:val="en-US" w:eastAsia="zh-CN" w:bidi="ar"/>
              </w:rPr>
              <w:t>_</w:t>
            </w:r>
            <w:r>
              <w:rPr>
                <w:rFonts w:hint="eastAsia" w:ascii="宋体" w:hAnsi="宋体" w:eastAsia="宋体" w:cs="宋体"/>
                <w:i w:val="0"/>
                <w:iCs w:val="0"/>
                <w:color w:val="auto"/>
                <w:kern w:val="0"/>
                <w:sz w:val="18"/>
                <w:szCs w:val="18"/>
                <w:highlight w:val="none"/>
                <w:u w:val="none"/>
                <w:lang w:val="en-US" w:eastAsia="zh-CN" w:bidi="ar"/>
              </w:rPr>
              <w:t>32mm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CA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01C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21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6F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08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A5A4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DA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59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梅花开口扳手套装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F7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5.5mm-32mm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C5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703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9D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2E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C6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0EBB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EB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E3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梅花开口扳手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75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15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D8F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0E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百威狮/世达/史丹利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2F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F7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7D8F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F2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BA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梅花开口扳手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DC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2C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BC6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82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百威狮/世达/史丹利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F9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E6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146F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A6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D7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梅花开口扳手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BF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17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BE2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1C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百威狮/世达/史丹利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12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C4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70AC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7D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38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梅花开口扳手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F1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01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EEC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B9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百威狮/世达/史丹利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C1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13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B5E0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8F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90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梅花开口扳手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3C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37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169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2A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百威狮/世达/史丹利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78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89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822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CB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A4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梅花开口扳手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D4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D0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249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00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百威狮/世达/史丹利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1E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A3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F718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7A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5E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梅花开口扳手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2C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F8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400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32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百威狮/世达/史丹利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83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66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34F7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EA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85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梅花开口扳手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DE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F2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653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D1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百威狮/世达/史丹利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10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DE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BA86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8A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20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梅花开口扳手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F2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A1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4E0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8F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百威狮/世达/史丹利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CE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FF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2EFB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89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A7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梅花开口扳手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80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1E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45A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D1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百威狮/世达/史丹利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1F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C8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A0A9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BA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E3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活动扳手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11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14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284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1D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2C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FD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2A0C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DC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D9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活动扳手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53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8E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702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9E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46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78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6AE5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53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EB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活动扳手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72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B7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BEE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FD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百威狮/世达/史丹利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0D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CD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DE98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25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21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活动扳手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5E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D3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B4C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99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百威狮/世达/史丹利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76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B1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644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47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B3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活动扳手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41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19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17E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DE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百威狮/世达/史丹利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52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89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BD9B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A3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40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活动扳手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56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A6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277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25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百威狮/世达/史丹利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8F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84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268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6D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7F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活动扳手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65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BD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556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51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百威狮/世达/史丹利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3F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50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B3A9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AC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0A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内六角扳手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44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54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4C7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EA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世达/宝工/ 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E9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3F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7C8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AA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27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内六角扳手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92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FB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F92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CB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世达/宝工/ 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3A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24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7504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A5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54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内六角扳手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4E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6D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AB4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BA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世达/宝工/ 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C2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C1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CBBB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99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65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内六角扳手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93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EE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7C2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77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世达/宝工/ 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98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D6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989C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19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83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内六角扳手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F4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B8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3A7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16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世达/宝工/ 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B4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48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1D02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46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2A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内六角扳手套装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F2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公制，1.5-17mm（1.5、2、2.5、3、4、5、5.5、6、7、8、10、12、14） 13pcs</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F2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C71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3D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世达/宝工/ 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4C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5A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8790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5C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D0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内六角扳手套装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09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英制1/16-3/8（1/16、5/64、3/32、7/64、1/8、9/64、5/32、3/16、7/32、3/8） 10pcs</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D7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05D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8A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世达/宝工/ 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7A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8F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70F0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5E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E5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内六角扳手套装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E6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加长球头 10件套（2mm-10）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8A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A65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FB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史丹利/世达/高松</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3F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73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73A0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CC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521</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14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链条扳手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10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材质:CR-V钢，规格:15寸，34节，适用范围直径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60mm-150mm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75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EB4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6F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F1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77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42EB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DA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522</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C0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皮带扳手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66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皮带式机油滤清扳手，材质:高碳钢，尺寸:12寸，夹持范围30mm-190mm或以上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AE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9F5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E5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66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1B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3BFC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B1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0C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扭力扳手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D0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28-210Nm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B6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43D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C4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开拓/世达/史丹利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50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99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BF7E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65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C5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套筒</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6B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46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FD9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DF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百威狮/世达/史丹利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8F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42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B658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2F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A9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套筒</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2D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D9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C2C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C4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百威狮/世达/史丹利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C4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18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6B6C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43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E2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套筒</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C5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5C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3F5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C3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百威狮/世达/史丹利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A2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D5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1724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24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5A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套筒</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E5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9F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E4C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97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百威狮/世达/史丹利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40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FF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FD19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25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6D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套筒</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37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98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012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0D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百威狮/世达/史丹利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48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03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80DF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31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4D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套筒</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3A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F4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2F7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A1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百威狮/世达/史丹利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8C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27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C49D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71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05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加长型套筒</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9F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14*140mm，深度约13cm，黑色</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A0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292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AC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A1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13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23B5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3C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87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加长型套筒</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03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17*140mm，深度约13cm，黑色</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96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589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32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ED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47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E172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E3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71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棘轮扳手套筒套装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DB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38件套：1支接杆螺丝刀、1支棘轮扳手、1支套筒万向接杆、2支延长接杆、9枚碳钢套筒、24枚精制批头</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40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509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EE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世达/得力/史丹利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BE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12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5474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FF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FC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套筒扳手套装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77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5.5mm-32mm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2F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D02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A3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史丹利/世达/高松</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AC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E1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15AA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77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A7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锯条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8C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12寸，18齿，10片/盒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2B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773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BF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史丹利/世达/高松</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CE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91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796E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AD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6D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锯条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38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12寸，24齿，11片/盒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29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B99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29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史丹利/世达/高松</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10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FC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0810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33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84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锯条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CC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12寸，32齿，12片/盒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A2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A0E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43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世达/绿林/宝工/史丹利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3E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31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DA2F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74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55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锉刀什锦锉套装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3F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5*180mm 10件套</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67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F6B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CE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7F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F1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942D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EC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5A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锉刀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DD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中齿平锉10寸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C1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314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9E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33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43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AE89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DC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74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锉刀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55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细齿半圆锉10寸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FC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CFF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80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11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3B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C97B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3E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C8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锉刀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1A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中齿圆锉10寸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8F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EC5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22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沪工/百威狮/瑞能</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3C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CC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F0FF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64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6D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锉刀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82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细齿圆锉10寸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07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48D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33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史丹利/世达/老A</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BA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7D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0EF7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A5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FA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锉刀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78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粗齿三角锉10寸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68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4C6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87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史丹利/世达/老A</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A1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76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E7FB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E3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5C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锉刀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42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中齿三角锉10寸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59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873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39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史丹利/世达/老A</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BC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1C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74F9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D1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24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锉刀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BC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细齿三角锉10寸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13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3A1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DA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E8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86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3C86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36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33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硬质合金旋转锉头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FF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10件套 直径*杆6mm*3mm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82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83D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0C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史丹利/世达/得力</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45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C9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C82F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BF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7A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八角锤</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2F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7E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50A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09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世达/老A/史丹利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44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51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099A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08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5F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八角锤</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C7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CB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44D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4E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世达/老A/史丹利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5A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A5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AC77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F6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F2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八角锤</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AF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D1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BDD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71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世达/老A/史丹利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FB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AB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2448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63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A6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八角锤</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ED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24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8A1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86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世达/老A/史丹利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3F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4B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512F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BF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F5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八角锤</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F8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C8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80D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36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世达/老A/史丹利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48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1A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2997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E5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A1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八角锤</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E2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A6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DF7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14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世达/老A/史丹利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70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4D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C06E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B0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85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八角锤</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C3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32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648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14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世达/老A/史丹利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8A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20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423D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BF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AA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八角锤</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2B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54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A24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5A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世达/老A/史丹利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3B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96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874F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FB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F9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八角锤</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19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19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BE0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E0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世达/老A/史丹利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54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FF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2946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1E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B2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圆头锤</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D9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D2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D51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3C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麦思德/老A/史丹利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7D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1C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621C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53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25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圆头锤</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3D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D4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B99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D8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麦思德/老A/史丹利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E5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7E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4B2E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4E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7B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鸭嘴锤</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85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72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C70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AE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麦思德/老A/史丹利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5F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14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BAAE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78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92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鸭嘴锤</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3D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1000g</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89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56F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02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麦思德/老A/史丹利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22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AE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2BC9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D8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72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电工锤</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B0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胶柄，300g</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3F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D0F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7A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F9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EC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140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F9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03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硬质合金钢金属开孔器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1B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开孔 16-20mm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3A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1CB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C9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史丹利/世达/得力</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91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4B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B09B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D8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84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硬质合金钢金属开孔器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84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开孔 21-30mm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9B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CCD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8D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史丹利/世达/得力</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73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D7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8D30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27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4B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硬质合金钢金属开孔器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26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开孔 32-40mm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DA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75F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84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史丹利/世达/得力</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D1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A8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7555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5D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57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硬质合金钢金属开孔器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36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开孔 42-50mm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1A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E40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5C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8A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39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9B94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25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92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硬质合金钢金属开孔器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74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开孔 53</w:t>
            </w:r>
            <w:r>
              <w:rPr>
                <w:rStyle w:val="220"/>
                <w:rFonts w:hint="eastAsia" w:ascii="宋体" w:hAnsi="宋体" w:eastAsia="宋体" w:cs="宋体"/>
                <w:color w:val="auto"/>
                <w:sz w:val="18"/>
                <w:szCs w:val="18"/>
                <w:highlight w:val="none"/>
                <w:lang w:val="en-US" w:eastAsia="zh-CN" w:bidi="ar"/>
              </w:rPr>
              <w:t>_</w:t>
            </w:r>
            <w:r>
              <w:rPr>
                <w:rFonts w:hint="eastAsia" w:ascii="宋体" w:hAnsi="宋体" w:eastAsia="宋体" w:cs="宋体"/>
                <w:i w:val="0"/>
                <w:iCs w:val="0"/>
                <w:color w:val="auto"/>
                <w:kern w:val="0"/>
                <w:sz w:val="18"/>
                <w:szCs w:val="18"/>
                <w:highlight w:val="none"/>
                <w:u w:val="none"/>
                <w:lang w:val="en-US" w:eastAsia="zh-CN" w:bidi="ar"/>
              </w:rPr>
              <w:t>60mm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18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8F6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C9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世达/老A/史丹利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3A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C9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B029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BD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43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硬质合金钢金属开孔器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F9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开孔 65-70mm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49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130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40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世达/老A/史丹利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82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C6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5EE6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DE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EB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硬质合金钢金属开孔器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B4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开孔 75-80mm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6D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5B1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F8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世达/老A/史丹利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6A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8F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5854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3C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7B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硬质合金钢金属开孔器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0F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开孔85mm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4E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71F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D6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佰瑞特/博世/优尼卡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B9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02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B419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E0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9A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硬质合金钢金属开孔器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54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开孔90mm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2F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E52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49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佰瑞特/博世/优尼卡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00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0B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C1FF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44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1B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硬质合金钢金属开孔器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0D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开孔95mm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3B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C07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61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佰瑞特/博世/优尼卡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AD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8F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7293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A6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38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硬质合金钢金属开孔器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30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开孔100mm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8E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14E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9F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佰瑞特/博世/优尼卡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84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DA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2433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40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DA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手动吸锡器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9B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吸力30cm-Hg, ABS材质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C3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02D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06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佰瑞特/博世/优尼卡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CF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EE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9158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CE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9B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PVC剪管器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58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0 - 64mm+刀片</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1E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49A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1C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佰瑞特/博世/优尼卡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E0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0A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73F0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CD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58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黄油枪</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3C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100CC</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4D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C24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5A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佰瑞特/博世/优尼卡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3D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3F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4A40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C6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7B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黄油枪</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C9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400CC</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9D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BF6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0D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佰瑞特/博世/优尼卡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0E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7C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7F2F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D7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4C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手砂轮切割片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B8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400*3.2*32mm 25 片/盒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C1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986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50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佰瑞特/博世/优尼卡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0B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01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131A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A2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65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手砂轮切割片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05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350*3.2*25. 4mm 25片/盒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0D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A80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F4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佰瑞特/博世/优尼卡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4B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4D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D598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36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A5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手砂轮切割片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71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105*1.2*16mm 50 片/盒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16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1CA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9D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佰瑞特/博世/优尼卡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61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D4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06B5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78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2F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手砂轮切割片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DB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105*2.5*16mm 50 片/盒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7C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8D0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0D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宝工/世达/ 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AB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18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8E6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57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17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手砂轮磨片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0B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100*6*16mm 50 片/盒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2B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881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50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上匠/世达/ 史丹利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54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46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8622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DF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90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手砂轮磨片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67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100*4*16mm 50 片/盒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6B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6F0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97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世达/史丹利/宝工</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E9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79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2C93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60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CA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手砂轮百叶砂轮片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51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100*16mm 40 片/盒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A0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EC2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6B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世达/史丹利/宝工</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DF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56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87A6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C2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60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金刚石切割片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43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EA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片</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3EE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EC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大白鲨/金象/砂威</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A1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76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3CA7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72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A1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双轴承手拉葫芦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8D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1吨3米</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09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96F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05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大白鲨/金象/砂威</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62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DC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88E2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3D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59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双轴承手拉葫芦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59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2吨3米</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3D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EB3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8C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大白鲨/金象/砂威</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46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DD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0A1B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E5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47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电动葫芦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FC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2T，380V,单链15米长不锈钢链条</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D2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D2A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5B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大白鲨/金象/砂威</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66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27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72E0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78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C8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钢丝绳电动葫芦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97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电动葫芦配无线遥控，载重2吨，提升18米</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F2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8BA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DA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大白鲨/金象/砂威</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F0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86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E77C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83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85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电动葫芦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51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起重重量0.5T，220V,钢丝绳长8米，无线遥控</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8B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DB9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FF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EB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BA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C73D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48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91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电动葫芦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B2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1T，380V,起升高度9米，纯铜电机</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75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9BB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D9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16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F1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9DD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C2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36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断头螺丝取丝器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B9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M3-M14</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09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142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4A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大白鲨/金象/砂威</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61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3D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9F76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30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5F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手推跑车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58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型号：3T  适用：工字钢 单轨行车 配套电动葫芦适用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C6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EA8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18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大白鲨/金象/砂威</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8F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1D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4399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CD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D6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永磁起重器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B9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1000KG国标 适用钢板厚度40-80mm 最大拉脱力3100KG</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E2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76B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45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博世/老A/雷蒙</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17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94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B75E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67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12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电子游标卡尺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88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高精度电子数显游标卡尺 数显卡尺0-200mm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8C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025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48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沪工/世达/得力</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6C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87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2C80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91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C2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钢尺水位计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A3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探测范围0-30米，误差≤±2mm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AB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106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86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沪工/世达/得力</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DD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D5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0D9A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9E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F2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27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5米/把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06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9C4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9F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6D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DE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148F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15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F7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不锈钢角尺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75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90°300mm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7E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2D1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6E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44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DB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B4ED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71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17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皮尺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AD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50米</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DB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D88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DE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7B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3F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FC58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89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14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游标卡尺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1A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 0-150mm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8A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373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74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9A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32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0C54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1B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0B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水平尺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14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24寸 铝合金 磁性 质量好的</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AD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643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1A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BD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8E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8E97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20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09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瓷砖专用钻头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3E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F6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83A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45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F0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A6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86C7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A8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C9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瓷砖专用钻头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20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M8</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0A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DA5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0F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16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FC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4991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B1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2D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瓷砖专用钻头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FC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B6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7E2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40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1F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DC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7FD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4F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F6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金属麻花钻头套装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03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钻铁钻钢高速钢镀钛开孔电钻钻头扩孔器15支套装 （1.5-10mm）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6B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32E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D3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史丹利/世达/宝工</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08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9C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3AF6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D9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E5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六角柄多功能钻头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30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（5支装）木材/金属/石材/瓷砖 4/5/6/6/8mm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A5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AC7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67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DB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CA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35DC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AC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84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麻花钻头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67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高速钢 φ4mm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97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F68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45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27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0E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3BAC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12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C6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麻花钻头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26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高速钢 φ6mm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3B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8DD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66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77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5F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C13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8D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65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麻花钻头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C1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高速钢 φ8mm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5C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4B1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E6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79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D0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EEEE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4C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10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麻花钻头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C1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高速钢 φ10mm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E0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F8F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84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A3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23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83B0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F4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32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麻花钻头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5D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不锈钢材质，φ3.2mm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98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B6D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57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DB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12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1C46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6D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0F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麻花钻头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6F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不锈钢材质，φ4mm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8E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BAB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B6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43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A1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1A33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D1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52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麻花钻头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37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不锈钢材质，φ5mm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74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192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C6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FB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D0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8916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85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86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麻花钻头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1F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不锈钢材质，φ6mm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05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150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93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D2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7A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9B84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B2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E3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麻花钻头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4B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不锈钢材质，φ8mm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A1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4B7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5E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26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2D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89A0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D7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C5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麻花钻头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F3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不锈钢材质，φ10mm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F0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7D3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F6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D4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DB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081D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DA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C2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麻花钻头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34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不锈钢材质，φ12mm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82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DEC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11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E2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62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578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EF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06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麻花钻头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BB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不锈钢材质，φ14mm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92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55F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A7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0E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FC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3EE3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1E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BB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麻花钻头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E4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不锈钢材质，φ16mm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66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AF5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50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2E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82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3DA2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70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BE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麻花钻头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53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不锈钢材质，φ18mm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2E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F38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28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D7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20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4109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06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43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冲击钻头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94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圆柄  6*150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D1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E4C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04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C8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65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2C01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6E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A5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冲击钻头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32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圆柄  8*150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9D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0BD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57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D6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8F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C5B9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24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1C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冲击钻头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27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圆柄  10*150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4F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C01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70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4F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94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083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BA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01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冲击钻头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9D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圆柄  12*150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D8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1B8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9F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6B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36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ECF4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03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8B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冲击钻头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BA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圆柄  14*150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4F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572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28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96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77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B35D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34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B3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冲击钻头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86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圆柄  16*150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CA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4A0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21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A4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22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3375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BE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38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丝锥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2A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34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8DE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A0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5A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01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D05B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1D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E7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丝锥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6C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M8</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EA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BC6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A1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6A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56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9D4F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6D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87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丝锥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41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AA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60C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AE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79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1C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97E6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9F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54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丝锥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59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M12</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C5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670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13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E6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D3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9B02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F2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B6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丝锥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49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M14</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BC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774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59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21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95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143D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31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63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丝锥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03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36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20C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49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E8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D0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FDAC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2C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EC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丝锥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3F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M18</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77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01A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BC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A6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3C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84D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1A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D1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丝锥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FE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19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9A9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1D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40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72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ADDC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DB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A0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砂纸</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69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混合10片装（细）400目/600目/1000目/1500目/2000目</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4A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F6B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18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24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AE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9A0D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A2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6E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砂纸</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00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干湿两用，60目</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4F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104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BA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6D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E4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B4D9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44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41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砂纸</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E9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干湿两用，120目</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8B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AE1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75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B3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78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7A80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12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76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砂纸</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B8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干湿两用，180目</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A9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C72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FD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52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53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F771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72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5F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砂纸</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EA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干湿两用，240目</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DB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999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11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CA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70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3570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63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32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砂纸</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2F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干湿两用，320目</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32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F80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1F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29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BB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3B67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20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45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砂纸</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5D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干湿两用，400目</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4F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BEA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1A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39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E7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03B7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91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02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砂纸</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23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干湿两用，800目</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80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CD4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ED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43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21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7980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36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F8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砂纸</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89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干湿两用，1000目</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9E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5F7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94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6B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EC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E179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59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7E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砂纸</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20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干湿两用，1500目</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09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753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3A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1C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6A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2C3E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31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72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砂纸</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B4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干湿两用，2000目</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06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C6A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C9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BB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9E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6F82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D8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FE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砂纸</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1D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干湿两用，3000目</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0A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C99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5A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6B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C9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2B0D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A7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68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砂纸</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67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干湿两用，5000目</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64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92A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8A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81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31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AC94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6E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FE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吸尘器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58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12L，1200W，16-19kpa</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6B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DF0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01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84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25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6C2B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0D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06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切割机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E6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额定电压：220V 额定：50HZ 额定输入功率：2000W 砂轮直径：355，空载速度：3800m/min或以上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73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F82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9F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博世/威克士/东成</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1F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BC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5AC2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5E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47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空气压缩机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80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220V、1500W、工作压力：8bar，储气量：50L，排气量≥95（L/min）</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0F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62C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10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CC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94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E11B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DA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C6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卷扬机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0F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380V，起吊重量1T，单绳，配套长度大于等于60m，钢丝绳直径大于7mm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AC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43E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D7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2E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95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CC29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51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BC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直磨机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17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标配送磨头 220V，功率500W，空载速率33000转/分钟，含（6毫米夹头*1，扳手*2）</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5C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053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F0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0A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7A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080F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97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BF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角磨机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FC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输入功率670W 主轴直径M10 盘片直径100mm 空载转速11000转/分钟或以上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E3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FCD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74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2D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99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32A2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E4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3F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角磨机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2E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输入功率720W 主轴直径M10 盘片直径100mm 空载转速11000转/分钟或以上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DC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BAE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1C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A3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3D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9A48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08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2F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锂电充电式角磨机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1C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功率1000w，空转转速 9000转/分钟或以上，电池4.0Ah，两电一充，盘片直径100mm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5F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8CC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D3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5E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98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C44D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DF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68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便携式电动喷漆枪</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63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电池4000毫安，输出电压：18V,电池数量2个（一电一充），容器容量800ML，喷嘴直径：0.5/1.0/1.5/2.0/2.5</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BF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5CB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6E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D0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48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170D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6F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E3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飞机钻</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BF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功能：调速、正反转，材质：塑料、铜，功率：850W  转速：0-630转/分钟，夹头，辅助手柄各一个，夹紧范围3-16毫米，额定扭力：11Nm或以上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89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AFF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00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A2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00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AEAF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60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A7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多功能磁力钻</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B2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功率：1200w或以上，空载转速50-250/510rpm，钢材转孔直径1.5/50mm，磁力：14000N，最大钻孔行程165mm，钻轴连接缧纹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MT2-DIN228</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5E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668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4D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7E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B1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7E5C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57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E6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内六角连体套筒</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65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H5-H19 10件套</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DB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8E8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2D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B4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76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72AE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52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A5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锂电充电式无刷冲击电动扳手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26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780扭力  两电一充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FD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9C5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57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F0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9E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DE50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71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33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直流手工、氩弧焊两用电焊机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9D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ZX7-250焊机，220v，两用（氩弧热焊+手工电焊），配套氩弧焊枪、接地线、接头，线长至少5米以上。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1C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361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BD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E6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46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DED4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3F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0B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等离子切割一体机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41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切割、电焊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C5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BBB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BE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29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07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EB6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2D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47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充电式电动扳手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0B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塑盒装 两电一充/5.0Ah电池 快冲充电器 最大扭矩400牛顿米 带ABR扭松自停系统</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CB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B75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E8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23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F3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F39D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D2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B7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鼓风机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FF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便携式，锂电池电压18V，一电一充、电池容量4.0AH  空气最大流量75m/s，空载转速：17000转/分钟或以上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DD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E8F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FC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5B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F9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D4BA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1D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C5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鼓风机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CE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吹吸两用，额度功率800W、空转转速16000转/分钟或以上，风量0-4.5m³/min或以上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2C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D46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CA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09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53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3AB7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9B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6F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手电钻</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4A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手持式，无极变速，有正反转，220v，350w，最大夹持能力10mm，配套麻花钻头（2/3/4/5/6/8/10mm） 空载速率：0-2500转/分钟 带匙夹头 × 1</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28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3C6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38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E3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A9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EB51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20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F4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手电钻</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85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600W 带正反转电子调速手电钻 夹头直径范围1.5-13mm，重量1.65kg，空载速率：0-2600转/分钟</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5F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856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2B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40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26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B9B8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0F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8A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充电式冲击钻</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39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两电一充，20V，4.0Ah电池*1，空转转速1800转/分钟或以上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46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AE9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2E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E2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0A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6063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E0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36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电动液压钳压线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3D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数显款10-300MM²【12付模具】两电一充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45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E25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4B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C8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08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E50F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8C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CC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数显测电笔</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21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可测量范围12V-250V</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95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FB1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5C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0F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87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D5BB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13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74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电阻测试仪</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47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量程0.1MΩ-2000MΩ，绝缘测算电压500V\100V</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75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6F1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B5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AC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6F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3D9B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01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21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红外测温枪</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C7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高精度测量范围（-30°~350°）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3E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367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44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80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A2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F4D0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E6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C7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耐压测试仪</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40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通用型耐压测试仪，交直流输出电压5KV，变压器容量：100VA,测试电流0-2/20mA</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7C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93F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88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A5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82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F62D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09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01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热像仪</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D9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测温范围-20度-350度，25hz，防护等级IP54。</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6A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72E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87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5C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29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694A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96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1A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手持式激光测距仪</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46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测量范围0-100m，测量精准≤±2mm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B9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FC7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8B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61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20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DA8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4D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24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数字接地电阻防雷检测仪</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78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20-2000Ω；200V 配辅佐接地棒2支 带鳄鱼夹测试线（红绿1.6米）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红线15米、黄线10米、绿线5米</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9F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935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71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德国CIAA/东城/德华迪</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3B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09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0B7B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84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1B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砂轮机砂轮片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6E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5寸，白刚玉</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3A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片</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2E7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D9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1D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BD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2929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E0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62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砂轮机砂轮片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1E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6寸，白刚玉</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45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片</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F7D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0E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32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51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822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2B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3C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砂轮机砂轮片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75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8寸，白刚玉</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B0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片</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D11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BC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4B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43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0BE5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B2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A9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羊毛抛光片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EB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100*8*16mm 5片/盒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A7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BD4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A3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86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A5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7E63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9E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F9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角磨机钢丝刷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87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孔径16mm，特厚耐磨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DD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8A1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48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5A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D0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03AE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80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F1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电子兆欧表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52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量程0.1MΩ-2000MΩ，输出电压0-1000V，配备塑料盒子或者布包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BE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72F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75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B3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A8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49C8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02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680</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45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钳型电流表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70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F365 交直流量程200A 鸟嘴型钳头 可分离钳头 背光照明</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DE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733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CF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03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4A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9E71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68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681</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23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钳型电流表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A4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F301D 轻薄型 交直流量程600A 重154g厚16mm 钳口细至10mm 背光照明</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46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895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85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EB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18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E143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54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E1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钳型电流表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2C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钳形万用表 交直流600A,可达4000Ω电阻测量，精确度高于0.01A\0.1V,钳口37mm或以上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D3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8CE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6A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D7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28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8B10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C6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A7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数字万用表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3F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数字万用表，交直流电压量程1000V,可测电流电压电阻电容</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7D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1EC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E4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4F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DA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85D2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9B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06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万能表表笔</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99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通用万用表表笔 20A表笔（红、黑）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AA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C89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8C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93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F8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6B54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98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2B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兆欧表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01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额定电压500V 测量范围10级,铝合金壳</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06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9C0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91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81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58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978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6B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03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兆欧表连接线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3D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红黑线，电压500V/1000V，线长：0.5米 带鳄鱼夹</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01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BF4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64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EF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95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0711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4F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6F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数字电桥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39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便携式，频率100khz，测试精度0.1%，触发模式：自动、手动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C2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4DB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5B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4E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60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2F7A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52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77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PVC线槽</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F7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20mm*10mm*4000mm，阻燃型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6E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9DC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0B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9B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7B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BCD7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A9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8D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PVC线槽</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25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30mm*15mm*4000mm，阻燃型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E7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A6E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73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99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E2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E926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D9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F1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PVC线槽</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8F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50mm*25mm*4000mm，阻燃型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D8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575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87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F3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92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106F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9B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B8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PVC线槽</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DB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39mm*19mm*4000mm，阻燃型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7D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6EB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8D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24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EA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B924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5F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FE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PVC线管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97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DN16,4米/条</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5C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F11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EA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34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9F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A724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CE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94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PVC线管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09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DN20,4米/条</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A3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D3A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EC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F4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4B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49A7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5E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3F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PVC线管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FA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DN32,4米/条</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94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A44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BA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0A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A5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AB1C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35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74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PVC穿线管U型管卡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AA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16mm，阻燃型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E9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7DD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2F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05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F3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7F80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18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D4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PVC穿线管U型管卡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32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20mm，阻燃型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00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230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6B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43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AD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F0BD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8F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C6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PVC穿线管U型管卡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61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32mm，阻燃型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84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27A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BA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65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C6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B9A7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8D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BA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PVC线管直接头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A5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16mm，阻燃型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A6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225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6B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FA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99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8F13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91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0A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PVC线管直接头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0F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20mm，阻燃型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4F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C89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20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4F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FA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C3EB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05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2D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PVC线管直接头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B8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32mm，阻燃型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5F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D2C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BC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29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5C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0D1A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3A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01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PVC线管弯头接头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03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16mm，阻燃型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DD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155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33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90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75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DB2F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3C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2B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PVC线管弯头接头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32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20mm，阻燃型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A5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C28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8F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B4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26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7C92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6D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5F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PVC线管弯头接头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CE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32mm，阻燃型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85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E16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B7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8E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04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5C90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95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FB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PVC穿线管三通接头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6A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16mm，阻燃型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EE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F43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A9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CC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53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8532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59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D3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PVC穿线管三通接头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7D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20mm，阻燃型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1E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952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19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44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C5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CD17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AA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CA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PVC穿线管三通接头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5B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32mm，阻燃型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44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E02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0A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A6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49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5EA5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B2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BC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PVC水管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16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软管，4分管</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C0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C83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530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5F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15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A6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60B0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21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0B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PVC水管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58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软管，6分，100米/卷</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62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D8B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6D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DE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A8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4AB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58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14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PVC水管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62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软管，带钢丝，6分管</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3C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66B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61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1F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58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166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F9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46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PVC透明钢丝软管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C3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内径25mm，厚3.5mm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22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A30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A0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59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73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B335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FB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75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PVC透明钢丝软管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63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内径32mm，厚4mm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3D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317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AA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4C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3D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BA84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58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B7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PVC透明钢丝软管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B5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内径40mm，厚3.5mm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91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FBB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7A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94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12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A5DE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DB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7B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PVC透明钢丝软管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16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内径50mm，厚5mm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0B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2AF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6B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6A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95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51CB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67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E0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PVC透明钢丝软管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C3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内径64mm，厚4.5mm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65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374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F3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F9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20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3234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9B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E7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PVC透明钢丝软管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C8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内径75mm，厚4.5mm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25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ED3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C6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DB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F8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B6DA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F0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90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PVC透明钢丝软管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87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内径110mm，厚5.5mm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B8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667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B1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DB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C1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D476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D6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26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PVC透明钢丝软管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F5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内径127mm，厚6.5mm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7E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86D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24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10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54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7FE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16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3F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PVC透明钢丝软管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2B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内径160mm，厚7mm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69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428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13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61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1B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AACF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AA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719</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D2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PVC水管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90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1米 白色 dn75 国标A管</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52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B8F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50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F6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AB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82FF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C5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720</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6D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PVC水管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36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1米 白色 dn50 国标A管</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7E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02B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48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C9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6C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73AC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EE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F0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PVC水管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36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DN200 壁厚≥4.9mm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73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1E0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0A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20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8F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1F86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32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45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PVC水管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A7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DN300 壁厚≥7.7mm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46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F56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E2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B1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5B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A4A3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06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64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PVC直通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16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DN300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B2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31F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8E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C9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85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EFA8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82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58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PVC弯通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4A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45°弯头、DN300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27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62F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CE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95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C8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8BE9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AC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87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PVC弯通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AD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90°弯头、DN300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6B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6BE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40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7E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E6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39CC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6E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5E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PVC弯通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28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DN80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1C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12C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EB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52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7C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C9FA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72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FD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PVC弯通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31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DN200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BE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A78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F2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C7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57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26F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FE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84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PVC弯通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BF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89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7DB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31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7F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D0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73A5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6E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3E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PVC圆形插口球阀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95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内径32mm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66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A6F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A8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F3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A9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CE1C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2F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730</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B9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PVC-U排水配件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48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堵头外盖白色 dn75</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79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094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D2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F9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77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148B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BC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731</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B8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PVC-U排水配件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B6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pvc排水管卡(配爆破螺丝) dn50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CC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2C2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F1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47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2C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779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3E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732</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139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PVC-U排水配件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B3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pvc排水管卡(配爆破螺丝) dn75</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29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3FF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9F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3E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5C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C1ED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47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733</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A8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PVC-U排水配件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C0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90°直角弯头 白色 dn50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04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536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52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AE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CC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4403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54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734</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8E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PVC-U排水配件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1F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直通 dn50 白色</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94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088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54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6D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D9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252A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DA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735</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ED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UPVC工业管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60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 PN16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D5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2C8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A9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联塑/日丰/南亚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36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35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8813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B2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736</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EA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UPVC工业管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1E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DN200 PN16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CB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72A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D0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联塑/日丰/南亚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B1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A2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05CE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17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737</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3B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UPVC工业管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92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DN300 PN16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54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A88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80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联塑/日丰/南亚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93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EA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49B5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AF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738</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11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UPVC工业管直通接头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8D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 PN16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3E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60C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3B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联塑/日丰/南亚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21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16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05DA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FB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739</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17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UPVC工业管直通接头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36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DN200 PN16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FE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EE9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0A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联塑/日丰/南亚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1C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86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A313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29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740</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51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UPVC工业管直通接头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CE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DN300 PN16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6A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828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F3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联塑/日丰/南亚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74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0B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34C3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0C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741</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9C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UPVC工业管90度弯头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FE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 PN16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4B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129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8E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联塑/日丰/南亚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A7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6E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791F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B0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742</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8F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UPVC工业管90度弯头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5C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DN200 PN16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B4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C3B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CA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联塑/日丰/南亚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72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C3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3F7D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A6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743</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A9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UPVC工业管90度弯头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A1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DN300 PN16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8F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EE4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BF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联塑/日丰/南亚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59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FE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28E5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65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744</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68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UPVC工业管45度弯头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06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 PN16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CC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B00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22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联塑/日丰/南亚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88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E2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9E12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CB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745</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B6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UPVC工业管45度弯头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94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DN200 PN16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C3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ABB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F4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联塑/日丰/南亚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A2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76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9EA4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99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746</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B6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UPVC工业管45度弯头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28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DN300 PN16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CA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E05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8B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联塑/日丰/南亚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16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B4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E6AB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F8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747</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9A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UPVC工业管活套法兰接头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26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DN100(外径110*8.1mm）PN16，12孔</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C9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6D4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E3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联塑/日丰/南亚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C4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18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F72F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6A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748</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5D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UPVC工业管活套法兰接头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66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内径225mm 12孔</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CA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F2A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FF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联塑/日丰/南亚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84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CC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0E07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9B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749</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8B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UPVC工业管活套法兰接头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BB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内径315mm 12孔</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D9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661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C8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联塑/日丰/南亚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E9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80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2ED6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72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750</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B3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UPVC工业管法兰垫片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81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EPDM 内径106mm 12孔</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AC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7C0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F7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联塑/日丰/南亚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FA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0D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C19F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68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751</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6F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UPVC工业管法兰垫片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A0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EPDM 内径225mm 12孔</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C8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62B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2D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联塑/日丰/南亚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D6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79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2135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D1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752</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77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UPVC工业管法兰垫片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26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EPDM 内径315mm 12孔</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0F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65C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25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联塑/日丰/南亚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69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23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32BD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F7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753</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5C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UPVC工业管三通头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7B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 PN16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92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851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5D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联塑/日丰/南亚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8E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CC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2208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C0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754</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F5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UPVC工业管大小头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1B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DN100*50 (大头内径110*小头内径63mm) PN16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85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795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F3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联塑/日丰/南亚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2A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E9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D176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B6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C4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PVC内衬高压耐磨水带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0A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DN80，20米/卷，头尾配铝合金卡箍、接头、连接配件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41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E13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7A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AB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14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558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1A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3E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PVC内衬高压耐磨水带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2D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DN100，20米/卷，头尾配铝合金卡箍、接头、连接配件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5C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DE5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88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BB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C4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D6E2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CE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08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PVC内衬高压耐磨水带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96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DN200，20米/卷，头尾配铝合金卡箍、接头、连接配件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5F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8DC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E1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64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40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2974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11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58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PVC内衬高压耐磨水带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80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DN150，20米/卷，头尾配铝合金卡箍、接头、连接配件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E0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111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E4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8F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EC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FA4F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74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08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PVC内衬高压耐磨水带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64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DN300，20米/卷，头尾配铝合金卡箍、接头、连接配件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51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9B0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47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4A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85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F4C4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86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17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PVC内衬高压耐磨水带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17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DN250，20米/卷，头尾配铝合金卡箍、接头、连接配件</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72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B9F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CE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D1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84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FBE4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51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41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涂塑耐磨水带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B0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12寸，20米/卷</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A1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988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E8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CE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06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9D2D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81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25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组合式塑料零件盒</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68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单个零件盒470*200*180mm，配套支架净高75mm，蓝色，8个/组</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D4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A6B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C0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63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1A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844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7F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5D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多功能周转箱</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A5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蓝色 HDPE材质 410*310*145</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14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297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14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B8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04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591A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FA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0A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多功能周转箱</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B9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蓝色 HDPE材质 710*455*180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F2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E63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32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C4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02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4810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FA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D7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工具箱</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B1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尺寸：19寸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14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0EB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8A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3A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1D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CBF5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5A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1F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铁皮工具箱</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CE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18英寸 材质：冷轧钢板</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1A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C5D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2D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3D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2D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AE97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41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B8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钥匙箱</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7E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48位，铝合金包边</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84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5D2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F2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A9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9D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46EC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08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66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电工包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8C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容量：23L或以上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D8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54D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4D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52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D2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4848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48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BF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工具柜</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3B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两门、高*长*宽，1000mm*800mm*400mm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68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CF9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3D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E8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03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DAEB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C7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A7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货架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7E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2.0*0.6*2.0m，4层</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A5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E4B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E0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15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27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DC0A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B3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BC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货架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7D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1.2*6*2m，4层</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5B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01D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47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A0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97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37E5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5F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7E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油漆滚筒刷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FD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F3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E08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1B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F2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B1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53A4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48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24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油漆滚筒刷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64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F7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A29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20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DA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08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00F3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99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D1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油漆刷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FE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95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006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B9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53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A2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976C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8E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D5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油漆刷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53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56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7FC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9C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92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30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E324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CF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C8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油漆刷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6E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0E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5AF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A3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04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9C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705C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D5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7F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10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长度：160-200mm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87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10B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84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7A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4A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2867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1F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C8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变压器油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4E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16升/桶 粘稠等级45# 击穿电压至少42kv及以上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EB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733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F3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49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9D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00BB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DB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03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锂基润滑脂（黄油）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FE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15KG/桶，2#</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CA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BAA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2E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B5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FE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F78E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AF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0A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90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15W-40（18L/桶）机油等级CF-4</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46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F47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31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AF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79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483B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27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CA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43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10W-40，SN级，4L/瓶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51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F85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F6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93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E7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468B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D8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84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抗磨液压油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F5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粘度：46# 容量：18L</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67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671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BF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11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54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12BC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FE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1E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抗磨液压油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BC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粘度：32# 容量：18L</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34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C9A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CE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DB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D7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B350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A4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EB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冷却液</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BC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35℃~108度多效防冻液 18kg/20L</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87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19E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49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45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57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B392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EA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FF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工业齿轮油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50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220号，16升/桶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3B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AA1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A4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99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28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A96B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12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0B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喷壶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0A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容量2.0L</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F5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4CE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A7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57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D9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1954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E8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BB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气压式喷壶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5E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容量1L</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43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F26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9B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5F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6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12A5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96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A5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气压式喷壶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E5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容量1.5L</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41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2EE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A1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3D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72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3019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7E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29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户外监控设备箱</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72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250mm*300mm*160mm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53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806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F1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C8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98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A90D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9E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CB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406胶水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13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20g/支</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A2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698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84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B9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3E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FCCB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87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94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502胶水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7A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20g/支</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9A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BA3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88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FE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A3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CC32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29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26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PVC胶水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AD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100ml/罐</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0E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罐</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12A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74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CA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D2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AA7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79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5F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丙烯酸AB胶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C6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50ml/支</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EB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1F6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97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DE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52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B65B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5C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EB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高温密封胶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03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85G/支</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23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55D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4C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54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2D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EEDE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98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E3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环氧树脂胶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F7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AB型，2KG/组</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35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3A3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DC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AF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AB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2A07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06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70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免胶垫密封胶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FE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密封胶，红色，50ML/支</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53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EED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2E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E2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59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795C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5D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E9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筒装玻璃胶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8B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300ML/支、配套玻璃胶枪</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55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A58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28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77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6E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CAAB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FC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82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筒装玻璃胶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E9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300ML/支、不配套玻璃胶枪</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F3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E86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12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3B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C0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60D7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D2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7D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硅脂润滑脂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EB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白色半透明 500克装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AF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69E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F5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31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64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6F4A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40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0E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氨酯泡沫填缝剂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92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发泡膨胀剂，750ml每瓶，枪管一体</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35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4E1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60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7E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B7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94CC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D1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33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除草剂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6F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草甘膦，200g/瓶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E4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30E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24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4C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BA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CB1A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3F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69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除锈剂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6E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400ml/瓶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05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9D3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9C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8C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58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6A0A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90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7A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工业重油污清洗剂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61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重油污清洗剂/5.3斤/瓶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B8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FBB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56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66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5E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082B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E0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6B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化油器清洗剂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53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450ml，24瓶/箱</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CB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箱</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C12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0E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61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E6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B27B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F0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36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稀释剂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AC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1L装，通用型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4B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340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F7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7D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04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E118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86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3D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螺栓锁固剂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DB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A5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11F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99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乐泰/奥斯邦/金士达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89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69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593A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6E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C3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O型圈粘接胶水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26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20g/瓶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B2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A73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6C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乐泰/奥斯邦/司达行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56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72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C47F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CA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808</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C1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精密电子清洁剂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CF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使用电路板清洗，快速挥发，≥400mL/瓶</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67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7BE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3C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DF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46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DE91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C5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809</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5E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除胶剂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6B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可清除油漆，AB胶等，450ml/瓶</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22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AC2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81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62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F5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84DE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2C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55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铸铁金属修补剂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DC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双组分，1kg/组，铸铁件修复</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03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880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CE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70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C4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26B7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64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F4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不锈钢金属修补剂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39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双组分，1kg/组，304不锈钢件修复</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C9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2E0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09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F8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C3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C5A3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E6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52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UPVC工业管胶水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A7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473ml/瓶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0D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31F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97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84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DA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BBB9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74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813</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E8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硬质PVC粘合剂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0C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低粘度速干性，100ml</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3B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E6C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4F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联塑/日丰/南亚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B7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56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F9DE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6F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EE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生料带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BA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15m*12m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B1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CC6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31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0D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83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442B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C8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64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液态生料带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6A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50克/瓶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0C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B2C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37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41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F5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A97D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DD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F1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油漆</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EC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醇酸磁漆，任意颜色 18kg/桶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B5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BB4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62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电视塔/迅彩/诺一美</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03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11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C7C9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07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42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油漆</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33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醇酸磁漆，任意颜色 3kg/桶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B1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621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92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电视塔/迅彩/诺一美</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0B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AE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E78E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16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AE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油漆</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67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醇酸磁漆，任意颜色 1kg/桶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06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73F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EE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电视塔/迅彩/诺一美</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C9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EE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625A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50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D4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铁红防锈底漆</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03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18kg/桶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B3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828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57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电视塔/迅彩/诺一美</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F9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BB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2FF4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27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43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铁红防锈底漆</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75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3kg/桶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3C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51C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BC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电视塔/迅彩/诺一美</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F6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F5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D8C2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FB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02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铁红防锈底漆</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E7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1kg/桶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F9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AAE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0E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电视塔/迅彩/诺一美</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DC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AE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1B3B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6F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EB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自喷漆</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3C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400ML/瓶，任意颜色</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30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6E5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AE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BF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1F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692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18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EE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油漆笔</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21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12支/盒，任意颜色</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51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FBF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05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5E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DD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8BE6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E5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37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美工刀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D4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大号，配10片刀片</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98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896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80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48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18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7EEA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7C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87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尼龙扎带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11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3.6*250mm，100根/包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FC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AD8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BB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D6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7B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87B1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2A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2D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尼龙扎带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2D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4.6*350mm，100根/包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BA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64F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75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66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B2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9585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68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21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尼龙轧带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07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5*200mm，500条/包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8F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66E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68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BD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7E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4058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3D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2A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锦纶尼龙绳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E4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绳径2mm 100m/卷</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E1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EC0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70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61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0A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2313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77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0F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锦纶尼龙绳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83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绳径 6mm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EA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7AC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C9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A5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AA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1EB5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3E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66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锦纶尼龙绳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31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绳径 10mm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61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F89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5F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F4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DC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51DB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DC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AB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锦纶尼龙绳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34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绳径16mm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18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6FA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8B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96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4E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7B8E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8F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14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锦纶尼龙绳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84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绳径18mm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52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75B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38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C7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77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8840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0E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9E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锦纶尼龙绳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B9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绳径20mm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FA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079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FF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7F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06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3757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61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A6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锦纶尼龙绳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1F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绳径22mm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E2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020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47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34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19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A45F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11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4F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锦纶尼龙绳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6F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绳径24mm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E2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EE1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94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07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7F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E2B6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F2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ED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漏斗</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75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304不锈钢,直径100mm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57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0D4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D7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22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E3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56D1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3B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09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漏斗</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A2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304不锈钢,直径150mm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FC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CF0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2F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C0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7D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7EC7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34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81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伸缩凳子</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20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伸缩范围：6-45cm或以上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A3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21B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5F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41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01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E0EF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BD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FB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手动叉车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95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2T</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74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458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C6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49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C2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6F61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50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88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四轮钢板车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B6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平板尺寸：100*65cm，承重能力：至少600公斤</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D3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辆</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5BD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A5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79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29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6365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BF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E9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大剪刀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C8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整长度不少于620mm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90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DB9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77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FA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A5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9839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7B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842</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1A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电缆剪刀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B4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14寸</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F2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460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52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6E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37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58AC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61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843</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D7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多功能工业级铁皮剪刀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E7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8-12寸</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2B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CE7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7D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EF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B2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84F1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05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42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园林镰刀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C7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割草镰刀锰钢长柄弯头50cm*38cm*18cm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41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FB5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6C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09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64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A468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71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72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废布料</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E3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5斤/袋，纯棉，白色</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59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5D2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8E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7D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8F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9277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A0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AE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打气筒</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2E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带表，气压值不低于160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3A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B0F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5D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7C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5C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E9C9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F1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B0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温湿度计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09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显示：温度、湿度、日期、时间，有背光功能</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0A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57A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A7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B6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C8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02E1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EE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52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亚克力板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71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1000*1000*3mm，透明</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6F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B66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7E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DF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B4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B0AB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29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00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波浪瓦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AD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3mm厚，宽度1米或以上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0C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62E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92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41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73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0BB9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CF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16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强力电风扇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A2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趴地台式，规格：20寸、额定电压：220v、额定功率:150W或以上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89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64C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E6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7B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16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A4A7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F5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4E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喷雾风扇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24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额定电压：220V、功率380W、水箱容量 42L、 降温面积：50-100平方 吹风距离6-10米</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8D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C29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FF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C0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3B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F60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6B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FB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排风扇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5A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开孔350*350mm  排风量：1000m³/h以上  尺寸：12寸 功率：46W或以上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2C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43B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6D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FC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24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972B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00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84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太阳伞底座</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2D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配套太阳伞（伞面弧长3.4米，伞下直径2.95米。）使用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F7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85B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7A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D9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CB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3AE8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42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2F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太阳伞</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D0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伞面弧长3.4米，伞下直径2.95米。</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87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7AF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21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1E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4E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323F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E1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88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活动门式脚手架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90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1.8m(长)*0.95m宽)*1m(高) 铁材质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C1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0CE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F1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C5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5E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EB6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F0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5B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四脚伸缩雨棚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70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标识尺寸4*4m，腿粗4cm。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0E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D94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DB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16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5B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D6A9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B2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BA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多功能伸缩人字梯&amp;直梯</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54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人字高度4.1m，展开高度4.1m+4.1m，收缩高度117cm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8D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028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BC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CF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83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E47F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1B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A5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伸缩梯</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A3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单面梯，铝合金材质，伸张长度10m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3C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FBA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08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16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0F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AFC1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20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A7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防晒玻璃膜</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97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60cm*5米、PET材质、厚度0.1mm、 隔热率83%以上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5A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5DD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8C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58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AF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AA07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69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B0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不锈钢挂锁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2B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50MM短梁、通开型、配1把钥匙</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A8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EFD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64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BB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D1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E25E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26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E0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不锈钢挂锁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1A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短梁宽50mm，梁粗9mm，锁体厚20mm，每个锁配4条钥匙</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B6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9EE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22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AB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27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82A9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EA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3C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不锈钢挂锁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D5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短梁宽60mm，梁粗11mm，锁体厚20mm，每个锁配4条钥匙</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E9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186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FC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D3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93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C70F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65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8C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密码锁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C0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防水，不锈钢材质，4位密码</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2A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01C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55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78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66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21BE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B8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864</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69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密码链条锁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D2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长0.6米，链条直径不低于4mm，4位或以上密码，合金钢链条</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C3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7E3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10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82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2D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077C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E6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865</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4B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密码链条锁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82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长0.9米，链条直径不低于4mm，4位或以上密码，合金钢链条</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E6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24F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3F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0C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D0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C8C8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ED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866</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30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密码链条锁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5C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长1米，链条直径不低于4mm，4位或以上密码，合金钢链条</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AD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51E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2C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28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60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E50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66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867</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7E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密码链条锁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F9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长1.2米，链条直径不低于4mm，4位或以上密码，合金钢链条</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1B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25C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88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44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32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B16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2F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12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电箱门锁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2F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带锁匙的按压弹簧式，尺寸约：长82mm×宽28mm×厚15mm，材质：锌合金，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F5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3F6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F6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DE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35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7B06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E4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47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电箱门锁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62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带锁匙的按压弹簧式，尺寸约：长140mm×宽28mm×厚15mm，材质：锌合金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C3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BFE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D3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13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CF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527F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51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56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电箱门锁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E1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带锁匙的按压弹簧式，尺寸约：长92mm×宽33.5mm×厚22mm，材质：锌合金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DE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7EF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53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1E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30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C484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F7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39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电箱门锁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96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带锁匙的按压弹簧式，尺寸约：长149mm×宽38mm×厚22mm，材质：锌合金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6D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5C9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ED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6F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CC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DEDA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92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30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竹丝扫把</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BF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1.3斤款</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D0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860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02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5D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45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D3AB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18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E2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塑料扫把</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03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木柄</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25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608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C7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54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36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9B12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0A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E9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垃圾铲</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8F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不锈钢材质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0B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C2E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E8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80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E1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E467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39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91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方铲</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B9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304不锈钢方形铲</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1A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6D1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F9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7A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19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915A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1A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FC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雨伞</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36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黑色，大把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B8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B4C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CE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B0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E9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4097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E3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53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锁扣</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E5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不锈钢材质，5寸，配套锁耳</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22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E29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C2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A9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D0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1CB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1B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7E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便携折叠马扎</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D6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中号，任意颜色</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44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C3F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66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DB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0E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8FC7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4A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2F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黄铜棒</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11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F9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415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97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A0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62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9A86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FB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A0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锯弓</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8B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8-12寸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EB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9BD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94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8B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DA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9F12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07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2C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亚克力机械设备运行状态牌管理插卡提示牌标识牌</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77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20*15cm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8F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B7B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EA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14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2E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5967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94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4A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移动绕线车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BE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直径1米</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62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210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F4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AB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D2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0CAE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D7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D6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电缆用铁木轴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E7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直径1.4米</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24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A7E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DD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22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B4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6A02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F5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64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电缆用铁木轴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CD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直径1.2米</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E6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033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E5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44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9E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EC90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A0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14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电缆卧式放线架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4F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直径1.2米</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D5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3C5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EE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09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10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3FBB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67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B8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三色彩条布</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05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防水防晒，每平方重量不低于120g，全新料，4米*50米/卷</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53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860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B8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AC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08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362A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E8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9E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油布</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34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绿色，厚度不低于0.5mm，四角带环，5米*6米/块</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A0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F3D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59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C5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E4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8686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D0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27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锂电抽油泵</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70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500W以上,充电式，含2块15节电芯电池包、电池充电器、6米钢丝软管</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C6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417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E3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01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27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D031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CC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6E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0E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充电式，含2块3000毫安电芯电池包，电池充电器，配套套筒套装、批头套装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E3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94E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71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A4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BC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CFFD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A4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05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工业暖风机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0D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三相380V,5KW，无极调温，三挡可调 (自然风、低热、高热)，输出风量：400m3/H或以上，防水等级：4级防水或以上，适配面积40~60m2</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18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541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D3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5C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4E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9D94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14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B8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手提防爆灯</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2E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光通量：1200Lm，电池：11.1V/5Ah(3节26650)，续航:10H~80H，灯芯功率:3*4W，IP66防水等级</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71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9EA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F5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73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7A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C536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AF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0D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塑料托盘</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48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1200mm*1200mm*150mm，配8根钢管，静载至少4000kg或以上，动载至少1500KG或以上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DF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5E6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D6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C5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F6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607B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DE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33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热熔胶棒</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9D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φ7mm，10支/包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5F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F19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7F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FF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EC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295A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7B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FA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热熔胶棒</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12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φ11mm，10支/包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15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242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7C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B3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7D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6E69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3D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895</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01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热熔胶枪</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D9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220V，60W</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7B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41E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F2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37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D1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0308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F4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9F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热熔胶枪</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3C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100-150W</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11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FAC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FE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46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74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C41B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72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B8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发泡剂枪</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6B73">
            <w:pPr>
              <w:jc w:val="center"/>
              <w:rPr>
                <w:rFonts w:hint="eastAsia" w:ascii="宋体" w:hAnsi="宋体" w:eastAsia="宋体" w:cs="宋体"/>
                <w:i w:val="0"/>
                <w:iCs w:val="0"/>
                <w:color w:val="auto"/>
                <w:sz w:val="18"/>
                <w:szCs w:val="18"/>
                <w:highlight w:val="none"/>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6B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1F1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D2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8E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95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CF91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DB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01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玻璃胶枪</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0C3C">
            <w:pPr>
              <w:jc w:val="center"/>
              <w:rPr>
                <w:rFonts w:hint="eastAsia" w:ascii="宋体" w:hAnsi="宋体" w:eastAsia="宋体" w:cs="宋体"/>
                <w:i w:val="0"/>
                <w:iCs w:val="0"/>
                <w:color w:val="auto"/>
                <w:sz w:val="18"/>
                <w:szCs w:val="18"/>
                <w:highlight w:val="none"/>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00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F9F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D6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FD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CD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6B6C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AF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97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结构胶枪</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4DA1">
            <w:pPr>
              <w:jc w:val="center"/>
              <w:rPr>
                <w:rFonts w:hint="eastAsia" w:ascii="宋体" w:hAnsi="宋体" w:eastAsia="宋体" w:cs="宋体"/>
                <w:i w:val="0"/>
                <w:iCs w:val="0"/>
                <w:color w:val="auto"/>
                <w:sz w:val="18"/>
                <w:szCs w:val="18"/>
                <w:highlight w:val="none"/>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4E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B2F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96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55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1F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D3BD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AC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42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铆钉枪</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04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04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A07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73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CE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F1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059B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9E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95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射钉枪</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78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S8000工具箱套装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(消音+自动排渣+威力可调)</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44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96D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EB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F6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6C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7A4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2D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25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射钉枪</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B1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适合射钉直径为7mm，四档调节，总长325mm或330mm以上，枪头总量640g</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4F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8AA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69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24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07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E444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7F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59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消防钉</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62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圆形，长42mm，200枚/盒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FE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15E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F2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B3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23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B93F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AB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55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铆钉</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0F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M2.4×10，1000枚/盒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13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E15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8A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03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D5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C45A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4A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1C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铆钉</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31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M3.2×20，1000枚/盒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7A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7EC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84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35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A5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81F4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57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FD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铆钉</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27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M4×25，500枚/盒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66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C81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37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D1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A1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A61C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92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DA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铆钉</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CE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M5×30，400枚/盒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FE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B73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0C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B3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9C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60C9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09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E7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不锈钢工具箱</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F7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外径1400*500*500mm，304不锈钢材质，板材厚度2mm，折边防割手工艺，防雨防尘，附有提手，气压杆、挂锁锁孔等配件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F5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886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C2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7F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A1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ECB3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3E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88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寻线仪</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EE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带端口闪烁功能，寻线距离≥3000米，带载寻线距离≥100米，发射器输出信号电压≥3VPeak-Peak，发射器低电指示功能约≤3.5V(+-0.5V)，NCV功能：测量电压范围 40-1000VAC NCV红色LED，扬声器指示，3.7V锂电池。</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26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536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56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世达/优利德/山泽</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62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23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6733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CC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44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国标脚手架扣件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43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48钢管专用扣件架杆配件十字旋转对接扣件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9F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19F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9C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E0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98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B3D1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4C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30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重型特大号美工刀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98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特大号美工刀(刀片规格为25MM宽)，配备一盒刀片，10片/盒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DE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79E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FB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59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73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F9E0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64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06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棘轮拉紧器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8C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宽4cm，长2m，厚度4mm，承重5T，黑色，手柄包胶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EF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69D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81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E2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78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4FD4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B4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D2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304不锈钢自锁扎带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20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规格：4.6×300mm，30根/包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2C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C8A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6D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A5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72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A893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D6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2E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304不锈钢自锁扎带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25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规格：7.9×300mm，20根/包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D5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8FA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44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72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08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C6C6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CB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57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304不锈钢自锁扎带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81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规格：10×600mm，10根/包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69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F09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BE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1C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DA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11A9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47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80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螺丝批头套装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34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内配31件螺丝批头或以上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DF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D1A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75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世达/博世/史丹利/牧田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00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8A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0FF3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FB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96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螺丝批头套装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F1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国标通用款套装43件套</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BD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38F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10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77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3B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4A8C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48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56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杀蚁饵剂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F5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有效成分: 0.1%节虫威，40克/包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27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C55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78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达豪/户净/厚生</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FB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77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0FAC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65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A7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潜水排污泵</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21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功率：1.5kW，工作电压：220V，流量≥15m3/h，扬程≥12m，出水口径：50mm，配置电缆7m，自带浮球控制，不锈钢机身，安装方式：软管的立式底座安装，配置20m软管</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46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A2E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3B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7B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DE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83BC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97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80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BD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6206RZ</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C3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0B2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41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37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27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2638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67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7D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CF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3311A</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52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202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38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D8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5D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D307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8D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4D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59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7214 BECBP</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47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395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B2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A3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0E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1D48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D0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25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1F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16014 C3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DC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2ED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C1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8C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81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F4E1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8F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18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A3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6308 2RS</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A1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5C1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A9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0C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B8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DAA3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03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92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D2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NU310ECP</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96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D16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61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A3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51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1AAE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77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53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39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7220B M1 UA</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55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20D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D0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7E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2D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A0C8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3F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C5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53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6314-2Z</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59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0A3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73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8E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C0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F1D3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10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27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E1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NU207E</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64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414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1C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61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B6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46DF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EA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A3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91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6310-2Z</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54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248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7C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13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CB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A96F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34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C7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FA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6207DU</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15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C21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7F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9A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A9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C8C1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5B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1A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EF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6203Z</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83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1D6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EB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27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0D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0BA8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75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DA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93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6306Z</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82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B61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53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4B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D2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4E6A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BA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F1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C3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6205-2Z/C3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57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0E7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D0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37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B0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5DD4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F9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6F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77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6005</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B9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476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8D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D3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1D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3CEC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EB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8F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CD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6020 C3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9E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5C0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6B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82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A7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0127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59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33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14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3316 A</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5B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74C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AE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25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AC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F909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33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BC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5B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7315 BECBP</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00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897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2D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B4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DE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AFB2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CB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938</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6D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E5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3309</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8E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F94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DA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57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96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5A4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08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939</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F9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10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3307B</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12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AD5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9A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1F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8E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3619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0A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940</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D5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7D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6306-2Z-C3</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02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103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41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3D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8A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750E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47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941</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62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C9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5311</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89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475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E2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BA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2C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620F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13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942</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2C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AF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6308</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9B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E94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5F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B3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14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68A4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DC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943</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AE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0C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NU310E.TVP2</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8E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534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DD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7D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F1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612A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42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944</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4C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E8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6309</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30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B22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BC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50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9D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A4E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82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945</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D9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8E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7310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F4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913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C8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BC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F1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DA35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4B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946</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40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F9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NU315ECM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54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1A9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FC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5F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F0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07EC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AF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947</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FF8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22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6318</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14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3B3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A0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A6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9F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8AC8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D8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948</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F0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D6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7318</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B7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043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8D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BF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40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0384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C7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949</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4D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9F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6315</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C3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1CB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9B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B8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9A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5A5A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3A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950</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75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80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6304-2Z/C3WT</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B4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E75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D1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F4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1A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A746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90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951</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06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DF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6304</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11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6A9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18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13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23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E4E8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D9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952</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DD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D0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3206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FB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140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74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BB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4F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0CD6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B3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953</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1D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15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3305</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85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BDA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6D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A2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EB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D1E7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23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954</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8D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C7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7312BEBCM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78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A0C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D7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53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3B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F80E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4D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955</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D7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67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6312-2Z/C3</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45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BB56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9B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71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EB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16EB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03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956</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4D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4B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3314</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C8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A61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7A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BC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CD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2A15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F4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957</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DA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7A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NU308ECM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03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A7B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89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22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EE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DB5B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B1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958</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8A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D1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6306-2Z/C3WT</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F5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2DC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BF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32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03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37C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56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959</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F0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E1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2220M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06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3D0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AD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15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A2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352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37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960</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D7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02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51320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BA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000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F2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FAG,SKF,NSK</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BD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66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C538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FD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961</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40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橡胶轴承套装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A3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配500ZLB轴流泵</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60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B6E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06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01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61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A565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8D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962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73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TC骨架油封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B3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尺寸：Φ70*Φ100*6mm，丁晴橡胶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C3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EF5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E8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73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58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C706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D5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963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85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TC骨架油封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48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尺寸：Φ110*Φ140*14mm，丁晴橡胶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F0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B27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BB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53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D7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F1B4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EB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964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1D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TC骨架油封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6C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尺寸：Φ55*80*10mm，丁晴橡胶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9F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83E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A9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E9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C4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905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CE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965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01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TC骨架油封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11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尺寸：Φ90*Φ140*12mm，丁晴橡胶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7D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666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3C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2B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BB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D16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30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966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45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橡塑保温棉</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84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厚度3cm以上，宽1米，10米/卷，自带背胶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FD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AAF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42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2F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E7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B2E8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20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967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92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不锈钢编织上水软管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5B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DN20，不锈钢材质，1.2米/根</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B0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E2E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62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44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96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F388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89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968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9A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不锈钢编织上水软管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00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DN20，不锈钢材质，2米/根</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98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790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4E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2E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2B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32C7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64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969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8F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不锈钢水龙头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EE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外壳304材质，内芯纯铜材质，适用4分管</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DC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358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C7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7F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4E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68F2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FC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EA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不锈钢水龙头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15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外壳304材质，内芯纯铜材质，适用6分管</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62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448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1F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07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A0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09C3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71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EA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不锈钢面盆水龙头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4D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外壳304材质，内芯纯铜材质，适用4分管</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12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A5C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89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F6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E0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9DE6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5B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FA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工业吸尘器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1C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干湿吹三用 工业级真空吸尘器，输入功率1100W或以上，风量33升/秒，容量15，配自动起止插座系统升</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DF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329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E2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20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DF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295C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79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F9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剥线钳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E3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0.8-2.6mm²</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1C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AE8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A1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18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C8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0AD3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F7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D3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欧式端子压接钳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12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压接范围0.08-10MM²</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5D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271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E1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世达/宝工/长城</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7A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C5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005C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9B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87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充电式锂电电动螺丝刀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61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充电式锂电电动螺丝刀/起子机套装（typeC充电口，LED灯，正反转，含电池、螺丝批头套装43件套），电池2A/H或以上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B8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033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94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76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14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C9D1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77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976</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E0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蓄电池检测仪</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56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检测范围：8-36V</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A7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9F1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C5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E8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2B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1C20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60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977</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886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钳形接地电阻测试仪</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D4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电阻量程：0.01-1200Ω，电流量程：0mA-20A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可测量接地电阻，回路电阻，泄露电流等</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DC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EA1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0A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5F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8B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C2A7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D6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2A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开口鼻子压线钳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C0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80-200A</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E8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68A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80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5F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B6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3FFA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24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05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无气二保焊机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A6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两用；250；适用焊丝0.8 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5C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99E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F4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FC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98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8A22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52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2F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锯齿宝塔钻头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D2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BA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06D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B1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53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E1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CBD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01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04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信号发生器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00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支持0-20mA,0-10V等多种信号测量及输出</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81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5F0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67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B1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CD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9689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95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5A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老虎车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3A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实心大双轮，型材加粗加厚，承载200KG</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DF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辆</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9CD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17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A6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1D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1E53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3C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1F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锂电大扭力扳手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FA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充电式无刷冲击扳手1000牛米大扭力，配备两个电池20V/4Ah，一个充电器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38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93A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19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大艺/德力西/东城</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54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7F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F78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83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A8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标签线号机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9F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分辨率:300 DPI，打印方式:热转印，大尺寸打印:套管0.5-6平方(直径1.9-7.1mm)热缩管中2-Ф10，文件存储:可存100个文件，每个文件可输入5000个字符或以上（配套便携式手提箱、色带、贴纸、套管调整器、USB连接线，可蓝牙手机连接、USB电脑连接）</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47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5B0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56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3F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B6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44DA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B0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9E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套管调整器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F7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线号机切刀配件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E2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896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03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D6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B4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A30C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6D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33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线号机色带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0B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100米/卷</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00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99A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0B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8F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79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DB4E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14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987</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68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标签机色带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63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TZ-631/TZe-631 12mm 黄底黑字标签色带</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A2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800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80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C6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3C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49F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F4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988</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F7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标签机色带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95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TZe-231/TZe-231 12mm 白底黑字标签色带</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65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F6A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38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DC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FE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D46B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D0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989</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DC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标签机色带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5C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TZe-251 24mm白底黑字标签色带</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71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210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65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83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08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BD4B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C3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00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线号贴纸标签纸</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7A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16米/卷</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19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3EF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3D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C3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AA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AFAA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7B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AD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线号机套管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85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通用，白色，1.5mm²，90米/卷或以上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7B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8AE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FE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A5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83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D2BC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2E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A8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线号机套管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B8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通用，白色，2.5mm²，70米/卷或以上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7C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A89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AE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F1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BA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83DB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47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0C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线号机套管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B9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通用，白色，6mm²，45米/卷或以上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8E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EEE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DC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38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20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009B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A3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A9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标签打印机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2F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热敏打印，支持蓝牙编辑、批量打印等功能，打印速度：50mm/s或以上，出纸宽度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25-50mm，打印精度：203dpi或以上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9F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FC2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9C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69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BE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6570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92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FF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标签打印机标签纸</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F7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适配标签打印机</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32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968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2E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16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1B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A2E9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E7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B1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水泵密封圈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00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φ80mm，总厚度42mm，中间厚度35mm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9A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AA9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25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F2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F4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A6D5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80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21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水泵密封圈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D6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φ100mm，总厚度42mm，中间厚度35mm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05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201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EC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14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6C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362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1A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5A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水泵密封圈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7C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φ150mm，总厚度48mm，中间厚度40mm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47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9B3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79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7F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4F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DCE8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89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01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水泵密封圈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2C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φ200mm，总厚度54mm，中间厚度47mm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3C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A84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41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01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25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F1DE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40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A6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水泵密封圈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4B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φ250mm，总厚度70mm，中间厚度60mm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8B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28A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88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89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07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B8B8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48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D2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水泵密封圈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99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φ300mm，总厚度82mm，中间厚度70mm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8C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302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63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EF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E0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5EB5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85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F0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水泵密封圈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02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φ350mm，总厚度98mm，中间厚度80mm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91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4A6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16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A1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1E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3C1D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6A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A3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水泵密封圈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FE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φ400mm，总厚度98mm，中间厚度85mm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96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FF2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05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B1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CF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9BBB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AA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29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水泵密封圈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06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φ500mm，总厚度98mm，中间厚度85mm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DE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7B6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41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1B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9D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F1F2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59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1005</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39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水泵密封圈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F7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φ1000mm，总厚度98mm，中间厚度85mm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EE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079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6D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E7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53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754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49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71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建筑模板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18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杨木芯，表面光滑，长1550mm*宽580mm*厚13mm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74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2E5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98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6A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98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ACF6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83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07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支腿垫木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B6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材质：松木实木，尺寸：15*15*100cm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BF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C50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AE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8E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E7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271D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60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3C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镀锌脚手架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37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高1.93米，含踏板、2对拉杆、4个接口，配轮子</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A1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E93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5A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83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5F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9154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1A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F5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手推斗车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D7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花纹钢，实心胎，斗长78cm或以上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CA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CD5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34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F4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BD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D27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A7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A8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锂电吹风机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71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便携式，锂电池电压18V，两电一充、电池容量4.0AH，空载转速：16000转/分钟或以上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D1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C5F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22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博世/威克士/东成</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1A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8A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77E4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A1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59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多功能冲击钻</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2B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插电式 夹头直径1.5-13毫米 空载速率0-2800转/分钟</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74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FCF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66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博世/威克士/东成</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9E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14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1A54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57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71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振动测试仪</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B5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磁头分体式 频响范围10-1000Hz 可测量位移（0-1999um）、速度（0-199.9mm/s）、加速度（0-199.9m/s²）</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9C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83F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69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胜利/希玛/优利德</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F5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2D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9AAB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86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13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智能数字压力表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60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0-2.5Mpa 接口螺纹M20*1.5 表面直径100mm 测量精度0.4级 电压4.5V</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97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A02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37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D6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A8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2D05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26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03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便携式接地线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8D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表层镀锌丁字接地针 25平方线8米+1棒+1地针</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5B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E12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E1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58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2A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C78C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E5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2D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重型台虎钳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0E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21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AE8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98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美科/绿林/德力西</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B7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5F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399D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06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BF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工业级台钻</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4C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强力版加厚底座+多功能工作台+13件麻花钻 1050W钻铣双功能 3-16MM钻夹头 220V 主轴转速380-950r/min 主轴行程60mm 6挡调速</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89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C93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8D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东成/绿林/德力西</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6F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88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39A0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2E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40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水钻机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0B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含固定支架 电压220V 功率1800W 空载转速1900r/min 最大钻孔直径160mm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C0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C86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21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东成/威克士/德力西</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50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FC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F984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BC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B5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4F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金刚石，25×370mm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79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B0A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91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33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BA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3909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B4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9C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4C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金刚石，27×370mm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6B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3CB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9E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87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6F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B0F0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48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09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A9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金刚石，30×370mm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39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32C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FF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7E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C2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273E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00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21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C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金刚石，32×370mm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3D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81F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39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FE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7E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B583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6B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7C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FC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金刚石，36×370mm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52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18E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FB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B9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A3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424E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57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FC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E9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金刚石，40×370mm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8A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712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F8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40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B1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A184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01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AE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E6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金刚石，44×370mm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4A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EA5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64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40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1C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D4C7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FC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75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63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金刚石，46×370mm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A0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A73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99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18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17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2F4F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53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93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73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金刚石，51×370mm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A3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FB0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F1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96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8A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E630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AC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C8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92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金刚石，63×370mm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DA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62E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58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A1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3C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CAE6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E0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5D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AD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金刚石，71×370mm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30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2D4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A5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7E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DE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B31C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4B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FF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E3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金刚石，76×370mm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FC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07C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F4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66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33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8274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5A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AB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0B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金刚石，83×370mm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39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31A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11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D4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8A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93C3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59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D4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25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金刚石，102×300mm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06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C3E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BE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2B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CB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B952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F7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41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A6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金刚石，102×350mm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D6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F97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D7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6F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4C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9A3D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73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8C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0F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金刚石，112×350mm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00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025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F9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83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F0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3ABF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72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8E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63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金刚石，120×350mm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54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119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25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02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83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FE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DC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4F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4D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金刚石，132×350mm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00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02A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F0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23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E0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B4D6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10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D1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BA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金刚石，152*350mm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E4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AFB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D1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F1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E5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C4EF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42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F7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16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金刚石，160×350mm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6A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248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C3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C6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2E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01A1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32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70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B2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金刚石，168×350mm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9A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5D5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FD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5B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BC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37B7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C2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12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排风扇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CF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10寸，低噪音，纯铜电机，铝合金扇叶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E2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706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3E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B1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11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5699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60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93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排风扇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E9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12寸，低噪音，纯铜电机，铝合金扇叶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24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599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6D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43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62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BF7D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2A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61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排风扇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03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14寸，低噪音，纯铜电机，铝合金扇叶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3C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7BF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9A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70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1A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E757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4C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B6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排风扇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8E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16寸，低噪音，纯铜电机，铝合金扇叶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A4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511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B1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14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6A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BF52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27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70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齿形线槽</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C8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pvc工业理线槽配电箱明装走线免打孔齿形线槽 40*40（1米/根）</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5E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64D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3C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10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7F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C11F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0B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45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PVC法兰盘</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19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分体式 DN200 8孔 圆盘直径≥325mm 圆盘厚度≥25mm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DA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18D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AB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49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70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6038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CA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8A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PVC法兰盘</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1C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分体式 DN300 12孔 圆盘直径≥445mm 圆盘厚度≥38mm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DB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922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9D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1D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35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347F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74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14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PVC法兰盘</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D6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一体式 DN200 8孔 圆盘直径≥325mm 圆盘厚度≥22mm 插口高度≥120mm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F8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D90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A4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07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58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569F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64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5B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PVC法兰盘</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6C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一体式 DN300 12孔 圆盘直径445mm 圆盘厚度≥40mm 插口高度≥150mm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F1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D79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C8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3F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CE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BCC6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65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2B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机油滤芯</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AD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35马力</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68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967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00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百利通、博世、马勒</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58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C3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023B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34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D3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空气滤芯</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11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35马力</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CC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F98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5C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百利通、博世、马勒</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D8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F6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0608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AB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DE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液压滤芯</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3B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35马力</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5D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900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5C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百利通、博世、马勒</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8A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D2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6CC6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28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59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火花塞</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97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35马力</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FB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B4F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21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D9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7F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912D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0B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AE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液压油管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30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3/4英寸，15米/根，含进油管和回油管两根，高压（25-42MPa）含两端接头，钢丝层厚度约为 0.4mm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46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270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79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沈阳黎明、江苏通达、山东济南四方液压</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3C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94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D863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57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C7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液压油管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E4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1/4英寸，15米/根，含进油管和回油管两根，高压（25-42MPa）含两端接头，钢丝层厚度约为 0.4mm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8E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83B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A4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沈阳黎明、江苏通达、山东济南四方液压</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12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B0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3C9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DB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3E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液压油管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D5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1/2英寸，15米/根，含进油管和回油管两根，高压（25-42MPa）含两端接头，钢丝层厚度约为 0.4mm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2E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61D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D2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沈阳黎明、江苏通达、山东济南四方液压</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AE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D3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F464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78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5F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液压动力站快接接头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E6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3/4英寸，含出油接头和回油接头两个</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2C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FA6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76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Stucchi、FASTER，快得利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6F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CE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6847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34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0E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液压动力站快接接头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72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1/2英寸，含出油接头和回油接头两个</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FE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FDA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B7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Stucchi、FASTER，快得利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87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EA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A976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93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A7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液压动力站快接接头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F0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1/4英寸，含出油接头和回油接头两个</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CB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296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61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Stucchi、FASTER，快得利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91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60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D77E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C0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0B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D5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捆扎专用，直径：2mm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F8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斤</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24C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FA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0C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62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391F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CB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40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BB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捆扎专用，直径：3mm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C4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斤</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410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3D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BA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60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E582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27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F7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铸工胶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56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用于金属材质修补，耐温：0-150℃范围或以上，50ml或50g以上/支</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B3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DBC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04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卡夫特/ergo/巴瑟夫</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40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CE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30D4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8A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94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2C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109系列，内径：18mm，材质：合金对碳化硅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B2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19C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0C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30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49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D17D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F5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FD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61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109系列，内径：20mm，材质：合金对碳化硅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8B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82C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4C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A4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6A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1781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C6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12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6F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109系列，内径：22mm，材质：合金对碳化硅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48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CED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0D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61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8D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91B2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80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F4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4B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109系列，内径：25mm，材质：合金对碳化硅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72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4AF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C9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4D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1B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8884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05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62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3C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109系列，内径：28mm，材质：合金对碳化硅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4B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9CC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75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B3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78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5FA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07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50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2A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109系列，内径：30mm，材质：合金对碳化硅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79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D30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45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E6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D9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1761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BF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BF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9D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109系列，内径：32mm，材质：合金对碳化硅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49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B25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A2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F5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36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D8A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6B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24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BF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109系列，内径：35mm，材质：合金对碳化硅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53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9C6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EF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0E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82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6E0C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2F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56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97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109系列，内径：38mm，材质：合金对碳化硅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4C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DCB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3F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E8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A5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8B8B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DF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1070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1B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F2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109系列，内径：40mm，材质：合金对碳化硅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E9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522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72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16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99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52E8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C0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1071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86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29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109系列，内径：45mm，材质：合金对碳化硅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6A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3B3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F0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0F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85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32E1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31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1072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2B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CE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109系列，内径：50mm，材质：合金对碳化硅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7C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3E1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AD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18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1B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ED2D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AB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1073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F3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21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109系列，内径：55mm，材质：合金对碳化硅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9F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5E9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05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BC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0D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AC96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38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1074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2D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D2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109系列，内径：60mm，材质：合金对碳化硅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14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279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15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4C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13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9B6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A1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1075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81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D0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109系列，内径：65mm，材质：合金对碳化硅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E0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C2D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DA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0B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40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1E9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99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1076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E0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76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109系列，内径：70mm，材质：合金对碳化硅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C7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43F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8E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A6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D2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E656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BF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1077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B8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17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109系列，内径：75mm，材质：合金对碳化硅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81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E8D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C4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41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49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941F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CC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1078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87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61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109系列，内径：80mm，材质：合金对碳化硅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8D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417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12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B0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B4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048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75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1079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8B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93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109系列，内径：85mm，材质：合金对碳化硅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34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5CC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61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18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50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E47B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E7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9E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80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109系列，内径：90mm，材质：合金对碳化硅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C9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4D7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74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7B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92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E2C7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4C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22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EC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108系列，内径：17mm，材质：合金对合金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60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42B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91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D1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E3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461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E5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22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7D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108系列，内径：18mm，材质：合金对合金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9A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6EB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EC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03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4B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5A8C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F7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73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B1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108系列，内径：20mm，材质：合金对合金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D8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D34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01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52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B1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7476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DE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08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45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108系列，内径：22mm，材质：合金对合金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46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B80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6C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34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32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0616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6D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BE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F2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108系列，内径：25mm，材质：合金对合金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B5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158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D6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B5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D2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983D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59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70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E8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108系列，内径：28mm，材质：合金对合金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E5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FA5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CC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61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0E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5CF0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40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8D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0D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108系列，内径：30mm，材质：合金对合金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E5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1AD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A6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FD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FC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FE2C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23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F5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25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108系列，内径：32mm，材质：合金对合金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45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7B2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A4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E9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2D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6D6E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4E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9F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A0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108系列，内径：35mm，材质：合金对合金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01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5FC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49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03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75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5796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A2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2D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56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108系列，内径：38mm，材质：合金对合金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CA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F30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0D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22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21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3257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09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59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AF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108系列，内径：40mm，材质：合金对合金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CF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B2A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2F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C0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F7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CFA3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B8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17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D9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108系列，内径：45mm，材质：合金对合金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9A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014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85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73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F0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7674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46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01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18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108系列，内径：50mm，材质：合金对合金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41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B5D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8A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0F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85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84CE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78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DE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DA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108系列，内径：55mm，材质：合金对合金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5E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1EE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EB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DE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3C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D5CE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D2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2F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39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108系列，内径：60mm，材质：合金对合金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A0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DDB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F5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B7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A9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69E1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0C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0A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05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108系列，内径：65mm，材质：合金对合金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02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6BD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A3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30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6E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3269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F7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4D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DB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108系列，内径：70mm，材质：合金对合金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8D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E11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30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30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C0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7D82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93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C4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49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108U系列，内径：25mm，材质：合金对合金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E9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4BB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C6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7C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EC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9F50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49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FC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F3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108U系列，内径：30mm，材质：合金对合金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6A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FEA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4C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88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F6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7557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36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8B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79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108U系列，内径：35mm，材质：合金对合金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6F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EA8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55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22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4D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1772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FF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41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1C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108U系列，内径：40mm，材质：合金对合金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5A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144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1D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84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23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66FC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3B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D0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72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108U系列，内径：45mm，材质：合金对合金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64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4FC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EB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E0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4C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A504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4B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8C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04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108U系列，内径：50mm，材质：合金对合金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5A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CC4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69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51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73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96A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25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D7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F4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108U系列，内径：55mm，材质：合金对合金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83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B3C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21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C1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7A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78D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32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B2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20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108U系列，内径：60mm，材质：合金对合金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C4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1A9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17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40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82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5A67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B1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E8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0F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108U系列，内径：65mm，材质：合金对合金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0B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6B3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FE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F4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2C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A5C2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0F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FA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3D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108U系列，内径：70mm，材质：合金对合金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DD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FE1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FD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1E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2E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67C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DD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2F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69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108U系列，内径：75mm，材质：合金对合金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A9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60A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3D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2E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ED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BF27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D2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CB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7D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108U系列，内径：80mm，材质：合金对合金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93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89D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44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A7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98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8F1E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D5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33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8E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108U系列，内径：85mm，材质：合金对合金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09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FD2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D6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80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88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49D0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19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0B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CF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108U系列，内径：90mm，材质：合金对合金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5A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CCF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59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16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3A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A92C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F1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7B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87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59U系列，内径：25mm，材质：碳化硅对石墨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41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3CD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E4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80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20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348A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12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4E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4C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59U系列，内径：30mm，材质：碳化硅对石墨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6F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780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ED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BD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A3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215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AF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BF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B6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59U系列，内径：35mm，材质：碳化硅对石墨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EA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3DF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C7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26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D7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7B15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6B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68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CF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59U系列，内径：40mm，材质：碳化硅对石墨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32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32F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D6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55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CF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E584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78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26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CD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59U系列，内径：45mm，材质：碳化硅对石墨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09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A62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25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64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68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A76C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DA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8C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6E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59U系列，内径：50mm，材质：碳化硅对石墨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07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1CA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B4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AF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35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3BC0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7A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24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70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59U系列，内径：55mm，材质：碳化硅对石墨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93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96D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C4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28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7D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06DF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B1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32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D2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59U系列，内径：60mm，材质：碳化硅对石墨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5D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D9F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F6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6C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C1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B7BA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54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79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7C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59U系列，内径：65mm，材质：碳化硅对石墨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A7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056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05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53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09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7F51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27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27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FD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59U系列，内径：70mm，材质：碳化硅对石墨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56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F37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18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E5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D5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961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D8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1E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DB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59U系列，内径：75mm，材质：碳化硅对石墨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8B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3F3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A7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E2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6F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09E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18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A4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9E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59U系列，内径：80mm，材质：碳化硅对石墨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DC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E4D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11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7C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F2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6697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77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F6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D7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59U系列，内径：85mm，材质：碳化硅对石墨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F1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DF4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3B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EB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4E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DFF9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AB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87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86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59U系列，内径：90mm，材质：碳化硅对石墨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E8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3BD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81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B8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A1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490F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C4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1126</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24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0C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301-35/MG1-30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F1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B47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80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81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C4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17A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98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1127</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85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70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FD-35，mG1/35</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03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BCC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BD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3A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DE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1A17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65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1128</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44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34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209-43</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5B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930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B1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21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29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A7E1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5A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1129</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1D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A9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M7N85</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E5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D4E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9F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C4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4A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C08C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6D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1130</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90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A8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111mm*39mm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8E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FA9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5D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3A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AF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5BA5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80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1131</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5F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A5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MG1-80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85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B50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7B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48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19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4073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8C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1132</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D7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81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551-8</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2C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4A2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06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E6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3A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20BF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F3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1133</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2F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2D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39mm×17mm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60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10D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03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8C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33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F773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76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1134</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9E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AF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WQ-50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4D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8DC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64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58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EA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F0E2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7F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1135</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E0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6F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209-38</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CE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069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3C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DC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45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8B03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D4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1136</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ED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E3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93mm×33.5mm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F5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412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A2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89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B1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25F0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5D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1137</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C5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05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60417</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B0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9F4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99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A3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FC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1798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18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1138</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2F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机械密封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70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48.4*38.3mm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4D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E1D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F3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F2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1C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C380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85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1139</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87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打包带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37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1608型，20公斤/卷</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E7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CD1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83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6C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9E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D1A2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F9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1140</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68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打包扣</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B4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适用1608型</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BA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千克</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D46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9D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FA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43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324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FF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1141</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06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PET塑钢打包机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18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含拉紧器、夹钳套装，适用带厚:0.6~1.0mm，适用带宽:16~19mm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CB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5A3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90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6F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2B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B1F7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C4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1142</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22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PP纳米防蚊纱网</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33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长*宽  1米*3米</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44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D88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5C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0E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A8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15E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30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1143</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0E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304不锈钢内外丝变径接头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46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DN50外丝转65内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扣接口</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40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B53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C7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46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DE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A046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B6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1144</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44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阀门开关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5A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适用64mm~~90mm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80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BA9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B0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82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AE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48F8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13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1145</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DA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双法兰橡胶软接头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13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DN150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F2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455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0E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BE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F6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A8C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EB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1146</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03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电动螺丝刀批头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2B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材质:S2钢材，规格:PH2，长度:200mm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9A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40B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A2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13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8D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CA9D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A0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1147</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7E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丝锥板牙套装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1E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21件头锥/二锥/尾锥:M3x0.5、M4x0.7、M5x0.8、M6x1.0、M8x1.25、M10x1.5、M12x1.757件板牙:M3x0.5、M4x0.7、M5x0.8、M6x1.0、M8x1.25、M10x1.5、M12x1.75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5件断丝取出器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1件棘轮丝锥板牙扳手2件丝锥转接头M3-M4、M5-M121件圆板牙转接头M3-M12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1件操作杆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1件铬钒钢内六角扳手4MM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1套螺纹规</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C0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C1B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9A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1D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55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06B6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2B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1148</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AB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扎带固定座</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F5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自带3M背胶，100个/包</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D1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71C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50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33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1B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2836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E7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1149</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C3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电动工具电池</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00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20V，≥4.0Ah</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5B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D7F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72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41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EE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BCA0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16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1150</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E2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G型夹具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06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1寸重型，可夹持25mm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AC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6CD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99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F0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11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E610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96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1151</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43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G型夹具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39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2寸重型，可夹持55mm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9F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F93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90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CD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38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11A8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B8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1152</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A3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G型夹具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A0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3寸重型，可夹持80mm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A3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132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8A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D8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FD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9F7A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7F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1153</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35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G型夹具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91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4寸重型，可夹持100mm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61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537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4C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CD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B1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49E7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F0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1154</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5C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G型夹具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0B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8寸重型，可夹持200mm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A1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4A6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92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A2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06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85C8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1C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1155</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56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气管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8C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PU-6高压管，100米/盘，带工字轮</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32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盘</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14C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D9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E1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20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EC00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E6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1156</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F2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便携式流量计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DF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检测介质：自来水及生活污水，含流量计主机、小探头及中探头各一套，配充电器及不少于4支耦合剂，探头引线不少于10米</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33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BF9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AB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美控/米科/联测</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A0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5B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E016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48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1157</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EE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便携式流量计探头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EA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可测量DN50-700管径</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41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D05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4E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5B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0A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F7A3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01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1158</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CA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便携式流量计探头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E0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可测量≤DN6000管径</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F8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2AB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AB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98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19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5028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86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1159</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B7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精密仪表箱</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2B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手提式，内径不小于300*200*100mm，铝合金材质，附带海绵</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EF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8A7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CA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9F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71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EC91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7A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1160</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1B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穿线器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59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20米/根，带滚轮</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F5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349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56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97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F9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9E55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D7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1161</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18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穿线器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87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50米/根，带滚轮</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49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25A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6E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67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8A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E0D0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44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1162</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D2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高压水枪</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B7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4200W，25米防爆管，多功能枪头，自带水管卷盘</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A0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D2F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14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F8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FF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E46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D0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1163</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F6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羊角铁砧</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9A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80KG，精钢材质，有贯穿孔</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9C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B22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16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2B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6A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E916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96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1164</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D2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杂竹净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BC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500g/袋</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C8D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5DC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9F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34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49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902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A0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1165</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2C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沟槽卡箍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75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DN100（114mm）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3C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54C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4B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B3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07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29A4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74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1166</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1A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沟槽卡箍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15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DN150（165mm）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3E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660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6A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2D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CF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3769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7E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1167</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5C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热熔接器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C0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规格:可用尺寸:DN15DN50，模头为杜邦模头.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电压:AC220V，额定功率:约1.8kW，带数显温度调节功能，适用于PE及PPR等塑料管材的热熔焊接</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0D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902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F1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CA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EF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F523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1C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1168</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7C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轴流风机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4C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16寸高速铜线电机+送不锈钢风叶 型号：4B-4 规格：400mm 电压：220V 转速2800//每分钟 公路：750w 安装140*55mm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9D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FFB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4D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68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DC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AA69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84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1169</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06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内窥镜</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D6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防水，高清显示，配套7寸屏20米线，可360度旋转摄像头，可调灯光</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0B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F96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10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51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DB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0875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04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1170</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BA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强光手电筒</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CF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有电量显示，最低射程可达50米，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可太阳能+TYPE-C充电</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F0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F66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A4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D9E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8BC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37E6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A9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1171</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D9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锂电电锯马刀锯</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59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割削深度：钢材20mm，木材250mm，冲程28mm；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配件包含：18V 5.0Ah电池×2，快充充电器×1，金属锯条×2木工锯条×1</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BE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62B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3D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4E6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864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2F16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C3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1172</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37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手电锯锂电电链锯</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46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导板长度250mm(10寸)，最大输出功率900W，12m/s线速链条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配件包含：20V 4.0Ah电池×2，快充充电器×1，导板罩×1</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7E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A14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CD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7AB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D8E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12F6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6C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1173</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1A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绝缘防护服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8B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分体式绝缘防护服套装，165-190cm，200斤内可穿，耐压等级不低于12KV，具备隔热、阻燃、耐磨等特性</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B9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C5D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39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FE4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01A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3934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DA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1174</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44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防电弧服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AC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分体式防电弧套装，8-25cal范围，L码(身高175cm左右可穿），具备隔热、阻燃、耐磨等特性</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C9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886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5C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297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A19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E6F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4C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1175</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13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丁腈橡胶板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46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适用于立式橡胶瓣止回阀，DN65</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A0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DFE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2D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956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25B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2CF7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88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1176</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1D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丁腈橡胶板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E6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适用于立式橡胶瓣止回阀，DN80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08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579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77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067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87A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3424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53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1177</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C3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丁腈橡胶板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17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适用于立式橡胶瓣止回阀，DN100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0B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F31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C4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C1F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D74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E916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34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1178</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18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丁腈橡胶板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3D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适用于立式橡胶瓣止回阀，DN150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A4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FEB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A1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E02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0F0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46A6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C0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1179</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6A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丁腈橡胶板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1A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适用于立式橡胶瓣止回阀，DN200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E8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5FB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37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CA1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8B0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251E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DA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1180</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5D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丁腈橡胶板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DF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适用于立式橡胶瓣止回阀，DN250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90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30C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6A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49E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FCD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22E1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9A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1181</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FE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丁腈橡胶板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D0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适用于立式橡胶瓣止回阀，DN300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FF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4CD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AA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90F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460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A181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DE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1182</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66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橡胶球</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51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适用于DN65球型止回阀</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FA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5F3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EF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54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1F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C4DC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AB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1183</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B7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橡胶球</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B8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适用于DN80球型止回阀</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B7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A18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0A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61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07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F44C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B7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1184</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82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橡胶球</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E0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适用于DN100球型止回阀</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B5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C74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05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54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9AA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54D9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57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1185</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D4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橡胶球</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8E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适用于DN150球型止回阀</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C9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7FC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5D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F0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28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1E50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A6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1186</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6D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橡胶球</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B4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适用于DN200球型止回阀</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92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61F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57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BA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8A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8B30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C6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1187</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CC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排气阀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E9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DN65，法兰连接</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F5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794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92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0E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D4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185A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54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1188</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E8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排气阀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87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DN80，法兰连接</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99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044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8C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0F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71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4DAC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EA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1189</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01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排气阀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FD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DN100，法兰连接</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B8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194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AC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D6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4A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3E3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E9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1190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56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手动闸阀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6C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DN100，PN10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69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A65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6E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冠龙/郑蝶/凯士比</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75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EF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D835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8D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1191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28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手动闸阀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CA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DN125，PN10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CC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3B6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EF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冠龙/郑蝶/凯士比</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72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DE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EA09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AC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1192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7C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手动闸阀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DF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DN150，PN10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0A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2AE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BE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冠龙/郑蝶/凯士比</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F0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6D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9E6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4E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1193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84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手动闸阀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07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DN200，PN10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BA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08A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72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冠龙/郑蝶/凯士比</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5A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27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1D5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1E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1194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FE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手动闸阀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DC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DN250，PN10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F5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43A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80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冠龙/郑蝶/凯士比</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DB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F7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0BC6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9D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1195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B3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手动闸阀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C9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DN300，PN10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64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8D8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C4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冠龙/郑蝶/凯士比</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86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50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08D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A3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1196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6B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不锈钢角阀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CD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外壳304材质，内芯纯铜材质，适用4分管</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7C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677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E3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4E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EE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95EA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CE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1197</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54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止回阀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C2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DN150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23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E9A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38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5B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8F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AC48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09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1198</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FD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暗杆软密封闸阀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8D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DN100（国标）-PN16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5F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73A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75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1C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30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BE97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40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1199</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A3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旋启式止回阀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DD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DN100（国标）-PN16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18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AD3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AC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A4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02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7DC4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EA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95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可曲挠橡胶软接头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3B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DN100（4寸 国标）-PN16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F8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CD3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F0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5D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26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F2CE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0D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1201</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41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304球阀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FB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4寸</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81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B3A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BF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FE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4B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5E4E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D5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1202</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C9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沟槽暗杆闸阀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1E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DN150(国标中体)-PN16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78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248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B2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A7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52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6940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B3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1203</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58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沟槽暗杆闸阀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5D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DN100(国标中体)-PN16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0A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F15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A9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DF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52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49BD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0C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1204</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8C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沟槽消声止回阀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7C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DN150(国标)-PN16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02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9BD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02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A8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6B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F5AC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14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1205</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A9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沟槽消声止回阀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B9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DN100(国标)-PN16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C7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829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CD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B1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6A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F933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F4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7D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304不锈钢法兰橡胶软接头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67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 PN16 耐酸碱 高温</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36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F8A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44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41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24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A48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99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9D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304不锈钢法兰橡胶软接头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88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DN125 PN16 耐酸碱 高温</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18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FDC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5E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C9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18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DDC0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3F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14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304不锈钢法兰橡胶软接头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15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DN150 PN16 耐酸碱 高温</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77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9BF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99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0D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22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7621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08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35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304不锈钢法兰橡胶软接头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83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DN200 PN16 耐酸碱 高温</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EA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1CF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AE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BD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96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0EC0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CA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96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304不锈钢法兰橡胶软接头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6C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DN250 PN16 耐酸碱 高温</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1C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403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3F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53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81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8642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76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7B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304不锈钢法兰橡胶软接头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22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DN300 PN16 耐酸碱 高温</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EE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B3C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53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BD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B4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D566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B6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E5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304不锈钢U型管卡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3E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M4×22</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52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8ED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AF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50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48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3DCD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D7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AC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304不锈钢U型管卡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59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M4×27</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B3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2FF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18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FB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DC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8D55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11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78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304不锈钢U型管卡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10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M5×34</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F7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9BB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0C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1D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37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EEA5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7F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5E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304不锈钢U型管卡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4D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M5×42</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B0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9A9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2A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13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66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698E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2E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3E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304不锈钢U型管卡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EF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M6×51</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A6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F92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F0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F2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CC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6C5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87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4C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304不锈钢U型管卡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44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M6×60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F2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5A8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EC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81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68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E9D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D1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5F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304不锈钢U型管卡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F9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M8×76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2C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DB0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D3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CA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45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0878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77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7F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304不锈钢U型管卡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18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M8×90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21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75A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EA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EE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58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646D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40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1220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2E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304不锈钢U型管卡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31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M10×114</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9F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503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C3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57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12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3FD8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11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1221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D3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304不锈钢U型管卡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86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M10×135</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77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A09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65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AE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5D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8BB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6A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1222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8B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304不锈钢U型管卡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B4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M10×161</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B7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01D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9A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AB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70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9AA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6A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1223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84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304不锈钢U型管卡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90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M12×220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35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AA6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E1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A6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2F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9629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DB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1224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05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304不锈钢U型管卡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BB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M12×275</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9B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D75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0C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F8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17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7D7A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A0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1225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1B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304不锈钢U型管卡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63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M12×328</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EC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938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8B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D3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3E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37B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B2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1226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17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304不锈钢骑马卡管夹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07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M16，加厚</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16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6CE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C9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A0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76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3E81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2B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1227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2C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304不锈钢骑马卡管夹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02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M18，加厚</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B1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F06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A9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FF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65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0DFD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AA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1228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4D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304不锈钢骑马卡管夹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49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M20，加厚</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E5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01A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8F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F8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01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EC8F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72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1229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FB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304不锈钢骑马卡管夹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72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M25，加厚</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E2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8AB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7B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F8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81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4F03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A9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AA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304不锈钢骑马卡管夹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76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M32，加厚</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1F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5E5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EB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DE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49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6C0E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95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16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304不锈钢骑马卡管夹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1E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M35，加厚</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8C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B6B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28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63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70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BFF3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06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89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304不锈钢骑马卡管夹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91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M40，加厚</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5B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2B2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8E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84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A6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388C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F8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D7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304不锈钢骑马卡管夹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56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M50，加厚</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9D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90F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FE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03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06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0CF7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89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80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304不锈钢骑马卡管夹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E1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M57，加厚</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0E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797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4D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D1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BD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70DA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B3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80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304不锈钢骑马卡管夹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4D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M63，加厚</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43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06B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DE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AB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86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14A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70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56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304不锈钢骑马卡管夹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BB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M76，加厚</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DD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040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E4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AE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AF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B4B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17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FE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304不锈钢骑马卡管夹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4A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M90，加厚</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0B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ED0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31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E0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7C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7F0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4C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E1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哈夫节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F6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F0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327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81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F1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90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C5F4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88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F1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哈夫节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FF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DN25</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21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5BD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E6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6C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24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4CB8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7A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1240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79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哈夫节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B6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DN32</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E3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A9B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5F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50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C0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DF5C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40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1241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C6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哈夫节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75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DN40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D3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22E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DE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11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8A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2ECB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B2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1242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17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哈夫节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C1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DN50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06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837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FD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C6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72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ED31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C3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1243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C0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哈夫节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35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DN65</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52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D4A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47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BA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B8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FE5C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5A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1244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4A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哈夫节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87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DN80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F6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E7E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53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34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86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15C9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3E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1245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91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哈夫节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97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F2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1CC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15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3D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11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7C8A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29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1246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2E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哈夫节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BF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DN125</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84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D9F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1D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1B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21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59E3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9E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1247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7B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哈夫节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D9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DN150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FC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887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8F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33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EB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FA71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DD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1248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AC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哈夫节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0F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DN200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45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510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94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41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9F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847B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73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1249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9B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哈夫节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8D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DN250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08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0F1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C8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84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A0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40E4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7D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FB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哈夫节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47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DN300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FA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4D7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B2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3D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15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8452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5E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48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丁晴橡胶O型密封圈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D0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直径10-15mm，线径1.0-2.4mm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1C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D85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15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EB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80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5477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68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4E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丁晴橡胶O型密封圈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2F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直径15-20mm，线径1.0-2.5mm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B4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232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67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91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EC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AB79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61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6E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丁晴橡胶O型密封圈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E4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直径20-30mm，线径1.0-3.5mm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8D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272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B3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3B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9A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760A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EE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CC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丁晴橡胶O型密封圈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88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直径30-40mm，线径1.5-5.0mm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EF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9D9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A3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C0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20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1334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0F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36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丁晴橡胶O型密封圈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5C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直径40-50mm，线径2.0-5.0mm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ED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ED4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63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A1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E7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95BA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5A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96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丁晴橡胶O型密封圈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F6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直径50-65mm，线径2.5-5.0mm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0B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A43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14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CF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F3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C67B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A3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6D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丁晴橡胶O型密封圈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7C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直径65-80mm，线径2.5-6.0mm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4E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668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15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1C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15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0BC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8A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EA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丁晴橡胶O型密封圈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18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直径80-100mm，线径2.5-6.5mm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BF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1D9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7B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E3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86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29FB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5B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B4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丁晴橡胶O型密封圈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7D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直径100-125mm，线径2.5-6.5mm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F7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E31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CF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8C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FC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BFBB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7F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1260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F8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丁晴橡胶O型密封圈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82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直径125-150mm，线径2.5-6.5mm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AF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425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A4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8E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96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72D0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E7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1261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48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丁晴橡胶O型密封圈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A1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直径150-175mm，线径2.5-6.5mm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EF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2BA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41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53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93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3F84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BD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1262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8C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丁晴橡胶O型密封圈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BA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直径175-200mm，线径2.5-6.5mm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D4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6F5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10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D2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94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3AF1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3F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1263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BC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丁晴橡胶O型密封圈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6A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直径200-250mm，线径2.5-6.5mm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E4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94A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75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76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F2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CE27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34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1264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28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丁晴橡胶O型密封圈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03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直径250-280mm，线径2.5-6.5mm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8A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AD5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A2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71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09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B355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23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1265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39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丁晴橡胶O型密封圈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0B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直径280-300mm，线径2.5-8.0mm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64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BCC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05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F6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FB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DD27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B3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1266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CD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氟橡胶O型密封圈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19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直径10-15mm，线径1.0-2.4mm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75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F17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EB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5C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3A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3089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B8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1267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0C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氟橡胶O型密封圈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E4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直径15-20mm，线径1.0-2.5mm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B9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0B1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2F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44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A4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2189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45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1268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8B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氟橡胶O型密封圈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5C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直径20-30mm，线径1.0-3.5mm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2F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941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AD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44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9F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8DE2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4E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1269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B1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氟橡胶O型密封圈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67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直径30-40mm，线径1.5-5.0mm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18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C01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10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AC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E2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4BE1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43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1270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1B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氟橡胶O型密封圈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B3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直径40-50mm，线径2.0-5.0mm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F0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D39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02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6C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01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4B77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92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1271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15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氟橡胶O型密封圈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DC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直径50-65mm，线径2.5-5.0mm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95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F0C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18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D9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05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C4A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D1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1272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7B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氟橡胶O型密封圈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7C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直径65-80mm，线径2.5-6.0mm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E0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C5B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58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FE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91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1E08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BE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1273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82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氟橡胶O型密封圈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48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直径80-100mm，线径2.5-6.5mm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FE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3BC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EF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E3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A3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229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C5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1274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C9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氟橡胶O型密封圈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39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直径100-125mm，线径2.5-6.5mm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7D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EC2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4F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F2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B1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8D45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E3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1275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BF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氟橡胶O型密封圈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9E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直径125-150mm，线径2.5-6.5mm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EA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A0A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BF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24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39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5F47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D4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1276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E0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氟橡胶O型密封圈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8C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直径150-175mm，线径2.5-6.5mm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A4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133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9A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5F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8E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FA8D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39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1277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52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氟橡胶O型密封圈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30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直径175-200mm，线径2.5-6.5mm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85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269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9D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58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0D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C9BD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B4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1278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05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撬棍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FC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六凌钢      粗25mm，长135cm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87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EF0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1F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14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5A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A63A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1C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1279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6D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撬棍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37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六凌钢      粗25mm，长115cm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2E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75A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06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0F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AB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755D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99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23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撬棍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32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六凌钢      粗23mm，长95cm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98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361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B3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ED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82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667D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12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BD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撬棍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0F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六凌钢      粗18mm，长75cm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0D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138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CC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98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53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B6C6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0C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78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撬棍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49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六凌钢      粗16mm，长55cm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45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19C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EC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25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D2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03C7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BE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1E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撬棍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69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六凌钢      粗16mm，长35cm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32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A05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10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1E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29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E7AD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13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1E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手持式电焊防护面罩</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33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红钢纸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25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A89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50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A5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DE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59A8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3A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F5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电焊面罩玻璃镜片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41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7#/8#/9#,10片/盒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A9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816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A1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80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66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198D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C6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0F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电焊面罩玻璃镜片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79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10#，10片/盒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66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CB8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68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6A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11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A94A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3C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E6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电烙铁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D7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DA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4C5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B1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C5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16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6F0C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4E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54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电烙铁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FC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0F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B81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F9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CC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F9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79D8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A5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8F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电烙铁</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06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06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550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73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8C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FD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B17C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62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1290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8E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松香</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7C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20g</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64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B1D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4F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9F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D5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BB2F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0B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1291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C7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无铅锡焊丝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FE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08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A44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45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00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48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1922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E0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1292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A5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电热吸锡器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75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加热功率30W、吸锡功率350W,吸锡筒直径32mm。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0A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A22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C4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01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76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2EBD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45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1293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6C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便携储油桶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43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20L，铝盖加厚</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35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3C2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39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A8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B1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A22D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CE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1294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B9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便携储油桶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67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30L，铝盖加厚</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90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6B0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79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CD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38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6F2D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E8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1295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FC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液压立式千斤顶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66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45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802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BE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B4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35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2740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D8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1296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05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液压立式千斤顶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78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2F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E95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69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F2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78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E285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18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1297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65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液压立式千斤顶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BE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22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13A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F8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09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25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F861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07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1298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17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液压立式千斤顶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6F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1A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F41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06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BA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00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A97D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4D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1299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09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液压立式千斤顶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62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5C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103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AC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58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36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13BF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F6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87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液压立式千斤顶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5A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56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4C1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53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15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0B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E8C6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C5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B4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液压立式千斤顶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81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1F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A06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73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8A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8D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D50F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1C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C1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液压立式千斤顶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F3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5B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88B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54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56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24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3B0E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53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BF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卧式液压千斤顶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71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15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0A8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50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85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57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BBB0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05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7B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卧式液压千斤顶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1D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F5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F6B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44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73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9D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E25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6B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B2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卧式液压千斤顶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A3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20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7AF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84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12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11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4BB3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64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71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电钻式管道疏通机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B3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额定电压220V,适用于疏通下水道、马桶、地漏、厨房洗菜池等。</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C2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319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31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5B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86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37D7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44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DE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激光水平仪</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D1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高精度5线，水平精度±1.5mm/m，垂直精度±1.5mm/m，室内可视范围10m-15m。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CE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089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92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13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2E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E7E7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34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FF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PE管热熔器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AF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模头20-63mm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77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499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7C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得力/世达/博世</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F7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3D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1680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9B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F7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液压电缆剪线钳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3C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出力10吨，剪切φ95mm以下电缆</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AD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D57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86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93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C5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A48B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1F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1310</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92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花篮螺丝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EC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OO型，M10*150，304材质，承重300Kg</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BD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303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59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12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05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1AD1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15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1311</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DE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花篮螺丝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C1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OO型，M12*200，304材质，承重500Kg</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6A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96E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7B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C8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D8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FBD3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95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1312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AC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液压汽车发动机吊架平衡架1-2吨引擎起重移动吊车</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E1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1-2吨</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29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8B5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2C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5E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04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9488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72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1313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F4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304不锈钢膨胀弯钩螺丝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B7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M8</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02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BBE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8200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4C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B6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D5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5CF3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68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1314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8A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304不锈钢膨胀弯钩螺丝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A1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A4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DA8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27700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25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36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4A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C049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E2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1315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EA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编织袋（蛇皮袋.麻袋）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DF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材质：PP聚丙烯;颜色：绿色其他：承重能力强，不易破尺寸：60*90（宽*长）</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49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A26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66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DB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16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6DEC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17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1316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9F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砖头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56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普通建筑砖头（红砖）240×115×53mm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F7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5FF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5500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E4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89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DF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D38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15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1317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4F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不锈钢外六角螺丝螺母套装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F1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材质：碳钢螺纹直径：10mm（M10)螺纹长度：120mm（M12）牙型：半牙含螺母</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C0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AFE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33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41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56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184E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0E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1318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B4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不锈钢外六角螺丝螺母套装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4C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材质：304不锈钢材质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螺纹直径：10mm（M14)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螺纹长度：120mm（不含头部）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配套平垫，弹垫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牙型：半牙</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D9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8E7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FE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E9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45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6E6F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4D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1319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3C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不锈钢外六角螺丝螺母套装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AB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材质：304不锈钢材质螺纹直径：10mm（M10)螺纹长度：130mm（不含头部）配套平垫，弹垫牙型：半牙</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B8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48E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B2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EB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CB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D614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0C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5D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不锈钢外六角螺丝螺母套装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7B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材质：304不锈钢材质螺纹直径：12mm（M12)螺纹长度：130mm（不含头部螺杆头直径：螺母直径：配套平垫，弹垫牙型：半牙</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7A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404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0E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8E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71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BCA2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58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26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不锈钢外六角螺丝螺母套装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51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材质：304不锈钢材质螺纹直径：8mm（M8)螺纹长度：130mm（不含头部螺杆头直径：螺母直径：配套平垫，弹垫牙型：半牙</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4F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9F0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CC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0A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82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8BA3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0C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A7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不锈钢外六角螺丝螺母套装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99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材质：304不锈钢材质螺纹直径：10mm（M10)螺纹长度：120mm（不含头部）配套平垫，弹垫牙型：半牙</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50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7AA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2300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97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23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2B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498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4C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65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不锈钢外六角螺丝螺母套装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24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材质：304不锈钢材质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螺纹直径：8mm（M8)</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螺纹长度：120mm（不含头部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螺杆头直径：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螺母直径：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配套平垫，弹垫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牙型：半牙</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09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F03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2300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9D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98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5B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5229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5A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4F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3A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普通水泥50kg/包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47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67E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756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9F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AE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BA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112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1C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FC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石子</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4D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普通建筑碎石块尺寸：10-30mm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F2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方</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E00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9C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02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51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E5AA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E4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56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沥青冷补料</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C5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25KG/袋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43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6D1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3150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F3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0D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F6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E9FD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93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2F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速干水泥（快干水泥）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E8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加水搅拌后直接直接使用3斤/桶防水</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64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596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534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FF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20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3B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27BB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A4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E2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开井勾子</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73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长度：60cm粗度（直径）：8mm材质：不锈钢手柄：带橡胶套型号：T字型钩子头：尖口</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C5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4C1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52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94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47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FBD6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03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B9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开井勾子</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8E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长度：60cm粗度（直径）：10mm材质：不锈钢手柄：带橡胶套型号：T字型钩子头：尖口</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1E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9A6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44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25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3E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E21C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17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1330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D4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车用尿素溶液</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26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10kg/桶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20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0A5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330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9A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6C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38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41BC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06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1331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AB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井盖垫圈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79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用途：防震防响防臭规格：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实心圆条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直径：φ9mm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材质：橡胶材质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100米/卷</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96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4C5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08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43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A0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D490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DE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1332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66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井盖垫圈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83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用途：防震防响防臭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规格：实心圆条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直径：φ10mm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材质：橡胶材质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100米/卷</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AD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084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B4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A1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EB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CBB0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88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1333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D0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物业垃圾袋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5B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规格：&gt;=100*120cm样式：平口式颜色：黑色其他：加厚：韧性强；不易破；防漏水数量：&gt;=50只/包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27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86E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740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90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A9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C0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7043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79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1334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51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轧带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39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型号：自锁式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轧带宽度：8mm轧带长度：500mm数量：100支/袋颜色：白色/黑色</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8E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C30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82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07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D5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8843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2D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1335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AF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测量花杆</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3A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材质：铝合金材质颜色:红白相间标杆款式：普通活节式圆筒直径：&gt;25mm总长：5米加粗</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32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4EE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8C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C9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BC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DDA2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E5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1336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7B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草帽</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21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沿边：大沿颜色麦色多尺寸可选：38cm40cm42cm46cm48cm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AC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5A8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60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6C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EF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236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B1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1337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08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防晒帽</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DD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防晒指数：UPF50+，紫色阻隔率&gt;98%加大帽檐，超广角防晒黑色</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BC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CF2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280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79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F3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C3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5AD7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D2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1338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7D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树脂复合污水井盖</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BE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形状：圆形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尺寸：700*70（单盖）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颜色：灰色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是否带底座：否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承载力达到GB/T 23858-2009规定的A15等级。</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0B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0A8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14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01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91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BD3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C4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1339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B2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水性色浆</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46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规格：1000g颜色：红/绿/蓝/黄</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E7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D15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675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A2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槟果，世名，菱湖漆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3A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86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1599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9B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1340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E5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八角锤</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98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磅数：2磅手柄30mm左右锤头直径35mm左右锤头宽100mm左右 带防滑手柄</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E9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83A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C7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87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45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AB8F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41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1341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4A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电钻钻头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DB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尺寸：10 mm（直径）*160 mm（总长）柄部形状：圆柄/方柄钻头：十字</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0A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147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58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C0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11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3DF1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7A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1342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F0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电钻钻头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4C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尺寸：10 mm（直径）*160 mm（总长）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柄部形状：圆柄/方柄钻头：一字</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26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3AE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62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54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A4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9551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09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1343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32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六棱撬棍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66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长度：90cm粗度（直径）：14mm材质：铸铁型号：一头尖，一头扁</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7F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ABD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285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64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1E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3B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8BE1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AE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1344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AB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捞网/抄网头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2F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材质：加厚不锈钢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接口：8mm通用螺头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捞网带实心钢圈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网孔：2mm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带不锈钢网圈</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C5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D83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70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EA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21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8229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1B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1345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34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钉耙头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B9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材质：不锈钢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接口：8mm通用螺头四齿</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1C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318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74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5E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41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3884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7A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1346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FE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钉耙头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2D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材质：不锈钢接口：8mm通用螺头六齿</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7A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B88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5B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A5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6C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67AC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9B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1347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10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伸缩杆</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B6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8mm通用接口不锈钢杆身带防滑握把可外接捞网头，钉耙头等接口使用可伸缩至总长不低于6m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EA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32F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273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3F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BF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A1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5873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E0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1348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BC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电钻钻头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72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尺寸：12 mm（直径）*160 mm（总长）柄部形状：圆柄/方柄钻头：十字</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3E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CC6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35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2D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1C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E1D6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EF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1349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52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电钻钻头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56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尺寸：12 mm（直径）*160 mm（总长）柄部形状：圆柄/方柄钻头：一字</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97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FD3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8C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C8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35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145C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6C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1350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82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排水告示柱子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（警示柱）</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BC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定制款圆形柱子，高1米，圆柱直径11㎝；红白相间，带管网LOGO文字，带“污水管道法律保护字样”和“污水管道字样”，可固定泥地和水泥路面</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68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330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15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E7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41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5E10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5C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1351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76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沥青</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E7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5公斤装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27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C2D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79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fldChar w:fldCharType="begin"/>
            </w:r>
            <w:r>
              <w:rPr>
                <w:rFonts w:hint="eastAsia" w:ascii="宋体" w:hAnsi="宋体" w:eastAsia="宋体" w:cs="宋体"/>
                <w:i w:val="0"/>
                <w:iCs w:val="0"/>
                <w:color w:val="auto"/>
                <w:kern w:val="0"/>
                <w:sz w:val="18"/>
                <w:szCs w:val="18"/>
                <w:highlight w:val="none"/>
                <w:u w:val="none"/>
                <w:lang w:val="en-US" w:eastAsia="zh-CN" w:bidi="ar"/>
              </w:rPr>
              <w:instrText xml:space="preserve"> HYPERLINK "https://s.taobao.com/search?q=%E6%B2%A5%E9%9D%92&amp;imgfile=&amp;js=1&amp;stats_click=search_radio_all:1&amp;initiative_id=staobaoz_20230819&amp;ie=utf8&amp;cps=yes&amp;data-key=ppath&amp;data-value=20000:2499483680&amp;data-action=add" \o "https://s.taobao.com/search?q=%E6%B2%A5%E9%9D%92&amp;imgfile=&amp;js=1&amp;stats_click=search_radio_all:1&amp;initiative_id=staobaoz_20230819&amp;ie=utf8&amp;cps=yes&amp;data-key=ppath&amp;data-value=20000:2499483680&amp;data-action=add" </w:instrText>
            </w:r>
            <w:r>
              <w:rPr>
                <w:rFonts w:hint="eastAsia" w:ascii="宋体" w:hAnsi="宋体" w:eastAsia="宋体" w:cs="宋体"/>
                <w:i w:val="0"/>
                <w:iCs w:val="0"/>
                <w:color w:val="auto"/>
                <w:kern w:val="0"/>
                <w:sz w:val="18"/>
                <w:szCs w:val="18"/>
                <w:highlight w:val="none"/>
                <w:u w:val="none"/>
                <w:lang w:val="en-US" w:eastAsia="zh-CN" w:bidi="ar"/>
              </w:rPr>
              <w:fldChar w:fldCharType="separate"/>
            </w:r>
            <w:r>
              <w:rPr>
                <w:rStyle w:val="49"/>
                <w:rFonts w:hint="eastAsia" w:ascii="宋体" w:hAnsi="宋体" w:eastAsia="宋体" w:cs="宋体"/>
                <w:i w:val="0"/>
                <w:iCs w:val="0"/>
                <w:color w:val="auto"/>
                <w:sz w:val="18"/>
                <w:szCs w:val="18"/>
                <w:highlight w:val="none"/>
                <w:u w:val="none"/>
              </w:rPr>
              <w:t>任意品牌</w:t>
            </w:r>
            <w:r>
              <w:rPr>
                <w:rFonts w:hint="eastAsia" w:ascii="宋体" w:hAnsi="宋体" w:eastAsia="宋体" w:cs="宋体"/>
                <w:i w:val="0"/>
                <w:iCs w:val="0"/>
                <w:color w:val="auto"/>
                <w:kern w:val="0"/>
                <w:sz w:val="18"/>
                <w:szCs w:val="18"/>
                <w:highlight w:val="none"/>
                <w:u w:val="none"/>
                <w:lang w:val="en-US" w:eastAsia="zh-CN" w:bidi="ar"/>
              </w:rPr>
              <w:fldChar w:fldCharType="end"/>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60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B1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D99B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37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1352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1F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除锈剂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5B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200ml/瓶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9C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9EE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248</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B8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FE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B4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842A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37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1353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2B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强光电筒</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CE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流明：&gt;2500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续航：不少于3h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充电方式：type，USB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射程：&gt;300m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灯色：黄/白（可选）</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27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165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ED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天火，飞利浦，探客</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B3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98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8EE8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FC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1354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4B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手电筒电池</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D9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18650A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5000毫安</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EB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节</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FD6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CC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BF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8E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08C4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FA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1355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FC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配套手电筒电池</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8D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26650可充电锂电池，3700mAhh</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3E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节</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451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C5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62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D4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E528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BB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1356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2D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沙子</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A4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水泥建筑材料配沙（河沙）规格：中粗沙</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23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方</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AC2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E2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51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DD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3E60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56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1357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EE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物业垃圾袋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24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规格：&gt;=80*100cm样式：平口式颜色：黑色其他：加厚：韧性强；不易破；防漏水数量：&gt;=50只/包</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E4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678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360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45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4B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A1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631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FF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1358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3D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六棱撬棍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EF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长度：70cm粗度（直径）：16mm材质：铸铁型号：一头尖，一头扁</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2F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E6B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B2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D8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63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39F7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BF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1359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4A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长柄镰刀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59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材质握柄：实木刀刃：SK-5工具钢沃柄直径：&gt;25mm全长：不小于600mm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72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A2B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98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E1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C0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5C06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8C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1360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27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铁铲</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11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方型手柄材质：木制全长不小于150cm铲头长不小于25cm铲头宽不小于20cm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6C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B17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E6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F5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6E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2C4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04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1361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B8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除草剂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C5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草甘膦异丙胺盐有效成分：不少于30%1000g/瓶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77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D85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03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FC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D8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D938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51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1362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95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伸缩蛇钳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B2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伸缩后总长3米杆材质：铝合金杆子</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99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7E8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DB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90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DF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0836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26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1363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09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锄头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B7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手柄120cm锄头长20cm宽10cm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99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670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AE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01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6F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4508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E6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1364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5C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锄头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B7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手柄120cm锄头长22cm宽12cm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95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17F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77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72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B2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7691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8D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1365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42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油画排笔</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BA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毛宽0.8cm，毛长1.6cm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AB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4B6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6C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86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5B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3336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34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1366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2F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木柄洋镐</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9E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木柄85cm，镐头49cm，尖（细）镐头</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47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CF8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FE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53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4D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533F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D4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1367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42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树脂复合污水井盖</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42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形状：圆形尺寸：700*50（单盖）颜色：灰色是否带底座：否承载力达到GB/T 23858-2009规定的A15等级。</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1E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437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CF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59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6C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C8FF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35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1368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7E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开口扳手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56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两用扳手套装19套 6mm-24mm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98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DA2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4D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7B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87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25E4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CB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1369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28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（电锤凿子）</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76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负载功率：不小于1600w冲击强度：&gt;60J配3个尖镐配3个扁镐</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F1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770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7B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EE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1A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1312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42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1370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C8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65镐钎</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57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30mm*410mm-扁</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7F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A69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1D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C9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D2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2E3D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4A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1371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76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冲击电钻电池</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72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18V，5.0A适配同批采购冲击电钻</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E2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E98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52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1C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C2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CA9B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69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1372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E7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铁铲</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F5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尖型手柄材质：木制全长不小于150cm铲头长不小于25cm铲头宽不小于20cm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A5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C60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98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D6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DD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0A45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FF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1373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6B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垃圾桶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41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圆的带盖容量：60L颜色：蓝色，黑色</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62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0F4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A0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1E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67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5F8F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0E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1374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4E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敞口垃圾桶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67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灰色扁平敞口式容量：60L颜色：红色，蓝色，绿色，灰色</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AC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E03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35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A0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86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B3F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D4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1375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1B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抹泥刀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（砌砖刀）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46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优质碳钢、木质手柄刀长不少于160mm刀头宽不少于65mm刀尾宽不少于85mm手柄长不少于110mm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DB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A35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B3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BA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59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D7D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9E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1376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FB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电动工具箱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多功能冲击钻套装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1E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额定电压：18V，输入功率：72W，空载速率：0-1800转/分钟，钻头允许最大直径：13mm，双电池，带钻头+转换夹头组</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73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51F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A3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77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50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689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19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1377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BA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3D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Φ8mm*1m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02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283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54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DF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5E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B5E6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1D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1378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D7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下水裤</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D5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半身款针织带鞋+腰带+加厚多尺码可选</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D6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540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82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BD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ED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F6A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B7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1379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22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锂电割草机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11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便携式无线功率：&gt;650W;电池：&gt;24V;杆子：不锈钢伸缩长度：80-120cm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44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E6F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4F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DB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F9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6811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94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1380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96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洛阳铲</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29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木柄款长1.2米铲头宽：9.5cm铲头长：29.5cm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A1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909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AB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A6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3E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88D1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B6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1381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6F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加厚型工具箱</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F0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23寸53*31*25cm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F8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DE5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1F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0E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11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FD3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1C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1382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FF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充电式螺丝刀套装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1A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配两个电池60VF</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4E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499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E3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1C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2A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1E2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19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1383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C6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开井勾子</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EC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长度：60cm粗度（直径）：8mm材质：不锈钢手柄：带橡胶套型号：工字型</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90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579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DE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EB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47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BA0C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5C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1384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B4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黄 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CB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筒装黄油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400CC</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F4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F48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37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4B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CD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51A6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54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1385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8A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B2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600ml/瓶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D7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F35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A2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B1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94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4487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9A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1386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7D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BD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18号25米/捆</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88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捆</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BF8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61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42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D4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6227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69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1387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E9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摇把</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33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内径25，1吨侧摇启闭机摇把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89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D92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BE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C0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C1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F6F1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15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1388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69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电动打磨机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CF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带辅助手柄，220v,≥1000W（含磨片）</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2B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BC2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68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0D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2B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223A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C1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1389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B3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不锈钢钢管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44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304不锈钢，空心，直径30mm，长度3米，厚度1mm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9F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C27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79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08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CC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E090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95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1390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B8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可伸缩爬梯</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B0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收缩高度不大于1m展开高度不低于4m宽度45cm左右</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2F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54C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86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17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6E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0F59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70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1391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7E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小型柴油发电机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92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最大功率：不低于3500w电压 230V/50HZ重量不高于25kg单相手启动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80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CBD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84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E9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20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4DB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64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1392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96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检查井安全网（防坠网）</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2E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材质：高强丝静态承重：承重不低于300Kg耐冲击率：&gt;500J颜色：白色直径：φ800形状：圆形适用范围：市政井外观，拉力，冲击，耐腐蚀需经省、国家质检部门认定，技术指标符合标准。</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11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EC8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5060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BB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51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0E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56AB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4E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1393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E5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锂电池移动电源</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14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电池容量不低于600w总输出：不低于900w max自充满时间不高于3h</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B3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FC8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63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绿联，博结成，ANKER</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63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3F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2787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02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1394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8D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锂电池移动电源</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83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电池容量不低于1400w总输出：不低于1800w自充满时间不高于3h</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72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2F9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36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绿联，博结成，ANKER</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4E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E7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8631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2C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1395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AA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伞帽头戴雨伞</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7C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单层、蓝色、成人中款</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AF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3B0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59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FF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3E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E26D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FD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1396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15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黄油喷剂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9B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容量：450ml</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12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762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DF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DC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E7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0830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1A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1397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FD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铸铁防坠网</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C0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圆型，Φ700井盖配套防坠网，直承式五防和防沉降通用一个型号</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09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8E8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1E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A3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84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0C80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37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1398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C7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打夯机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7D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电动款</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41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A0C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2A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66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E3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D3EF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0C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1399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DE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起钉撬棍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81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弯头</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07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F06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7B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7B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D0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9ECC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90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A5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0D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配合M8、M10螺丝使用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08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F56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1495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11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48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0D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6B83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11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65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路面画线油漆</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E0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黄色、白色，约25kg/桶（件）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8C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6DC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C4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F7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D2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9573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03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F3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机械测距轮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7F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大轮款</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39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BC4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29</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7C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B0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C4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A3D5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43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66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轻型反光锥筒</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2A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红色桶体，红白反光条，轻型款,配加重配件，67*31*31CM 左右，净重0.42KG左右，（加重配件）灌沙后2KG左右）</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64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639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A2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BB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A3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C043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71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03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防护手套</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C2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材质：丁晴颜色：黑色尺码：S/M/L/XL数量：100只/盒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F8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F02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5B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B1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97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CE43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31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C6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乳胶手套</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4C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材质：白色乳胶颜色：白色尺码：S/M/L/XL数量：100只/盒</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81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F16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270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A4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53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6F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8F72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2E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BD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防雨防晒布</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73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材质：PVC布，形状：方形，尺寸：4米*4米</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E9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548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C7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DB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06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CB3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3C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26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电钻凿子</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64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尺寸：14 mm（直径）*230 mm（总长）柄部形状：圆柄/方柄钻头：尖凿</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8C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B06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C8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80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D4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E61E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6E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A8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电钻凿子</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37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尺寸：14 mm（直径）*230 mm（总长）柄部形状：圆柄/方柄钻头：扁凿</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91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FFF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B7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BA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D0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449B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1B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81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下水道铁锹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8D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方锹+1.2m柄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材质：锰钢，圆孔12mm，厚1.3mm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F9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386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9B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B5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08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E663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DE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1410</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63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水泥铲</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DD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材质：锰钢加钢管，铲头厚度8mm，钢管直径32mm，长度1.4m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12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211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E5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AC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E6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33E7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25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1411</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E4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发烟饼</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3B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直径7cm，厚度1.2cm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82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5D8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21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B8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D4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6929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E7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1412</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F0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第三方施工警示牌</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1C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正面：材质:KT泡沫板和PP胶板 尺寸:50*30cm    木杆:材质木方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尺寸H100*L5*W2.5cm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一条杆3颗4厘2cm长螺丝钉 内容定制</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AF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B37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38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定制</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01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42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2031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02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1413</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9B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木柄</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51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长：1.4m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粗约3.3-3.5cm，木柄接口处粗约3cm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B9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385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A4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3D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0A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E8D1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50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1414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1D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船外机机油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03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二冲程，4升</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6F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F2B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BC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24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24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A335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99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1415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D4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除草钉耙</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06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13齿，可接驳至3-4米长。</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99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10B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E3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5A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3B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F8A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91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1416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33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线盘插排</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BB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806DN 16A （ 带80米-3*4平方线  完全退卷功率3800W  完全盘卷功率2500W）</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69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193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F2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F1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CA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A1D0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06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1417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79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洋镐柄</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DC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材质：木， 长约95厘米 椭圆型高度6.5厘米，宽度约5厘米</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04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10B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70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F9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24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E1E0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2C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1418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58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洋镐柄</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66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材质：树脂纤维，长约87厘米，椭圆型高度6.5厘米，宽度约5厘米</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A3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8D8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85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28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9A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E84F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BF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1419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27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充电式冲击钻</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31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一电一充，18V，5.0Ah电池*2，空转转速1800转/分钟或以上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7F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9C0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39</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C2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3C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04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0E7E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E3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1420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75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开井勾子</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7E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长度：60cm粗度（直径）：10mm材质：螺蚊钢手柄：带橡胶套型号：T字型钩子头：尖口</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7B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436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B3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C9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48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9732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45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1421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55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开井勾子</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26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长度：60cm粗度（直径）：12mm材质：螺蚊钢手柄：带橡胶套型号：T字型钩子头：尖口</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36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842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2E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D5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D9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F6C8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89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1422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16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户外洗手壶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9C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41×32×20，20L</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7E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67C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39</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B8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13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AE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F7E7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64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1423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54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活动扳手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BF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八寸</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9D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89D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62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2D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C9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AED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BE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1424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5F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杀虫剂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C0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600ml/瓶</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AF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474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04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7C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C2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97E9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87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1425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B8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气压喷壶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56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2.0L/个</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64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F01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EF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8D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9B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919B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3F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1426</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39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不锈钢外六角螺丝螺母套装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BB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M8*10cm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60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6D4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1350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48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D9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CC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D2CF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D4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1427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46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便携式冲锋舟电动充气泵</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30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充抽两用，锂电款</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E1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BCD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04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ED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8E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9BDF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8F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1428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81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3D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275g</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8A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A3B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0B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05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4C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0E4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A5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1429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1E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快速接头C型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E2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 DN100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92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9DB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FC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31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1E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D39A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58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1430</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7F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快速接头爪式</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01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63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3FE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AE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27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D6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E0B9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37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FC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消防水带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F6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涤纶，8-100-20，配接口</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91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A65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7A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C3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57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7FC8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15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AC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圆形不锈钢筐消毒筐加粗大孔篮筐清洗灭菌锅内胆食品用煮篓子沥水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B6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40cm*40cm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8B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C14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65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0E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FD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5520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5D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D6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穿天炮手电筒强光充电户外远射超亮战术多功能大功率白激光灯</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57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4电版</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EF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D64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0A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89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78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6A55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1C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9E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防坠格栅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A4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5*5cm网孔，5.8毫米粗，长宽1米*1米</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A0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B03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9C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2E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91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2265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50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94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真空泵油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BF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18L</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ISO VG 100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1E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67C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D4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7A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32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AD05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40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1436</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CA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取力开关器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62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江铃凯锐N800车型使用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77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427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6F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2B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AF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434C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A9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14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8厘吊装钢丝绳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36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加粗</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65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F6B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4B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F5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E9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A861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1B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7C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过滤器滤芯</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4990">
            <w:pPr>
              <w:jc w:val="center"/>
              <w:rPr>
                <w:rFonts w:hint="eastAsia" w:ascii="宋体" w:hAnsi="宋体" w:eastAsia="宋体" w:cs="宋体"/>
                <w:i w:val="0"/>
                <w:iCs w:val="0"/>
                <w:color w:val="auto"/>
                <w:sz w:val="18"/>
                <w:szCs w:val="18"/>
                <w:highlight w:val="none"/>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3F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6F0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2B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27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E2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6D3D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7B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CB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水枪（扇形、圆形出水）</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2FC2">
            <w:pPr>
              <w:jc w:val="center"/>
              <w:rPr>
                <w:rFonts w:hint="eastAsia" w:ascii="宋体" w:hAnsi="宋体" w:eastAsia="宋体" w:cs="宋体"/>
                <w:i w:val="0"/>
                <w:iCs w:val="0"/>
                <w:color w:val="auto"/>
                <w:sz w:val="18"/>
                <w:szCs w:val="18"/>
                <w:highlight w:val="none"/>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4E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A45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F1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6A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35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FEAA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12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1440</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0C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尼龙绳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2D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单根10米</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F2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485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30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3B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5E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441F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03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1441</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96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水枪细冲洗管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DB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橡胶高压管，DN15</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D3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475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FB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03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A4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9AF5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86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1442</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74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过滤器外罩</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84BC">
            <w:pPr>
              <w:jc w:val="center"/>
              <w:rPr>
                <w:rFonts w:hint="eastAsia" w:ascii="宋体" w:hAnsi="宋体" w:eastAsia="宋体" w:cs="宋体"/>
                <w:i w:val="0"/>
                <w:iCs w:val="0"/>
                <w:color w:val="auto"/>
                <w:sz w:val="18"/>
                <w:szCs w:val="18"/>
                <w:highlight w:val="none"/>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9A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984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7A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60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88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34DB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A7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1443</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BC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气管接头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5CFE">
            <w:pPr>
              <w:jc w:val="center"/>
              <w:rPr>
                <w:rFonts w:hint="eastAsia" w:ascii="宋体" w:hAnsi="宋体" w:eastAsia="宋体" w:cs="宋体"/>
                <w:i w:val="0"/>
                <w:iCs w:val="0"/>
                <w:color w:val="auto"/>
                <w:sz w:val="18"/>
                <w:szCs w:val="18"/>
                <w:highlight w:val="none"/>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4A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DCE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25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BF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3F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1B1C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6B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1444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29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气管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3697">
            <w:pPr>
              <w:jc w:val="center"/>
              <w:rPr>
                <w:rFonts w:hint="eastAsia" w:ascii="宋体" w:hAnsi="宋体" w:eastAsia="宋体" w:cs="宋体"/>
                <w:i w:val="0"/>
                <w:iCs w:val="0"/>
                <w:color w:val="auto"/>
                <w:sz w:val="18"/>
                <w:szCs w:val="18"/>
                <w:highlight w:val="none"/>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85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83F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B0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30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0F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CC82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2B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1445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03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吸污管接口胶垫</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D2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橡胶材质，5寸/4寸</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6D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290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DC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D9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3F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CA34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7D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1446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AE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抓斗车油管收线盒</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4E33">
            <w:pPr>
              <w:jc w:val="center"/>
              <w:rPr>
                <w:rFonts w:hint="eastAsia" w:ascii="宋体" w:hAnsi="宋体" w:eastAsia="宋体" w:cs="宋体"/>
                <w:i w:val="0"/>
                <w:iCs w:val="0"/>
                <w:color w:val="auto"/>
                <w:sz w:val="18"/>
                <w:szCs w:val="18"/>
                <w:highlight w:val="none"/>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86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C6E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9D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47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DC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6E40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D2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1447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E1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抓斗限高传感器及收线盒套装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8B44">
            <w:pPr>
              <w:jc w:val="center"/>
              <w:rPr>
                <w:rFonts w:hint="eastAsia" w:ascii="宋体" w:hAnsi="宋体" w:eastAsia="宋体" w:cs="宋体"/>
                <w:i w:val="0"/>
                <w:iCs w:val="0"/>
                <w:color w:val="auto"/>
                <w:sz w:val="18"/>
                <w:szCs w:val="18"/>
                <w:highlight w:val="none"/>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9E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55A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64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32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EA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71B1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17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1448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DC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车辆反光贴</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C2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20公分反光贴</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94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12C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30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AE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48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C269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5E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1449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8D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启动电池</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22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汽车专用</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4E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F35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E7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6E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74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3CF9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C5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1450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53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喷字镂空金属板</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3B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数字、英文字母全套，污水等字样需要排列用的架子</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E6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3DF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D8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92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C1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F0CA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92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1451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DE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安全钩M8</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ED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标准型，M8</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4B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2E9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31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85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8B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6F7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50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1452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D4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安全钩M10</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D4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标准型，M10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14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97A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820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D4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31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82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664E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1C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1453</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D4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铁铲杆(1.6m-1.8m)</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DB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1.6m-1.8m，一般铁铲通用插口</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8F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A1B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93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D4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AB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530A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DE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1454</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DB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铁铲杆(1.4m-1.5m)</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6E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槐木，1.4m-1.5m，一般铁铲通用插口</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C2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694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61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5D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4D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D443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75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1455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C6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家用剪刀（大握把）</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E0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长150mm*厚2.0mm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D3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11E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64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6A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4A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53B9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D9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1456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C7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涤纶弹丝防坠网(700#专用)</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3A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绿色，700#专用</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A4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2EC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45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CA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A2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858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BE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1457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7E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涤纶弹丝防坠网(800#专用)</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A4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绿色，800#专用</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F8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2DD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F8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0D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C1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0B98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06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1458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C0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强光手电电池</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7B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18650 26650充电锂电池18650平头B电池2400毫安</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2F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E60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54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1F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9C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72E0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EA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1459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CC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乳胶手套</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3A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加厚加长</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EC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02B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B1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68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93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6A0F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A2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1460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E4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油漆稀释剂（天那水）</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82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1L</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A3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347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1C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EA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F5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5BE2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79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1461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A6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采样绳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C7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20m/条,粗度6mm，棉线内嵌铜丝</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B0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259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149</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95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10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E3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50CE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95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1462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F4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隔音耳罩</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91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黑色,抗摔材料</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AA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950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31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6C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50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7E84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50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1463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03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下水道钢锹</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F9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平头/尖头,柄长1.4-1.5m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C2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A96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59</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2F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28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1B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BA6B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4B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1464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EA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三齿锄头（三齿耙）</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91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大号，齿间7cm，齿长20 cm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38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499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4A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55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03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56CD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C7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1465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E0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一体不锈钢铁锨</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58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大号，平头/尖头</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E9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E8F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87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BC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53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BB76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A1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1466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F4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便携式汽油桶</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35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10L,3把手，加厚型</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25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294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94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53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7B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DFE3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53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1467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13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手机防水套</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EB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防水</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0F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F4D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A8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72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2F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39F7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FD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1468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D9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折叠露营推车</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49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承重300斤以上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00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辆</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645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DA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5C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4A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2EAD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65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1469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E8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平板推拉车</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CD57">
            <w:pPr>
              <w:jc w:val="center"/>
              <w:rPr>
                <w:rFonts w:hint="eastAsia" w:ascii="宋体" w:hAnsi="宋体" w:eastAsia="宋体" w:cs="宋体"/>
                <w:i w:val="0"/>
                <w:iCs w:val="0"/>
                <w:color w:val="auto"/>
                <w:sz w:val="18"/>
                <w:szCs w:val="18"/>
                <w:highlight w:val="none"/>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E6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辆</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721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D3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64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18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B26A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E7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1470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A8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液压开井神器</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9FDB">
            <w:pPr>
              <w:jc w:val="center"/>
              <w:rPr>
                <w:rFonts w:hint="eastAsia" w:ascii="宋体" w:hAnsi="宋体" w:eastAsia="宋体" w:cs="宋体"/>
                <w:i w:val="0"/>
                <w:iCs w:val="0"/>
                <w:color w:val="auto"/>
                <w:sz w:val="18"/>
                <w:szCs w:val="18"/>
                <w:highlight w:val="none"/>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17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CF1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07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29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3B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149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9A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1471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F4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告示牌架（含海报内容）</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C9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告示架尺寸：60cm*80cm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（一体款）不锈钢</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11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DCB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5E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66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D3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43D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F6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1472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A5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井盖垫圈</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7B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半圆款，适配700井盖</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DD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920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4C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A5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41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3DE9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41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1473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85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工地放样小木桩</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1A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直径3.5CM，长30CM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AF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422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76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0E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F7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1832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E3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1474</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5A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方形防坠网</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22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1m*1m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E1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B6C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9A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F6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B5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0D5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B9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1475</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75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沥青冷油/乳化沥青</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A9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25KG/桶</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8C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ED9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C5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DC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37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96FA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7E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1476</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07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清疏铁铲</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95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猛钢材质，铁铲铲面规格约24*30cm，铲面需平口及尖口；铲柄需要1.5-2m长可选</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78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818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44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98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F3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34BC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BD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1477</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9E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油漆</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69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1kg/桶</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C0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AC6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72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5A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CB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DBA7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29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1478</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1E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拖车绳</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A9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长度：3米-5米可选，承重3吨-5吨可选，需包含锁扣</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79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733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AE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93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52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57DA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55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1479</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ED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碳素伸缩网抄竿</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14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需最长长度为1.8-2.1m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9B9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0D9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39</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3D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1F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49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5821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22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1480</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AE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雨水箅挂篮</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5F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70cm*40cm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DB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655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6C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6D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F0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161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BA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1481</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86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高浓度草酸</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72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50斤</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BE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F87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64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75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F7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5118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19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1482</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77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管道疏通机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2A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电动款 动力类型：3KW，适用管道：50-110mm 水枪压力：≤420斤 适用电压：220V</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7E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88D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39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99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4A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8580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AF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1483</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6F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纤维洋镐</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22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镐头(43CM)+纤维包塑镐把(90CM)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D7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734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26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F8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38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45FE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36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1484</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3E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落叶收料机</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8F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48伏上出口机器（风力11.5级）带6米吸管（18公分外径）</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14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EAD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5D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F8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3D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9067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A4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1485</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58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锂电池</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D3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48伏40安（落叶收料机配套）</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01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2B6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99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94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04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739D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0C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1486</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4C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冲洗套装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25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25米免安装+5米延长管</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31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DE5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1B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FD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3B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3C7E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F2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1487</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A2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不锈钢桶</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C4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圆形直径30cm*高30cm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7E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6A7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49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5D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4D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B3F3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8F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1488</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B3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步梯</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A5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黑色五步加宽加厚加固步梯,折叠长度164cm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5B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5BE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D8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35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74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FE83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DF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1489</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B0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圆形井盖防臭板</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B0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带把手，材质胶，直径45cm，厚度0.5cm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20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BF0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56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定制</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9B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FA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3CAF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43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1490</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17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移动卷线盘</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AE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可绕线150米特大型轮式空盘，双杆滑轮</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91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491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11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3D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60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B0AA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83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1491</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FD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雨棚</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75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标识尺寸3*3m，腿粗4cm。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16AA">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8DD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C5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4C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77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95C3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60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1492</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F0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电锤用双叶钻头</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48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适用：方柄四坑和圆柄两坑两槽、冲击钻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直径：15厘米（洞深）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深度：80厘米（洞深）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叶片：双叶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带转接头</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CB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996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3E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任意品牌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EB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26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bl>
    <w:p w14:paraId="38AD655D">
      <w:pPr>
        <w:keepNext w:val="0"/>
        <w:keepLines w:val="0"/>
        <w:pageBreakBefore w:val="0"/>
        <w:widowControl w:val="0"/>
        <w:kinsoku/>
        <w:wordWrap/>
        <w:overflowPunct/>
        <w:topLinePunct w:val="0"/>
        <w:autoSpaceDE w:val="0"/>
        <w:autoSpaceDN w:val="0"/>
        <w:bidi w:val="0"/>
        <w:adjustRightInd w:val="0"/>
        <w:snapToGrid/>
        <w:spacing w:before="164" w:beforeLines="50" w:line="360" w:lineRule="auto"/>
        <w:ind w:firstLine="4200" w:firstLineChars="2000"/>
        <w:jc w:val="left"/>
        <w:textAlignment w:val="auto"/>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64231D6E">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14:paraId="263F47A1">
      <w:pPr>
        <w:widowControl/>
        <w:jc w:val="left"/>
        <w:rPr>
          <w:rFonts w:ascii="宋体" w:hAnsi="宋体" w:eastAsia="宋体" w:cs="Times New Roman"/>
          <w:color w:val="auto"/>
          <w:kern w:val="0"/>
          <w:szCs w:val="21"/>
          <w:highlight w:val="none"/>
        </w:rPr>
      </w:pPr>
      <w:bookmarkStart w:id="668" w:name="_Toc94107225"/>
      <w:r>
        <w:rPr>
          <w:rFonts w:ascii="宋体" w:hAnsi="宋体" w:eastAsia="宋体" w:cs="Times New Roman"/>
          <w:color w:val="auto"/>
          <w:kern w:val="0"/>
          <w:szCs w:val="21"/>
          <w:highlight w:val="none"/>
        </w:rPr>
        <w:br w:type="page"/>
      </w:r>
    </w:p>
    <w:bookmarkEnd w:id="668"/>
    <w:p w14:paraId="7891A7B8">
      <w:pPr>
        <w:rPr>
          <w:rFonts w:ascii="宋体" w:hAnsi="宋体" w:eastAsia="宋体" w:cs="宋体"/>
          <w:b/>
          <w:color w:val="auto"/>
          <w:kern w:val="0"/>
          <w:sz w:val="30"/>
          <w:szCs w:val="30"/>
          <w:highlight w:val="none"/>
        </w:rPr>
      </w:pPr>
      <w:bookmarkStart w:id="669" w:name="_Toc140596949"/>
      <w:bookmarkStart w:id="670" w:name="_Toc102860438"/>
      <w:bookmarkStart w:id="671" w:name="_Toc142508389"/>
      <w:bookmarkStart w:id="672" w:name="_Toc102860094"/>
      <w:bookmarkStart w:id="673" w:name="_Toc104991896"/>
      <w:bookmarkStart w:id="674" w:name="_Toc53370813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.3 整体供货服务流程（投标人自行编写）</w:t>
      </w:r>
      <w:r>
        <w:rPr>
          <w:rFonts w:hint="eastAsia" w:ascii="宋体" w:hAnsi="宋体" w:eastAsia="宋体" w:cs="宋体"/>
          <w:b/>
          <w:color w:val="auto"/>
          <w:kern w:val="0"/>
          <w:sz w:val="30"/>
          <w:szCs w:val="30"/>
          <w:highlight w:val="none"/>
        </w:rPr>
        <w:br w:type="page"/>
      </w:r>
    </w:p>
    <w:p w14:paraId="629BA0F2">
      <w:pP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.4 供货计划及进度保证措施方案（投标人自行编写）</w:t>
      </w:r>
      <w:r>
        <w:rPr>
          <w:rFonts w:hint="eastAsia" w:ascii="宋体" w:hAnsi="宋体" w:eastAsia="宋体" w:cs="宋体"/>
          <w:b/>
          <w:color w:val="auto"/>
          <w:kern w:val="0"/>
          <w:sz w:val="30"/>
          <w:szCs w:val="30"/>
          <w:highlight w:val="none"/>
        </w:rPr>
        <w:br w:type="page"/>
      </w:r>
    </w:p>
    <w:p w14:paraId="27343F30">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75" w:name="_Toc16932"/>
      <w:bookmarkStart w:id="676" w:name="_Toc169091796"/>
      <w:bookmarkStart w:id="677" w:name="_Toc1222"/>
      <w:bookmarkStart w:id="678" w:name="_Toc770"/>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.5 售后服务质量保证和承诺（投标人自行编写）</w:t>
      </w:r>
      <w:bookmarkEnd w:id="675"/>
      <w:bookmarkEnd w:id="676"/>
    </w:p>
    <w:p w14:paraId="6196908A">
      <w:pPr>
        <w:pageBreakBefore/>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79" w:name="_Toc23032"/>
      <w:bookmarkStart w:id="680" w:name="_Toc169091797"/>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.6 投标人认为有必要提供的其它材料（不做强制要求）</w:t>
      </w:r>
      <w:bookmarkEnd w:id="669"/>
      <w:bookmarkEnd w:id="670"/>
      <w:bookmarkEnd w:id="671"/>
      <w:bookmarkEnd w:id="672"/>
      <w:bookmarkEnd w:id="673"/>
      <w:bookmarkEnd w:id="677"/>
      <w:bookmarkEnd w:id="678"/>
      <w:bookmarkEnd w:id="679"/>
      <w:bookmarkEnd w:id="680"/>
    </w:p>
    <w:p w14:paraId="352FFCA5">
      <w:pPr>
        <w:autoSpaceDE w:val="0"/>
        <w:autoSpaceDN w:val="0"/>
        <w:adjustRightInd w:val="0"/>
        <w:jc w:val="left"/>
        <w:rPr>
          <w:rFonts w:ascii="宋体" w:hAnsi="宋体" w:eastAsia="宋体" w:cs="Times New Roman"/>
          <w:color w:val="auto"/>
          <w:kern w:val="0"/>
          <w:sz w:val="24"/>
          <w:szCs w:val="24"/>
          <w:highlight w:val="none"/>
        </w:rPr>
      </w:pPr>
    </w:p>
    <w:p w14:paraId="7481E53D">
      <w:pPr>
        <w:autoSpaceDE w:val="0"/>
        <w:autoSpaceDN w:val="0"/>
        <w:adjustRightInd w:val="0"/>
        <w:jc w:val="left"/>
        <w:rPr>
          <w:rFonts w:ascii="宋体" w:hAnsi="宋体" w:eastAsia="宋体" w:cs="Times New Roman"/>
          <w:color w:val="auto"/>
          <w:kern w:val="0"/>
          <w:sz w:val="24"/>
          <w:szCs w:val="24"/>
          <w:highlight w:val="none"/>
        </w:rPr>
      </w:pPr>
    </w:p>
    <w:p w14:paraId="20A532BA">
      <w:pPr>
        <w:autoSpaceDE w:val="0"/>
        <w:autoSpaceDN w:val="0"/>
        <w:adjustRightInd w:val="0"/>
        <w:jc w:val="left"/>
        <w:rPr>
          <w:rFonts w:ascii="宋体" w:hAnsi="宋体" w:eastAsia="宋体" w:cs="Times New Roman"/>
          <w:color w:val="auto"/>
          <w:kern w:val="0"/>
          <w:sz w:val="24"/>
          <w:szCs w:val="24"/>
          <w:highlight w:val="none"/>
        </w:rPr>
      </w:pPr>
    </w:p>
    <w:p w14:paraId="28234E77">
      <w:pPr>
        <w:autoSpaceDE w:val="0"/>
        <w:autoSpaceDN w:val="0"/>
        <w:adjustRightInd w:val="0"/>
        <w:jc w:val="left"/>
        <w:rPr>
          <w:rFonts w:ascii="宋体" w:hAnsi="宋体" w:eastAsia="宋体" w:cs="Times New Roman"/>
          <w:color w:val="auto"/>
          <w:kern w:val="0"/>
          <w:sz w:val="24"/>
          <w:szCs w:val="24"/>
          <w:highlight w:val="none"/>
        </w:rPr>
      </w:pPr>
    </w:p>
    <w:p w14:paraId="39D67FDD">
      <w:pPr>
        <w:autoSpaceDE w:val="0"/>
        <w:autoSpaceDN w:val="0"/>
        <w:adjustRightInd w:val="0"/>
        <w:jc w:val="left"/>
        <w:rPr>
          <w:rFonts w:ascii="宋体" w:hAnsi="宋体" w:eastAsia="宋体" w:cs="Times New Roman"/>
          <w:color w:val="auto"/>
          <w:kern w:val="0"/>
          <w:sz w:val="24"/>
          <w:szCs w:val="24"/>
          <w:highlight w:val="none"/>
        </w:rPr>
      </w:pPr>
    </w:p>
    <w:p w14:paraId="3FBC7D86">
      <w:pPr>
        <w:autoSpaceDE w:val="0"/>
        <w:autoSpaceDN w:val="0"/>
        <w:adjustRightInd w:val="0"/>
        <w:jc w:val="left"/>
        <w:rPr>
          <w:rFonts w:ascii="宋体" w:hAnsi="宋体" w:eastAsia="宋体" w:cs="Times New Roman"/>
          <w:color w:val="auto"/>
          <w:kern w:val="0"/>
          <w:sz w:val="24"/>
          <w:szCs w:val="24"/>
          <w:highlight w:val="none"/>
        </w:rPr>
      </w:pPr>
    </w:p>
    <w:p w14:paraId="3F3AF22E">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1C6449CD">
      <w:pPr>
        <w:autoSpaceDE w:val="0"/>
        <w:autoSpaceDN w:val="0"/>
        <w:adjustRightInd w:val="0"/>
        <w:jc w:val="left"/>
        <w:rPr>
          <w:rFonts w:ascii="宋体" w:hAnsi="宋体" w:eastAsia="宋体" w:cs="Times New Roman"/>
          <w:color w:val="auto"/>
          <w:kern w:val="0"/>
          <w:sz w:val="24"/>
          <w:szCs w:val="24"/>
          <w:highlight w:val="none"/>
        </w:rPr>
      </w:pPr>
    </w:p>
    <w:p w14:paraId="00C4738C">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81" w:name="_Toc28845"/>
      <w:bookmarkStart w:id="682" w:name="_Toc142508390"/>
      <w:bookmarkStart w:id="683" w:name="_Toc20948"/>
      <w:bookmarkStart w:id="684" w:name="_Toc22601_WPSOffice_Level1"/>
      <w:bookmarkStart w:id="685" w:name="_Toc522047402"/>
      <w:bookmarkStart w:id="686" w:name="_Toc521918141"/>
      <w:r>
        <w:rPr>
          <w:rFonts w:hint="eastAsia" w:ascii="宋体" w:hAnsi="宋体" w:eastAsia="宋体" w:cs="宋体"/>
          <w:b/>
          <w:bCs/>
          <w:color w:val="auto"/>
          <w:kern w:val="44"/>
          <w:sz w:val="32"/>
          <w:szCs w:val="32"/>
          <w:highlight w:val="none"/>
          <w:lang w:val="zh-CN"/>
        </w:rPr>
        <w:t>附件一：评标工作大纲</w:t>
      </w:r>
      <w:bookmarkEnd w:id="681"/>
      <w:bookmarkEnd w:id="682"/>
      <w:bookmarkEnd w:id="683"/>
    </w:p>
    <w:p w14:paraId="4FB99C21">
      <w:pPr>
        <w:autoSpaceDE w:val="0"/>
        <w:autoSpaceDN w:val="0"/>
        <w:adjustRightInd w:val="0"/>
        <w:spacing w:line="400" w:lineRule="atLeast"/>
        <w:jc w:val="center"/>
        <w:rPr>
          <w:rFonts w:ascii="宋体" w:hAnsi="宋体" w:eastAsia="宋体" w:cs="宋体"/>
          <w:b/>
          <w:bCs/>
          <w:color w:val="auto"/>
          <w:szCs w:val="21"/>
          <w:highlight w:val="none"/>
        </w:rPr>
      </w:pPr>
    </w:p>
    <w:p w14:paraId="70B98FC0">
      <w:pPr>
        <w:autoSpaceDE w:val="0"/>
        <w:autoSpaceDN w:val="0"/>
        <w:adjustRightInd w:val="0"/>
        <w:spacing w:line="400" w:lineRule="atLeast"/>
        <w:jc w:val="center"/>
        <w:rPr>
          <w:rFonts w:ascii="宋体" w:hAnsi="宋体" w:eastAsia="宋体" w:cs="宋体"/>
          <w:b/>
          <w:bCs/>
          <w:color w:val="auto"/>
          <w:szCs w:val="21"/>
          <w:highlight w:val="none"/>
        </w:rPr>
      </w:pPr>
    </w:p>
    <w:p w14:paraId="1B799E6C">
      <w:pPr>
        <w:autoSpaceDE w:val="0"/>
        <w:autoSpaceDN w:val="0"/>
        <w:adjustRightInd w:val="0"/>
        <w:spacing w:line="400" w:lineRule="atLeast"/>
        <w:jc w:val="center"/>
        <w:rPr>
          <w:rFonts w:ascii="宋体" w:hAnsi="宋体" w:eastAsia="宋体" w:cs="宋体"/>
          <w:b/>
          <w:bCs/>
          <w:color w:val="auto"/>
          <w:szCs w:val="21"/>
          <w:highlight w:val="none"/>
        </w:rPr>
      </w:pPr>
    </w:p>
    <w:p w14:paraId="0284FD0F">
      <w:pPr>
        <w:autoSpaceDE w:val="0"/>
        <w:autoSpaceDN w:val="0"/>
        <w:adjustRightInd w:val="0"/>
        <w:spacing w:line="400" w:lineRule="atLeast"/>
        <w:jc w:val="center"/>
        <w:rPr>
          <w:rFonts w:ascii="宋体" w:hAnsi="宋体" w:eastAsia="宋体" w:cs="宋体"/>
          <w:b/>
          <w:bCs/>
          <w:color w:val="auto"/>
          <w:szCs w:val="21"/>
          <w:highlight w:val="none"/>
        </w:rPr>
      </w:pPr>
    </w:p>
    <w:p w14:paraId="5A527FEF">
      <w:pPr>
        <w:autoSpaceDE w:val="0"/>
        <w:autoSpaceDN w:val="0"/>
        <w:adjustRightInd w:val="0"/>
        <w:spacing w:line="360" w:lineRule="auto"/>
        <w:jc w:val="center"/>
        <w:rPr>
          <w:rFonts w:hint="eastAsia" w:ascii="宋体" w:hAnsi="宋体" w:eastAsia="宋体" w:cs="宋体"/>
          <w:b/>
          <w:bCs/>
          <w:color w:val="auto"/>
          <w:sz w:val="48"/>
          <w:szCs w:val="44"/>
          <w:highlight w:val="none"/>
          <w:lang w:eastAsia="zh-CN"/>
        </w:rPr>
      </w:pPr>
      <w:bookmarkStart w:id="687" w:name="_Toc14752_WPSOffice_Level1"/>
      <w:r>
        <w:rPr>
          <w:rFonts w:hint="eastAsia" w:ascii="宋体" w:hAnsi="宋体" w:eastAsia="宋体" w:cs="宋体"/>
          <w:b/>
          <w:bCs/>
          <w:color w:val="auto"/>
          <w:sz w:val="48"/>
          <w:szCs w:val="44"/>
          <w:highlight w:val="none"/>
          <w:lang w:eastAsia="zh-CN"/>
        </w:rPr>
        <w:t>东莞市水务环境投资控股集团管网有限公司2026年运维维修工器具类物资采购项目</w:t>
      </w:r>
    </w:p>
    <w:p w14:paraId="1BBA2502">
      <w:pPr>
        <w:autoSpaceDE w:val="0"/>
        <w:autoSpaceDN w:val="0"/>
        <w:adjustRightInd w:val="0"/>
        <w:spacing w:line="360" w:lineRule="auto"/>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（招标编号：YDZB25DGQY0136）</w:t>
      </w:r>
      <w:bookmarkEnd w:id="687"/>
    </w:p>
    <w:p w14:paraId="00E2422B">
      <w:pPr>
        <w:autoSpaceDE w:val="0"/>
        <w:autoSpaceDN w:val="0"/>
        <w:adjustRightInd w:val="0"/>
        <w:spacing w:line="400" w:lineRule="atLeast"/>
        <w:jc w:val="center"/>
        <w:rPr>
          <w:rFonts w:ascii="宋体" w:hAnsi="宋体" w:eastAsia="宋体" w:cs="宋体"/>
          <w:b/>
          <w:bCs/>
          <w:color w:val="auto"/>
          <w:sz w:val="36"/>
          <w:szCs w:val="36"/>
          <w:highlight w:val="none"/>
        </w:rPr>
      </w:pPr>
    </w:p>
    <w:p w14:paraId="69B76935">
      <w:pPr>
        <w:autoSpaceDE w:val="0"/>
        <w:autoSpaceDN w:val="0"/>
        <w:adjustRightInd w:val="0"/>
        <w:spacing w:line="400" w:lineRule="atLeast"/>
        <w:jc w:val="center"/>
        <w:rPr>
          <w:rFonts w:ascii="宋体" w:hAnsi="宋体" w:eastAsia="宋体" w:cs="宋体"/>
          <w:b/>
          <w:bCs/>
          <w:color w:val="auto"/>
          <w:sz w:val="36"/>
          <w:szCs w:val="36"/>
          <w:highlight w:val="none"/>
        </w:rPr>
      </w:pPr>
    </w:p>
    <w:p w14:paraId="2A666F38">
      <w:pPr>
        <w:autoSpaceDE w:val="0"/>
        <w:autoSpaceDN w:val="0"/>
        <w:adjustRightInd w:val="0"/>
        <w:spacing w:line="400" w:lineRule="atLeast"/>
        <w:jc w:val="center"/>
        <w:rPr>
          <w:rFonts w:ascii="宋体" w:hAnsi="宋体" w:eastAsia="宋体" w:cs="宋体"/>
          <w:b/>
          <w:bCs/>
          <w:color w:val="auto"/>
          <w:sz w:val="36"/>
          <w:szCs w:val="36"/>
          <w:highlight w:val="none"/>
        </w:rPr>
      </w:pPr>
    </w:p>
    <w:p w14:paraId="7869975F">
      <w:pPr>
        <w:autoSpaceDE w:val="0"/>
        <w:autoSpaceDN w:val="0"/>
        <w:adjustRightInd w:val="0"/>
        <w:spacing w:line="400" w:lineRule="atLeast"/>
        <w:jc w:val="center"/>
        <w:rPr>
          <w:rFonts w:ascii="宋体" w:hAnsi="宋体" w:eastAsia="宋体" w:cs="宋体"/>
          <w:b/>
          <w:bCs/>
          <w:color w:val="auto"/>
          <w:sz w:val="36"/>
          <w:szCs w:val="36"/>
          <w:highlight w:val="none"/>
        </w:rPr>
      </w:pPr>
    </w:p>
    <w:p w14:paraId="7F9ABD10">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688" w:name="_Toc18947_WPSOffice_Level2"/>
      <w:r>
        <w:rPr>
          <w:rFonts w:hint="eastAsia" w:ascii="宋体" w:hAnsi="宋体" w:eastAsia="宋体" w:cs="宋体"/>
          <w:b/>
          <w:bCs/>
          <w:color w:val="auto"/>
          <w:sz w:val="72"/>
          <w:szCs w:val="72"/>
          <w:highlight w:val="none"/>
          <w:lang w:val="zh-CN"/>
        </w:rPr>
        <w:t>评标工作大纲</w:t>
      </w:r>
      <w:bookmarkEnd w:id="688"/>
    </w:p>
    <w:p w14:paraId="0CF5EEE2">
      <w:pPr>
        <w:autoSpaceDE w:val="0"/>
        <w:autoSpaceDN w:val="0"/>
        <w:adjustRightInd w:val="0"/>
        <w:spacing w:line="400" w:lineRule="atLeast"/>
        <w:jc w:val="center"/>
        <w:rPr>
          <w:rFonts w:ascii="宋体" w:hAnsi="宋体" w:eastAsia="宋体" w:cs="宋体"/>
          <w:b/>
          <w:bCs/>
          <w:color w:val="auto"/>
          <w:sz w:val="36"/>
          <w:szCs w:val="36"/>
          <w:highlight w:val="none"/>
        </w:rPr>
      </w:pPr>
    </w:p>
    <w:p w14:paraId="0CA17147">
      <w:pPr>
        <w:autoSpaceDE w:val="0"/>
        <w:autoSpaceDN w:val="0"/>
        <w:adjustRightInd w:val="0"/>
        <w:spacing w:line="400" w:lineRule="atLeast"/>
        <w:rPr>
          <w:rFonts w:ascii="宋体" w:hAnsi="宋体" w:eastAsia="宋体" w:cs="宋体"/>
          <w:b/>
          <w:bCs/>
          <w:color w:val="auto"/>
          <w:sz w:val="36"/>
          <w:szCs w:val="36"/>
          <w:highlight w:val="none"/>
        </w:rPr>
      </w:pPr>
    </w:p>
    <w:p w14:paraId="4BFDB8A0">
      <w:pPr>
        <w:autoSpaceDE w:val="0"/>
        <w:autoSpaceDN w:val="0"/>
        <w:adjustRightInd w:val="0"/>
        <w:spacing w:line="400" w:lineRule="atLeast"/>
        <w:jc w:val="center"/>
        <w:rPr>
          <w:rFonts w:ascii="宋体" w:hAnsi="宋体" w:eastAsia="宋体" w:cs="宋体"/>
          <w:b/>
          <w:bCs/>
          <w:color w:val="auto"/>
          <w:sz w:val="36"/>
          <w:szCs w:val="36"/>
          <w:highlight w:val="none"/>
        </w:rPr>
      </w:pPr>
    </w:p>
    <w:p w14:paraId="40FEC59F">
      <w:pPr>
        <w:autoSpaceDE w:val="0"/>
        <w:autoSpaceDN w:val="0"/>
        <w:adjustRightInd w:val="0"/>
        <w:spacing w:line="400" w:lineRule="atLeast"/>
        <w:jc w:val="center"/>
        <w:rPr>
          <w:rFonts w:ascii="宋体" w:hAnsi="宋体" w:eastAsia="宋体" w:cs="宋体"/>
          <w:b/>
          <w:bCs/>
          <w:color w:val="auto"/>
          <w:sz w:val="36"/>
          <w:szCs w:val="36"/>
          <w:highlight w:val="none"/>
        </w:rPr>
      </w:pPr>
    </w:p>
    <w:p w14:paraId="1BB0F5F9">
      <w:pPr>
        <w:autoSpaceDE w:val="0"/>
        <w:autoSpaceDN w:val="0"/>
        <w:adjustRightInd w:val="0"/>
        <w:spacing w:line="400" w:lineRule="atLeast"/>
        <w:jc w:val="center"/>
        <w:rPr>
          <w:rFonts w:ascii="宋体" w:hAnsi="宋体" w:eastAsia="宋体" w:cs="宋体"/>
          <w:b/>
          <w:bCs/>
          <w:color w:val="auto"/>
          <w:sz w:val="36"/>
          <w:szCs w:val="36"/>
          <w:highlight w:val="none"/>
        </w:rPr>
      </w:pPr>
    </w:p>
    <w:p w14:paraId="0DF805DF">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广东有德招标采购有限公司</w:t>
      </w:r>
    </w:p>
    <w:p w14:paraId="32F2E92D">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89" w:name="_Toc32395_WPSOffice_Level1"/>
      <w:r>
        <w:rPr>
          <w:rFonts w:hint="eastAsia" w:ascii="宋体" w:hAnsi="宋体" w:eastAsia="宋体" w:cs="宋体"/>
          <w:b/>
          <w:bCs/>
          <w:color w:val="auto"/>
          <w:sz w:val="36"/>
          <w:szCs w:val="36"/>
          <w:highlight w:val="none"/>
          <w:lang w:val="zh-CN"/>
        </w:rPr>
        <w:t>目录</w:t>
      </w:r>
      <w:bookmarkEnd w:id="689"/>
    </w:p>
    <w:p w14:paraId="44BA8791">
      <w:pPr>
        <w:autoSpaceDE w:val="0"/>
        <w:autoSpaceDN w:val="0"/>
        <w:adjustRightInd w:val="0"/>
        <w:spacing w:line="400" w:lineRule="atLeast"/>
        <w:jc w:val="center"/>
        <w:rPr>
          <w:rFonts w:ascii="宋体" w:hAnsi="宋体" w:eastAsia="宋体" w:cs="宋体"/>
          <w:color w:val="auto"/>
          <w:sz w:val="44"/>
          <w:szCs w:val="44"/>
          <w:highlight w:val="none"/>
        </w:rPr>
      </w:pPr>
    </w:p>
    <w:p w14:paraId="1D8E0424">
      <w:pPr>
        <w:autoSpaceDE w:val="0"/>
        <w:autoSpaceDN w:val="0"/>
        <w:adjustRightInd w:val="0"/>
        <w:spacing w:line="360" w:lineRule="auto"/>
        <w:ind w:left="567" w:hanging="567"/>
        <w:rPr>
          <w:rFonts w:ascii="宋体" w:hAnsi="宋体" w:eastAsia="宋体" w:cs="宋体"/>
          <w:color w:val="auto"/>
          <w:szCs w:val="30"/>
          <w:highlight w:val="none"/>
        </w:rPr>
      </w:pPr>
      <w:bookmarkStart w:id="690"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90"/>
    </w:p>
    <w:p w14:paraId="2720E711">
      <w:pPr>
        <w:autoSpaceDE w:val="0"/>
        <w:autoSpaceDN w:val="0"/>
        <w:adjustRightInd w:val="0"/>
        <w:spacing w:line="360" w:lineRule="auto"/>
        <w:ind w:left="567" w:hanging="567"/>
        <w:rPr>
          <w:rFonts w:ascii="宋体" w:hAnsi="宋体" w:eastAsia="宋体" w:cs="宋体"/>
          <w:color w:val="auto"/>
          <w:szCs w:val="30"/>
          <w:highlight w:val="none"/>
        </w:rPr>
      </w:pPr>
      <w:bookmarkStart w:id="691"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91"/>
    </w:p>
    <w:p w14:paraId="38E6EA03">
      <w:pPr>
        <w:autoSpaceDE w:val="0"/>
        <w:autoSpaceDN w:val="0"/>
        <w:adjustRightInd w:val="0"/>
        <w:spacing w:line="360" w:lineRule="auto"/>
        <w:ind w:left="567" w:hanging="567"/>
        <w:rPr>
          <w:rFonts w:ascii="宋体" w:hAnsi="宋体" w:eastAsia="宋体" w:cs="宋体"/>
          <w:color w:val="auto"/>
          <w:szCs w:val="30"/>
          <w:highlight w:val="none"/>
        </w:rPr>
      </w:pPr>
      <w:bookmarkStart w:id="692"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92"/>
    </w:p>
    <w:p w14:paraId="0E179997">
      <w:pPr>
        <w:autoSpaceDE w:val="0"/>
        <w:autoSpaceDN w:val="0"/>
        <w:adjustRightInd w:val="0"/>
        <w:spacing w:line="360" w:lineRule="auto"/>
        <w:ind w:left="567" w:hanging="567"/>
        <w:rPr>
          <w:rFonts w:ascii="宋体" w:hAnsi="宋体" w:eastAsia="宋体" w:cs="宋体"/>
          <w:color w:val="auto"/>
          <w:szCs w:val="30"/>
          <w:highlight w:val="none"/>
        </w:rPr>
      </w:pPr>
      <w:bookmarkStart w:id="693" w:name="_Toc1206_WPSOffice_Level1"/>
      <w:r>
        <w:rPr>
          <w:rFonts w:hint="eastAsia" w:ascii="宋体" w:hAnsi="宋体" w:eastAsia="宋体" w:cs="宋体"/>
          <w:color w:val="auto"/>
          <w:szCs w:val="30"/>
          <w:highlight w:val="none"/>
        </w:rPr>
        <w:t>四、 比较和评价</w:t>
      </w:r>
      <w:bookmarkEnd w:id="693"/>
    </w:p>
    <w:p w14:paraId="1B6C681C">
      <w:pPr>
        <w:autoSpaceDE w:val="0"/>
        <w:autoSpaceDN w:val="0"/>
        <w:adjustRightInd w:val="0"/>
        <w:spacing w:line="360" w:lineRule="auto"/>
        <w:ind w:left="567" w:hanging="567"/>
        <w:rPr>
          <w:rFonts w:ascii="宋体" w:hAnsi="宋体" w:eastAsia="宋体" w:cs="宋体"/>
          <w:color w:val="auto"/>
          <w:szCs w:val="30"/>
          <w:highlight w:val="none"/>
        </w:rPr>
      </w:pPr>
      <w:bookmarkStart w:id="694"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94"/>
    </w:p>
    <w:p w14:paraId="0E7F513D">
      <w:pPr>
        <w:autoSpaceDE w:val="0"/>
        <w:autoSpaceDN w:val="0"/>
        <w:adjustRightInd w:val="0"/>
        <w:spacing w:line="360" w:lineRule="auto"/>
        <w:ind w:left="567" w:hanging="567"/>
        <w:rPr>
          <w:rFonts w:ascii="宋体" w:hAnsi="宋体" w:eastAsia="宋体" w:cs="宋体"/>
          <w:color w:val="auto"/>
          <w:szCs w:val="30"/>
          <w:highlight w:val="none"/>
        </w:rPr>
      </w:pPr>
      <w:bookmarkStart w:id="695"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95"/>
    </w:p>
    <w:p w14:paraId="3B6C0532">
      <w:pPr>
        <w:autoSpaceDE w:val="0"/>
        <w:autoSpaceDN w:val="0"/>
        <w:adjustRightInd w:val="0"/>
        <w:spacing w:line="360" w:lineRule="auto"/>
        <w:ind w:left="567" w:hanging="567"/>
        <w:rPr>
          <w:rFonts w:ascii="宋体" w:hAnsi="宋体" w:eastAsia="宋体" w:cs="宋体"/>
          <w:color w:val="auto"/>
          <w:szCs w:val="30"/>
          <w:highlight w:val="none"/>
        </w:rPr>
      </w:pPr>
      <w:bookmarkStart w:id="696"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96"/>
    </w:p>
    <w:p w14:paraId="2D253160">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65B951D7">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688A6B52">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20DA4311">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97"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97"/>
    </w:p>
    <w:p w14:paraId="2B8D64E2">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75BF2C29">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东莞市水务环境投资控股集团管网有限公司2026年运维维修工器具类物资采购项目</w:t>
      </w:r>
      <w:r>
        <w:rPr>
          <w:rFonts w:hint="eastAsia" w:ascii="宋体" w:hAnsi="宋体" w:eastAsia="宋体" w:cs="宋体"/>
          <w:color w:val="auto"/>
          <w:szCs w:val="21"/>
          <w:highlight w:val="none"/>
          <w:lang w:val="zh-CN"/>
        </w:rPr>
        <w:t>(招标编号：YDZB25DGQY0136)</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73738F96">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1BF9000F">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(广东有德招标采购有限公司）组</w:t>
      </w:r>
      <w:r>
        <w:rPr>
          <w:rFonts w:hint="eastAsia" w:ascii="宋体" w:hAnsi="宋体" w:eastAsia="宋体" w:cs="宋体"/>
          <w:color w:val="auto"/>
          <w:szCs w:val="24"/>
          <w:highlight w:val="none"/>
          <w:lang w:val="zh-CN"/>
        </w:rPr>
        <w:t>织评标工作，全过程接受招标人及相关部门的监督、管理和指导。</w:t>
      </w:r>
    </w:p>
    <w:p w14:paraId="7AA7A844">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15577483">
      <w:pPr>
        <w:numPr>
          <w:ilvl w:val="1"/>
          <w:numId w:val="2"/>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1325004F">
      <w:pPr>
        <w:autoSpaceDE w:val="0"/>
        <w:autoSpaceDN w:val="0"/>
        <w:adjustRightInd w:val="0"/>
        <w:spacing w:line="360" w:lineRule="auto"/>
        <w:rPr>
          <w:rFonts w:ascii="宋体" w:hAnsi="宋体" w:eastAsia="宋体" w:cs="宋体"/>
          <w:color w:val="auto"/>
          <w:sz w:val="24"/>
          <w:szCs w:val="24"/>
          <w:highlight w:val="none"/>
          <w:lang w:val="zh-CN"/>
        </w:rPr>
      </w:pPr>
    </w:p>
    <w:p w14:paraId="1824CF33">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343B04E9">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404FFBC6">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63711CFB">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5F5E83D5">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5955E99A">
      <w:pPr>
        <w:autoSpaceDE w:val="0"/>
        <w:autoSpaceDN w:val="0"/>
        <w:adjustRightInd w:val="0"/>
        <w:spacing w:line="360" w:lineRule="auto"/>
        <w:rPr>
          <w:rFonts w:ascii="宋体" w:hAnsi="宋体" w:eastAsia="宋体" w:cs="宋体"/>
          <w:color w:val="auto"/>
          <w:sz w:val="24"/>
          <w:szCs w:val="24"/>
          <w:highlight w:val="none"/>
          <w:lang w:val="zh-CN"/>
        </w:rPr>
      </w:pPr>
    </w:p>
    <w:p w14:paraId="6EFC18C6">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4B05950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235C5D0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524A1E7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61273CD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2B6A1472">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1203EFDD">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70153E8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6D25AF2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7E3F3A4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65AFDA8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6442BC4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5E91749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5C00C556">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53082A7C">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079EEFA0">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3C9BABF4">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486EE255">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769124D0">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4D2EAAFC">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4A00D705">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1C80EE8F">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5E831F95">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6F57CA4F">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5D2276BB">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698" w:name="_Toc19435_WPSOffice_Level1"/>
      <w:r>
        <w:rPr>
          <w:rFonts w:hint="eastAsia" w:ascii="宋体" w:hAnsi="宋体" w:eastAsia="宋体" w:cs="宋体"/>
          <w:b/>
          <w:bCs/>
          <w:color w:val="auto"/>
          <w:sz w:val="28"/>
          <w:szCs w:val="28"/>
          <w:highlight w:val="none"/>
          <w:lang w:val="zh-CN"/>
        </w:rPr>
        <w:t>二、投标文件的初审</w:t>
      </w:r>
      <w:bookmarkEnd w:id="698"/>
    </w:p>
    <w:p w14:paraId="54FC2EA3">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38D34F94">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52116DC1">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39945A85">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3D0DFC30">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5CE44BB1">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3235AF30">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4E15EA10">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28F4EA2C">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7.2  投标文件中的投标报价未按照招标文件要求进行折扣系数报价的；</w:t>
      </w:r>
    </w:p>
    <w:p w14:paraId="3FB85070">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1A047832">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25F1096C">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737A4FCE">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6FE09BDC">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11FE4554">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22B03F77">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5B7E5536">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4E7F5A43">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424C4DDA">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41B5A6D6">
      <w:pPr>
        <w:spacing w:line="360" w:lineRule="auto"/>
        <w:ind w:left="480"/>
        <w:rPr>
          <w:rFonts w:ascii="宋体" w:hAnsi="宋体" w:eastAsia="宋体" w:cs="宋体"/>
          <w:b/>
          <w:color w:val="auto"/>
          <w:kern w:val="0"/>
          <w:szCs w:val="21"/>
          <w:highlight w:val="none"/>
        </w:rPr>
      </w:pPr>
    </w:p>
    <w:p w14:paraId="0DC1E073">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699" w:name="_Toc4109_WPSOffice_Level1"/>
      <w:r>
        <w:rPr>
          <w:rFonts w:hint="eastAsia" w:ascii="宋体" w:hAnsi="宋体" w:eastAsia="宋体" w:cs="宋体"/>
          <w:b/>
          <w:bCs/>
          <w:color w:val="auto"/>
          <w:sz w:val="28"/>
          <w:szCs w:val="28"/>
          <w:highlight w:val="none"/>
          <w:lang w:val="zh-CN"/>
        </w:rPr>
        <w:t>三、澄清有关问题</w:t>
      </w:r>
      <w:bookmarkEnd w:id="699"/>
    </w:p>
    <w:p w14:paraId="657E1BB7">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1AB3CBC7">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2C878B6D">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45D61296">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360DFC86">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52B578FD">
      <w:pPr>
        <w:spacing w:line="360" w:lineRule="auto"/>
        <w:ind w:left="567"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6F87CFD6">
      <w:pPr>
        <w:spacing w:line="360" w:lineRule="auto"/>
        <w:ind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zh-CN" w:eastAsia="zh-CN"/>
        </w:rPr>
        <w:t>A</w:t>
      </w:r>
      <w:r>
        <w:rPr>
          <w:rFonts w:hint="eastAsia" w:ascii="宋体" w:hAnsi="宋体" w:eastAsia="宋体" w:cs="宋体"/>
          <w:color w:val="auto"/>
          <w:kern w:val="0"/>
          <w:szCs w:val="21"/>
          <w:highlight w:val="none"/>
          <w:lang w:val="zh-CN"/>
        </w:rPr>
        <w:t>）当以数字表示的报价系数与文字表示的报价系数不一致时，以文字表示的报价系数为准；</w:t>
      </w:r>
      <w:r>
        <w:rPr>
          <w:rFonts w:hint="eastAsia" w:ascii="宋体" w:hAnsi="宋体" w:eastAsia="宋体" w:cs="宋体"/>
          <w:b w:val="0"/>
          <w:bCs w:val="0"/>
          <w:color w:val="auto"/>
          <w:kern w:val="0"/>
          <w:szCs w:val="21"/>
          <w:highlight w:val="none"/>
          <w:lang w:val="zh-CN"/>
        </w:rPr>
        <w:t>（</w:t>
      </w:r>
      <w:r>
        <w:rPr>
          <w:rFonts w:hint="eastAsia" w:ascii="宋体" w:hAnsi="宋体" w:eastAsia="宋体" w:cs="宋体"/>
          <w:b w:val="0"/>
          <w:bCs w:val="0"/>
          <w:color w:val="auto"/>
          <w:kern w:val="0"/>
          <w:szCs w:val="21"/>
          <w:highlight w:val="none"/>
          <w:lang w:val="en-US" w:eastAsia="zh-CN"/>
        </w:rPr>
        <w:t>B</w:t>
      </w:r>
      <w:r>
        <w:rPr>
          <w:rFonts w:hint="eastAsia" w:ascii="宋体" w:hAnsi="宋体" w:eastAsia="宋体" w:cs="宋体"/>
          <w:b w:val="0"/>
          <w:bCs w:val="0"/>
          <w:color w:val="auto"/>
          <w:kern w:val="0"/>
          <w:szCs w:val="21"/>
          <w:highlight w:val="none"/>
          <w:lang w:val="zh-CN"/>
        </w:rPr>
        <w:t>）</w:t>
      </w:r>
      <w:r>
        <w:rPr>
          <w:rFonts w:hint="eastAsia" w:ascii="宋体" w:hAnsi="宋体" w:eastAsia="宋体" w:cs="宋体"/>
          <w:b w:val="0"/>
          <w:bCs w:val="0"/>
          <w:color w:val="auto"/>
          <w:kern w:val="0"/>
          <w:szCs w:val="21"/>
          <w:highlight w:val="none"/>
          <w:lang w:val="en-US" w:eastAsia="zh-CN"/>
        </w:rPr>
        <w:t>当折扣系数报价为非保留小数点后两位的，按去“尾”或补“零”的方式进行修正为保留小数点后两位。</w:t>
      </w:r>
      <w:r>
        <w:rPr>
          <w:rFonts w:hint="eastAsia" w:ascii="宋体" w:hAnsi="宋体" w:eastAsia="宋体" w:cs="宋体"/>
          <w:color w:val="auto"/>
          <w:kern w:val="0"/>
          <w:szCs w:val="21"/>
          <w:highlight w:val="none"/>
          <w:lang w:val="zh-CN"/>
        </w:rPr>
        <w:t>按上述修正原则进行修正至唯一值后的报价表经双方确认后，作为合同文件的组成部分。</w:t>
      </w:r>
    </w:p>
    <w:p w14:paraId="609FDC48">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63C25CAC">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2DA51385">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00" w:name="_Toc8518_WPSOffice_Level1"/>
    </w:p>
    <w:p w14:paraId="557D5738">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00"/>
    </w:p>
    <w:p w14:paraId="6D7C70A0">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75A51984">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33504737">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39D75C04">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34E56688">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126E60A5">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58130893">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（1）评标委员会首先对商务标进行评审，按评标标准打分后，取所有评委评分的平均值得出该投标人的商务评分；</w:t>
      </w:r>
    </w:p>
    <w:p w14:paraId="1EEB0CA6">
      <w:pPr>
        <w:autoSpaceDE w:val="0"/>
        <w:autoSpaceDN w:val="0"/>
        <w:adjustRightInd w:val="0"/>
        <w:spacing w:line="360" w:lineRule="auto"/>
        <w:ind w:left="565" w:leftChars="-1" w:hanging="567" w:hangingChars="270"/>
        <w:rPr>
          <w:rFonts w:ascii="宋体" w:hAnsi="宋体" w:eastAsia="宋体" w:cs="宋体"/>
          <w:color w:val="auto"/>
          <w:szCs w:val="21"/>
          <w:highlight w:val="none"/>
        </w:rPr>
      </w:pPr>
      <w:r>
        <w:rPr>
          <w:rFonts w:hint="eastAsia" w:ascii="宋体" w:hAnsi="宋体" w:eastAsia="宋体" w:cs="宋体"/>
          <w:color w:val="auto"/>
          <w:kern w:val="0"/>
          <w:szCs w:val="21"/>
          <w:highlight w:val="none"/>
        </w:rPr>
        <w:t>（2）然后评标委员会对技术标进行评审，按评标标准打分后，</w:t>
      </w:r>
      <w:r>
        <w:rPr>
          <w:rFonts w:hint="eastAsia" w:ascii="宋体" w:hAnsi="宋体" w:eastAsia="宋体" w:cs="宋体"/>
          <w:color w:val="auto"/>
          <w:szCs w:val="21"/>
          <w:highlight w:val="none"/>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109F13FF">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rPr>
        <w:t>（3）最后评标委员会对报价进行评审，按评标标准计算得出该投标人的报价评分。</w:t>
      </w:r>
    </w:p>
    <w:p w14:paraId="2AB31FEF">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14AB5150">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710DC0E1">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33001392">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2EEE59A0">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0A1F8804">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39538C8C">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1C8837D3">
      <w:pPr>
        <w:autoSpaceDE w:val="0"/>
        <w:autoSpaceDN w:val="0"/>
        <w:adjustRightInd w:val="0"/>
        <w:spacing w:line="360" w:lineRule="auto"/>
        <w:rPr>
          <w:rFonts w:ascii="宋体" w:hAnsi="宋体" w:eastAsia="宋体" w:cs="宋体"/>
          <w:color w:val="auto"/>
          <w:szCs w:val="24"/>
          <w:highlight w:val="none"/>
          <w:lang w:val="zh-CN"/>
        </w:rPr>
      </w:pPr>
    </w:p>
    <w:p w14:paraId="62C3DF48">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43"/>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4BD7B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76544AE">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61E16983">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5D807B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81864DF">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26D077B6">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30分</w:t>
            </w:r>
          </w:p>
        </w:tc>
      </w:tr>
      <w:tr w14:paraId="33F55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9613359">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35D13AAB">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rPr>
              <w:t>30</w:t>
            </w:r>
            <w:r>
              <w:rPr>
                <w:rFonts w:hint="eastAsia" w:ascii="宋体" w:hAnsi="宋体" w:eastAsia="宋体" w:cs="宋体"/>
                <w:bCs/>
                <w:color w:val="auto"/>
                <w:kern w:val="0"/>
                <w:sz w:val="22"/>
                <w:highlight w:val="none"/>
                <w:lang w:val="zh-CN"/>
              </w:rPr>
              <w:t>分</w:t>
            </w:r>
          </w:p>
        </w:tc>
      </w:tr>
      <w:tr w14:paraId="011B32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6947C8C">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3C132328">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rPr>
              <w:t>40</w:t>
            </w:r>
            <w:r>
              <w:rPr>
                <w:rFonts w:hint="eastAsia" w:ascii="宋体" w:hAnsi="宋体" w:eastAsia="宋体" w:cs="宋体"/>
                <w:bCs/>
                <w:color w:val="auto"/>
                <w:kern w:val="0"/>
                <w:sz w:val="22"/>
                <w:highlight w:val="none"/>
                <w:lang w:val="zh-CN"/>
              </w:rPr>
              <w:t>分</w:t>
            </w:r>
          </w:p>
        </w:tc>
      </w:tr>
    </w:tbl>
    <w:p w14:paraId="41C02BCD">
      <w:pPr>
        <w:tabs>
          <w:tab w:val="left" w:pos="585"/>
        </w:tabs>
        <w:autoSpaceDE w:val="0"/>
        <w:autoSpaceDN w:val="0"/>
        <w:adjustRightInd w:val="0"/>
        <w:spacing w:line="360" w:lineRule="auto"/>
        <w:rPr>
          <w:rFonts w:ascii="宋体" w:hAnsi="宋体" w:eastAsia="宋体" w:cs="宋体"/>
          <w:b/>
          <w:color w:val="auto"/>
          <w:szCs w:val="21"/>
          <w:highlight w:val="none"/>
        </w:rPr>
      </w:pPr>
      <w:bookmarkStart w:id="701" w:name="_Toc18349_WPSOffice_Level2"/>
    </w:p>
    <w:p w14:paraId="6FD01016">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分</w:t>
      </w:r>
      <w:bookmarkEnd w:id="701"/>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59D7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bottom"/>
          </w:tcPr>
          <w:p w14:paraId="766A4B65">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bottom"/>
          </w:tcPr>
          <w:p w14:paraId="3E17522C">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5BD4B59E">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2162A8A5">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EAC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0222F9C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14:paraId="3D2FBBB6">
            <w:pPr>
              <w:spacing w:line="400" w:lineRule="exact"/>
              <w:contextualSpacing/>
              <w:jc w:val="center"/>
              <w:rPr>
                <w:rFonts w:ascii="宋体" w:hAnsi="宋体" w:eastAsia="宋体" w:cs="Times New Roman"/>
                <w:bCs/>
                <w:color w:val="auto"/>
                <w:kern w:val="0"/>
                <w:sz w:val="24"/>
                <w:szCs w:val="21"/>
                <w:highlight w:val="none"/>
              </w:rPr>
            </w:pPr>
            <w:r>
              <w:rPr>
                <w:rFonts w:hint="eastAsia" w:ascii="宋体" w:hAnsi="宋体" w:eastAsia="宋体" w:cs="宋体"/>
                <w:color w:val="auto"/>
                <w:szCs w:val="21"/>
                <w:highlight w:val="none"/>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14:paraId="05201FE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年三个年度，每具有1个年度盈利的得1分，满分3分。</w:t>
            </w:r>
          </w:p>
          <w:p w14:paraId="329B2796">
            <w:pPr>
              <w:spacing w:line="400" w:lineRule="exact"/>
              <w:contextualSpacing/>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备注：</w:t>
            </w:r>
          </w:p>
          <w:p w14:paraId="1E939841">
            <w:pPr>
              <w:spacing w:line="400" w:lineRule="exact"/>
              <w:contextualSpacing/>
              <w:rPr>
                <w:rFonts w:ascii="宋体" w:hAnsi="宋体" w:eastAsia="宋体" w:cs="Times New Roman"/>
                <w:b/>
                <w:color w:val="auto"/>
                <w:kern w:val="0"/>
                <w:szCs w:val="21"/>
                <w:highlight w:val="none"/>
                <w:lang w:val="zh-CN"/>
              </w:rPr>
            </w:pPr>
            <w:r>
              <w:rPr>
                <w:rFonts w:hint="eastAsia" w:ascii="宋体" w:hAnsi="宋体" w:eastAsia="宋体" w:cs="宋体"/>
                <w:b/>
                <w:color w:val="auto"/>
                <w:szCs w:val="21"/>
                <w:highlight w:val="none"/>
                <w:lang w:val="zh-CN"/>
              </w:rPr>
              <w:t>盈</w:t>
            </w:r>
            <w:r>
              <w:rPr>
                <w:rFonts w:hint="eastAsia" w:ascii="宋体" w:hAnsi="宋体" w:eastAsia="宋体" w:cs="宋体"/>
                <w:b/>
                <w:color w:val="auto"/>
                <w:szCs w:val="21"/>
                <w:highlight w:val="none"/>
              </w:rPr>
              <w:t>利指净利润为正数（非零、非负数），</w:t>
            </w:r>
            <w:r>
              <w:rPr>
                <w:rFonts w:hint="eastAsia" w:ascii="宋体" w:hAnsi="宋体" w:eastAsia="宋体" w:cs="宋体"/>
                <w:b/>
                <w:color w:val="auto"/>
                <w:szCs w:val="21"/>
                <w:highlight w:val="none"/>
                <w:lang w:val="zh-CN"/>
              </w:rPr>
              <w:t>投标人应提供202</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年、202</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年、202</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年三个年度的财务报表，净利润以经审计的财务报表为准，</w:t>
            </w:r>
            <w:r>
              <w:rPr>
                <w:rFonts w:hint="eastAsia" w:ascii="宋体" w:hAnsi="宋体" w:eastAsia="宋体" w:cs="宋体"/>
                <w:b/>
                <w:color w:val="auto"/>
                <w:szCs w:val="21"/>
                <w:highlight w:val="none"/>
              </w:rPr>
              <w:t>应</w:t>
            </w:r>
            <w:r>
              <w:rPr>
                <w:rFonts w:hint="eastAsia" w:ascii="宋体" w:hAnsi="宋体" w:eastAsia="宋体" w:cs="宋体"/>
                <w:b/>
                <w:color w:val="auto"/>
                <w:szCs w:val="21"/>
                <w:highlight w:val="none"/>
                <w:lang w:val="zh-CN"/>
              </w:rPr>
              <w:t>提供经独立会计师事务所审计过的有效的财务报表</w:t>
            </w:r>
            <w:r>
              <w:rPr>
                <w:rFonts w:hint="eastAsia" w:ascii="宋体" w:hAnsi="宋体" w:eastAsia="宋体" w:cs="宋体"/>
                <w:b/>
                <w:color w:val="auto"/>
                <w:szCs w:val="21"/>
                <w:highlight w:val="none"/>
              </w:rPr>
              <w:t>复印</w:t>
            </w:r>
            <w:r>
              <w:rPr>
                <w:rFonts w:hint="eastAsia" w:ascii="宋体" w:hAnsi="宋体" w:eastAsia="宋体" w:cs="宋体"/>
                <w:b/>
                <w:color w:val="auto"/>
                <w:szCs w:val="21"/>
                <w:highlight w:val="none"/>
                <w:lang w:val="zh-CN"/>
              </w:rPr>
              <w:t>件，未提供前述财务</w:t>
            </w:r>
            <w:r>
              <w:rPr>
                <w:rFonts w:hint="eastAsia" w:ascii="宋体" w:hAnsi="宋体" w:eastAsia="宋体" w:cs="宋体"/>
                <w:b/>
                <w:color w:val="auto"/>
                <w:szCs w:val="21"/>
                <w:highlight w:val="none"/>
              </w:rPr>
              <w:t>报表</w:t>
            </w:r>
            <w:r>
              <w:rPr>
                <w:rFonts w:hint="eastAsia" w:ascii="宋体" w:hAnsi="宋体" w:eastAsia="宋体" w:cs="宋体"/>
                <w:b/>
                <w:color w:val="auto"/>
                <w:szCs w:val="21"/>
                <w:highlight w:val="none"/>
                <w:lang w:val="zh-CN"/>
              </w:rPr>
              <w:t>或财务</w:t>
            </w:r>
            <w:r>
              <w:rPr>
                <w:rFonts w:hint="eastAsia" w:ascii="宋体" w:hAnsi="宋体" w:eastAsia="宋体" w:cs="宋体"/>
                <w:b/>
                <w:color w:val="auto"/>
                <w:szCs w:val="21"/>
                <w:highlight w:val="none"/>
              </w:rPr>
              <w:t>报表</w:t>
            </w:r>
            <w:r>
              <w:rPr>
                <w:rFonts w:hint="eastAsia" w:ascii="宋体" w:hAnsi="宋体" w:eastAsia="宋体" w:cs="宋体"/>
                <w:b/>
                <w:color w:val="auto"/>
                <w:szCs w:val="21"/>
                <w:highlight w:val="none"/>
                <w:lang w:val="zh-CN"/>
              </w:rPr>
              <w:t>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657B6C3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3分</w:t>
            </w:r>
          </w:p>
        </w:tc>
      </w:tr>
      <w:tr w14:paraId="759D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51F30F4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134" w:type="dxa"/>
            <w:tcBorders>
              <w:top w:val="single" w:color="auto" w:sz="4" w:space="0"/>
              <w:left w:val="single" w:color="auto" w:sz="4" w:space="0"/>
              <w:bottom w:val="single" w:color="auto" w:sz="4" w:space="0"/>
              <w:right w:val="single" w:color="auto" w:sz="4" w:space="0"/>
            </w:tcBorders>
            <w:vAlign w:val="center"/>
          </w:tcPr>
          <w:p w14:paraId="4929B9A8">
            <w:pPr>
              <w:spacing w:line="400" w:lineRule="exact"/>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标准化系</w:t>
            </w:r>
          </w:p>
          <w:p w14:paraId="76BA76D9">
            <w:pPr>
              <w:spacing w:line="400" w:lineRule="exact"/>
              <w:contextualSpacing/>
              <w:jc w:val="center"/>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rPr>
              <w:t>统认证</w:t>
            </w:r>
          </w:p>
        </w:tc>
        <w:tc>
          <w:tcPr>
            <w:tcW w:w="7655" w:type="dxa"/>
            <w:tcBorders>
              <w:top w:val="single" w:color="auto" w:sz="4" w:space="0"/>
              <w:left w:val="single" w:color="auto" w:sz="4" w:space="0"/>
              <w:bottom w:val="single" w:color="auto" w:sz="4" w:space="0"/>
              <w:right w:val="single" w:color="auto" w:sz="4" w:space="0"/>
            </w:tcBorders>
            <w:vAlign w:val="center"/>
          </w:tcPr>
          <w:p w14:paraId="22AF598A">
            <w:pPr>
              <w:tabs>
                <w:tab w:val="left" w:pos="134"/>
              </w:tabs>
              <w:spacing w:line="400" w:lineRule="exact"/>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（1）投标人具有有效期内的ISO9001质量管理体系认证证书得1分；</w:t>
            </w:r>
          </w:p>
          <w:p w14:paraId="3CFFFE8E">
            <w:pPr>
              <w:tabs>
                <w:tab w:val="left" w:pos="134"/>
              </w:tabs>
              <w:spacing w:line="400" w:lineRule="exact"/>
              <w:contextualSpacing/>
              <w:rPr>
                <w:rFonts w:hAnsi="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2）投标人具有有效期内的ISO14001环境管理体系认证证书得1分；</w:t>
            </w:r>
          </w:p>
          <w:p w14:paraId="0CAD9EE2">
            <w:pPr>
              <w:tabs>
                <w:tab w:val="left" w:pos="134"/>
              </w:tabs>
              <w:spacing w:line="400" w:lineRule="exact"/>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（3）投标人具有有效期内的OHSAS18001（或GB/T45001-2020，或ISO45001）职业健康安全管理体系认证证书得1分。</w:t>
            </w:r>
          </w:p>
          <w:p w14:paraId="2C1E2154">
            <w:pPr>
              <w:spacing w:line="400" w:lineRule="exact"/>
              <w:contextualSpacing/>
              <w:rPr>
                <w:rFonts w:ascii="宋体" w:hAnsi="宋体" w:eastAsia="宋体" w:cs="Times New Roman"/>
                <w:b/>
                <w:color w:val="auto"/>
                <w:kern w:val="0"/>
                <w:sz w:val="24"/>
                <w:szCs w:val="24"/>
                <w:highlight w:val="none"/>
              </w:rPr>
            </w:pPr>
            <w:r>
              <w:rPr>
                <w:rFonts w:hint="eastAsia" w:ascii="宋体" w:hAnsi="宋体" w:eastAsia="宋体" w:cs="宋体"/>
                <w:b/>
                <w:color w:val="auto"/>
                <w:szCs w:val="21"/>
                <w:highlight w:val="none"/>
              </w:rPr>
              <w:t>备注：投标人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14D02FB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3分</w:t>
            </w:r>
          </w:p>
        </w:tc>
      </w:tr>
      <w:tr w14:paraId="6AE5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42B9EDAD">
            <w:pPr>
              <w:autoSpaceDE w:val="0"/>
              <w:autoSpaceDN w:val="0"/>
              <w:adjustRightInd w:val="0"/>
              <w:spacing w:line="400" w:lineRule="exact"/>
              <w:jc w:val="center"/>
              <w:rPr>
                <w:rFonts w:ascii="宋体" w:hAnsi="宋体" w:eastAsia="宋体" w:cs="宋体"/>
                <w:color w:val="auto"/>
                <w:kern w:val="0"/>
                <w:szCs w:val="21"/>
                <w:highlight w:val="none"/>
              </w:rPr>
            </w:pPr>
            <w:bookmarkStart w:id="702" w:name="_Hlk104987354"/>
            <w:r>
              <w:rPr>
                <w:rFonts w:hint="eastAsia" w:ascii="宋体" w:hAnsi="宋体" w:eastAsia="宋体" w:cs="宋体"/>
                <w:color w:val="auto"/>
                <w:kern w:val="0"/>
                <w:szCs w:val="21"/>
                <w:highlight w:val="none"/>
              </w:rPr>
              <w:t>3</w:t>
            </w:r>
          </w:p>
        </w:tc>
        <w:tc>
          <w:tcPr>
            <w:tcW w:w="1134" w:type="dxa"/>
            <w:tcBorders>
              <w:top w:val="single" w:color="auto" w:sz="4" w:space="0"/>
              <w:left w:val="single" w:color="auto" w:sz="4" w:space="0"/>
              <w:bottom w:val="single" w:color="auto" w:sz="4" w:space="0"/>
              <w:right w:val="single" w:color="auto" w:sz="4" w:space="0"/>
            </w:tcBorders>
            <w:vAlign w:val="center"/>
          </w:tcPr>
          <w:p w14:paraId="16D28E53">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业绩</w:t>
            </w:r>
          </w:p>
        </w:tc>
        <w:tc>
          <w:tcPr>
            <w:tcW w:w="7655" w:type="dxa"/>
            <w:tcBorders>
              <w:top w:val="single" w:color="auto" w:sz="4" w:space="0"/>
              <w:left w:val="single" w:color="auto" w:sz="4" w:space="0"/>
              <w:bottom w:val="single" w:color="auto" w:sz="4" w:space="0"/>
              <w:right w:val="single" w:color="auto" w:sz="4" w:space="0"/>
            </w:tcBorders>
          </w:tcPr>
          <w:p w14:paraId="616F4E44">
            <w:pPr>
              <w:pStyle w:val="24"/>
              <w:spacing w:line="360" w:lineRule="auto"/>
              <w:contextualSpacing/>
              <w:jc w:val="left"/>
              <w:rPr>
                <w:rFonts w:hAnsi="宋体" w:cs="宋体"/>
                <w:b/>
                <w:bCs/>
                <w:color w:val="auto"/>
                <w:szCs w:val="21"/>
                <w:highlight w:val="none"/>
              </w:rPr>
            </w:pPr>
            <w:r>
              <w:rPr>
                <w:rFonts w:hint="eastAsia" w:hAnsi="宋体" w:cs="宋体"/>
                <w:color w:val="auto"/>
                <w:szCs w:val="21"/>
                <w:highlight w:val="none"/>
              </w:rPr>
              <w:t>投标人202</w:t>
            </w:r>
            <w:r>
              <w:rPr>
                <w:rFonts w:hint="eastAsia" w:hAnsi="宋体" w:cs="宋体"/>
                <w:color w:val="auto"/>
                <w:szCs w:val="21"/>
                <w:highlight w:val="none"/>
                <w:lang w:val="en-US" w:eastAsia="zh-CN"/>
              </w:rPr>
              <w:t>2</w:t>
            </w:r>
            <w:r>
              <w:rPr>
                <w:rFonts w:hint="eastAsia" w:hAnsi="宋体" w:cs="宋体"/>
                <w:color w:val="auto"/>
                <w:szCs w:val="21"/>
                <w:highlight w:val="none"/>
              </w:rPr>
              <w:t>年1月1日以来承接的运维维修工器具类物资在国内的销售业绩，按下列情况评分，</w:t>
            </w:r>
            <w:r>
              <w:rPr>
                <w:rFonts w:hint="eastAsia" w:hAnsi="宋体" w:cs="宋体"/>
                <w:b/>
                <w:bCs/>
                <w:color w:val="auto"/>
                <w:szCs w:val="21"/>
                <w:highlight w:val="none"/>
              </w:rPr>
              <w:t>本项业绩评审满分24分。</w:t>
            </w:r>
          </w:p>
          <w:p w14:paraId="508A4718">
            <w:pPr>
              <w:pStyle w:val="24"/>
              <w:spacing w:line="360" w:lineRule="auto"/>
              <w:contextualSpacing/>
              <w:jc w:val="left"/>
              <w:rPr>
                <w:rFonts w:hAnsi="宋体" w:cs="宋体"/>
                <w:color w:val="auto"/>
                <w:szCs w:val="21"/>
                <w:highlight w:val="none"/>
              </w:rPr>
            </w:pPr>
            <w:r>
              <w:rPr>
                <w:rFonts w:hint="eastAsia" w:hAnsi="宋体" w:cs="宋体"/>
                <w:color w:val="auto"/>
                <w:szCs w:val="21"/>
                <w:highlight w:val="none"/>
              </w:rPr>
              <w:fldChar w:fldCharType="begin"/>
            </w:r>
            <w:r>
              <w:rPr>
                <w:rFonts w:hint="eastAsia" w:hAnsi="宋体" w:cs="宋体"/>
                <w:color w:val="auto"/>
                <w:szCs w:val="21"/>
                <w:highlight w:val="none"/>
              </w:rPr>
              <w:instrText xml:space="preserve"> = 1 \* GB3 </w:instrText>
            </w:r>
            <w:r>
              <w:rPr>
                <w:rFonts w:hint="eastAsia" w:hAnsi="宋体" w:cs="宋体"/>
                <w:color w:val="auto"/>
                <w:szCs w:val="21"/>
                <w:highlight w:val="none"/>
              </w:rPr>
              <w:fldChar w:fldCharType="separate"/>
            </w:r>
            <w:r>
              <w:rPr>
                <w:rFonts w:hint="eastAsia" w:hAnsi="宋体" w:cs="宋体"/>
                <w:color w:val="auto"/>
                <w:szCs w:val="21"/>
                <w:highlight w:val="none"/>
              </w:rPr>
              <w:t>①</w:t>
            </w:r>
            <w:r>
              <w:rPr>
                <w:rFonts w:hint="eastAsia" w:hAnsi="宋体" w:cs="宋体"/>
                <w:color w:val="auto"/>
                <w:szCs w:val="21"/>
                <w:highlight w:val="none"/>
              </w:rPr>
              <w:fldChar w:fldCharType="end"/>
            </w:r>
            <w:r>
              <w:rPr>
                <w:rFonts w:hint="eastAsia" w:hAnsi="宋体" w:cs="宋体"/>
                <w:color w:val="auto"/>
                <w:szCs w:val="21"/>
                <w:highlight w:val="none"/>
              </w:rPr>
              <w:t>单项合同金额≥</w:t>
            </w:r>
            <w:r>
              <w:rPr>
                <w:rFonts w:hint="eastAsia" w:hAnsi="宋体" w:cs="宋体"/>
                <w:color w:val="auto"/>
                <w:szCs w:val="21"/>
                <w:highlight w:val="none"/>
                <w:lang w:val="en-US" w:eastAsia="zh-CN"/>
              </w:rPr>
              <w:t>200</w:t>
            </w:r>
            <w:r>
              <w:rPr>
                <w:rFonts w:hint="eastAsia" w:hAnsi="宋体" w:cs="宋体"/>
                <w:color w:val="auto"/>
                <w:szCs w:val="21"/>
                <w:highlight w:val="none"/>
              </w:rPr>
              <w:t>万元的前述业绩，每项得4分。</w:t>
            </w:r>
          </w:p>
          <w:p w14:paraId="5D5ECEB2">
            <w:pPr>
              <w:pStyle w:val="24"/>
              <w:spacing w:line="360" w:lineRule="auto"/>
              <w:contextualSpacing/>
              <w:jc w:val="left"/>
              <w:rPr>
                <w:rFonts w:hAnsi="宋体" w:cs="宋体"/>
                <w:color w:val="auto"/>
                <w:szCs w:val="21"/>
                <w:highlight w:val="none"/>
              </w:rPr>
            </w:pPr>
            <w:r>
              <w:rPr>
                <w:rFonts w:hint="eastAsia" w:hAnsi="宋体" w:cs="宋体"/>
                <w:color w:val="auto"/>
                <w:szCs w:val="21"/>
                <w:highlight w:val="none"/>
              </w:rPr>
              <w:fldChar w:fldCharType="begin"/>
            </w:r>
            <w:r>
              <w:rPr>
                <w:rFonts w:hint="eastAsia" w:hAnsi="宋体" w:cs="宋体"/>
                <w:color w:val="auto"/>
                <w:szCs w:val="21"/>
                <w:highlight w:val="none"/>
              </w:rPr>
              <w:instrText xml:space="preserve"> = 2 \* GB3 </w:instrText>
            </w:r>
            <w:r>
              <w:rPr>
                <w:rFonts w:hint="eastAsia" w:hAnsi="宋体" w:cs="宋体"/>
                <w:color w:val="auto"/>
                <w:szCs w:val="21"/>
                <w:highlight w:val="none"/>
              </w:rPr>
              <w:fldChar w:fldCharType="separate"/>
            </w:r>
            <w:r>
              <w:rPr>
                <w:rFonts w:hint="eastAsia" w:hAnsi="宋体" w:cs="宋体"/>
                <w:color w:val="auto"/>
                <w:szCs w:val="21"/>
                <w:highlight w:val="none"/>
              </w:rPr>
              <w:t>②</w:t>
            </w:r>
            <w:r>
              <w:rPr>
                <w:rFonts w:hint="eastAsia" w:hAnsi="宋体" w:cs="宋体"/>
                <w:color w:val="auto"/>
                <w:szCs w:val="21"/>
                <w:highlight w:val="none"/>
              </w:rPr>
              <w:fldChar w:fldCharType="end"/>
            </w:r>
            <w:r>
              <w:rPr>
                <w:rFonts w:hint="eastAsia" w:hAnsi="宋体" w:cs="宋体"/>
                <w:color w:val="auto"/>
                <w:szCs w:val="21"/>
                <w:highlight w:val="none"/>
                <w:lang w:val="en-US" w:eastAsia="zh-CN"/>
              </w:rPr>
              <w:t>100</w:t>
            </w:r>
            <w:r>
              <w:rPr>
                <w:rFonts w:hint="eastAsia" w:hAnsi="宋体" w:cs="宋体"/>
                <w:color w:val="auto"/>
                <w:szCs w:val="21"/>
                <w:highlight w:val="none"/>
              </w:rPr>
              <w:t>万元≤单项合同金额＜</w:t>
            </w:r>
            <w:r>
              <w:rPr>
                <w:rFonts w:hint="eastAsia" w:hAnsi="宋体" w:cs="宋体"/>
                <w:color w:val="auto"/>
                <w:szCs w:val="21"/>
                <w:highlight w:val="none"/>
                <w:lang w:val="en-US" w:eastAsia="zh-CN"/>
              </w:rPr>
              <w:t>200</w:t>
            </w:r>
            <w:r>
              <w:rPr>
                <w:rFonts w:hint="eastAsia" w:hAnsi="宋体" w:cs="宋体"/>
                <w:color w:val="auto"/>
                <w:szCs w:val="21"/>
                <w:highlight w:val="none"/>
              </w:rPr>
              <w:t>万元的前述业绩，每项得2分。</w:t>
            </w:r>
          </w:p>
          <w:p w14:paraId="0624E4EF">
            <w:pPr>
              <w:pStyle w:val="24"/>
              <w:spacing w:line="360" w:lineRule="auto"/>
              <w:contextualSpacing/>
              <w:jc w:val="left"/>
              <w:rPr>
                <w:rFonts w:hAnsi="宋体" w:cs="宋体"/>
                <w:color w:val="auto"/>
                <w:szCs w:val="21"/>
                <w:highlight w:val="none"/>
              </w:rPr>
            </w:pPr>
            <w:r>
              <w:rPr>
                <w:rFonts w:hint="eastAsia" w:hAnsi="宋体" w:cs="宋体"/>
                <w:color w:val="auto"/>
                <w:szCs w:val="21"/>
                <w:highlight w:val="none"/>
              </w:rPr>
              <w:fldChar w:fldCharType="begin"/>
            </w:r>
            <w:r>
              <w:rPr>
                <w:rFonts w:hint="eastAsia" w:hAnsi="宋体" w:cs="宋体"/>
                <w:color w:val="auto"/>
                <w:szCs w:val="21"/>
                <w:highlight w:val="none"/>
              </w:rPr>
              <w:instrText xml:space="preserve"> = 3 \* GB3 </w:instrText>
            </w:r>
            <w:r>
              <w:rPr>
                <w:rFonts w:hint="eastAsia" w:hAnsi="宋体" w:cs="宋体"/>
                <w:color w:val="auto"/>
                <w:szCs w:val="21"/>
                <w:highlight w:val="none"/>
              </w:rPr>
              <w:fldChar w:fldCharType="separate"/>
            </w:r>
            <w:r>
              <w:rPr>
                <w:rFonts w:hint="eastAsia" w:hAnsi="宋体" w:cs="宋体"/>
                <w:color w:val="auto"/>
                <w:szCs w:val="21"/>
                <w:highlight w:val="none"/>
              </w:rPr>
              <w:t>③</w:t>
            </w:r>
            <w:r>
              <w:rPr>
                <w:rFonts w:hint="eastAsia" w:hAnsi="宋体" w:cs="宋体"/>
                <w:color w:val="auto"/>
                <w:szCs w:val="21"/>
                <w:highlight w:val="none"/>
              </w:rPr>
              <w:fldChar w:fldCharType="end"/>
            </w:r>
            <w:r>
              <w:rPr>
                <w:rFonts w:hint="eastAsia" w:hAnsi="宋体" w:cs="宋体"/>
                <w:color w:val="auto"/>
                <w:szCs w:val="21"/>
                <w:highlight w:val="none"/>
                <w:lang w:val="en-US" w:eastAsia="zh-CN"/>
              </w:rPr>
              <w:t>50</w:t>
            </w:r>
            <w:r>
              <w:rPr>
                <w:rFonts w:hint="eastAsia" w:hAnsi="宋体" w:cs="宋体"/>
                <w:color w:val="auto"/>
                <w:szCs w:val="21"/>
                <w:highlight w:val="none"/>
              </w:rPr>
              <w:t>万元≤单项合同金额＜</w:t>
            </w:r>
            <w:r>
              <w:rPr>
                <w:rFonts w:hint="eastAsia" w:hAnsi="宋体" w:cs="宋体"/>
                <w:color w:val="auto"/>
                <w:szCs w:val="21"/>
                <w:highlight w:val="none"/>
                <w:lang w:val="en-US" w:eastAsia="zh-CN"/>
              </w:rPr>
              <w:t>100</w:t>
            </w:r>
            <w:r>
              <w:rPr>
                <w:rFonts w:hint="eastAsia" w:hAnsi="宋体" w:cs="宋体"/>
                <w:color w:val="auto"/>
                <w:szCs w:val="21"/>
                <w:highlight w:val="none"/>
              </w:rPr>
              <w:t>万元的前述业绩，每项得1分，</w:t>
            </w:r>
            <w:r>
              <w:rPr>
                <w:rFonts w:hint="eastAsia" w:hAnsi="宋体" w:cs="宋体"/>
                <w:b/>
                <w:bCs/>
                <w:color w:val="auto"/>
                <w:szCs w:val="21"/>
                <w:highlight w:val="none"/>
              </w:rPr>
              <w:t>本子项满分12分</w:t>
            </w:r>
            <w:r>
              <w:rPr>
                <w:rFonts w:hint="eastAsia" w:hAnsi="宋体" w:cs="宋体"/>
                <w:color w:val="auto"/>
                <w:szCs w:val="21"/>
                <w:highlight w:val="none"/>
              </w:rPr>
              <w:t>。</w:t>
            </w:r>
          </w:p>
          <w:p w14:paraId="3F839755">
            <w:pPr>
              <w:spacing w:line="360" w:lineRule="auto"/>
              <w:contextualSpacing/>
              <w:rPr>
                <w:rFonts w:ascii="宋体" w:hAnsi="宋体" w:eastAsia="宋体" w:cs="宋体"/>
                <w:b/>
                <w:color w:val="auto"/>
                <w:szCs w:val="21"/>
                <w:highlight w:val="none"/>
              </w:rPr>
            </w:pPr>
            <w:r>
              <w:rPr>
                <w:rFonts w:hint="eastAsia" w:ascii="宋体" w:hAnsi="宋体" w:eastAsia="宋体" w:cs="宋体"/>
                <w:b/>
                <w:color w:val="auto"/>
                <w:szCs w:val="21"/>
                <w:highlight w:val="none"/>
              </w:rPr>
              <w:t>备注：</w:t>
            </w:r>
          </w:p>
          <w:p w14:paraId="3143B421">
            <w:pPr>
              <w:spacing w:line="360" w:lineRule="auto"/>
              <w:contextualSpacing/>
              <w:rPr>
                <w:rFonts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业绩须同时提供①运维维修工器具类物资销售合同复印件（合同卖方为投标人，需显示合同买方公章）；②已供货产品任意一张发票复印件（发票开具日期须在本项目招标公告发布之日前）；</w:t>
            </w:r>
          </w:p>
          <w:p w14:paraId="3F2C914C">
            <w:pPr>
              <w:spacing w:line="360" w:lineRule="auto"/>
              <w:contextualSpacing/>
              <w:rPr>
                <w:rFonts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eastAsia="zh-CN"/>
              </w:rPr>
              <w:t>）</w:t>
            </w:r>
            <w:r>
              <w:rPr>
                <w:rFonts w:hint="eastAsia" w:ascii="宋体" w:hAnsi="宋体" w:eastAsia="宋体" w:cs="宋体"/>
                <w:color w:val="auto"/>
                <w:szCs w:val="21"/>
                <w:highlight w:val="none"/>
              </w:rPr>
              <w:t>合同必须能反映评分条件【合同签订日期为202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1月1日或以后，合同标的必须包含运维维修工器具类物资（即五金材料、维修工具及材料、巡查养护工具及材料中任意一类）、合同金额，如合同中有多种产品的，以合同中运维维修工器具类物资的金额为准】，否则，需同时提供合同买方出具的书面补充说明文件复印件作为证明文件（书面补充说明文件复印件需能显示合同买方公章）</w:t>
            </w:r>
            <w:r>
              <w:rPr>
                <w:rFonts w:hint="eastAsia" w:ascii="宋体" w:hAnsi="宋体" w:eastAsia="宋体" w:cs="宋体"/>
                <w:b/>
                <w:color w:val="auto"/>
                <w:szCs w:val="21"/>
                <w:highlight w:val="none"/>
              </w:rPr>
              <w:t>；</w:t>
            </w:r>
          </w:p>
          <w:p w14:paraId="5C6A2D8A">
            <w:pPr>
              <w:spacing w:line="360" w:lineRule="auto"/>
              <w:contextualSpacing/>
              <w:rPr>
                <w:rFonts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若业绩为框架式协议或资格入围无明确金额的合同，必须同时提供合同期限内已供货发票金额统计表和发票复印件；</w:t>
            </w:r>
          </w:p>
          <w:p w14:paraId="40D62C92">
            <w:pPr>
              <w:snapToGrid w:val="0"/>
              <w:spacing w:line="360" w:lineRule="auto"/>
              <w:ind w:left="19" w:leftChars="9"/>
              <w:rPr>
                <w:rFonts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未按上述要求提供证明材料的业绩，或所附材料无法证明填报项目属投标人完成的或符合本项评分要求的业绩，在评标时将不予考虑。</w:t>
            </w:r>
          </w:p>
          <w:p w14:paraId="0E059CFD">
            <w:pPr>
              <w:snapToGrid w:val="0"/>
              <w:spacing w:line="360" w:lineRule="auto"/>
              <w:ind w:left="19" w:leftChars="9"/>
              <w:rPr>
                <w:rFonts w:ascii="宋体" w:hAnsi="宋体" w:eastAsia="宋体" w:cs="宋体"/>
                <w:b/>
                <w:color w:val="auto"/>
                <w:kern w:val="0"/>
                <w:szCs w:val="21"/>
                <w:highlight w:val="none"/>
              </w:rPr>
            </w:pPr>
            <w:r>
              <w:rPr>
                <w:rFonts w:hint="eastAsia" w:ascii="宋体" w:hAnsi="宋体" w:eastAsia="宋体" w:cs="宋体"/>
                <w:b/>
                <w:color w:val="auto"/>
                <w:szCs w:val="21"/>
                <w:highlight w:val="none"/>
              </w:rPr>
              <w:t>说明：运维维修工器具指五金材料、维修工具及材料、巡查养护工具及材料，投标人提供的业绩包含以上任一类即可得分。</w:t>
            </w:r>
          </w:p>
        </w:tc>
        <w:tc>
          <w:tcPr>
            <w:tcW w:w="907" w:type="dxa"/>
            <w:tcBorders>
              <w:top w:val="single" w:color="auto" w:sz="4" w:space="0"/>
              <w:left w:val="single" w:color="auto" w:sz="4" w:space="0"/>
              <w:bottom w:val="single" w:color="auto" w:sz="4" w:space="0"/>
              <w:right w:val="single" w:color="auto" w:sz="4" w:space="0"/>
            </w:tcBorders>
            <w:vAlign w:val="center"/>
          </w:tcPr>
          <w:p w14:paraId="646915FA">
            <w:pPr>
              <w:spacing w:line="360" w:lineRule="auto"/>
              <w:contextualSpacing/>
              <w:jc w:val="center"/>
              <w:rPr>
                <w:rFonts w:ascii="宋体" w:hAnsi="宋体" w:eastAsia="宋体" w:cs="宋体"/>
                <w:color w:val="auto"/>
                <w:szCs w:val="24"/>
                <w:highlight w:val="none"/>
              </w:rPr>
            </w:pPr>
            <w:r>
              <w:rPr>
                <w:rFonts w:hint="eastAsia" w:ascii="宋体" w:hAnsi="宋体" w:eastAsia="宋体" w:cs="宋体"/>
                <w:color w:val="auto"/>
                <w:szCs w:val="21"/>
                <w:highlight w:val="none"/>
              </w:rPr>
              <w:t>24分</w:t>
            </w:r>
          </w:p>
        </w:tc>
      </w:tr>
      <w:bookmarkEnd w:id="702"/>
    </w:tbl>
    <w:p w14:paraId="0B9D0D5E">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703" w:name="_Toc11639_WPSOffice_Level2"/>
    </w:p>
    <w:p w14:paraId="14B3A37B">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分</w:t>
      </w:r>
      <w:bookmarkEnd w:id="703"/>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14:paraId="36D4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07A4CDE0">
            <w:pPr>
              <w:autoSpaceDE w:val="0"/>
              <w:autoSpaceDN w:val="0"/>
              <w:adjustRightInd w:val="0"/>
              <w:spacing w:line="400" w:lineRule="exact"/>
              <w:jc w:val="center"/>
              <w:rPr>
                <w:rFonts w:ascii="宋体" w:hAnsi="宋体" w:eastAsia="宋体" w:cs="宋体"/>
                <w:b/>
                <w:color w:val="auto"/>
                <w:kern w:val="0"/>
                <w:szCs w:val="21"/>
                <w:highlight w:val="none"/>
              </w:rPr>
            </w:pPr>
            <w:bookmarkStart w:id="704"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09467598">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0" w:type="pct"/>
            <w:tcBorders>
              <w:top w:val="single" w:color="auto" w:sz="4" w:space="0"/>
              <w:left w:val="single" w:color="auto" w:sz="4" w:space="0"/>
              <w:bottom w:val="single" w:color="auto" w:sz="4" w:space="0"/>
              <w:right w:val="single" w:color="auto" w:sz="4" w:space="0"/>
            </w:tcBorders>
            <w:vAlign w:val="center"/>
          </w:tcPr>
          <w:p w14:paraId="7A726F1F">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74AF8B30">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3348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0F991E3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1753D258">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用户需求响应程度</w:t>
            </w:r>
          </w:p>
        </w:tc>
        <w:tc>
          <w:tcPr>
            <w:tcW w:w="3690" w:type="pct"/>
            <w:tcBorders>
              <w:top w:val="single" w:color="auto" w:sz="4" w:space="0"/>
              <w:left w:val="single" w:color="auto" w:sz="4" w:space="0"/>
              <w:bottom w:val="single" w:color="auto" w:sz="4" w:space="0"/>
              <w:right w:val="single" w:color="auto" w:sz="4" w:space="0"/>
            </w:tcBorders>
            <w:vAlign w:val="center"/>
          </w:tcPr>
          <w:p w14:paraId="4727C6A0">
            <w:pPr>
              <w:spacing w:line="360" w:lineRule="auto"/>
              <w:contextualSpacing/>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根据用户需求偏离表的偏离情况进行评审计分，完全满足用户需求</w:t>
            </w:r>
            <w:r>
              <w:rPr>
                <w:rFonts w:hint="eastAsia" w:ascii="宋体" w:hAnsi="宋体" w:eastAsia="宋体" w:cs="宋体"/>
                <w:color w:val="auto"/>
                <w:szCs w:val="21"/>
                <w:highlight w:val="none"/>
              </w:rPr>
              <w:t>书</w:t>
            </w:r>
            <w:r>
              <w:rPr>
                <w:rFonts w:hint="eastAsia" w:ascii="宋体" w:hAnsi="宋体" w:eastAsia="宋体" w:cs="宋体"/>
                <w:color w:val="auto"/>
                <w:szCs w:val="21"/>
                <w:highlight w:val="none"/>
                <w:lang w:val="zh-CN"/>
              </w:rPr>
              <w:t>的要求得满分，每一处负偏离，扣2分；同时参照其投标文件中技术资料的内容进行对比，每发现一处投标人填写为无偏离或正偏离，但评标委员会评审认定其为负偏离的，每处扣</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59EAB04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10分</w:t>
            </w:r>
          </w:p>
        </w:tc>
      </w:tr>
      <w:tr w14:paraId="76DF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restart"/>
            <w:tcBorders>
              <w:top w:val="single" w:color="auto" w:sz="4" w:space="0"/>
              <w:left w:val="single" w:color="auto" w:sz="4" w:space="0"/>
              <w:right w:val="single" w:color="auto" w:sz="4" w:space="0"/>
            </w:tcBorders>
            <w:vAlign w:val="center"/>
          </w:tcPr>
          <w:p w14:paraId="4525785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546" w:type="pct"/>
            <w:vMerge w:val="restart"/>
            <w:tcBorders>
              <w:top w:val="single" w:color="auto" w:sz="4" w:space="0"/>
              <w:left w:val="single" w:color="auto" w:sz="4" w:space="0"/>
              <w:bottom w:val="single" w:color="auto" w:sz="4" w:space="0"/>
              <w:right w:val="single" w:color="auto" w:sz="4" w:space="0"/>
            </w:tcBorders>
            <w:vAlign w:val="center"/>
          </w:tcPr>
          <w:p w14:paraId="718C0650">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所投运维维修工器具类物资品牌</w:t>
            </w:r>
          </w:p>
        </w:tc>
        <w:tc>
          <w:tcPr>
            <w:tcW w:w="3690" w:type="pct"/>
            <w:tcBorders>
              <w:top w:val="single" w:color="auto" w:sz="4" w:space="0"/>
              <w:left w:val="single" w:color="auto" w:sz="4" w:space="0"/>
              <w:bottom w:val="single" w:color="auto" w:sz="4" w:space="0"/>
              <w:right w:val="single" w:color="auto" w:sz="4" w:space="0"/>
            </w:tcBorders>
            <w:vAlign w:val="center"/>
          </w:tcPr>
          <w:p w14:paraId="548F0B4F">
            <w:pPr>
              <w:spacing w:line="360" w:lineRule="auto"/>
              <w:contextualSpacing/>
              <w:rPr>
                <w:rFonts w:ascii="宋体" w:hAnsi="宋体" w:eastAsia="宋体" w:cs="宋体"/>
                <w:b/>
                <w:color w:val="auto"/>
                <w:szCs w:val="21"/>
                <w:highlight w:val="none"/>
              </w:rPr>
            </w:pPr>
            <w:r>
              <w:rPr>
                <w:rFonts w:hint="eastAsia" w:ascii="宋体" w:hAnsi="宋体" w:eastAsia="宋体" w:cs="宋体"/>
                <w:b/>
                <w:color w:val="auto"/>
                <w:szCs w:val="21"/>
                <w:highlight w:val="none"/>
              </w:rPr>
              <w:t>（1）对各投标人所投的运维维修工器具类物资的品牌与采购清单的匹配度情况进行评审：</w:t>
            </w:r>
          </w:p>
          <w:p w14:paraId="343375BE">
            <w:pPr>
              <w:spacing w:line="360" w:lineRule="auto"/>
              <w:contextualSpacing/>
              <w:rPr>
                <w:rFonts w:ascii="宋体" w:hAnsi="宋体" w:eastAsia="宋体" w:cs="宋体"/>
                <w:b/>
                <w:color w:val="auto"/>
                <w:szCs w:val="21"/>
                <w:highlight w:val="none"/>
              </w:rPr>
            </w:pPr>
            <w:r>
              <w:rPr>
                <w:rFonts w:hint="eastAsia" w:ascii="宋体" w:hAnsi="宋体" w:eastAsia="宋体" w:cs="宋体"/>
                <w:color w:val="auto"/>
                <w:szCs w:val="21"/>
                <w:highlight w:val="none"/>
              </w:rPr>
              <w:t>投标人所投品牌与采购清单中推荐品牌都匹配的得满分。每有1项的投标人所投品牌与采购清单中推荐品牌不匹配的，扣1分，扣完为止。</w:t>
            </w:r>
          </w:p>
          <w:p w14:paraId="435656F6">
            <w:pPr>
              <w:spacing w:line="360" w:lineRule="auto"/>
              <w:contextualSpacing/>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p w14:paraId="0574E452">
            <w:pPr>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1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投标人所投品牌与推荐品牌没有1个是一致的即为不匹配；所投品牌中至少有1个品牌与推荐品牌一致的即为匹配；若推荐品牌为任意品牌的，投标人所报的任意品牌均视为匹配。</w:t>
            </w:r>
          </w:p>
          <w:p w14:paraId="6FA32F86">
            <w:pPr>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2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投标人应提供【投标品牌不匹配情况汇总表】、【投标品牌表】，否则不得分。</w:t>
            </w:r>
          </w:p>
          <w:p w14:paraId="722D9F32">
            <w:pPr>
              <w:spacing w:line="360" w:lineRule="auto"/>
              <w:contextualSpacing/>
              <w:rPr>
                <w:rFonts w:ascii="宋体" w:hAnsi="宋体" w:eastAsia="宋体" w:cs="宋体"/>
                <w:color w:val="auto"/>
                <w:kern w:val="0"/>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3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本项以【投标品牌不匹配情况汇总表】为准进行评审。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61A424B4">
            <w:pPr>
              <w:pStyle w:val="199"/>
              <w:keepNext w:val="0"/>
              <w:tabs>
                <w:tab w:val="left" w:pos="585"/>
                <w:tab w:val="left" w:pos="680"/>
              </w:tabs>
              <w:spacing w:after="0" w:line="360" w:lineRule="auto"/>
              <w:contextualSpacing/>
              <w:jc w:val="center"/>
              <w:rPr>
                <w:rFonts w:ascii="宋体" w:hAnsi="宋体" w:cs="宋体"/>
                <w:color w:val="auto"/>
                <w:kern w:val="0"/>
                <w:szCs w:val="21"/>
                <w:highlight w:val="none"/>
              </w:rPr>
            </w:pPr>
            <w:r>
              <w:rPr>
                <w:rFonts w:hint="eastAsia" w:ascii="宋体" w:hAnsi="宋体" w:cs="宋体"/>
                <w:color w:val="auto"/>
                <w:szCs w:val="21"/>
                <w:highlight w:val="none"/>
              </w:rPr>
              <w:t>8分</w:t>
            </w:r>
          </w:p>
        </w:tc>
      </w:tr>
      <w:tr w14:paraId="5082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continue"/>
            <w:tcBorders>
              <w:left w:val="single" w:color="auto" w:sz="4" w:space="0"/>
              <w:bottom w:val="single" w:color="auto" w:sz="4" w:space="0"/>
              <w:right w:val="single" w:color="auto" w:sz="4" w:space="0"/>
            </w:tcBorders>
            <w:vAlign w:val="center"/>
          </w:tcPr>
          <w:p w14:paraId="2CAECF3A">
            <w:pPr>
              <w:autoSpaceDE w:val="0"/>
              <w:autoSpaceDN w:val="0"/>
              <w:adjustRightInd w:val="0"/>
              <w:spacing w:line="400" w:lineRule="exact"/>
              <w:jc w:val="center"/>
              <w:rPr>
                <w:rFonts w:ascii="宋体" w:hAnsi="宋体" w:eastAsia="宋体" w:cs="宋体"/>
                <w:color w:val="auto"/>
                <w:kern w:val="0"/>
                <w:szCs w:val="21"/>
                <w:highlight w:val="none"/>
              </w:rPr>
            </w:pPr>
          </w:p>
        </w:tc>
        <w:tc>
          <w:tcPr>
            <w:tcW w:w="546" w:type="pct"/>
            <w:vMerge w:val="continue"/>
            <w:tcBorders>
              <w:top w:val="single" w:color="auto" w:sz="4" w:space="0"/>
              <w:left w:val="single" w:color="auto" w:sz="4" w:space="0"/>
              <w:bottom w:val="single" w:color="auto" w:sz="4" w:space="0"/>
              <w:right w:val="single" w:color="auto" w:sz="4" w:space="0"/>
            </w:tcBorders>
            <w:vAlign w:val="center"/>
          </w:tcPr>
          <w:p w14:paraId="76F718D1">
            <w:pPr>
              <w:spacing w:line="360" w:lineRule="auto"/>
              <w:contextualSpacing/>
              <w:jc w:val="center"/>
              <w:rPr>
                <w:rFonts w:ascii="宋体" w:hAnsi="宋体" w:eastAsia="宋体" w:cs="宋体"/>
                <w:color w:val="auto"/>
                <w:kern w:val="0"/>
                <w:szCs w:val="21"/>
                <w:highlight w:val="none"/>
              </w:rPr>
            </w:pPr>
          </w:p>
        </w:tc>
        <w:tc>
          <w:tcPr>
            <w:tcW w:w="3690" w:type="pct"/>
            <w:tcBorders>
              <w:top w:val="single" w:color="auto" w:sz="4" w:space="0"/>
              <w:left w:val="single" w:color="auto" w:sz="4" w:space="0"/>
              <w:bottom w:val="single" w:color="auto" w:sz="4" w:space="0"/>
              <w:right w:val="single" w:color="auto" w:sz="4" w:space="0"/>
            </w:tcBorders>
            <w:vAlign w:val="center"/>
          </w:tcPr>
          <w:p w14:paraId="367AB24E">
            <w:pPr>
              <w:spacing w:line="360" w:lineRule="auto"/>
              <w:contextualSpacing/>
              <w:rPr>
                <w:rFonts w:ascii="宋体" w:hAnsi="宋体" w:eastAsia="宋体" w:cs="宋体"/>
                <w:b/>
                <w:color w:val="auto"/>
                <w:szCs w:val="21"/>
                <w:highlight w:val="none"/>
              </w:rPr>
            </w:pPr>
            <w:r>
              <w:rPr>
                <w:rFonts w:hint="eastAsia" w:ascii="宋体" w:hAnsi="宋体" w:eastAsia="宋体" w:cs="宋体"/>
                <w:b/>
                <w:color w:val="auto"/>
                <w:szCs w:val="21"/>
                <w:highlight w:val="none"/>
              </w:rPr>
              <w:t>（2）对各投标人所投的运维维修工器具类物资的品牌进行评审：</w:t>
            </w:r>
          </w:p>
          <w:p w14:paraId="7DA84866">
            <w:pPr>
              <w:spacing w:line="360" w:lineRule="auto"/>
              <w:contextualSpacing/>
              <w:rPr>
                <w:rFonts w:ascii="宋体" w:hAnsi="宋体" w:eastAsia="宋体" w:cs="宋体"/>
                <w:bCs/>
                <w:color w:val="auto"/>
                <w:szCs w:val="21"/>
                <w:highlight w:val="none"/>
              </w:rPr>
            </w:pPr>
            <w:r>
              <w:rPr>
                <w:rFonts w:hint="eastAsia" w:ascii="宋体" w:hAnsi="宋体" w:eastAsia="宋体" w:cs="宋体"/>
                <w:b/>
                <w:color w:val="auto"/>
                <w:szCs w:val="21"/>
                <w:highlight w:val="none"/>
              </w:rPr>
              <w:t>优 （</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rPr>
              <w:t>分</w:t>
            </w:r>
            <w:r>
              <w:rPr>
                <w:rFonts w:hint="eastAsia" w:ascii="宋体" w:hAnsi="宋体" w:eastAsia="宋体" w:cs="宋体"/>
                <w:b/>
                <w:color w:val="auto"/>
                <w:szCs w:val="21"/>
                <w:highlight w:val="none"/>
              </w:rPr>
              <w:t>：</w:t>
            </w:r>
            <w:r>
              <w:rPr>
                <w:rFonts w:hint="eastAsia" w:ascii="宋体" w:hAnsi="宋体" w:eastAsia="宋体" w:cs="宋体"/>
                <w:bCs/>
                <w:color w:val="auto"/>
                <w:szCs w:val="21"/>
                <w:highlight w:val="none"/>
              </w:rPr>
              <w:t>所投品牌在行业内具有卓越的市场口碑和知名度，产品质量和性能得到广泛认可，长期保持稳定的高品质输出，很少出现质量问题</w:t>
            </w:r>
            <w:r>
              <w:rPr>
                <w:rFonts w:hint="eastAsia" w:ascii="宋体" w:hAnsi="宋体" w:eastAsia="宋体" w:cs="宋体"/>
                <w:color w:val="auto"/>
                <w:szCs w:val="21"/>
                <w:highlight w:val="none"/>
              </w:rPr>
              <w:t>；</w:t>
            </w:r>
          </w:p>
          <w:p w14:paraId="77EAD01C">
            <w:pPr>
              <w:spacing w:line="360" w:lineRule="auto"/>
              <w:contextualSpacing/>
              <w:rPr>
                <w:rFonts w:ascii="宋体" w:hAnsi="宋体" w:eastAsia="宋体" w:cs="宋体"/>
                <w:bCs/>
                <w:color w:val="auto"/>
                <w:szCs w:val="21"/>
                <w:highlight w:val="none"/>
              </w:rPr>
            </w:pPr>
            <w:r>
              <w:rPr>
                <w:rFonts w:hint="eastAsia" w:ascii="宋体" w:hAnsi="宋体" w:eastAsia="宋体" w:cs="宋体"/>
                <w:b/>
                <w:color w:val="auto"/>
                <w:szCs w:val="21"/>
                <w:highlight w:val="none"/>
              </w:rPr>
              <w:t>良 （</w:t>
            </w:r>
            <w:r>
              <w:rPr>
                <w:rFonts w:hint="eastAsia" w:ascii="宋体" w:hAnsi="宋体" w:eastAsia="宋体" w:cs="宋体"/>
                <w:b/>
                <w:color w:val="auto"/>
                <w:szCs w:val="21"/>
                <w:highlight w:val="none"/>
                <w:lang w:val="en-US" w:eastAsia="zh-CN"/>
              </w:rPr>
              <w:t>1.5</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]分：</w:t>
            </w:r>
            <w:r>
              <w:rPr>
                <w:rFonts w:hint="eastAsia" w:ascii="宋体" w:hAnsi="宋体" w:eastAsia="宋体" w:cs="宋体"/>
                <w:bCs/>
                <w:color w:val="auto"/>
                <w:szCs w:val="21"/>
                <w:highlight w:val="none"/>
              </w:rPr>
              <w:t>所投品牌具有较高的知名度和良好的声誉，产品在实际应用中表现良好，具有较好的市场口碑</w:t>
            </w:r>
            <w:r>
              <w:rPr>
                <w:rFonts w:hint="eastAsia" w:ascii="宋体" w:hAnsi="宋体" w:eastAsia="宋体" w:cs="宋体"/>
                <w:color w:val="auto"/>
                <w:szCs w:val="21"/>
                <w:highlight w:val="none"/>
              </w:rPr>
              <w:t>；</w:t>
            </w:r>
          </w:p>
          <w:p w14:paraId="7EE3F934">
            <w:pPr>
              <w:spacing w:line="360" w:lineRule="auto"/>
              <w:contextualSpacing/>
              <w:rPr>
                <w:rFonts w:ascii="宋体" w:hAnsi="宋体" w:eastAsia="宋体" w:cs="宋体"/>
                <w:bCs/>
                <w:color w:val="auto"/>
                <w:szCs w:val="21"/>
                <w:highlight w:val="none"/>
              </w:rPr>
            </w:pPr>
            <w:r>
              <w:rPr>
                <w:rFonts w:hint="eastAsia" w:ascii="宋体" w:hAnsi="宋体" w:eastAsia="宋体" w:cs="宋体"/>
                <w:b/>
                <w:color w:val="auto"/>
                <w:szCs w:val="21"/>
                <w:highlight w:val="none"/>
              </w:rPr>
              <w:t>中 （</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]分：</w:t>
            </w:r>
            <w:r>
              <w:rPr>
                <w:rFonts w:hint="eastAsia" w:ascii="宋体" w:hAnsi="宋体" w:eastAsia="宋体" w:cs="宋体"/>
                <w:bCs/>
                <w:color w:val="auto"/>
                <w:szCs w:val="21"/>
                <w:highlight w:val="none"/>
              </w:rPr>
              <w:t>所投品牌具有一定的市场认可度，产品质量基本能达到行业标准，但可能存在一些小瑕疵</w:t>
            </w:r>
            <w:r>
              <w:rPr>
                <w:rFonts w:hint="eastAsia" w:ascii="宋体" w:hAnsi="宋体" w:eastAsia="宋体" w:cs="宋体"/>
                <w:color w:val="auto"/>
                <w:szCs w:val="21"/>
                <w:highlight w:val="none"/>
              </w:rPr>
              <w:t>；</w:t>
            </w:r>
          </w:p>
          <w:p w14:paraId="7EEC5F65">
            <w:pPr>
              <w:spacing w:line="360" w:lineRule="auto"/>
              <w:contextualSpacing/>
              <w:rPr>
                <w:rFonts w:ascii="宋体" w:hAnsi="宋体" w:eastAsia="宋体" w:cs="宋体"/>
                <w:bCs/>
                <w:color w:val="auto"/>
                <w:szCs w:val="21"/>
                <w:highlight w:val="none"/>
              </w:rPr>
            </w:pPr>
            <w:r>
              <w:rPr>
                <w:rFonts w:hint="eastAsia" w:ascii="宋体" w:hAnsi="宋体" w:eastAsia="宋体" w:cs="宋体"/>
                <w:b/>
                <w:color w:val="auto"/>
                <w:szCs w:val="21"/>
                <w:highlight w:val="none"/>
              </w:rPr>
              <w:t xml:space="preserve">差 </w:t>
            </w:r>
            <w:r>
              <w:rPr>
                <w:rFonts w:hint="eastAsia" w:ascii="宋体" w:hAnsi="宋体" w:eastAsia="宋体" w:cs="宋体"/>
                <w:b/>
                <w:bCs/>
                <w:color w:val="auto"/>
                <w:szCs w:val="21"/>
                <w:highlight w:val="none"/>
                <w:lang w:val="zh-CN"/>
              </w:rPr>
              <w:t>[</w:t>
            </w:r>
            <w:r>
              <w:rPr>
                <w:rFonts w:hint="eastAsia" w:ascii="宋体" w:hAnsi="宋体" w:eastAsia="宋体" w:cs="宋体"/>
                <w:b/>
                <w:color w:val="auto"/>
                <w:szCs w:val="21"/>
                <w:highlight w:val="none"/>
                <w:lang w:val="en-US" w:eastAsia="zh-CN"/>
              </w:rPr>
              <w:t>0，1</w:t>
            </w:r>
            <w:r>
              <w:rPr>
                <w:rFonts w:hint="eastAsia" w:ascii="宋体" w:hAnsi="宋体" w:eastAsia="宋体" w:cs="宋体"/>
                <w:b/>
                <w:color w:val="auto"/>
                <w:szCs w:val="21"/>
                <w:highlight w:val="none"/>
              </w:rPr>
              <w:t>]分：</w:t>
            </w:r>
            <w:r>
              <w:rPr>
                <w:rFonts w:hint="eastAsia" w:ascii="宋体" w:hAnsi="宋体" w:eastAsia="宋体" w:cs="宋体"/>
                <w:bCs/>
                <w:color w:val="auto"/>
                <w:szCs w:val="21"/>
                <w:highlight w:val="none"/>
              </w:rPr>
              <w:t>所投品牌知名度较低，市场份额较小，产品质量、性能存在明显不足</w:t>
            </w:r>
            <w:r>
              <w:rPr>
                <w:rFonts w:hint="eastAsia" w:ascii="宋体" w:hAnsi="宋体" w:eastAsia="宋体" w:cs="宋体"/>
                <w:color w:val="auto"/>
                <w:szCs w:val="21"/>
                <w:highlight w:val="none"/>
              </w:rPr>
              <w:t>。</w:t>
            </w:r>
          </w:p>
          <w:p w14:paraId="2253F16F">
            <w:pPr>
              <w:spacing w:line="360" w:lineRule="auto"/>
              <w:contextualSpacing/>
              <w:rPr>
                <w:rFonts w:ascii="宋体" w:hAnsi="宋体" w:eastAsia="宋体" w:cs="宋体"/>
                <w:color w:val="auto"/>
                <w:kern w:val="0"/>
                <w:szCs w:val="21"/>
                <w:highlight w:val="none"/>
              </w:rPr>
            </w:pPr>
            <w:r>
              <w:rPr>
                <w:rFonts w:hint="eastAsia" w:ascii="宋体" w:hAnsi="宋体" w:eastAsia="宋体" w:cs="宋体"/>
                <w:b/>
                <w:color w:val="auto"/>
                <w:szCs w:val="21"/>
                <w:highlight w:val="none"/>
              </w:rPr>
              <w:t>备注：投标人应提供【投标品牌表】，否则不得分。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0832E3D6">
            <w:pPr>
              <w:pStyle w:val="199"/>
              <w:keepNext w:val="0"/>
              <w:tabs>
                <w:tab w:val="left" w:pos="585"/>
                <w:tab w:val="left" w:pos="680"/>
              </w:tabs>
              <w:spacing w:after="0" w:line="360" w:lineRule="auto"/>
              <w:contextualSpacing/>
              <w:jc w:val="center"/>
              <w:rPr>
                <w:rFonts w:ascii="宋体" w:hAnsi="宋体" w:cs="宋体"/>
                <w:color w:val="auto"/>
                <w:kern w:val="0"/>
                <w:szCs w:val="21"/>
                <w:highlight w:val="none"/>
              </w:rPr>
            </w:pPr>
            <w:r>
              <w:rPr>
                <w:rFonts w:hint="eastAsia" w:ascii="宋体" w:hAnsi="宋体" w:cs="宋体"/>
                <w:color w:val="auto"/>
                <w:szCs w:val="21"/>
                <w:highlight w:val="none"/>
              </w:rPr>
              <w:t>3分</w:t>
            </w:r>
          </w:p>
        </w:tc>
      </w:tr>
      <w:tr w14:paraId="777B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3E38A9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14:paraId="7B6086A7">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整体供货服务流程</w:t>
            </w:r>
          </w:p>
        </w:tc>
        <w:tc>
          <w:tcPr>
            <w:tcW w:w="3690" w:type="pct"/>
            <w:tcBorders>
              <w:top w:val="single" w:color="auto" w:sz="4" w:space="0"/>
              <w:left w:val="single" w:color="auto" w:sz="4" w:space="0"/>
              <w:bottom w:val="single" w:color="auto" w:sz="4" w:space="0"/>
              <w:right w:val="single" w:color="auto" w:sz="4" w:space="0"/>
            </w:tcBorders>
            <w:vAlign w:val="center"/>
          </w:tcPr>
          <w:p w14:paraId="2E2A28BC">
            <w:pPr>
              <w:spacing w:line="360" w:lineRule="auto"/>
              <w:contextualSpacing/>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对各投标人所提供的整体供货服务流程内容是否全面、思路是否清晰，对本项目工作的重点、难点分析</w:t>
            </w:r>
            <w:r>
              <w:rPr>
                <w:rFonts w:hint="eastAsia" w:ascii="宋体" w:hAnsi="宋体" w:eastAsia="宋体" w:cs="宋体"/>
                <w:b/>
                <w:bCs/>
                <w:color w:val="auto"/>
                <w:szCs w:val="21"/>
                <w:highlight w:val="none"/>
                <w:lang w:val="en-US" w:eastAsia="zh-CN"/>
              </w:rPr>
              <w:t>是否</w:t>
            </w:r>
            <w:r>
              <w:rPr>
                <w:rFonts w:hint="eastAsia" w:ascii="宋体" w:hAnsi="宋体" w:eastAsia="宋体" w:cs="宋体"/>
                <w:b/>
                <w:bCs/>
                <w:color w:val="auto"/>
                <w:szCs w:val="21"/>
                <w:highlight w:val="none"/>
              </w:rPr>
              <w:t>准确、透彻，对应措施是否科学、是否具有可操作性，服务计划是否完善、统筹是否合理等进行评审：</w:t>
            </w:r>
          </w:p>
          <w:p w14:paraId="7A839593">
            <w:pPr>
              <w:spacing w:line="360" w:lineRule="auto"/>
              <w:contextualSpacing/>
              <w:rPr>
                <w:rFonts w:ascii="宋体" w:hAnsi="宋体" w:eastAsia="宋体" w:cs="宋体"/>
                <w:color w:val="auto"/>
                <w:szCs w:val="21"/>
                <w:highlight w:val="none"/>
              </w:rPr>
            </w:pPr>
            <w:r>
              <w:rPr>
                <w:rFonts w:hint="eastAsia" w:ascii="宋体" w:hAnsi="宋体" w:eastAsia="宋体" w:cs="宋体"/>
                <w:b/>
                <w:color w:val="auto"/>
                <w:szCs w:val="21"/>
                <w:highlight w:val="none"/>
              </w:rPr>
              <w:t>优 （</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rPr>
              <w:t>分</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整体供货服务流程内容非常全面，思路清晰明确，具有很强的逻辑性，对本项目工作的重点和难点分析非常准确、透彻，对应措施具有高度的科学性，可操作性极强，能切实有效地解决实际问题，服务计划完善，对供货时间、资源等进行了合理且高效的统筹安排；</w:t>
            </w:r>
          </w:p>
          <w:p w14:paraId="05E486E1">
            <w:pPr>
              <w:spacing w:line="360" w:lineRule="auto"/>
              <w:contextualSpacing/>
              <w:rPr>
                <w:rFonts w:ascii="宋体" w:hAnsi="宋体" w:eastAsia="宋体" w:cs="宋体"/>
                <w:color w:val="auto"/>
                <w:szCs w:val="21"/>
                <w:highlight w:val="none"/>
              </w:rPr>
            </w:pPr>
            <w:r>
              <w:rPr>
                <w:rFonts w:hint="eastAsia" w:ascii="宋体" w:hAnsi="宋体" w:eastAsia="宋体" w:cs="宋体"/>
                <w:b/>
                <w:color w:val="auto"/>
                <w:szCs w:val="21"/>
                <w:highlight w:val="none"/>
              </w:rPr>
              <w:t>良 （</w:t>
            </w:r>
            <w:r>
              <w:rPr>
                <w:rFonts w:hint="eastAsia" w:ascii="宋体" w:hAnsi="宋体" w:eastAsia="宋体" w:cs="宋体"/>
                <w:b/>
                <w:color w:val="auto"/>
                <w:szCs w:val="21"/>
                <w:highlight w:val="none"/>
                <w:lang w:val="en-US" w:eastAsia="zh-CN"/>
              </w:rPr>
              <w:t>1.5</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]分：</w:t>
            </w:r>
            <w:r>
              <w:rPr>
                <w:rFonts w:hint="eastAsia" w:ascii="宋体" w:hAnsi="宋体" w:eastAsia="宋体" w:cs="宋体"/>
                <w:color w:val="auto"/>
                <w:szCs w:val="21"/>
                <w:highlight w:val="none"/>
              </w:rPr>
              <w:t>供货服务流程内容比较全面，对项目工作的重点、难点有较为准确的把握，对应措施合理且具有一定的科学性，可操作性较好，能够较好地应对常见问题。服务计划较为完善，统筹安排较为合理，能够保证整个供货服务流程的顺利推进；</w:t>
            </w:r>
          </w:p>
          <w:p w14:paraId="412B7791">
            <w:pPr>
              <w:spacing w:line="360" w:lineRule="auto"/>
              <w:contextualSpacing/>
              <w:rPr>
                <w:rFonts w:ascii="宋体" w:hAnsi="宋体" w:eastAsia="宋体" w:cs="宋体"/>
                <w:color w:val="auto"/>
                <w:szCs w:val="21"/>
                <w:highlight w:val="none"/>
              </w:rPr>
            </w:pPr>
            <w:r>
              <w:rPr>
                <w:rFonts w:hint="eastAsia" w:ascii="宋体" w:hAnsi="宋体" w:eastAsia="宋体" w:cs="宋体"/>
                <w:b/>
                <w:color w:val="auto"/>
                <w:szCs w:val="21"/>
                <w:highlight w:val="none"/>
              </w:rPr>
              <w:t>中 （</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]分：</w:t>
            </w:r>
            <w:r>
              <w:rPr>
                <w:rFonts w:hint="eastAsia" w:ascii="宋体" w:hAnsi="宋体" w:eastAsia="宋体" w:cs="宋体"/>
                <w:color w:val="auto"/>
                <w:szCs w:val="21"/>
                <w:highlight w:val="none"/>
              </w:rPr>
              <w:t>供货服务流程内容基本完整，思路基本清晰，对项目工作重点、难点的分析基本到位，对应措施具有一定的可行性，服务计划基本合理，但在资源利用效率或进度安排上可能存在一些不足；</w:t>
            </w:r>
          </w:p>
          <w:p w14:paraId="4FC466C3">
            <w:pPr>
              <w:spacing w:line="360" w:lineRule="auto"/>
              <w:contextualSpacing/>
              <w:rPr>
                <w:rFonts w:ascii="宋体" w:hAnsi="宋体" w:eastAsia="宋体" w:cs="宋体"/>
                <w:color w:val="auto"/>
                <w:kern w:val="0"/>
                <w:szCs w:val="21"/>
                <w:highlight w:val="none"/>
              </w:rPr>
            </w:pPr>
            <w:r>
              <w:rPr>
                <w:rFonts w:hint="eastAsia" w:ascii="宋体" w:hAnsi="宋体" w:eastAsia="宋体" w:cs="宋体"/>
                <w:b/>
                <w:color w:val="auto"/>
                <w:szCs w:val="21"/>
                <w:highlight w:val="none"/>
              </w:rPr>
              <w:t xml:space="preserve">差 </w:t>
            </w:r>
            <w:r>
              <w:rPr>
                <w:rFonts w:hint="eastAsia" w:ascii="宋体" w:hAnsi="宋体" w:eastAsia="宋体" w:cs="宋体"/>
                <w:b/>
                <w:bCs/>
                <w:color w:val="auto"/>
                <w:szCs w:val="21"/>
                <w:highlight w:val="none"/>
                <w:lang w:val="zh-CN"/>
              </w:rPr>
              <w:t>[</w:t>
            </w:r>
            <w:r>
              <w:rPr>
                <w:rFonts w:hint="eastAsia" w:ascii="宋体" w:hAnsi="宋体" w:eastAsia="宋体" w:cs="宋体"/>
                <w:b/>
                <w:color w:val="auto"/>
                <w:szCs w:val="21"/>
                <w:highlight w:val="none"/>
                <w:lang w:val="en-US" w:eastAsia="zh-CN"/>
              </w:rPr>
              <w:t>0，1</w:t>
            </w:r>
            <w:r>
              <w:rPr>
                <w:rFonts w:hint="eastAsia" w:ascii="宋体" w:hAnsi="宋体" w:eastAsia="宋体" w:cs="宋体"/>
                <w:b/>
                <w:color w:val="auto"/>
                <w:szCs w:val="21"/>
                <w:highlight w:val="none"/>
              </w:rPr>
              <w:t>]分：</w:t>
            </w:r>
            <w:r>
              <w:rPr>
                <w:rFonts w:hint="eastAsia" w:ascii="宋体" w:hAnsi="宋体" w:eastAsia="宋体" w:cs="宋体"/>
                <w:color w:val="auto"/>
                <w:szCs w:val="21"/>
                <w:highlight w:val="none"/>
              </w:rPr>
              <w:t>供货服务流程内容存在明显的不全面之处，有较多遗漏或错误。对项目工作的重点、难点分析不准确，存在较大偏差，导致应对措施也缺乏针对性和有效性。服务计划缺乏合理性和统筹性，无法保障整个供货服务流程的顺利进行。</w:t>
            </w:r>
          </w:p>
        </w:tc>
        <w:tc>
          <w:tcPr>
            <w:tcW w:w="437" w:type="pct"/>
            <w:tcBorders>
              <w:top w:val="single" w:color="auto" w:sz="4" w:space="0"/>
              <w:left w:val="single" w:color="auto" w:sz="4" w:space="0"/>
              <w:bottom w:val="single" w:color="auto" w:sz="4" w:space="0"/>
              <w:right w:val="single" w:color="auto" w:sz="4" w:space="0"/>
            </w:tcBorders>
            <w:vAlign w:val="center"/>
          </w:tcPr>
          <w:p w14:paraId="4465B9AA">
            <w:pPr>
              <w:pStyle w:val="199"/>
              <w:keepNext w:val="0"/>
              <w:tabs>
                <w:tab w:val="left" w:pos="585"/>
                <w:tab w:val="left" w:pos="680"/>
              </w:tabs>
              <w:spacing w:after="0" w:line="360" w:lineRule="auto"/>
              <w:contextualSpacing/>
              <w:jc w:val="center"/>
              <w:rPr>
                <w:rFonts w:ascii="宋体" w:hAnsi="宋体" w:cs="宋体"/>
                <w:color w:val="auto"/>
                <w:kern w:val="0"/>
                <w:szCs w:val="21"/>
                <w:highlight w:val="none"/>
              </w:rPr>
            </w:pPr>
            <w:r>
              <w:rPr>
                <w:rFonts w:hint="eastAsia" w:ascii="宋体" w:hAnsi="宋体" w:cs="宋体"/>
                <w:color w:val="auto"/>
                <w:szCs w:val="21"/>
                <w:highlight w:val="none"/>
              </w:rPr>
              <w:t>3分</w:t>
            </w:r>
          </w:p>
        </w:tc>
      </w:tr>
      <w:tr w14:paraId="0E71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D4CBA5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546" w:type="pct"/>
            <w:tcBorders>
              <w:top w:val="single" w:color="auto" w:sz="4" w:space="0"/>
              <w:left w:val="single" w:color="auto" w:sz="4" w:space="0"/>
              <w:bottom w:val="single" w:color="auto" w:sz="4" w:space="0"/>
              <w:right w:val="single" w:color="auto" w:sz="4" w:space="0"/>
            </w:tcBorders>
            <w:vAlign w:val="center"/>
          </w:tcPr>
          <w:p w14:paraId="11A96893">
            <w:pPr>
              <w:pStyle w:val="68"/>
              <w:spacing w:line="360" w:lineRule="auto"/>
              <w:ind w:firstLine="0" w:firstLineChars="0"/>
              <w:contextualSpacing/>
              <w:jc w:val="center"/>
              <w:rPr>
                <w:rFonts w:ascii="宋体" w:eastAsia="宋体" w:cs="宋体"/>
                <w:color w:val="auto"/>
                <w:kern w:val="0"/>
                <w:szCs w:val="21"/>
                <w:highlight w:val="none"/>
              </w:rPr>
            </w:pPr>
            <w:r>
              <w:rPr>
                <w:rFonts w:hint="eastAsia" w:ascii="宋体" w:eastAsia="宋体" w:cs="宋体"/>
                <w:color w:val="auto"/>
                <w:sz w:val="21"/>
                <w:szCs w:val="21"/>
                <w:highlight w:val="none"/>
                <w:lang w:val="zh-CN"/>
              </w:rPr>
              <w:t>供货计划及进度保证措施方案</w:t>
            </w:r>
          </w:p>
        </w:tc>
        <w:tc>
          <w:tcPr>
            <w:tcW w:w="3690" w:type="pct"/>
            <w:tcBorders>
              <w:top w:val="single" w:color="auto" w:sz="4" w:space="0"/>
              <w:left w:val="single" w:color="auto" w:sz="4" w:space="0"/>
              <w:bottom w:val="single" w:color="auto" w:sz="4" w:space="0"/>
              <w:right w:val="single" w:color="auto" w:sz="4" w:space="0"/>
            </w:tcBorders>
            <w:vAlign w:val="center"/>
          </w:tcPr>
          <w:p w14:paraId="6559BA15">
            <w:pPr>
              <w:pStyle w:val="68"/>
              <w:spacing w:line="360" w:lineRule="auto"/>
              <w:ind w:firstLine="0" w:firstLineChars="0"/>
              <w:contextualSpacing/>
              <w:rPr>
                <w:rFonts w:ascii="宋体" w:eastAsia="宋体" w:cs="宋体"/>
                <w:b/>
                <w:bCs/>
                <w:color w:val="auto"/>
                <w:sz w:val="21"/>
                <w:szCs w:val="21"/>
                <w:highlight w:val="none"/>
              </w:rPr>
            </w:pPr>
            <w:r>
              <w:rPr>
                <w:rFonts w:hint="eastAsia" w:ascii="宋体" w:eastAsia="宋体" w:cs="宋体"/>
                <w:b/>
                <w:bCs/>
                <w:color w:val="auto"/>
                <w:sz w:val="21"/>
                <w:szCs w:val="21"/>
                <w:highlight w:val="none"/>
              </w:rPr>
              <w:t>对各投标人所提供的供货计划是否实质性满足或优于本项目需求，进度保证措施是否具体、是否具有可行性进行评审：</w:t>
            </w:r>
          </w:p>
          <w:p w14:paraId="0F47F1BD">
            <w:pPr>
              <w:pStyle w:val="199"/>
              <w:keepNext w:val="0"/>
              <w:tabs>
                <w:tab w:val="left" w:pos="585"/>
                <w:tab w:val="left" w:pos="680"/>
              </w:tabs>
              <w:spacing w:after="0" w:line="360" w:lineRule="auto"/>
              <w:ind w:left="19" w:hanging="19" w:hangingChars="9"/>
              <w:rPr>
                <w:rFonts w:ascii="宋体" w:hAnsi="宋体" w:cs="宋体"/>
                <w:color w:val="auto"/>
                <w:szCs w:val="21"/>
                <w:highlight w:val="none"/>
              </w:rPr>
            </w:pPr>
            <w:r>
              <w:rPr>
                <w:rFonts w:hint="eastAsia" w:ascii="宋体" w:hAnsi="宋体" w:cs="宋体"/>
                <w:b/>
                <w:bCs/>
                <w:color w:val="auto"/>
                <w:szCs w:val="21"/>
                <w:highlight w:val="none"/>
              </w:rPr>
              <w:t xml:space="preserve">优 </w:t>
            </w:r>
            <w:r>
              <w:rPr>
                <w:rFonts w:hint="eastAsia" w:ascii="宋体" w:hAnsi="宋体" w:eastAsia="宋体" w:cs="宋体"/>
                <w:b/>
                <w:color w:val="auto"/>
                <w:szCs w:val="21"/>
                <w:highlight w:val="none"/>
              </w:rPr>
              <w:t>（</w:t>
            </w:r>
            <w:r>
              <w:rPr>
                <w:rFonts w:hint="eastAsia" w:ascii="宋体" w:hAnsi="宋体" w:eastAsia="宋体" w:cs="宋体"/>
                <w:b/>
                <w:bCs/>
                <w:color w:val="auto"/>
                <w:szCs w:val="21"/>
                <w:highlight w:val="none"/>
                <w:lang w:val="en-US" w:eastAsia="zh-CN"/>
              </w:rPr>
              <w:t>2</w:t>
            </w:r>
            <w:r>
              <w:rPr>
                <w:rFonts w:hint="eastAsia" w:ascii="宋体" w:hAnsi="宋体" w:cs="宋体"/>
                <w:b/>
                <w:bCs/>
                <w:color w:val="auto"/>
                <w:szCs w:val="21"/>
                <w:highlight w:val="none"/>
                <w:lang w:val="zh-CN"/>
              </w:rPr>
              <w:t>，</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lang w:val="zh-CN"/>
              </w:rPr>
              <w:t>]</w:t>
            </w:r>
            <w:r>
              <w:rPr>
                <w:rFonts w:hint="eastAsia" w:ascii="宋体" w:hAnsi="宋体" w:cs="宋体"/>
                <w:b/>
                <w:bCs/>
                <w:color w:val="auto"/>
                <w:szCs w:val="21"/>
                <w:highlight w:val="none"/>
              </w:rPr>
              <w:t>分：</w:t>
            </w:r>
            <w:r>
              <w:rPr>
                <w:rFonts w:hint="eastAsia" w:ascii="宋体" w:hAnsi="宋体" w:cs="宋体"/>
                <w:color w:val="auto"/>
                <w:szCs w:val="21"/>
                <w:highlight w:val="none"/>
              </w:rPr>
              <w:t>供货计划完全满足或优于本项目需求，进度计划规划非常清晰，相关进度保证措施非常具体，可行性、合理</w:t>
            </w:r>
            <w:r>
              <w:rPr>
                <w:rFonts w:hint="eastAsia" w:ascii="宋体" w:hAnsi="宋体" w:cs="宋体"/>
                <w:color w:val="auto"/>
                <w:szCs w:val="21"/>
                <w:highlight w:val="none"/>
                <w:lang w:val="en-US" w:eastAsia="zh-CN"/>
              </w:rPr>
              <w:t>性</w:t>
            </w:r>
            <w:r>
              <w:rPr>
                <w:rFonts w:hint="eastAsia" w:ascii="宋体" w:hAnsi="宋体" w:cs="宋体"/>
                <w:color w:val="auto"/>
                <w:szCs w:val="21"/>
                <w:highlight w:val="none"/>
              </w:rPr>
              <w:t>高且具有实用性；</w:t>
            </w:r>
          </w:p>
          <w:p w14:paraId="70C541A8">
            <w:pPr>
              <w:pStyle w:val="199"/>
              <w:keepNext w:val="0"/>
              <w:tabs>
                <w:tab w:val="left" w:pos="585"/>
                <w:tab w:val="left" w:pos="680"/>
              </w:tabs>
              <w:spacing w:after="0" w:line="360" w:lineRule="auto"/>
              <w:ind w:left="19" w:hanging="19" w:hangingChars="9"/>
              <w:rPr>
                <w:rFonts w:ascii="宋体" w:hAnsi="宋体" w:cs="宋体"/>
                <w:color w:val="auto"/>
                <w:szCs w:val="21"/>
                <w:highlight w:val="none"/>
              </w:rPr>
            </w:pPr>
            <w:r>
              <w:rPr>
                <w:rFonts w:hint="eastAsia" w:ascii="宋体" w:hAnsi="宋体" w:cs="宋体"/>
                <w:b/>
                <w:bCs/>
                <w:color w:val="auto"/>
                <w:szCs w:val="21"/>
                <w:highlight w:val="none"/>
              </w:rPr>
              <w:t xml:space="preserve">良 </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1.5</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w:t>
            </w:r>
            <w:r>
              <w:rPr>
                <w:rFonts w:hint="eastAsia" w:ascii="宋体" w:hAnsi="宋体" w:cs="宋体"/>
                <w:b/>
                <w:bCs/>
                <w:color w:val="auto"/>
                <w:szCs w:val="21"/>
                <w:highlight w:val="none"/>
              </w:rPr>
              <w:t>分：</w:t>
            </w:r>
            <w:r>
              <w:rPr>
                <w:rFonts w:hint="eastAsia" w:ascii="宋体" w:hAnsi="宋体" w:cs="宋体"/>
                <w:color w:val="auto"/>
                <w:szCs w:val="21"/>
                <w:highlight w:val="none"/>
              </w:rPr>
              <w:t>供货计划比较符合本项目需求，进度计划规划较清晰，相关进度保证措施较具体，可行性、合理性较高；</w:t>
            </w:r>
          </w:p>
          <w:p w14:paraId="0FDCCDA4">
            <w:pPr>
              <w:pStyle w:val="199"/>
              <w:keepNext w:val="0"/>
              <w:tabs>
                <w:tab w:val="left" w:pos="585"/>
                <w:tab w:val="left" w:pos="680"/>
              </w:tabs>
              <w:spacing w:after="0" w:line="360" w:lineRule="auto"/>
              <w:ind w:left="19" w:hanging="19" w:hangingChars="9"/>
              <w:rPr>
                <w:rFonts w:ascii="宋体" w:hAnsi="宋体" w:cs="宋体"/>
                <w:color w:val="auto"/>
                <w:szCs w:val="21"/>
                <w:highlight w:val="none"/>
              </w:rPr>
            </w:pPr>
            <w:r>
              <w:rPr>
                <w:rFonts w:hint="eastAsia" w:ascii="宋体" w:hAnsi="宋体" w:cs="宋体"/>
                <w:b/>
                <w:bCs/>
                <w:color w:val="auto"/>
                <w:szCs w:val="21"/>
                <w:highlight w:val="none"/>
              </w:rPr>
              <w:t xml:space="preserve">中 </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1</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w:t>
            </w:r>
            <w:r>
              <w:rPr>
                <w:rFonts w:hint="eastAsia" w:ascii="宋体" w:hAnsi="宋体" w:cs="宋体"/>
                <w:b/>
                <w:bCs/>
                <w:color w:val="auto"/>
                <w:szCs w:val="21"/>
                <w:highlight w:val="none"/>
              </w:rPr>
              <w:t>分：</w:t>
            </w:r>
            <w:r>
              <w:rPr>
                <w:rFonts w:hint="eastAsia" w:ascii="宋体" w:hAnsi="宋体" w:cs="宋体"/>
                <w:color w:val="auto"/>
                <w:szCs w:val="21"/>
                <w:highlight w:val="none"/>
              </w:rPr>
              <w:t>供货计划基本符合本项目需求，进度计划规划一般，相关进度保证措施一般，可行性、合理性一般；</w:t>
            </w:r>
          </w:p>
          <w:p w14:paraId="0E69F761">
            <w:pPr>
              <w:pStyle w:val="68"/>
              <w:spacing w:line="360" w:lineRule="auto"/>
              <w:ind w:firstLine="0" w:firstLineChars="0"/>
              <w:contextualSpacing/>
              <w:rPr>
                <w:rFonts w:ascii="宋体" w:eastAsia="宋体" w:cs="宋体"/>
                <w:color w:val="auto"/>
                <w:sz w:val="21"/>
                <w:szCs w:val="21"/>
                <w:highlight w:val="none"/>
              </w:rPr>
            </w:pPr>
            <w:r>
              <w:rPr>
                <w:rFonts w:hint="eastAsia" w:ascii="宋体" w:eastAsia="宋体" w:cs="宋体"/>
                <w:b/>
                <w:bCs/>
                <w:color w:val="auto"/>
                <w:sz w:val="21"/>
                <w:szCs w:val="21"/>
                <w:highlight w:val="none"/>
              </w:rPr>
              <w:t xml:space="preserve">差 </w:t>
            </w:r>
            <w:r>
              <w:rPr>
                <w:rFonts w:hint="eastAsia" w:ascii="宋体" w:eastAsia="宋体" w:cs="宋体"/>
                <w:b/>
                <w:bCs/>
                <w:color w:val="auto"/>
                <w:sz w:val="21"/>
                <w:szCs w:val="21"/>
                <w:highlight w:val="none"/>
                <w:lang w:val="zh-CN"/>
              </w:rPr>
              <w:t>[</w:t>
            </w:r>
            <w:r>
              <w:rPr>
                <w:rFonts w:hint="eastAsia" w:ascii="宋体" w:eastAsia="宋体" w:cs="宋体"/>
                <w:b/>
                <w:bCs/>
                <w:color w:val="auto"/>
                <w:sz w:val="21"/>
                <w:szCs w:val="21"/>
                <w:highlight w:val="none"/>
                <w:lang w:val="en-US" w:eastAsia="zh-CN"/>
              </w:rPr>
              <w:t>0，1</w:t>
            </w:r>
            <w:r>
              <w:rPr>
                <w:rFonts w:hint="eastAsia" w:ascii="宋体" w:eastAsia="宋体" w:cs="宋体"/>
                <w:b/>
                <w:bCs/>
                <w:color w:val="auto"/>
                <w:sz w:val="21"/>
                <w:szCs w:val="21"/>
                <w:highlight w:val="none"/>
              </w:rPr>
              <w:t>]分：</w:t>
            </w:r>
            <w:r>
              <w:rPr>
                <w:rFonts w:hint="eastAsia" w:ascii="宋体" w:eastAsia="宋体" w:cs="宋体"/>
                <w:color w:val="auto"/>
                <w:sz w:val="21"/>
                <w:szCs w:val="21"/>
                <w:highlight w:val="none"/>
              </w:rPr>
              <w:t>供货计划内容缺失，进度计划表规划较差，相关进度保证措施较少，可行性、合理性较差。</w:t>
            </w:r>
          </w:p>
        </w:tc>
        <w:tc>
          <w:tcPr>
            <w:tcW w:w="437" w:type="pct"/>
            <w:tcBorders>
              <w:top w:val="single" w:color="auto" w:sz="4" w:space="0"/>
              <w:left w:val="single" w:color="auto" w:sz="4" w:space="0"/>
              <w:bottom w:val="single" w:color="auto" w:sz="4" w:space="0"/>
              <w:right w:val="single" w:color="auto" w:sz="4" w:space="0"/>
            </w:tcBorders>
            <w:vAlign w:val="center"/>
          </w:tcPr>
          <w:p w14:paraId="7ED701D0">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3分</w:t>
            </w:r>
          </w:p>
        </w:tc>
      </w:tr>
      <w:tr w14:paraId="21CB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right w:val="single" w:color="auto" w:sz="4" w:space="0"/>
            </w:tcBorders>
            <w:vAlign w:val="center"/>
          </w:tcPr>
          <w:p w14:paraId="6A92497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546" w:type="pct"/>
            <w:tcBorders>
              <w:top w:val="single" w:color="auto" w:sz="4" w:space="0"/>
              <w:left w:val="single" w:color="auto" w:sz="4" w:space="0"/>
              <w:right w:val="single" w:color="auto" w:sz="4" w:space="0"/>
            </w:tcBorders>
            <w:vAlign w:val="center"/>
          </w:tcPr>
          <w:p w14:paraId="5D00493F">
            <w:pPr>
              <w:pStyle w:val="68"/>
              <w:spacing w:line="360" w:lineRule="auto"/>
              <w:ind w:firstLine="0" w:firstLineChars="0"/>
              <w:contextualSpacing/>
              <w:jc w:val="center"/>
              <w:rPr>
                <w:rFonts w:ascii="宋体" w:eastAsia="宋体" w:cs="宋体"/>
                <w:color w:val="auto"/>
                <w:kern w:val="0"/>
                <w:szCs w:val="21"/>
                <w:highlight w:val="none"/>
              </w:rPr>
            </w:pPr>
            <w:r>
              <w:rPr>
                <w:rFonts w:hint="eastAsia" w:ascii="宋体" w:eastAsia="宋体" w:cs="宋体"/>
                <w:color w:val="auto"/>
                <w:sz w:val="21"/>
                <w:szCs w:val="21"/>
                <w:highlight w:val="none"/>
              </w:rPr>
              <w:t>售后服务质量保证和承诺</w:t>
            </w:r>
          </w:p>
        </w:tc>
        <w:tc>
          <w:tcPr>
            <w:tcW w:w="3690" w:type="pct"/>
            <w:tcBorders>
              <w:top w:val="single" w:color="auto" w:sz="4" w:space="0"/>
              <w:left w:val="single" w:color="auto" w:sz="4" w:space="0"/>
              <w:right w:val="single" w:color="auto" w:sz="4" w:space="0"/>
            </w:tcBorders>
            <w:vAlign w:val="center"/>
          </w:tcPr>
          <w:p w14:paraId="4071F9FE">
            <w:pPr>
              <w:pStyle w:val="68"/>
              <w:spacing w:line="360" w:lineRule="auto"/>
              <w:ind w:firstLine="0" w:firstLineChars="0"/>
              <w:contextualSpacing/>
              <w:rPr>
                <w:rFonts w:ascii="宋体" w:eastAsia="宋体" w:cs="宋体"/>
                <w:b/>
                <w:color w:val="auto"/>
                <w:sz w:val="21"/>
                <w:szCs w:val="21"/>
                <w:highlight w:val="none"/>
              </w:rPr>
            </w:pPr>
            <w:r>
              <w:rPr>
                <w:rFonts w:hint="eastAsia" w:ascii="宋体" w:eastAsia="宋体" w:cs="宋体"/>
                <w:b/>
                <w:color w:val="auto"/>
                <w:sz w:val="21"/>
                <w:szCs w:val="21"/>
                <w:highlight w:val="none"/>
              </w:rPr>
              <w:t>对各投标人的售后服务质量保证和承诺方案内容的完整性、可行性，售后服务机构的便利性、技术服务人员数量及水平，以及服务响应时间等方面进行评审：</w:t>
            </w:r>
          </w:p>
          <w:p w14:paraId="0438C22D">
            <w:pPr>
              <w:pStyle w:val="68"/>
              <w:spacing w:line="360" w:lineRule="auto"/>
              <w:ind w:firstLine="0" w:firstLineChars="0"/>
              <w:contextualSpacing/>
              <w:rPr>
                <w:rFonts w:ascii="宋体" w:eastAsia="宋体" w:cs="宋体"/>
                <w:bCs/>
                <w:color w:val="auto"/>
                <w:sz w:val="21"/>
                <w:szCs w:val="21"/>
                <w:highlight w:val="none"/>
              </w:rPr>
            </w:pPr>
            <w:r>
              <w:rPr>
                <w:rFonts w:hint="eastAsia" w:ascii="宋体" w:eastAsia="宋体" w:cs="宋体"/>
                <w:b/>
                <w:color w:val="auto"/>
                <w:sz w:val="21"/>
                <w:szCs w:val="21"/>
                <w:highlight w:val="none"/>
              </w:rPr>
              <w:t>优 （</w:t>
            </w:r>
            <w:r>
              <w:rPr>
                <w:rFonts w:hint="eastAsia" w:ascii="宋体" w:eastAsia="宋体" w:cs="宋体"/>
                <w:b/>
                <w:color w:val="auto"/>
                <w:sz w:val="21"/>
                <w:szCs w:val="21"/>
                <w:highlight w:val="none"/>
                <w:lang w:val="en-US" w:eastAsia="zh-CN"/>
              </w:rPr>
              <w:t>2</w:t>
            </w:r>
            <w:r>
              <w:rPr>
                <w:rFonts w:hint="eastAsia" w:ascii="宋体" w:eastAsia="宋体" w:cs="宋体"/>
                <w:b/>
                <w:color w:val="auto"/>
                <w:sz w:val="21"/>
                <w:szCs w:val="21"/>
                <w:highlight w:val="none"/>
                <w:lang w:val="zh-CN"/>
              </w:rPr>
              <w:t>，</w:t>
            </w:r>
            <w:r>
              <w:rPr>
                <w:rFonts w:hint="eastAsia" w:ascii="宋体" w:eastAsia="宋体" w:cs="宋体"/>
                <w:b/>
                <w:color w:val="auto"/>
                <w:sz w:val="21"/>
                <w:szCs w:val="21"/>
                <w:highlight w:val="none"/>
                <w:lang w:val="en-US" w:eastAsia="zh-CN"/>
              </w:rPr>
              <w:t>3</w:t>
            </w:r>
            <w:r>
              <w:rPr>
                <w:rFonts w:hint="eastAsia" w:ascii="宋体" w:eastAsia="宋体" w:cs="宋体"/>
                <w:b/>
                <w:color w:val="auto"/>
                <w:sz w:val="21"/>
                <w:szCs w:val="21"/>
                <w:highlight w:val="none"/>
                <w:lang w:val="zh-CN"/>
              </w:rPr>
              <w:t>]</w:t>
            </w:r>
            <w:r>
              <w:rPr>
                <w:rFonts w:hint="eastAsia" w:ascii="宋体" w:eastAsia="宋体" w:cs="宋体"/>
                <w:b/>
                <w:color w:val="auto"/>
                <w:sz w:val="21"/>
                <w:szCs w:val="21"/>
                <w:highlight w:val="none"/>
              </w:rPr>
              <w:t>分：</w:t>
            </w:r>
            <w:r>
              <w:rPr>
                <w:rFonts w:hint="eastAsia" w:ascii="宋体" w:eastAsia="宋体" w:cs="宋体"/>
                <w:bCs/>
                <w:color w:val="auto"/>
                <w:sz w:val="21"/>
                <w:szCs w:val="21"/>
                <w:highlight w:val="none"/>
              </w:rPr>
              <w:t>售后服务质量保证和承诺方案内容全面、细致涵盖了所有可能出现的情况及应对措施，售后服务机构位置便利，能够快速响应并到达现场，技术服务人员数量充足，且均具备专业技能和丰富经验，能够高效解决各类复杂问题，服务响应时间短，通常能在接到需求后的第一时间作出反馈和行动；</w:t>
            </w:r>
          </w:p>
          <w:p w14:paraId="33E78E59">
            <w:pPr>
              <w:pStyle w:val="68"/>
              <w:spacing w:line="360" w:lineRule="auto"/>
              <w:ind w:firstLine="0" w:firstLineChars="0"/>
              <w:contextualSpacing/>
              <w:rPr>
                <w:rFonts w:ascii="宋体" w:eastAsia="宋体" w:cs="宋体"/>
                <w:bCs/>
                <w:color w:val="auto"/>
                <w:sz w:val="21"/>
                <w:szCs w:val="21"/>
                <w:highlight w:val="none"/>
              </w:rPr>
            </w:pPr>
            <w:r>
              <w:rPr>
                <w:rFonts w:hint="eastAsia" w:ascii="宋体" w:eastAsia="宋体" w:cs="宋体"/>
                <w:b/>
                <w:color w:val="auto"/>
                <w:sz w:val="21"/>
                <w:szCs w:val="21"/>
                <w:highlight w:val="none"/>
              </w:rPr>
              <w:t>良 （</w:t>
            </w:r>
            <w:r>
              <w:rPr>
                <w:rFonts w:hint="eastAsia" w:ascii="宋体" w:eastAsia="宋体" w:cs="宋体"/>
                <w:b/>
                <w:color w:val="auto"/>
                <w:sz w:val="21"/>
                <w:szCs w:val="21"/>
                <w:highlight w:val="none"/>
                <w:lang w:val="en-US" w:eastAsia="zh-CN"/>
              </w:rPr>
              <w:t>1.5</w:t>
            </w:r>
            <w:r>
              <w:rPr>
                <w:rFonts w:hint="eastAsia" w:ascii="宋体" w:eastAsia="宋体" w:cs="宋体"/>
                <w:b/>
                <w:color w:val="auto"/>
                <w:sz w:val="21"/>
                <w:szCs w:val="21"/>
                <w:highlight w:val="none"/>
                <w:lang w:eastAsia="zh-CN"/>
              </w:rPr>
              <w:t>，</w:t>
            </w:r>
            <w:r>
              <w:rPr>
                <w:rFonts w:hint="eastAsia" w:ascii="宋体" w:eastAsia="宋体" w:cs="宋体"/>
                <w:b/>
                <w:color w:val="auto"/>
                <w:sz w:val="21"/>
                <w:szCs w:val="21"/>
                <w:highlight w:val="none"/>
                <w:lang w:val="en-US" w:eastAsia="zh-CN"/>
              </w:rPr>
              <w:t>2</w:t>
            </w:r>
            <w:r>
              <w:rPr>
                <w:rFonts w:hint="eastAsia" w:ascii="宋体" w:eastAsia="宋体" w:cs="宋体"/>
                <w:b/>
                <w:color w:val="auto"/>
                <w:sz w:val="21"/>
                <w:szCs w:val="21"/>
                <w:highlight w:val="none"/>
              </w:rPr>
              <w:t>]分：</w:t>
            </w:r>
            <w:r>
              <w:rPr>
                <w:rFonts w:hint="eastAsia" w:ascii="宋体" w:eastAsia="宋体" w:cs="宋体"/>
                <w:bCs/>
                <w:color w:val="auto"/>
                <w:sz w:val="21"/>
                <w:szCs w:val="21"/>
                <w:highlight w:val="none"/>
              </w:rPr>
              <w:t>售后服务质量保证和承诺方案内容比较完整，能基本覆盖主要方面，具备一定的完整性，售后服务机构较为便利，能在合理时间内抵达服务地点，技术服务人员数量能满足常规需求，水平较好，可处理常见问题，服务响应时间较短，能在较短时间内开始提供服务；</w:t>
            </w:r>
          </w:p>
          <w:p w14:paraId="7782002C">
            <w:pPr>
              <w:pStyle w:val="68"/>
              <w:spacing w:line="360" w:lineRule="auto"/>
              <w:ind w:firstLine="0" w:firstLineChars="0"/>
              <w:contextualSpacing/>
              <w:rPr>
                <w:rFonts w:ascii="宋体" w:eastAsia="宋体" w:cs="宋体"/>
                <w:bCs/>
                <w:color w:val="auto"/>
                <w:sz w:val="21"/>
                <w:szCs w:val="21"/>
                <w:highlight w:val="none"/>
              </w:rPr>
            </w:pPr>
            <w:r>
              <w:rPr>
                <w:rFonts w:hint="eastAsia" w:ascii="宋体" w:eastAsia="宋体" w:cs="宋体"/>
                <w:b/>
                <w:color w:val="auto"/>
                <w:sz w:val="21"/>
                <w:szCs w:val="21"/>
                <w:highlight w:val="none"/>
              </w:rPr>
              <w:t>中 （</w:t>
            </w:r>
            <w:r>
              <w:rPr>
                <w:rFonts w:hint="eastAsia" w:ascii="宋体" w:eastAsia="宋体" w:cs="宋体"/>
                <w:b/>
                <w:color w:val="auto"/>
                <w:sz w:val="21"/>
                <w:szCs w:val="21"/>
                <w:highlight w:val="none"/>
                <w:lang w:val="en-US" w:eastAsia="zh-CN"/>
              </w:rPr>
              <w:t>1</w:t>
            </w:r>
            <w:r>
              <w:rPr>
                <w:rFonts w:hint="eastAsia" w:ascii="宋体" w:eastAsia="宋体" w:cs="宋体"/>
                <w:b/>
                <w:color w:val="auto"/>
                <w:sz w:val="21"/>
                <w:szCs w:val="21"/>
                <w:highlight w:val="none"/>
                <w:lang w:eastAsia="zh-CN"/>
              </w:rPr>
              <w:t>，</w:t>
            </w:r>
            <w:r>
              <w:rPr>
                <w:rFonts w:hint="eastAsia" w:ascii="宋体" w:eastAsia="宋体" w:cs="宋体"/>
                <w:b/>
                <w:color w:val="auto"/>
                <w:sz w:val="21"/>
                <w:szCs w:val="21"/>
                <w:highlight w:val="none"/>
              </w:rPr>
              <w:t>1</w:t>
            </w:r>
            <w:r>
              <w:rPr>
                <w:rFonts w:hint="eastAsia" w:ascii="宋体" w:eastAsia="宋体" w:cs="宋体"/>
                <w:b/>
                <w:color w:val="auto"/>
                <w:sz w:val="21"/>
                <w:szCs w:val="21"/>
                <w:highlight w:val="none"/>
                <w:lang w:val="en-US" w:eastAsia="zh-CN"/>
              </w:rPr>
              <w:t>.5</w:t>
            </w:r>
            <w:r>
              <w:rPr>
                <w:rFonts w:hint="eastAsia" w:ascii="宋体" w:eastAsia="宋体" w:cs="宋体"/>
                <w:b/>
                <w:color w:val="auto"/>
                <w:sz w:val="21"/>
                <w:szCs w:val="21"/>
                <w:highlight w:val="none"/>
              </w:rPr>
              <w:t>]分：</w:t>
            </w:r>
            <w:r>
              <w:rPr>
                <w:rFonts w:hint="eastAsia" w:ascii="宋体" w:eastAsia="宋体" w:cs="宋体"/>
                <w:bCs/>
                <w:color w:val="auto"/>
                <w:sz w:val="21"/>
                <w:szCs w:val="21"/>
                <w:highlight w:val="none"/>
              </w:rPr>
              <w:t>售后服务质量保证和承诺方案内容存在一些细节缺失，方案的可行性一般，售后服务机构位置相对尚可，能提供服务但可能存在一定延迟，技术服务人员数量基本足够，水平中等，处理问题能力有待提高，服务时间较长，需要一定时间才能提供服务；</w:t>
            </w:r>
          </w:p>
          <w:p w14:paraId="375AEEC6">
            <w:pPr>
              <w:pStyle w:val="68"/>
              <w:spacing w:line="360" w:lineRule="auto"/>
              <w:ind w:firstLine="0" w:firstLineChars="0"/>
              <w:contextualSpacing/>
              <w:rPr>
                <w:rFonts w:ascii="宋体" w:eastAsia="宋体" w:cs="宋体"/>
                <w:color w:val="auto"/>
                <w:kern w:val="0"/>
                <w:szCs w:val="21"/>
                <w:highlight w:val="none"/>
              </w:rPr>
            </w:pPr>
            <w:r>
              <w:rPr>
                <w:rFonts w:hint="eastAsia" w:ascii="宋体" w:eastAsia="宋体" w:cs="宋体"/>
                <w:b/>
                <w:color w:val="auto"/>
                <w:sz w:val="21"/>
                <w:szCs w:val="21"/>
                <w:highlight w:val="none"/>
              </w:rPr>
              <w:t xml:space="preserve">差 </w:t>
            </w:r>
            <w:r>
              <w:rPr>
                <w:rFonts w:hint="eastAsia" w:ascii="宋体" w:eastAsia="宋体" w:cs="宋体"/>
                <w:b/>
                <w:color w:val="auto"/>
                <w:sz w:val="21"/>
                <w:szCs w:val="21"/>
                <w:highlight w:val="none"/>
                <w:lang w:val="zh-CN"/>
              </w:rPr>
              <w:t>[</w:t>
            </w:r>
            <w:r>
              <w:rPr>
                <w:rFonts w:hint="eastAsia" w:ascii="宋体" w:eastAsia="宋体" w:cs="宋体"/>
                <w:b/>
                <w:color w:val="auto"/>
                <w:sz w:val="21"/>
                <w:szCs w:val="21"/>
                <w:highlight w:val="none"/>
                <w:lang w:val="en-US" w:eastAsia="zh-CN"/>
              </w:rPr>
              <w:t>0，1</w:t>
            </w:r>
            <w:r>
              <w:rPr>
                <w:rFonts w:hint="eastAsia" w:ascii="宋体" w:eastAsia="宋体" w:cs="宋体"/>
                <w:b/>
                <w:color w:val="auto"/>
                <w:sz w:val="21"/>
                <w:szCs w:val="21"/>
                <w:highlight w:val="none"/>
              </w:rPr>
              <w:t>]分：</w:t>
            </w:r>
            <w:r>
              <w:rPr>
                <w:rFonts w:hint="eastAsia" w:ascii="宋体" w:eastAsia="宋体" w:cs="宋体"/>
                <w:bCs/>
                <w:color w:val="auto"/>
                <w:sz w:val="21"/>
                <w:szCs w:val="21"/>
                <w:highlight w:val="none"/>
              </w:rPr>
              <w:t>售后服务质量保证和承诺方案内容不完整，方案可行性差，很多措施难以实际操作，售后服务机构便利性差，到达现场需要较长时间，技术服务人员数量不足或水平较低，服务响应时间长，不能及时有效地为提供服务。</w:t>
            </w:r>
          </w:p>
        </w:tc>
        <w:tc>
          <w:tcPr>
            <w:tcW w:w="437" w:type="pct"/>
            <w:tcBorders>
              <w:top w:val="single" w:color="auto" w:sz="4" w:space="0"/>
              <w:left w:val="single" w:color="auto" w:sz="4" w:space="0"/>
              <w:right w:val="single" w:color="auto" w:sz="4" w:space="0"/>
            </w:tcBorders>
            <w:vAlign w:val="center"/>
          </w:tcPr>
          <w:p w14:paraId="78BF18B7">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3分</w:t>
            </w:r>
          </w:p>
        </w:tc>
      </w:tr>
      <w:bookmarkEnd w:id="704"/>
    </w:tbl>
    <w:p w14:paraId="095A0327">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09BD8E7B">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4906D7AB">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63E5C7F5">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1A801010">
      <w:pPr>
        <w:autoSpaceDE w:val="0"/>
        <w:autoSpaceDN w:val="0"/>
        <w:adjustRightInd w:val="0"/>
        <w:spacing w:line="360" w:lineRule="auto"/>
        <w:ind w:left="420" w:leftChars="200"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rPr>
        <w:t>确定该项的评分。</w:t>
      </w:r>
    </w:p>
    <w:p w14:paraId="2A154B26">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3F724E9A">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4A5A17CB">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1FDA57EF">
      <w:pPr>
        <w:autoSpaceDE w:val="0"/>
        <w:autoSpaceDN w:val="0"/>
        <w:adjustRightInd w:val="0"/>
        <w:spacing w:line="360" w:lineRule="auto"/>
        <w:ind w:left="420" w:leftChars="200" w:firstLine="420" w:firstLineChars="200"/>
        <w:rPr>
          <w:rFonts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1E5C5B13">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6DC64B03">
      <w:pPr>
        <w:spacing w:line="360" w:lineRule="auto"/>
        <w:ind w:left="420" w:leftChars="200" w:firstLine="420" w:firstLineChars="200"/>
        <w:rPr>
          <w:rFonts w:ascii="宋体" w:hAnsi="宋体" w:eastAsia="宋体" w:cs="宋体"/>
          <w:color w:val="auto"/>
          <w:kern w:val="0"/>
          <w:szCs w:val="21"/>
          <w:highlight w:val="none"/>
          <w:lang w:val="zh-CN"/>
        </w:rPr>
      </w:pPr>
    </w:p>
    <w:p w14:paraId="449E6B7F">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rPr>
        <w:t>40</w:t>
      </w:r>
      <w:r>
        <w:rPr>
          <w:rFonts w:hint="eastAsia" w:ascii="宋体" w:hAnsi="宋体" w:eastAsia="宋体" w:cs="宋体"/>
          <w:b/>
          <w:bCs/>
          <w:color w:val="auto"/>
          <w:kern w:val="0"/>
          <w:szCs w:val="21"/>
          <w:highlight w:val="none"/>
          <w:lang w:val="zh-CN"/>
        </w:rPr>
        <w:t>分</w:t>
      </w:r>
    </w:p>
    <w:p w14:paraId="22400C18">
      <w:pPr>
        <w:autoSpaceDN w:val="0"/>
        <w:adjustRightInd w:val="0"/>
        <w:snapToGrid w:val="0"/>
        <w:spacing w:line="360" w:lineRule="auto"/>
        <w:ind w:left="420" w:leftChars="100" w:hanging="210" w:hanging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A、根据有效投标人的投标报价，最低价作为基准价（Y）。投标人报价（X）等于基准价的得满分40分，其他投标人的价格得分统一按照下列公式计算：</w:t>
      </w:r>
    </w:p>
    <w:p w14:paraId="6D1BAC65">
      <w:pPr>
        <w:autoSpaceDN w:val="0"/>
        <w:adjustRightInd w:val="0"/>
        <w:snapToGrid w:val="0"/>
        <w:spacing w:line="360" w:lineRule="auto"/>
        <w:ind w:left="420" w:leftChars="100" w:hanging="210" w:hanging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价格得分=(基准价／投标报价)×40</w:t>
      </w:r>
    </w:p>
    <w:p w14:paraId="7746B143">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7EF34D98">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14CC4099">
      <w:pPr>
        <w:spacing w:line="400" w:lineRule="exact"/>
        <w:ind w:firstLine="848" w:firstLineChars="404"/>
        <w:rPr>
          <w:rFonts w:ascii="宋体" w:hAnsi="宋体" w:eastAsia="宋体" w:cs="宋体"/>
          <w:color w:val="auto"/>
          <w:kern w:val="0"/>
          <w:szCs w:val="28"/>
          <w:highlight w:val="none"/>
          <w:lang w:val="zh-CN"/>
        </w:rPr>
      </w:pPr>
      <w:bookmarkStart w:id="705" w:name="_Toc31624_WPSOffice_Level2"/>
      <w:r>
        <w:rPr>
          <w:rFonts w:hint="eastAsia" w:ascii="宋体" w:hAnsi="宋体" w:eastAsia="宋体" w:cs="宋体"/>
          <w:color w:val="auto"/>
          <w:kern w:val="0"/>
          <w:szCs w:val="28"/>
          <w:highlight w:val="none"/>
          <w:lang w:val="zh-CN"/>
        </w:rPr>
        <w:t>评标总得分=F1＋F2＋……+Fn</w:t>
      </w:r>
      <w:bookmarkEnd w:id="705"/>
    </w:p>
    <w:p w14:paraId="1B0122B6">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706" w:name="_Toc13236_WPSOffice_Level2"/>
      <w:r>
        <w:rPr>
          <w:rFonts w:hint="eastAsia" w:ascii="宋体" w:hAnsi="宋体" w:eastAsia="宋体" w:cs="宋体"/>
          <w:color w:val="auto"/>
          <w:kern w:val="0"/>
          <w:szCs w:val="21"/>
          <w:highlight w:val="none"/>
        </w:rPr>
        <w:t>F1、F2、……Fn分别为各项评分因素的得分</w:t>
      </w:r>
      <w:bookmarkEnd w:id="706"/>
      <w:r>
        <w:rPr>
          <w:rFonts w:hint="eastAsia" w:ascii="宋体" w:hAnsi="宋体" w:eastAsia="宋体" w:cs="宋体"/>
          <w:color w:val="auto"/>
          <w:kern w:val="0"/>
          <w:szCs w:val="21"/>
          <w:highlight w:val="none"/>
        </w:rPr>
        <w:t>。</w:t>
      </w:r>
    </w:p>
    <w:p w14:paraId="69A48DA2">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2793B74D">
      <w:pPr>
        <w:autoSpaceDE w:val="0"/>
        <w:autoSpaceDN w:val="0"/>
        <w:adjustRightInd w:val="0"/>
        <w:spacing w:line="360" w:lineRule="auto"/>
        <w:jc w:val="center"/>
        <w:rPr>
          <w:rFonts w:ascii="宋体" w:hAnsi="宋体" w:eastAsia="宋体" w:cs="宋体"/>
          <w:b/>
          <w:bCs/>
          <w:color w:val="auto"/>
          <w:sz w:val="28"/>
          <w:szCs w:val="28"/>
          <w:highlight w:val="none"/>
        </w:rPr>
      </w:pPr>
      <w:bookmarkStart w:id="707" w:name="_Toc518_WPSOffice_Level1"/>
      <w:r>
        <w:rPr>
          <w:rFonts w:hint="eastAsia" w:ascii="宋体" w:hAnsi="宋体" w:eastAsia="宋体" w:cs="宋体"/>
          <w:b/>
          <w:bCs/>
          <w:color w:val="auto"/>
          <w:sz w:val="28"/>
          <w:szCs w:val="28"/>
          <w:highlight w:val="none"/>
          <w:lang w:val="zh-CN"/>
        </w:rPr>
        <w:t>五、推荐中标人</w:t>
      </w:r>
      <w:bookmarkEnd w:id="707"/>
    </w:p>
    <w:p w14:paraId="65FB0F8F">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7D1AAB9B">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040CB29A">
      <w:pPr>
        <w:widowControl/>
        <w:spacing w:line="360" w:lineRule="auto"/>
        <w:jc w:val="left"/>
        <w:rPr>
          <w:rFonts w:ascii="宋体" w:hAnsi="宋体" w:eastAsia="宋体" w:cs="宋体"/>
          <w:color w:val="auto"/>
          <w:kern w:val="0"/>
          <w:szCs w:val="21"/>
          <w:highlight w:val="none"/>
        </w:rPr>
      </w:pPr>
    </w:p>
    <w:p w14:paraId="1CB78C37">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708" w:name="_Toc22724_WPSOffice_Level1"/>
      <w:r>
        <w:rPr>
          <w:rFonts w:hint="eastAsia" w:ascii="宋体" w:hAnsi="宋体" w:eastAsia="宋体" w:cs="宋体"/>
          <w:b/>
          <w:bCs/>
          <w:color w:val="auto"/>
          <w:sz w:val="28"/>
          <w:szCs w:val="28"/>
          <w:highlight w:val="none"/>
          <w:lang w:val="zh-CN"/>
        </w:rPr>
        <w:t>六、编写评标报告</w:t>
      </w:r>
      <w:bookmarkEnd w:id="708"/>
    </w:p>
    <w:p w14:paraId="1F71818A">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28814FE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0D30177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w:t>
      </w:r>
      <w:r>
        <w:rPr>
          <w:rFonts w:hint="eastAsia" w:ascii="宋体" w:hAnsi="宋体" w:eastAsia="宋体" w:cs="宋体"/>
          <w:color w:val="auto"/>
          <w:kern w:val="0"/>
          <w:szCs w:val="24"/>
          <w:highlight w:val="none"/>
        </w:rPr>
        <w:t>递交投标文件</w:t>
      </w:r>
      <w:r>
        <w:rPr>
          <w:rFonts w:hint="eastAsia" w:ascii="宋体" w:hAnsi="宋体" w:eastAsia="宋体" w:cs="宋体"/>
          <w:color w:val="auto"/>
          <w:kern w:val="0"/>
          <w:szCs w:val="24"/>
          <w:highlight w:val="none"/>
          <w:lang w:val="zh-CN"/>
        </w:rPr>
        <w:t>的投标人名单和评标委员会成员名单；</w:t>
      </w:r>
    </w:p>
    <w:p w14:paraId="1CE459C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3AECD85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3A5E423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73FC2BC7">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3322B6A9">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0E4DE82F">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09" w:name="_Toc23773_WPSOffice_Level1"/>
      <w:r>
        <w:rPr>
          <w:rFonts w:hint="eastAsia" w:ascii="宋体" w:hAnsi="宋体" w:eastAsia="宋体" w:cs="宋体"/>
          <w:b/>
          <w:bCs/>
          <w:color w:val="auto"/>
          <w:sz w:val="28"/>
          <w:szCs w:val="28"/>
          <w:highlight w:val="none"/>
          <w:lang w:val="zh-CN"/>
        </w:rPr>
        <w:t>七、注意事项</w:t>
      </w:r>
      <w:bookmarkEnd w:id="709"/>
    </w:p>
    <w:p w14:paraId="57C0503C">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47B32239">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28BF5584">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48A07DA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5DD6C487">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3B145249">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674"/>
    <w:bookmarkEnd w:id="684"/>
    <w:bookmarkEnd w:id="685"/>
    <w:bookmarkEnd w:id="686"/>
    <w:p w14:paraId="3EEB1C9C">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Segoe UI">
    <w:panose1 w:val="020B0502040204020203"/>
    <w:charset w:val="00"/>
    <w:family w:val="auto"/>
    <w:pitch w:val="default"/>
    <w:sig w:usb0="E4002EFF" w:usb1="C000E47F"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2EB4A">
    <w:pPr>
      <w:pStyle w:val="29"/>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09A77">
    <w:pPr>
      <w:pStyle w:val="29"/>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6ED19">
    <w:pPr>
      <w:pStyle w:val="29"/>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B7BCB">
    <w:pPr>
      <w:pStyle w:val="29"/>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4064A">
    <w:pPr>
      <w:pStyle w:val="29"/>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322737C0">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5ZjkyNmJlYmZlMjgwZjE5OWE3OWMxMjIwNGM4NjEifQ=="/>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2A27"/>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E7F87"/>
    <w:rsid w:val="001F0290"/>
    <w:rsid w:val="001F6A01"/>
    <w:rsid w:val="00202DB9"/>
    <w:rsid w:val="00215B7A"/>
    <w:rsid w:val="00220BEC"/>
    <w:rsid w:val="002224E5"/>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3F64C8"/>
    <w:rsid w:val="004033E1"/>
    <w:rsid w:val="00405DB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39FB"/>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63473"/>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3F4E"/>
    <w:rsid w:val="006D479F"/>
    <w:rsid w:val="006E2E51"/>
    <w:rsid w:val="006F6DB2"/>
    <w:rsid w:val="00704B3A"/>
    <w:rsid w:val="00710CF8"/>
    <w:rsid w:val="00711E08"/>
    <w:rsid w:val="007138FD"/>
    <w:rsid w:val="00716BB1"/>
    <w:rsid w:val="007172FD"/>
    <w:rsid w:val="007200C8"/>
    <w:rsid w:val="007215F6"/>
    <w:rsid w:val="00721BAA"/>
    <w:rsid w:val="007305F8"/>
    <w:rsid w:val="00745968"/>
    <w:rsid w:val="00747A3E"/>
    <w:rsid w:val="007730C9"/>
    <w:rsid w:val="00775150"/>
    <w:rsid w:val="00776B48"/>
    <w:rsid w:val="0078099D"/>
    <w:rsid w:val="00787DE8"/>
    <w:rsid w:val="007942D8"/>
    <w:rsid w:val="00794983"/>
    <w:rsid w:val="00795460"/>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1EB7"/>
    <w:rsid w:val="00967923"/>
    <w:rsid w:val="009701D2"/>
    <w:rsid w:val="00970774"/>
    <w:rsid w:val="00972FAE"/>
    <w:rsid w:val="0097462A"/>
    <w:rsid w:val="00986292"/>
    <w:rsid w:val="00987779"/>
    <w:rsid w:val="009A2AA5"/>
    <w:rsid w:val="009A63FB"/>
    <w:rsid w:val="009B55D4"/>
    <w:rsid w:val="009B787A"/>
    <w:rsid w:val="009B7A49"/>
    <w:rsid w:val="009B7AD9"/>
    <w:rsid w:val="009C11E5"/>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0BD6"/>
    <w:rsid w:val="00B01C60"/>
    <w:rsid w:val="00B01D22"/>
    <w:rsid w:val="00B0262E"/>
    <w:rsid w:val="00B03A00"/>
    <w:rsid w:val="00B0445D"/>
    <w:rsid w:val="00B0447C"/>
    <w:rsid w:val="00B05E53"/>
    <w:rsid w:val="00B072AA"/>
    <w:rsid w:val="00B10650"/>
    <w:rsid w:val="00B10E08"/>
    <w:rsid w:val="00B11436"/>
    <w:rsid w:val="00B12341"/>
    <w:rsid w:val="00B25D19"/>
    <w:rsid w:val="00B274C1"/>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5026"/>
    <w:rsid w:val="00CC6AAB"/>
    <w:rsid w:val="00CC77FF"/>
    <w:rsid w:val="00CC7CF5"/>
    <w:rsid w:val="00CD27B8"/>
    <w:rsid w:val="00CE3C5A"/>
    <w:rsid w:val="00CE59C6"/>
    <w:rsid w:val="00CE7586"/>
    <w:rsid w:val="00D03659"/>
    <w:rsid w:val="00D03EDF"/>
    <w:rsid w:val="00D10DC0"/>
    <w:rsid w:val="00D11555"/>
    <w:rsid w:val="00D13D6D"/>
    <w:rsid w:val="00D20C74"/>
    <w:rsid w:val="00D24FD7"/>
    <w:rsid w:val="00D25647"/>
    <w:rsid w:val="00D34FE4"/>
    <w:rsid w:val="00D377A7"/>
    <w:rsid w:val="00D402BD"/>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61FE"/>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18"/>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42D9"/>
    <w:rsid w:val="00FC5512"/>
    <w:rsid w:val="00FC6366"/>
    <w:rsid w:val="00FD0CD9"/>
    <w:rsid w:val="00FD4970"/>
    <w:rsid w:val="00FD6927"/>
    <w:rsid w:val="00FE02D9"/>
    <w:rsid w:val="00FE14F9"/>
    <w:rsid w:val="00FF2EFF"/>
    <w:rsid w:val="00FF4843"/>
    <w:rsid w:val="00FF5EEA"/>
    <w:rsid w:val="013171E1"/>
    <w:rsid w:val="02317AF5"/>
    <w:rsid w:val="02FE5AC7"/>
    <w:rsid w:val="034D095E"/>
    <w:rsid w:val="04A647CA"/>
    <w:rsid w:val="058F7720"/>
    <w:rsid w:val="06316315"/>
    <w:rsid w:val="06447858"/>
    <w:rsid w:val="06A75D00"/>
    <w:rsid w:val="06B35176"/>
    <w:rsid w:val="077F43B3"/>
    <w:rsid w:val="07816D9B"/>
    <w:rsid w:val="085E716A"/>
    <w:rsid w:val="08A54668"/>
    <w:rsid w:val="092A385A"/>
    <w:rsid w:val="0946078C"/>
    <w:rsid w:val="095D5673"/>
    <w:rsid w:val="096F2DF5"/>
    <w:rsid w:val="09E75A5E"/>
    <w:rsid w:val="0B1C3308"/>
    <w:rsid w:val="0B7958BA"/>
    <w:rsid w:val="0BB01CD7"/>
    <w:rsid w:val="0BD256F3"/>
    <w:rsid w:val="0C430B50"/>
    <w:rsid w:val="0C747E8B"/>
    <w:rsid w:val="0CF103CF"/>
    <w:rsid w:val="0D153A95"/>
    <w:rsid w:val="0E7E115C"/>
    <w:rsid w:val="0ECD4593"/>
    <w:rsid w:val="0ED6449A"/>
    <w:rsid w:val="0F241091"/>
    <w:rsid w:val="0F9811B3"/>
    <w:rsid w:val="10354D28"/>
    <w:rsid w:val="104A67C2"/>
    <w:rsid w:val="1088005E"/>
    <w:rsid w:val="10E36864"/>
    <w:rsid w:val="10FB6F39"/>
    <w:rsid w:val="117E35C6"/>
    <w:rsid w:val="11C60492"/>
    <w:rsid w:val="11F33019"/>
    <w:rsid w:val="12171131"/>
    <w:rsid w:val="12681311"/>
    <w:rsid w:val="12CB18A0"/>
    <w:rsid w:val="130324BB"/>
    <w:rsid w:val="130F4A87"/>
    <w:rsid w:val="147068D6"/>
    <w:rsid w:val="16CA679A"/>
    <w:rsid w:val="17076251"/>
    <w:rsid w:val="172D0D7B"/>
    <w:rsid w:val="17326C16"/>
    <w:rsid w:val="182064B8"/>
    <w:rsid w:val="1919752A"/>
    <w:rsid w:val="191A6288"/>
    <w:rsid w:val="19DF45AE"/>
    <w:rsid w:val="19F12631"/>
    <w:rsid w:val="1A0A53A3"/>
    <w:rsid w:val="1A93020C"/>
    <w:rsid w:val="1B0940FF"/>
    <w:rsid w:val="1B1A1616"/>
    <w:rsid w:val="1B2B55D1"/>
    <w:rsid w:val="1BDC68CC"/>
    <w:rsid w:val="1CA8369C"/>
    <w:rsid w:val="1CB11B06"/>
    <w:rsid w:val="1E2471AC"/>
    <w:rsid w:val="20167F3D"/>
    <w:rsid w:val="207A1985"/>
    <w:rsid w:val="208B56BC"/>
    <w:rsid w:val="214B19AF"/>
    <w:rsid w:val="221B014E"/>
    <w:rsid w:val="2234770D"/>
    <w:rsid w:val="228457F1"/>
    <w:rsid w:val="22FF181D"/>
    <w:rsid w:val="231F2754"/>
    <w:rsid w:val="23E43F11"/>
    <w:rsid w:val="243810B7"/>
    <w:rsid w:val="24650B04"/>
    <w:rsid w:val="24F45147"/>
    <w:rsid w:val="24F8292A"/>
    <w:rsid w:val="251F439B"/>
    <w:rsid w:val="256107A4"/>
    <w:rsid w:val="25CE6B98"/>
    <w:rsid w:val="26CD171E"/>
    <w:rsid w:val="27AE736E"/>
    <w:rsid w:val="27B16E5E"/>
    <w:rsid w:val="286E02B3"/>
    <w:rsid w:val="287B69B2"/>
    <w:rsid w:val="28CD7B64"/>
    <w:rsid w:val="28DA73F5"/>
    <w:rsid w:val="296879F1"/>
    <w:rsid w:val="29804D3A"/>
    <w:rsid w:val="2A0E0598"/>
    <w:rsid w:val="2A2E4796"/>
    <w:rsid w:val="2ADA66CC"/>
    <w:rsid w:val="2ADC41F2"/>
    <w:rsid w:val="2AEE06B1"/>
    <w:rsid w:val="2BEC60A0"/>
    <w:rsid w:val="2C7C1B63"/>
    <w:rsid w:val="2C85114F"/>
    <w:rsid w:val="2CFC2BFE"/>
    <w:rsid w:val="2D143F3E"/>
    <w:rsid w:val="2DAC4350"/>
    <w:rsid w:val="2DB11966"/>
    <w:rsid w:val="2EA42CB3"/>
    <w:rsid w:val="2EDC2922"/>
    <w:rsid w:val="2EF10397"/>
    <w:rsid w:val="2F575995"/>
    <w:rsid w:val="2F5C7FF7"/>
    <w:rsid w:val="2FCD51EC"/>
    <w:rsid w:val="2FDE37E4"/>
    <w:rsid w:val="30450FFE"/>
    <w:rsid w:val="305A54BE"/>
    <w:rsid w:val="307B6D49"/>
    <w:rsid w:val="30BD39F7"/>
    <w:rsid w:val="314D028A"/>
    <w:rsid w:val="319355DB"/>
    <w:rsid w:val="32193F7E"/>
    <w:rsid w:val="32755BEE"/>
    <w:rsid w:val="32BD7E29"/>
    <w:rsid w:val="33015486"/>
    <w:rsid w:val="33163F6E"/>
    <w:rsid w:val="3491604D"/>
    <w:rsid w:val="350E769E"/>
    <w:rsid w:val="352D0AB5"/>
    <w:rsid w:val="354E03E2"/>
    <w:rsid w:val="355530AA"/>
    <w:rsid w:val="364631D7"/>
    <w:rsid w:val="368928C2"/>
    <w:rsid w:val="36C50230"/>
    <w:rsid w:val="36C523EA"/>
    <w:rsid w:val="36FC2CF7"/>
    <w:rsid w:val="37BE35FD"/>
    <w:rsid w:val="37FD00BE"/>
    <w:rsid w:val="387719FE"/>
    <w:rsid w:val="392B69A5"/>
    <w:rsid w:val="397A6507"/>
    <w:rsid w:val="3A157721"/>
    <w:rsid w:val="3B1F29B6"/>
    <w:rsid w:val="3B273268"/>
    <w:rsid w:val="3B8E088C"/>
    <w:rsid w:val="3B9971A7"/>
    <w:rsid w:val="3BB81F7B"/>
    <w:rsid w:val="3C201DDE"/>
    <w:rsid w:val="3C8D359E"/>
    <w:rsid w:val="3D5B544A"/>
    <w:rsid w:val="3F5B255F"/>
    <w:rsid w:val="40827B52"/>
    <w:rsid w:val="40FA0D7B"/>
    <w:rsid w:val="41072F1E"/>
    <w:rsid w:val="41B81802"/>
    <w:rsid w:val="41ED7E3B"/>
    <w:rsid w:val="42350960"/>
    <w:rsid w:val="42365A8E"/>
    <w:rsid w:val="42566826"/>
    <w:rsid w:val="42A530C4"/>
    <w:rsid w:val="433B05CD"/>
    <w:rsid w:val="43500164"/>
    <w:rsid w:val="43B50E83"/>
    <w:rsid w:val="44462500"/>
    <w:rsid w:val="446472DA"/>
    <w:rsid w:val="44A02DC8"/>
    <w:rsid w:val="45264590"/>
    <w:rsid w:val="452907DF"/>
    <w:rsid w:val="454760DF"/>
    <w:rsid w:val="454964D0"/>
    <w:rsid w:val="45856949"/>
    <w:rsid w:val="45AA51C1"/>
    <w:rsid w:val="45E36925"/>
    <w:rsid w:val="46285882"/>
    <w:rsid w:val="46626DC5"/>
    <w:rsid w:val="469B5624"/>
    <w:rsid w:val="46A444EF"/>
    <w:rsid w:val="474F744D"/>
    <w:rsid w:val="47834097"/>
    <w:rsid w:val="484216E1"/>
    <w:rsid w:val="488A445F"/>
    <w:rsid w:val="48D06EE0"/>
    <w:rsid w:val="4A6675D9"/>
    <w:rsid w:val="4AAF69AA"/>
    <w:rsid w:val="4ABA40F8"/>
    <w:rsid w:val="4BB723E6"/>
    <w:rsid w:val="4BE01065"/>
    <w:rsid w:val="4BE46D3E"/>
    <w:rsid w:val="4C567E51"/>
    <w:rsid w:val="4CE216E4"/>
    <w:rsid w:val="4CEA2347"/>
    <w:rsid w:val="4D3B2B88"/>
    <w:rsid w:val="4DD23507"/>
    <w:rsid w:val="4E4F5E66"/>
    <w:rsid w:val="4F0A4599"/>
    <w:rsid w:val="4F5C7C62"/>
    <w:rsid w:val="4FCD1AFA"/>
    <w:rsid w:val="508B764F"/>
    <w:rsid w:val="50903205"/>
    <w:rsid w:val="50DD2246"/>
    <w:rsid w:val="51316796"/>
    <w:rsid w:val="51AB1897"/>
    <w:rsid w:val="52F80915"/>
    <w:rsid w:val="532F33D1"/>
    <w:rsid w:val="53C10579"/>
    <w:rsid w:val="54C47921"/>
    <w:rsid w:val="563665FD"/>
    <w:rsid w:val="568802DB"/>
    <w:rsid w:val="56B37004"/>
    <w:rsid w:val="56E46059"/>
    <w:rsid w:val="5712706A"/>
    <w:rsid w:val="573E5319"/>
    <w:rsid w:val="57DB5E60"/>
    <w:rsid w:val="57ED324E"/>
    <w:rsid w:val="582E413C"/>
    <w:rsid w:val="58AB257F"/>
    <w:rsid w:val="58D5034F"/>
    <w:rsid w:val="58FA1B64"/>
    <w:rsid w:val="58FC58DC"/>
    <w:rsid w:val="59633BAD"/>
    <w:rsid w:val="59682F71"/>
    <w:rsid w:val="59820DF5"/>
    <w:rsid w:val="5999137D"/>
    <w:rsid w:val="59A30ED0"/>
    <w:rsid w:val="59C13842"/>
    <w:rsid w:val="59F636A5"/>
    <w:rsid w:val="5A1522A3"/>
    <w:rsid w:val="5B351579"/>
    <w:rsid w:val="5B7420A1"/>
    <w:rsid w:val="5B77307A"/>
    <w:rsid w:val="5BA8540A"/>
    <w:rsid w:val="5BE12FA3"/>
    <w:rsid w:val="5D804F94"/>
    <w:rsid w:val="5D8866EC"/>
    <w:rsid w:val="5DA54794"/>
    <w:rsid w:val="5E6E2DD8"/>
    <w:rsid w:val="5E9246DB"/>
    <w:rsid w:val="5EA8384D"/>
    <w:rsid w:val="5EBF421E"/>
    <w:rsid w:val="5F3926B3"/>
    <w:rsid w:val="5F4166C3"/>
    <w:rsid w:val="5F4476E4"/>
    <w:rsid w:val="5FA22198"/>
    <w:rsid w:val="5FA665A1"/>
    <w:rsid w:val="601B6F8F"/>
    <w:rsid w:val="60487659"/>
    <w:rsid w:val="60593934"/>
    <w:rsid w:val="6079470C"/>
    <w:rsid w:val="609B3C2C"/>
    <w:rsid w:val="60A305BA"/>
    <w:rsid w:val="60EF5D26"/>
    <w:rsid w:val="611046CB"/>
    <w:rsid w:val="61C97C39"/>
    <w:rsid w:val="61CD6067"/>
    <w:rsid w:val="62042BD4"/>
    <w:rsid w:val="627E0125"/>
    <w:rsid w:val="628A0E99"/>
    <w:rsid w:val="62B13874"/>
    <w:rsid w:val="63672753"/>
    <w:rsid w:val="6406153E"/>
    <w:rsid w:val="645779AB"/>
    <w:rsid w:val="6492262F"/>
    <w:rsid w:val="653E1B9B"/>
    <w:rsid w:val="65476131"/>
    <w:rsid w:val="65617B44"/>
    <w:rsid w:val="65E62E7A"/>
    <w:rsid w:val="66CA289F"/>
    <w:rsid w:val="67115854"/>
    <w:rsid w:val="677156E7"/>
    <w:rsid w:val="67B53825"/>
    <w:rsid w:val="67BB5990"/>
    <w:rsid w:val="69083E29"/>
    <w:rsid w:val="69AC5412"/>
    <w:rsid w:val="69EE6854"/>
    <w:rsid w:val="6AAD178D"/>
    <w:rsid w:val="6AE606B8"/>
    <w:rsid w:val="6B0157D0"/>
    <w:rsid w:val="6B161631"/>
    <w:rsid w:val="6CC649E7"/>
    <w:rsid w:val="6E414065"/>
    <w:rsid w:val="6EB56801"/>
    <w:rsid w:val="6EDE656D"/>
    <w:rsid w:val="6F5F71DE"/>
    <w:rsid w:val="6F6F261D"/>
    <w:rsid w:val="6FCE1529"/>
    <w:rsid w:val="700761C3"/>
    <w:rsid w:val="702A5B3C"/>
    <w:rsid w:val="704C4F43"/>
    <w:rsid w:val="70EC5DDE"/>
    <w:rsid w:val="717E1B33"/>
    <w:rsid w:val="718335A3"/>
    <w:rsid w:val="71B161C5"/>
    <w:rsid w:val="72A03F09"/>
    <w:rsid w:val="732D71E8"/>
    <w:rsid w:val="738F5872"/>
    <w:rsid w:val="73913810"/>
    <w:rsid w:val="73D2575F"/>
    <w:rsid w:val="743D7CF2"/>
    <w:rsid w:val="74B549A6"/>
    <w:rsid w:val="753254EC"/>
    <w:rsid w:val="75864A53"/>
    <w:rsid w:val="7587010F"/>
    <w:rsid w:val="76000DD0"/>
    <w:rsid w:val="76EE0B02"/>
    <w:rsid w:val="77142174"/>
    <w:rsid w:val="77174453"/>
    <w:rsid w:val="77E872FF"/>
    <w:rsid w:val="785B66D0"/>
    <w:rsid w:val="785C7CED"/>
    <w:rsid w:val="789433BF"/>
    <w:rsid w:val="78B306F0"/>
    <w:rsid w:val="791A54CF"/>
    <w:rsid w:val="79B73D64"/>
    <w:rsid w:val="7B310FBD"/>
    <w:rsid w:val="7B7B26C0"/>
    <w:rsid w:val="7BBF2A6D"/>
    <w:rsid w:val="7CB72E5B"/>
    <w:rsid w:val="7CFF72D0"/>
    <w:rsid w:val="7D3D1E9B"/>
    <w:rsid w:val="7D6457E7"/>
    <w:rsid w:val="7E36223B"/>
    <w:rsid w:val="7EDE0AE8"/>
    <w:rsid w:val="7F170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55"/>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53"/>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49"/>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55"/>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37"/>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47"/>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58"/>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59"/>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60"/>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link w:val="206"/>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3">
    <w:name w:val="Body Text"/>
    <w:basedOn w:val="1"/>
    <w:next w:val="1"/>
    <w:link w:val="123"/>
    <w:autoRedefine/>
    <w:qFormat/>
    <w:uiPriority w:val="99"/>
    <w:pPr>
      <w:autoSpaceDE w:val="0"/>
      <w:autoSpaceDN w:val="0"/>
      <w:adjustRightInd w:val="0"/>
      <w:ind w:right="-26"/>
      <w:jc w:val="center"/>
    </w:pPr>
    <w:rPr>
      <w:rFonts w:ascii="宋体" w:eastAsia="宋体"/>
      <w:b/>
      <w:bCs/>
      <w:sz w:val="84"/>
      <w:szCs w:val="84"/>
      <w:lang w:val="zh-CN"/>
    </w:rPr>
  </w:style>
  <w:style w:type="paragraph" w:customStyle="1" w:styleId="10">
    <w:name w:val="模板正文"/>
    <w:basedOn w:val="1"/>
    <w:link w:val="99"/>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toc 7"/>
    <w:basedOn w:val="1"/>
    <w:next w:val="1"/>
    <w:autoRedefine/>
    <w:unhideWhenUsed/>
    <w:qFormat/>
    <w:uiPriority w:val="39"/>
    <w:pPr>
      <w:ind w:left="2520" w:leftChars="1200"/>
    </w:pPr>
    <w:rPr>
      <w14:ligatures w14:val="standardContextual"/>
    </w:rPr>
  </w:style>
  <w:style w:type="paragraph" w:styleId="15">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6">
    <w:name w:val="caption"/>
    <w:basedOn w:val="1"/>
    <w:next w:val="1"/>
    <w:link w:val="88"/>
    <w:autoRedefine/>
    <w:qFormat/>
    <w:uiPriority w:val="0"/>
    <w:pPr>
      <w:autoSpaceDE w:val="0"/>
      <w:autoSpaceDN w:val="0"/>
      <w:adjustRightInd w:val="0"/>
      <w:spacing w:before="152" w:after="160"/>
      <w:jc w:val="left"/>
    </w:pPr>
    <w:rPr>
      <w:rFonts w:ascii="Arial" w:hAnsi="Arial" w:eastAsia="黑体" w:cs="Arial"/>
    </w:rPr>
  </w:style>
  <w:style w:type="paragraph" w:styleId="17">
    <w:name w:val="Document Map"/>
    <w:basedOn w:val="1"/>
    <w:link w:val="121"/>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8">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9">
    <w:name w:val="annotation text"/>
    <w:basedOn w:val="1"/>
    <w:link w:val="168"/>
    <w:autoRedefine/>
    <w:unhideWhenUsed/>
    <w:qFormat/>
    <w:uiPriority w:val="99"/>
    <w:pPr>
      <w:jc w:val="left"/>
    </w:pPr>
  </w:style>
  <w:style w:type="paragraph" w:styleId="20">
    <w:name w:val="Body Text 3"/>
    <w:basedOn w:val="1"/>
    <w:link w:val="161"/>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1">
    <w:name w:val="Body Text Indent"/>
    <w:basedOn w:val="1"/>
    <w:link w:val="97"/>
    <w:autoRedefine/>
    <w:qFormat/>
    <w:uiPriority w:val="0"/>
    <w:pPr>
      <w:ind w:left="567" w:leftChars="270"/>
    </w:pPr>
    <w:rPr>
      <w:rFonts w:ascii="Times New Roman" w:hAnsi="Times New Roman" w:eastAsia="宋体" w:cs="Times New Roman"/>
      <w:szCs w:val="20"/>
    </w:rPr>
  </w:style>
  <w:style w:type="paragraph" w:styleId="22">
    <w:name w:val="toc 5"/>
    <w:basedOn w:val="1"/>
    <w:next w:val="1"/>
    <w:autoRedefine/>
    <w:unhideWhenUsed/>
    <w:qFormat/>
    <w:uiPriority w:val="39"/>
    <w:pPr>
      <w:ind w:left="1680" w:leftChars="800"/>
    </w:pPr>
    <w:rPr>
      <w14:ligatures w14:val="standardContextual"/>
    </w:rPr>
  </w:style>
  <w:style w:type="paragraph" w:styleId="23">
    <w:name w:val="toc 3"/>
    <w:basedOn w:val="1"/>
    <w:next w:val="1"/>
    <w:autoRedefine/>
    <w:unhideWhenUsed/>
    <w:qFormat/>
    <w:uiPriority w:val="39"/>
    <w:pPr>
      <w:tabs>
        <w:tab w:val="right" w:leader="dot" w:pos="10144"/>
      </w:tabs>
      <w:ind w:left="840" w:leftChars="400"/>
    </w:pPr>
  </w:style>
  <w:style w:type="paragraph" w:styleId="24">
    <w:name w:val="Plain Text"/>
    <w:basedOn w:val="1"/>
    <w:link w:val="105"/>
    <w:autoRedefine/>
    <w:qFormat/>
    <w:uiPriority w:val="0"/>
    <w:rPr>
      <w:rFonts w:ascii="宋体" w:hAnsi="Courier New" w:eastAsia="宋体"/>
    </w:rPr>
  </w:style>
  <w:style w:type="paragraph" w:styleId="25">
    <w:name w:val="toc 8"/>
    <w:basedOn w:val="1"/>
    <w:next w:val="1"/>
    <w:autoRedefine/>
    <w:unhideWhenUsed/>
    <w:qFormat/>
    <w:uiPriority w:val="39"/>
    <w:pPr>
      <w:ind w:left="2940" w:leftChars="1400"/>
    </w:pPr>
    <w:rPr>
      <w14:ligatures w14:val="standardContextual"/>
    </w:rPr>
  </w:style>
  <w:style w:type="paragraph" w:styleId="26">
    <w:name w:val="Date"/>
    <w:basedOn w:val="1"/>
    <w:next w:val="1"/>
    <w:link w:val="113"/>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7">
    <w:name w:val="Body Text Indent 2"/>
    <w:basedOn w:val="1"/>
    <w:link w:val="106"/>
    <w:autoRedefine/>
    <w:qFormat/>
    <w:uiPriority w:val="0"/>
    <w:pPr>
      <w:tabs>
        <w:tab w:val="left" w:pos="8640"/>
      </w:tabs>
      <w:ind w:left="1260"/>
    </w:pPr>
    <w:rPr>
      <w:rFonts w:ascii="宋体" w:hAnsi="Times New Roman" w:eastAsia="宋体" w:cs="Times New Roman"/>
      <w:szCs w:val="20"/>
    </w:rPr>
  </w:style>
  <w:style w:type="paragraph" w:styleId="28">
    <w:name w:val="Balloon Text"/>
    <w:basedOn w:val="1"/>
    <w:link w:val="79"/>
    <w:autoRedefine/>
    <w:qFormat/>
    <w:uiPriority w:val="0"/>
    <w:rPr>
      <w:rFonts w:ascii="Times New Roman" w:hAnsi="Times New Roman" w:eastAsia="宋体" w:cs="Times New Roman"/>
      <w:sz w:val="18"/>
      <w:szCs w:val="18"/>
    </w:rPr>
  </w:style>
  <w:style w:type="paragraph" w:styleId="29">
    <w:name w:val="footer"/>
    <w:basedOn w:val="1"/>
    <w:link w:val="83"/>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30">
    <w:name w:val="header"/>
    <w:basedOn w:val="1"/>
    <w:link w:val="125"/>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1">
    <w:name w:val="toc 1"/>
    <w:basedOn w:val="1"/>
    <w:next w:val="1"/>
    <w:autoRedefine/>
    <w:unhideWhenUsed/>
    <w:qFormat/>
    <w:uiPriority w:val="39"/>
    <w:pPr>
      <w:tabs>
        <w:tab w:val="right" w:leader="dot" w:pos="10144"/>
      </w:tabs>
      <w:spacing w:line="360" w:lineRule="auto"/>
    </w:pPr>
  </w:style>
  <w:style w:type="paragraph" w:styleId="32">
    <w:name w:val="toc 4"/>
    <w:basedOn w:val="1"/>
    <w:next w:val="1"/>
    <w:autoRedefine/>
    <w:unhideWhenUsed/>
    <w:qFormat/>
    <w:uiPriority w:val="39"/>
    <w:pPr>
      <w:ind w:left="1260" w:leftChars="600"/>
    </w:pPr>
    <w:rPr>
      <w14:ligatures w14:val="standardContextual"/>
    </w:rPr>
  </w:style>
  <w:style w:type="paragraph" w:styleId="33">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4">
    <w:name w:val="toc 6"/>
    <w:basedOn w:val="1"/>
    <w:next w:val="1"/>
    <w:autoRedefine/>
    <w:unhideWhenUsed/>
    <w:qFormat/>
    <w:uiPriority w:val="39"/>
    <w:pPr>
      <w:ind w:left="2100" w:leftChars="1000"/>
    </w:pPr>
    <w:rPr>
      <w14:ligatures w14:val="standardContextual"/>
    </w:rPr>
  </w:style>
  <w:style w:type="paragraph" w:styleId="35">
    <w:name w:val="Body Text Indent 3"/>
    <w:basedOn w:val="1"/>
    <w:link w:val="159"/>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6">
    <w:name w:val="toc 2"/>
    <w:basedOn w:val="1"/>
    <w:next w:val="1"/>
    <w:autoRedefine/>
    <w:unhideWhenUsed/>
    <w:qFormat/>
    <w:uiPriority w:val="39"/>
    <w:pPr>
      <w:ind w:left="420" w:leftChars="200"/>
    </w:pPr>
  </w:style>
  <w:style w:type="paragraph" w:styleId="37">
    <w:name w:val="toc 9"/>
    <w:basedOn w:val="1"/>
    <w:next w:val="1"/>
    <w:autoRedefine/>
    <w:unhideWhenUsed/>
    <w:qFormat/>
    <w:uiPriority w:val="39"/>
    <w:pPr>
      <w:ind w:left="3360" w:leftChars="1600"/>
    </w:pPr>
    <w:rPr>
      <w14:ligatures w14:val="standardContextual"/>
    </w:rPr>
  </w:style>
  <w:style w:type="paragraph" w:styleId="38">
    <w:name w:val="Body Text 2"/>
    <w:basedOn w:val="1"/>
    <w:link w:val="148"/>
    <w:autoRedefine/>
    <w:qFormat/>
    <w:uiPriority w:val="0"/>
    <w:pPr>
      <w:tabs>
        <w:tab w:val="left" w:pos="0"/>
      </w:tabs>
      <w:spacing w:line="400" w:lineRule="atLeast"/>
    </w:pPr>
    <w:rPr>
      <w:rFonts w:ascii="Arial" w:hAnsi="Arial" w:eastAsia="宋体" w:cs="Times New Roman"/>
      <w:color w:val="000000"/>
      <w:szCs w:val="24"/>
    </w:rPr>
  </w:style>
  <w:style w:type="paragraph" w:styleId="39">
    <w:name w:val="HTML Preformatted"/>
    <w:basedOn w:val="1"/>
    <w:link w:val="9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40">
    <w:name w:val="Normal (Web)"/>
    <w:basedOn w:val="1"/>
    <w:link w:val="98"/>
    <w:autoRedefine/>
    <w:qFormat/>
    <w:uiPriority w:val="0"/>
    <w:pPr>
      <w:widowControl/>
      <w:spacing w:before="100" w:beforeAutospacing="1" w:after="100" w:afterAutospacing="1"/>
      <w:jc w:val="left"/>
    </w:pPr>
    <w:rPr>
      <w:rFonts w:ascii="宋体" w:hAnsi="宋体"/>
      <w:sz w:val="15"/>
      <w:szCs w:val="15"/>
    </w:rPr>
  </w:style>
  <w:style w:type="paragraph" w:styleId="41">
    <w:name w:val="Title"/>
    <w:basedOn w:val="1"/>
    <w:next w:val="1"/>
    <w:link w:val="63"/>
    <w:autoRedefine/>
    <w:qFormat/>
    <w:uiPriority w:val="10"/>
    <w:pPr>
      <w:spacing w:before="120" w:after="60" w:line="300" w:lineRule="auto"/>
      <w:jc w:val="left"/>
      <w:outlineLvl w:val="0"/>
    </w:pPr>
    <w:rPr>
      <w:rFonts w:ascii="等线 Light" w:hAnsi="等线 Light" w:eastAsia="仿宋"/>
      <w:b/>
      <w:bCs/>
      <w:sz w:val="28"/>
      <w:szCs w:val="32"/>
    </w:rPr>
  </w:style>
  <w:style w:type="paragraph" w:styleId="42">
    <w:name w:val="annotation subject"/>
    <w:basedOn w:val="19"/>
    <w:next w:val="19"/>
    <w:link w:val="115"/>
    <w:autoRedefine/>
    <w:qFormat/>
    <w:uiPriority w:val="99"/>
    <w:pPr>
      <w:autoSpaceDE w:val="0"/>
      <w:autoSpaceDN w:val="0"/>
      <w:adjustRightInd w:val="0"/>
    </w:pPr>
    <w:rPr>
      <w:rFonts w:ascii="宋体" w:hAnsi="Times New Roman" w:eastAsia="宋体" w:cs="Times New Roman"/>
      <w:b/>
      <w:bCs/>
      <w:kern w:val="0"/>
      <w:sz w:val="24"/>
      <w:szCs w:val="24"/>
    </w:rPr>
  </w:style>
  <w:style w:type="table" w:styleId="44">
    <w:name w:val="Table Grid"/>
    <w:basedOn w:val="43"/>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0"/>
    <w:rPr>
      <w:b/>
      <w:bCs/>
    </w:rPr>
  </w:style>
  <w:style w:type="character" w:styleId="47">
    <w:name w:val="FollowedHyperlink"/>
    <w:autoRedefine/>
    <w:unhideWhenUsed/>
    <w:qFormat/>
    <w:uiPriority w:val="99"/>
    <w:rPr>
      <w:color w:val="954F72"/>
      <w:u w:val="single"/>
    </w:rPr>
  </w:style>
  <w:style w:type="character" w:styleId="48">
    <w:name w:val="Emphasis"/>
    <w:autoRedefine/>
    <w:qFormat/>
    <w:uiPriority w:val="0"/>
    <w:rPr>
      <w:i/>
      <w:iCs/>
    </w:rPr>
  </w:style>
  <w:style w:type="character" w:styleId="49">
    <w:name w:val="Hyperlink"/>
    <w:basedOn w:val="45"/>
    <w:autoRedefine/>
    <w:qFormat/>
    <w:uiPriority w:val="99"/>
    <w:rPr>
      <w:rFonts w:hint="default" w:ascii="Arial" w:hAnsi="Arial" w:cs="Arial"/>
      <w:color w:val="000000"/>
      <w:sz w:val="20"/>
      <w:szCs w:val="20"/>
      <w:u w:val="none"/>
    </w:rPr>
  </w:style>
  <w:style w:type="character" w:styleId="50">
    <w:name w:val="annotation reference"/>
    <w:autoRedefine/>
    <w:qFormat/>
    <w:uiPriority w:val="99"/>
    <w:rPr>
      <w:sz w:val="21"/>
      <w:szCs w:val="21"/>
    </w:rPr>
  </w:style>
  <w:style w:type="paragraph" w:customStyle="1" w:styleId="51">
    <w:name w:val="首行缩进"/>
    <w:basedOn w:val="1"/>
    <w:autoRedefine/>
    <w:qFormat/>
    <w:uiPriority w:val="0"/>
    <w:pPr>
      <w:ind w:firstLine="480" w:firstLineChars="200"/>
    </w:pPr>
    <w:rPr>
      <w:lang w:val="zh-CN"/>
    </w:rPr>
  </w:style>
  <w:style w:type="character" w:customStyle="1" w:styleId="52">
    <w:name w:val="标题 1 字符"/>
    <w:basedOn w:val="45"/>
    <w:autoRedefine/>
    <w:qFormat/>
    <w:uiPriority w:val="0"/>
    <w:rPr>
      <w:b/>
      <w:bCs/>
      <w:kern w:val="44"/>
      <w:sz w:val="44"/>
      <w:szCs w:val="44"/>
    </w:rPr>
  </w:style>
  <w:style w:type="character" w:customStyle="1" w:styleId="53">
    <w:name w:val="标题 2 字符"/>
    <w:basedOn w:val="45"/>
    <w:link w:val="5"/>
    <w:autoRedefine/>
    <w:qFormat/>
    <w:uiPriority w:val="0"/>
    <w:rPr>
      <w:rFonts w:ascii="宋体" w:hAnsi="Calibri" w:eastAsia="宋体" w:cs="Times New Roman"/>
      <w:kern w:val="0"/>
      <w:sz w:val="24"/>
      <w:szCs w:val="24"/>
    </w:rPr>
  </w:style>
  <w:style w:type="character" w:customStyle="1" w:styleId="54">
    <w:name w:val="标题 3 字符"/>
    <w:basedOn w:val="45"/>
    <w:autoRedefine/>
    <w:qFormat/>
    <w:uiPriority w:val="0"/>
    <w:rPr>
      <w:b/>
      <w:bCs/>
      <w:sz w:val="32"/>
      <w:szCs w:val="32"/>
    </w:rPr>
  </w:style>
  <w:style w:type="character" w:customStyle="1" w:styleId="55">
    <w:name w:val="标题 4 字符"/>
    <w:basedOn w:val="45"/>
    <w:link w:val="7"/>
    <w:autoRedefine/>
    <w:qFormat/>
    <w:uiPriority w:val="9"/>
    <w:rPr>
      <w:rFonts w:ascii="Arial" w:hAnsi="Arial" w:eastAsia="黑体" w:cs="Times New Roman"/>
      <w:b/>
      <w:bCs/>
      <w:kern w:val="0"/>
      <w:sz w:val="28"/>
      <w:szCs w:val="28"/>
    </w:rPr>
  </w:style>
  <w:style w:type="character" w:customStyle="1" w:styleId="56">
    <w:name w:val="标题 5 字符"/>
    <w:basedOn w:val="45"/>
    <w:autoRedefine/>
    <w:qFormat/>
    <w:uiPriority w:val="9"/>
    <w:rPr>
      <w:b/>
      <w:bCs/>
      <w:sz w:val="28"/>
      <w:szCs w:val="28"/>
    </w:rPr>
  </w:style>
  <w:style w:type="character" w:customStyle="1" w:styleId="57">
    <w:name w:val="标题 6 字符"/>
    <w:basedOn w:val="45"/>
    <w:autoRedefine/>
    <w:qFormat/>
    <w:uiPriority w:val="0"/>
    <w:rPr>
      <w:rFonts w:asciiTheme="majorHAnsi" w:hAnsiTheme="majorHAnsi" w:eastAsiaTheme="majorEastAsia" w:cstheme="majorBidi"/>
      <w:b/>
      <w:bCs/>
      <w:sz w:val="24"/>
      <w:szCs w:val="24"/>
    </w:rPr>
  </w:style>
  <w:style w:type="character" w:customStyle="1" w:styleId="58">
    <w:name w:val="标题 7 字符"/>
    <w:basedOn w:val="45"/>
    <w:link w:val="11"/>
    <w:autoRedefine/>
    <w:qFormat/>
    <w:uiPriority w:val="9"/>
    <w:rPr>
      <w:rFonts w:ascii="Times New Roman" w:hAnsi="Calibri" w:eastAsia="黑体" w:cs="Times New Roman"/>
      <w:b/>
      <w:bCs/>
      <w:kern w:val="0"/>
      <w:sz w:val="28"/>
      <w:szCs w:val="24"/>
    </w:rPr>
  </w:style>
  <w:style w:type="character" w:customStyle="1" w:styleId="59">
    <w:name w:val="标题 8 字符"/>
    <w:basedOn w:val="45"/>
    <w:link w:val="12"/>
    <w:autoRedefine/>
    <w:qFormat/>
    <w:uiPriority w:val="9"/>
    <w:rPr>
      <w:rFonts w:ascii="Times New Roman" w:hAnsi="Calibri" w:eastAsia="黑体" w:cs="Times New Roman"/>
      <w:b/>
      <w:kern w:val="0"/>
      <w:sz w:val="28"/>
      <w:szCs w:val="24"/>
    </w:rPr>
  </w:style>
  <w:style w:type="character" w:customStyle="1" w:styleId="60">
    <w:name w:val="标题 9 字符"/>
    <w:basedOn w:val="45"/>
    <w:link w:val="13"/>
    <w:autoRedefine/>
    <w:qFormat/>
    <w:uiPriority w:val="9"/>
    <w:rPr>
      <w:rFonts w:ascii="Times New Roman" w:hAnsi="Calibri" w:eastAsia="黑体" w:cs="Times New Roman"/>
      <w:b/>
      <w:kern w:val="0"/>
      <w:sz w:val="28"/>
      <w:szCs w:val="24"/>
    </w:rPr>
  </w:style>
  <w:style w:type="character" w:customStyle="1" w:styleId="61">
    <w:name w:val="正文文本缩进 字符"/>
    <w:autoRedefine/>
    <w:qFormat/>
    <w:uiPriority w:val="0"/>
    <w:rPr>
      <w:rFonts w:ascii="Times New Roman" w:hAnsi="Times New Roman" w:eastAsia="宋体" w:cs="Times New Roman"/>
      <w:szCs w:val="20"/>
    </w:rPr>
  </w:style>
  <w:style w:type="character" w:customStyle="1" w:styleId="62">
    <w:name w:val="普通(网站) Char"/>
    <w:autoRedefine/>
    <w:qFormat/>
    <w:locked/>
    <w:uiPriority w:val="0"/>
    <w:rPr>
      <w:rFonts w:ascii="宋体" w:hAnsi="宋体"/>
      <w:sz w:val="15"/>
      <w:szCs w:val="15"/>
    </w:rPr>
  </w:style>
  <w:style w:type="character" w:customStyle="1" w:styleId="63">
    <w:name w:val="标题 字符1"/>
    <w:link w:val="41"/>
    <w:autoRedefine/>
    <w:qFormat/>
    <w:uiPriority w:val="10"/>
    <w:rPr>
      <w:rFonts w:ascii="等线 Light" w:hAnsi="等线 Light" w:eastAsia="仿宋"/>
      <w:b/>
      <w:bCs/>
      <w:sz w:val="28"/>
      <w:szCs w:val="32"/>
    </w:rPr>
  </w:style>
  <w:style w:type="character" w:customStyle="1" w:styleId="64">
    <w:name w:val="日期 Char"/>
    <w:autoRedefine/>
    <w:semiHidden/>
    <w:qFormat/>
    <w:uiPriority w:val="99"/>
    <w:rPr>
      <w:kern w:val="2"/>
      <w:sz w:val="21"/>
    </w:rPr>
  </w:style>
  <w:style w:type="character" w:customStyle="1" w:styleId="65">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6">
    <w:name w:val="批注文字 Char"/>
    <w:autoRedefine/>
    <w:semiHidden/>
    <w:qFormat/>
    <w:uiPriority w:val="99"/>
    <w:rPr>
      <w:kern w:val="2"/>
      <w:sz w:val="21"/>
    </w:rPr>
  </w:style>
  <w:style w:type="character" w:customStyle="1" w:styleId="67">
    <w:name w:val="正文缩进2格 Char"/>
    <w:link w:val="68"/>
    <w:autoRedefine/>
    <w:qFormat/>
    <w:uiPriority w:val="0"/>
    <w:rPr>
      <w:rFonts w:ascii="仿宋_GB2312" w:hAnsi="宋体" w:eastAsia="仿宋_GB2312"/>
      <w:sz w:val="31"/>
      <w:szCs w:val="28"/>
    </w:rPr>
  </w:style>
  <w:style w:type="paragraph" w:customStyle="1" w:styleId="68">
    <w:name w:val="正文缩进2格"/>
    <w:basedOn w:val="1"/>
    <w:link w:val="67"/>
    <w:autoRedefine/>
    <w:qFormat/>
    <w:uiPriority w:val="0"/>
    <w:pPr>
      <w:spacing w:line="600" w:lineRule="exact"/>
      <w:ind w:firstLine="639" w:firstLineChars="206"/>
    </w:pPr>
    <w:rPr>
      <w:rFonts w:ascii="仿宋_GB2312" w:hAnsi="宋体" w:eastAsia="仿宋_GB2312"/>
      <w:sz w:val="31"/>
      <w:szCs w:val="28"/>
    </w:rPr>
  </w:style>
  <w:style w:type="character" w:customStyle="1" w:styleId="69">
    <w:name w:val="批注文字 字符"/>
    <w:autoRedefine/>
    <w:semiHidden/>
    <w:qFormat/>
    <w:uiPriority w:val="99"/>
    <w:rPr>
      <w:rFonts w:ascii="Times New Roman" w:hAnsi="Times New Roman"/>
      <w:kern w:val="2"/>
      <w:sz w:val="24"/>
      <w:szCs w:val="24"/>
    </w:rPr>
  </w:style>
  <w:style w:type="character" w:customStyle="1" w:styleId="70">
    <w:name w:val="正文文本缩进 Char"/>
    <w:autoRedefine/>
    <w:qFormat/>
    <w:uiPriority w:val="0"/>
    <w:rPr>
      <w:rFonts w:ascii="Times New Roman" w:hAnsi="Times New Roman" w:eastAsia="宋体" w:cs="Times New Roman"/>
      <w:szCs w:val="20"/>
      <w:lang w:val="en-US" w:eastAsia="zh-CN"/>
    </w:rPr>
  </w:style>
  <w:style w:type="character" w:customStyle="1" w:styleId="71">
    <w:name w:val="批注框文本 字符1"/>
    <w:autoRedefine/>
    <w:semiHidden/>
    <w:qFormat/>
    <w:uiPriority w:val="99"/>
    <w:rPr>
      <w:rFonts w:ascii="宋体" w:hAnsi="Calibri" w:eastAsia="宋体" w:cs="Times New Roman"/>
      <w:kern w:val="0"/>
      <w:sz w:val="18"/>
      <w:szCs w:val="18"/>
    </w:rPr>
  </w:style>
  <w:style w:type="character" w:customStyle="1" w:styleId="72">
    <w:name w:val="List Paragraph Char"/>
    <w:link w:val="73"/>
    <w:autoRedefine/>
    <w:qFormat/>
    <w:uiPriority w:val="34"/>
    <w:rPr>
      <w:rFonts w:ascii="Calibri" w:hAnsi="Calibri"/>
    </w:rPr>
  </w:style>
  <w:style w:type="paragraph" w:customStyle="1" w:styleId="73">
    <w:name w:val="列出段落1"/>
    <w:basedOn w:val="1"/>
    <w:link w:val="72"/>
    <w:autoRedefine/>
    <w:qFormat/>
    <w:uiPriority w:val="34"/>
    <w:pPr>
      <w:ind w:firstLine="420" w:firstLineChars="200"/>
    </w:pPr>
    <w:rPr>
      <w:rFonts w:ascii="Calibri" w:hAnsi="Calibri"/>
    </w:rPr>
  </w:style>
  <w:style w:type="character" w:customStyle="1" w:styleId="74">
    <w:name w:val="标书正文 字符"/>
    <w:link w:val="75"/>
    <w:autoRedefine/>
    <w:qFormat/>
    <w:uiPriority w:val="0"/>
    <w:rPr>
      <w:rFonts w:ascii="Calibri" w:hAnsi="Calibri" w:eastAsia="仿宋"/>
      <w:sz w:val="24"/>
      <w:szCs w:val="21"/>
    </w:rPr>
  </w:style>
  <w:style w:type="paragraph" w:customStyle="1" w:styleId="75">
    <w:name w:val="标书正文"/>
    <w:basedOn w:val="1"/>
    <w:link w:val="74"/>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6">
    <w:name w:val="正文文本 字符"/>
    <w:autoRedefine/>
    <w:semiHidden/>
    <w:qFormat/>
    <w:uiPriority w:val="99"/>
    <w:rPr>
      <w:rFonts w:ascii="Times New Roman" w:hAnsi="Times New Roman"/>
      <w:kern w:val="2"/>
      <w:sz w:val="24"/>
      <w:szCs w:val="24"/>
    </w:rPr>
  </w:style>
  <w:style w:type="character" w:customStyle="1" w:styleId="77">
    <w:name w:val="页脚 Char"/>
    <w:autoRedefine/>
    <w:qFormat/>
    <w:uiPriority w:val="0"/>
    <w:rPr>
      <w:kern w:val="2"/>
      <w:sz w:val="18"/>
      <w:szCs w:val="18"/>
    </w:rPr>
  </w:style>
  <w:style w:type="character" w:customStyle="1" w:styleId="78">
    <w:name w:val="neir1"/>
    <w:autoRedefine/>
    <w:qFormat/>
    <w:uiPriority w:val="0"/>
    <w:rPr>
      <w:rFonts w:hint="default" w:ascii="ˎ̥" w:hAnsi="ˎ̥"/>
      <w:color w:val="333333"/>
      <w:sz w:val="21"/>
      <w:szCs w:val="21"/>
      <w:u w:val="none"/>
    </w:rPr>
  </w:style>
  <w:style w:type="character" w:customStyle="1" w:styleId="79">
    <w:name w:val="批注框文本 字符"/>
    <w:link w:val="28"/>
    <w:autoRedefine/>
    <w:qFormat/>
    <w:uiPriority w:val="0"/>
    <w:rPr>
      <w:rFonts w:ascii="Times New Roman" w:hAnsi="Times New Roman" w:eastAsia="宋体" w:cs="Times New Roman"/>
      <w:sz w:val="18"/>
      <w:szCs w:val="18"/>
    </w:rPr>
  </w:style>
  <w:style w:type="character" w:customStyle="1" w:styleId="80">
    <w:name w:val="正文文本 3 字符1"/>
    <w:autoRedefine/>
    <w:semiHidden/>
    <w:qFormat/>
    <w:uiPriority w:val="99"/>
    <w:rPr>
      <w:rFonts w:ascii="宋体" w:hAnsi="Calibri" w:eastAsia="宋体" w:cs="Times New Roman"/>
      <w:kern w:val="0"/>
      <w:sz w:val="16"/>
      <w:szCs w:val="16"/>
    </w:rPr>
  </w:style>
  <w:style w:type="character" w:customStyle="1" w:styleId="81">
    <w:name w:val="正文文本 字符3"/>
    <w:autoRedefine/>
    <w:semiHidden/>
    <w:qFormat/>
    <w:uiPriority w:val="99"/>
    <w:rPr>
      <w:rFonts w:ascii="宋体" w:hAnsi="Calibri" w:eastAsia="宋体" w:cs="Times New Roman"/>
      <w:kern w:val="0"/>
      <w:sz w:val="24"/>
      <w:szCs w:val="24"/>
    </w:rPr>
  </w:style>
  <w:style w:type="character" w:customStyle="1" w:styleId="82">
    <w:name w:val="日期 字符1"/>
    <w:autoRedefine/>
    <w:semiHidden/>
    <w:qFormat/>
    <w:uiPriority w:val="99"/>
    <w:rPr>
      <w:rFonts w:ascii="宋体" w:hAnsi="Calibri" w:eastAsia="宋体" w:cs="Times New Roman"/>
      <w:kern w:val="0"/>
      <w:sz w:val="24"/>
      <w:szCs w:val="24"/>
    </w:rPr>
  </w:style>
  <w:style w:type="character" w:customStyle="1" w:styleId="83">
    <w:name w:val="页脚 字符"/>
    <w:link w:val="29"/>
    <w:autoRedefine/>
    <w:qFormat/>
    <w:uiPriority w:val="99"/>
    <w:rPr>
      <w:rFonts w:ascii="宋体" w:eastAsia="宋体"/>
      <w:sz w:val="18"/>
      <w:szCs w:val="18"/>
    </w:rPr>
  </w:style>
  <w:style w:type="character" w:customStyle="1" w:styleId="84">
    <w:name w:val="吉奥正文 Char"/>
    <w:link w:val="85"/>
    <w:autoRedefine/>
    <w:qFormat/>
    <w:locked/>
    <w:uiPriority w:val="0"/>
    <w:rPr>
      <w:rFonts w:eastAsia="仿宋_GB2312"/>
      <w:sz w:val="28"/>
    </w:rPr>
  </w:style>
  <w:style w:type="paragraph" w:customStyle="1" w:styleId="85">
    <w:name w:val="吉奥正文"/>
    <w:basedOn w:val="1"/>
    <w:link w:val="84"/>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6">
    <w:name w:val="页脚 Char1"/>
    <w:autoRedefine/>
    <w:qFormat/>
    <w:uiPriority w:val="99"/>
    <w:rPr>
      <w:rFonts w:ascii="宋体" w:hAnsi="Times New Roman" w:eastAsia="宋体" w:cs="Times New Roman"/>
      <w:kern w:val="0"/>
      <w:sz w:val="18"/>
      <w:szCs w:val="18"/>
    </w:rPr>
  </w:style>
  <w:style w:type="character" w:customStyle="1" w:styleId="87">
    <w:name w:val="标题 字符"/>
    <w:autoRedefine/>
    <w:qFormat/>
    <w:uiPriority w:val="10"/>
    <w:rPr>
      <w:rFonts w:ascii="Cambria" w:hAnsi="Cambria" w:eastAsia="宋体" w:cs="Times New Roman"/>
      <w:b/>
      <w:bCs/>
      <w:kern w:val="0"/>
      <w:sz w:val="32"/>
      <w:szCs w:val="32"/>
      <w:lang w:val="en-US" w:eastAsia="zh-CN"/>
    </w:rPr>
  </w:style>
  <w:style w:type="character" w:customStyle="1" w:styleId="88">
    <w:name w:val="题注 字符1"/>
    <w:link w:val="16"/>
    <w:autoRedefine/>
    <w:qFormat/>
    <w:uiPriority w:val="0"/>
    <w:rPr>
      <w:rFonts w:ascii="Arial" w:hAnsi="Arial" w:eastAsia="黑体" w:cs="Arial"/>
    </w:rPr>
  </w:style>
  <w:style w:type="character" w:customStyle="1" w:styleId="89">
    <w:name w:val="批注文字 字符2"/>
    <w:autoRedefine/>
    <w:qFormat/>
    <w:uiPriority w:val="99"/>
    <w:rPr>
      <w:rFonts w:ascii="宋体" w:hAnsi="Times New Roman" w:eastAsia="宋体" w:cs="Times New Roman"/>
      <w:kern w:val="0"/>
      <w:sz w:val="24"/>
      <w:szCs w:val="24"/>
    </w:rPr>
  </w:style>
  <w:style w:type="character" w:customStyle="1" w:styleId="90">
    <w:name w:val="批注主题 字符1"/>
    <w:autoRedefine/>
    <w:semiHidden/>
    <w:qFormat/>
    <w:uiPriority w:val="99"/>
    <w:rPr>
      <w:rFonts w:ascii="宋体" w:hAnsi="Calibri" w:eastAsia="宋体" w:cs="Times New Roman"/>
      <w:b/>
      <w:bCs/>
      <w:kern w:val="0"/>
      <w:sz w:val="24"/>
      <w:szCs w:val="24"/>
    </w:rPr>
  </w:style>
  <w:style w:type="character" w:customStyle="1" w:styleId="91">
    <w:name w:val="HTML 预设格式 字符"/>
    <w:link w:val="39"/>
    <w:autoRedefine/>
    <w:qFormat/>
    <w:uiPriority w:val="99"/>
    <w:rPr>
      <w:rFonts w:ascii="Arial" w:hAnsi="Arial" w:eastAsia="宋体" w:cs="Arial"/>
      <w:szCs w:val="21"/>
    </w:rPr>
  </w:style>
  <w:style w:type="character" w:customStyle="1" w:styleId="92">
    <w:name w:val="标题 3.1 Char"/>
    <w:link w:val="93"/>
    <w:autoRedefine/>
    <w:qFormat/>
    <w:uiPriority w:val="0"/>
    <w:rPr>
      <w:rFonts w:ascii="宋体" w:hAnsi="宋体"/>
      <w:b/>
      <w:bCs/>
      <w:sz w:val="32"/>
      <w:szCs w:val="32"/>
    </w:rPr>
  </w:style>
  <w:style w:type="paragraph" w:customStyle="1" w:styleId="93">
    <w:name w:val="标题 3.1"/>
    <w:basedOn w:val="6"/>
    <w:link w:val="92"/>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4">
    <w:name w:val="HTML 预设格式 Char1"/>
    <w:autoRedefine/>
    <w:semiHidden/>
    <w:qFormat/>
    <w:uiPriority w:val="99"/>
    <w:rPr>
      <w:rFonts w:ascii="Courier New" w:hAnsi="Courier New" w:eastAsia="宋体" w:cs="Courier New"/>
      <w:kern w:val="0"/>
      <w:sz w:val="20"/>
      <w:szCs w:val="20"/>
    </w:rPr>
  </w:style>
  <w:style w:type="character" w:customStyle="1" w:styleId="95">
    <w:name w:val="批注文字 字符1"/>
    <w:autoRedefine/>
    <w:qFormat/>
    <w:uiPriority w:val="0"/>
    <w:rPr>
      <w:rFonts w:eastAsia="宋体"/>
      <w:kern w:val="2"/>
      <w:sz w:val="24"/>
      <w:szCs w:val="24"/>
      <w:lang w:val="en-US" w:eastAsia="zh-CN" w:bidi="ar-SA"/>
    </w:rPr>
  </w:style>
  <w:style w:type="character" w:customStyle="1" w:styleId="96">
    <w:name w:val="正文文本缩进 字符2"/>
    <w:autoRedefine/>
    <w:semiHidden/>
    <w:qFormat/>
    <w:uiPriority w:val="99"/>
    <w:rPr>
      <w:rFonts w:ascii="宋体" w:hAnsi="Calibri" w:eastAsia="宋体" w:cs="Times New Roman"/>
      <w:kern w:val="0"/>
      <w:sz w:val="24"/>
      <w:szCs w:val="24"/>
    </w:rPr>
  </w:style>
  <w:style w:type="character" w:customStyle="1" w:styleId="97">
    <w:name w:val="正文文本缩进 字符1"/>
    <w:link w:val="21"/>
    <w:autoRedefine/>
    <w:qFormat/>
    <w:uiPriority w:val="0"/>
    <w:rPr>
      <w:rFonts w:ascii="Times New Roman" w:hAnsi="Times New Roman" w:eastAsia="宋体" w:cs="Times New Roman"/>
      <w:szCs w:val="20"/>
    </w:rPr>
  </w:style>
  <w:style w:type="character" w:customStyle="1" w:styleId="98">
    <w:name w:val="普通(网站) 字符2"/>
    <w:link w:val="40"/>
    <w:autoRedefine/>
    <w:qFormat/>
    <w:locked/>
    <w:uiPriority w:val="0"/>
    <w:rPr>
      <w:rFonts w:ascii="宋体" w:hAnsi="宋体"/>
      <w:sz w:val="15"/>
      <w:szCs w:val="15"/>
    </w:rPr>
  </w:style>
  <w:style w:type="character" w:customStyle="1" w:styleId="99">
    <w:name w:val="模板正文 Char"/>
    <w:link w:val="10"/>
    <w:autoRedefine/>
    <w:qFormat/>
    <w:uiPriority w:val="0"/>
    <w:rPr>
      <w:rFonts w:ascii="宋体" w:eastAsia="仿宋"/>
      <w:sz w:val="24"/>
      <w:szCs w:val="21"/>
    </w:rPr>
  </w:style>
  <w:style w:type="character" w:customStyle="1" w:styleId="100">
    <w:name w:val="批注主题 Char"/>
    <w:autoRedefine/>
    <w:semiHidden/>
    <w:qFormat/>
    <w:uiPriority w:val="99"/>
    <w:rPr>
      <w:b/>
      <w:bCs/>
      <w:kern w:val="2"/>
      <w:sz w:val="21"/>
    </w:rPr>
  </w:style>
  <w:style w:type="character" w:customStyle="1" w:styleId="101">
    <w:name w:val="正文文本 Char1"/>
    <w:autoRedefine/>
    <w:qFormat/>
    <w:uiPriority w:val="0"/>
    <w:rPr>
      <w:rFonts w:ascii="宋体" w:hAnsi="Times New Roman" w:eastAsia="宋体" w:cs="Times New Roman"/>
      <w:kern w:val="0"/>
      <w:sz w:val="24"/>
      <w:szCs w:val="24"/>
    </w:rPr>
  </w:style>
  <w:style w:type="character" w:customStyle="1" w:styleId="102">
    <w:name w:val="正文文本 字符1"/>
    <w:autoRedefine/>
    <w:qFormat/>
    <w:uiPriority w:val="99"/>
    <w:rPr>
      <w:rFonts w:ascii="宋体" w:eastAsia="宋体"/>
      <w:b/>
      <w:bCs/>
      <w:sz w:val="84"/>
      <w:szCs w:val="84"/>
      <w:lang w:val="zh-CN"/>
    </w:rPr>
  </w:style>
  <w:style w:type="character" w:customStyle="1" w:styleId="103">
    <w:name w:val="标题 1 Char"/>
    <w:autoRedefine/>
    <w:qFormat/>
    <w:uiPriority w:val="9"/>
    <w:rPr>
      <w:rFonts w:ascii="宋体" w:hAnsi="Times New Roman" w:eastAsia="宋体" w:cs="Times New Roman"/>
      <w:kern w:val="0"/>
      <w:sz w:val="24"/>
      <w:szCs w:val="24"/>
    </w:rPr>
  </w:style>
  <w:style w:type="character" w:customStyle="1" w:styleId="104">
    <w:name w:val="正文文本 Char2"/>
    <w:autoRedefine/>
    <w:qFormat/>
    <w:uiPriority w:val="99"/>
    <w:rPr>
      <w:rFonts w:ascii="宋体" w:eastAsia="宋体"/>
      <w:b/>
      <w:bCs/>
      <w:sz w:val="84"/>
      <w:szCs w:val="84"/>
      <w:lang w:val="zh-CN"/>
    </w:rPr>
  </w:style>
  <w:style w:type="character" w:customStyle="1" w:styleId="105">
    <w:name w:val="纯文本 字符2"/>
    <w:link w:val="24"/>
    <w:autoRedefine/>
    <w:qFormat/>
    <w:uiPriority w:val="0"/>
    <w:rPr>
      <w:rFonts w:ascii="宋体" w:hAnsi="Courier New" w:eastAsia="宋体"/>
    </w:rPr>
  </w:style>
  <w:style w:type="character" w:customStyle="1" w:styleId="106">
    <w:name w:val="正文文本缩进 2 字符"/>
    <w:link w:val="27"/>
    <w:autoRedefine/>
    <w:qFormat/>
    <w:uiPriority w:val="0"/>
    <w:rPr>
      <w:rFonts w:ascii="宋体" w:hAnsi="Times New Roman" w:eastAsia="宋体" w:cs="Times New Roman"/>
      <w:szCs w:val="20"/>
    </w:rPr>
  </w:style>
  <w:style w:type="character" w:customStyle="1" w:styleId="107">
    <w:name w:val="HTML Markup"/>
    <w:autoRedefine/>
    <w:qFormat/>
    <w:uiPriority w:val="0"/>
    <w:rPr>
      <w:vanish/>
      <w:color w:val="FF0000"/>
    </w:rPr>
  </w:style>
  <w:style w:type="character" w:customStyle="1" w:styleId="108">
    <w:name w:val="页眉 Char1"/>
    <w:autoRedefine/>
    <w:qFormat/>
    <w:uiPriority w:val="0"/>
    <w:rPr>
      <w:rFonts w:ascii="宋体" w:hAnsi="Times New Roman" w:eastAsia="宋体" w:cs="Times New Roman"/>
      <w:kern w:val="0"/>
      <w:sz w:val="18"/>
      <w:szCs w:val="18"/>
    </w:rPr>
  </w:style>
  <w:style w:type="character" w:customStyle="1" w:styleId="109">
    <w:name w:val="font11"/>
    <w:autoRedefine/>
    <w:qFormat/>
    <w:uiPriority w:val="0"/>
    <w:rPr>
      <w:rFonts w:hint="eastAsia" w:ascii="宋体" w:hAnsi="宋体" w:eastAsia="宋体" w:cs="宋体"/>
      <w:color w:val="FF0000"/>
      <w:sz w:val="22"/>
      <w:szCs w:val="22"/>
      <w:u w:val="none"/>
    </w:rPr>
  </w:style>
  <w:style w:type="character" w:customStyle="1" w:styleId="110">
    <w:name w:val="style61"/>
    <w:autoRedefine/>
    <w:qFormat/>
    <w:uiPriority w:val="0"/>
    <w:rPr>
      <w:b/>
      <w:bCs/>
    </w:rPr>
  </w:style>
  <w:style w:type="character" w:customStyle="1" w:styleId="111">
    <w:name w:val="表头文字 Char"/>
    <w:link w:val="112"/>
    <w:autoRedefine/>
    <w:qFormat/>
    <w:uiPriority w:val="0"/>
    <w:rPr>
      <w:rFonts w:eastAsia="仿宋_GB2312"/>
      <w:b/>
      <w:sz w:val="28"/>
      <w:szCs w:val="21"/>
    </w:rPr>
  </w:style>
  <w:style w:type="paragraph" w:customStyle="1" w:styleId="112">
    <w:name w:val="表头文字"/>
    <w:basedOn w:val="1"/>
    <w:link w:val="111"/>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3">
    <w:name w:val="日期 字符"/>
    <w:link w:val="26"/>
    <w:autoRedefine/>
    <w:qFormat/>
    <w:uiPriority w:val="99"/>
    <w:rPr>
      <w:rFonts w:ascii="宋体" w:hAnsi="Times New Roman" w:eastAsia="宋体" w:cs="Times New Roman"/>
      <w:b/>
      <w:bCs/>
      <w:szCs w:val="21"/>
      <w:lang w:val="zh-CN"/>
    </w:rPr>
  </w:style>
  <w:style w:type="character" w:customStyle="1" w:styleId="114">
    <w:name w:val="纯文本 Char1"/>
    <w:autoRedefine/>
    <w:qFormat/>
    <w:uiPriority w:val="0"/>
    <w:rPr>
      <w:rFonts w:ascii="宋体" w:hAnsi="Courier New" w:eastAsia="宋体" w:cs="Courier New"/>
      <w:kern w:val="0"/>
      <w:szCs w:val="21"/>
    </w:rPr>
  </w:style>
  <w:style w:type="character" w:customStyle="1" w:styleId="115">
    <w:name w:val="批注主题 字符"/>
    <w:link w:val="42"/>
    <w:autoRedefine/>
    <w:qFormat/>
    <w:uiPriority w:val="99"/>
    <w:rPr>
      <w:rFonts w:ascii="宋体" w:hAnsi="Times New Roman" w:eastAsia="宋体" w:cs="Times New Roman"/>
      <w:b/>
      <w:bCs/>
      <w:kern w:val="0"/>
      <w:sz w:val="24"/>
      <w:szCs w:val="24"/>
    </w:rPr>
  </w:style>
  <w:style w:type="character" w:customStyle="1" w:styleId="116">
    <w:name w:val="纯文本 字符"/>
    <w:autoRedefine/>
    <w:qFormat/>
    <w:uiPriority w:val="99"/>
    <w:rPr>
      <w:rFonts w:ascii="宋体" w:hAnsi="Courier New" w:eastAsia="宋体" w:cs="Times New Roman"/>
      <w:szCs w:val="20"/>
      <w:lang w:val="en-US" w:eastAsia="zh-CN"/>
    </w:rPr>
  </w:style>
  <w:style w:type="character" w:customStyle="1" w:styleId="117">
    <w:name w:val="font71"/>
    <w:autoRedefine/>
    <w:qFormat/>
    <w:uiPriority w:val="0"/>
    <w:rPr>
      <w:rFonts w:hint="eastAsia" w:ascii="宋体" w:hAnsi="宋体" w:eastAsia="宋体" w:cs="宋体"/>
      <w:color w:val="FF0000"/>
      <w:sz w:val="18"/>
      <w:szCs w:val="18"/>
      <w:u w:val="none"/>
    </w:rPr>
  </w:style>
  <w:style w:type="character" w:customStyle="1" w:styleId="118">
    <w:name w:val="font21"/>
    <w:autoRedefine/>
    <w:qFormat/>
    <w:uiPriority w:val="0"/>
    <w:rPr>
      <w:rFonts w:hint="eastAsia" w:ascii="宋体" w:hAnsi="宋体" w:eastAsia="宋体" w:cs="宋体"/>
      <w:b/>
      <w:color w:val="000000"/>
      <w:sz w:val="21"/>
      <w:szCs w:val="21"/>
      <w:u w:val="none"/>
    </w:rPr>
  </w:style>
  <w:style w:type="character" w:customStyle="1" w:styleId="119">
    <w:name w:val="纯文本 字符3"/>
    <w:autoRedefine/>
    <w:semiHidden/>
    <w:qFormat/>
    <w:uiPriority w:val="99"/>
    <w:rPr>
      <w:rFonts w:ascii="等线" w:hAnsi="Courier New" w:cs="Courier New"/>
      <w:kern w:val="0"/>
      <w:sz w:val="24"/>
      <w:szCs w:val="24"/>
    </w:rPr>
  </w:style>
  <w:style w:type="character" w:customStyle="1" w:styleId="120">
    <w:name w:val="font31"/>
    <w:autoRedefine/>
    <w:qFormat/>
    <w:uiPriority w:val="0"/>
    <w:rPr>
      <w:rFonts w:hint="eastAsia" w:ascii="宋体" w:hAnsi="宋体" w:eastAsia="宋体" w:cs="宋体"/>
      <w:color w:val="000000"/>
      <w:sz w:val="18"/>
      <w:szCs w:val="18"/>
      <w:u w:val="none"/>
    </w:rPr>
  </w:style>
  <w:style w:type="character" w:customStyle="1" w:styleId="121">
    <w:name w:val="文档结构图 字符"/>
    <w:link w:val="17"/>
    <w:autoRedefine/>
    <w:semiHidden/>
    <w:qFormat/>
    <w:uiPriority w:val="99"/>
    <w:rPr>
      <w:rFonts w:ascii="宋体" w:hAnsi="Times New Roman" w:eastAsia="宋体" w:cs="Times New Roman"/>
      <w:kern w:val="0"/>
      <w:sz w:val="24"/>
      <w:szCs w:val="24"/>
      <w:shd w:val="clear" w:color="auto" w:fill="000080"/>
    </w:rPr>
  </w:style>
  <w:style w:type="character" w:customStyle="1" w:styleId="122">
    <w:name w:val="普通(网站) 字符1"/>
    <w:autoRedefine/>
    <w:qFormat/>
    <w:locked/>
    <w:uiPriority w:val="0"/>
    <w:rPr>
      <w:rFonts w:ascii="宋体" w:hAnsi="宋体"/>
      <w:sz w:val="15"/>
      <w:szCs w:val="15"/>
    </w:rPr>
  </w:style>
  <w:style w:type="character" w:customStyle="1" w:styleId="123">
    <w:name w:val="正文文本 字符2"/>
    <w:link w:val="3"/>
    <w:autoRedefine/>
    <w:qFormat/>
    <w:uiPriority w:val="99"/>
    <w:rPr>
      <w:rFonts w:ascii="宋体" w:eastAsia="宋体"/>
      <w:b/>
      <w:bCs/>
      <w:sz w:val="84"/>
      <w:szCs w:val="84"/>
      <w:lang w:val="zh-CN"/>
    </w:rPr>
  </w:style>
  <w:style w:type="character" w:customStyle="1" w:styleId="124">
    <w:name w:val="标题 5 Char"/>
    <w:autoRedefine/>
    <w:semiHidden/>
    <w:qFormat/>
    <w:uiPriority w:val="9"/>
    <w:rPr>
      <w:b/>
      <w:bCs/>
      <w:kern w:val="2"/>
      <w:sz w:val="28"/>
      <w:szCs w:val="28"/>
    </w:rPr>
  </w:style>
  <w:style w:type="character" w:customStyle="1" w:styleId="125">
    <w:name w:val="页眉 字符"/>
    <w:link w:val="30"/>
    <w:autoRedefine/>
    <w:qFormat/>
    <w:uiPriority w:val="99"/>
    <w:rPr>
      <w:rFonts w:ascii="宋体" w:eastAsia="宋体"/>
      <w:sz w:val="18"/>
      <w:szCs w:val="18"/>
    </w:rPr>
  </w:style>
  <w:style w:type="character" w:customStyle="1" w:styleId="126">
    <w:name w:val="表格文字 Char"/>
    <w:link w:val="127"/>
    <w:autoRedefine/>
    <w:qFormat/>
    <w:uiPriority w:val="0"/>
    <w:rPr>
      <w:rFonts w:eastAsia="仿宋_GB2312"/>
      <w:sz w:val="28"/>
      <w:szCs w:val="24"/>
    </w:rPr>
  </w:style>
  <w:style w:type="paragraph" w:customStyle="1" w:styleId="127">
    <w:name w:val="表格文字"/>
    <w:basedOn w:val="1"/>
    <w:link w:val="126"/>
    <w:autoRedefine/>
    <w:qFormat/>
    <w:uiPriority w:val="0"/>
    <w:rPr>
      <w:rFonts w:eastAsia="仿宋_GB2312"/>
      <w:sz w:val="28"/>
      <w:szCs w:val="24"/>
    </w:rPr>
  </w:style>
  <w:style w:type="character" w:customStyle="1" w:styleId="128">
    <w:name w:val="标题 字符2"/>
    <w:autoRedefine/>
    <w:qFormat/>
    <w:uiPriority w:val="10"/>
    <w:rPr>
      <w:rFonts w:ascii="等线 Light" w:hAnsi="等线 Light" w:eastAsia="等线 Light" w:cs="Times New Roman"/>
      <w:b/>
      <w:bCs/>
      <w:kern w:val="0"/>
      <w:sz w:val="32"/>
      <w:szCs w:val="32"/>
    </w:rPr>
  </w:style>
  <w:style w:type="character" w:customStyle="1" w:styleId="129">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30">
    <w:name w:val="小 Char"/>
    <w:autoRedefine/>
    <w:qFormat/>
    <w:uiPriority w:val="0"/>
    <w:rPr>
      <w:rFonts w:ascii="宋体" w:hAnsi="Courier New" w:eastAsia="宋体"/>
      <w:kern w:val="2"/>
      <w:sz w:val="21"/>
      <w:lang w:val="en-US" w:eastAsia="zh-CN" w:bidi="ar-SA"/>
    </w:rPr>
  </w:style>
  <w:style w:type="character" w:customStyle="1" w:styleId="131">
    <w:name w:val="themebody1"/>
    <w:autoRedefine/>
    <w:qFormat/>
    <w:uiPriority w:val="0"/>
    <w:rPr>
      <w:color w:val="FFFFFF"/>
    </w:rPr>
  </w:style>
  <w:style w:type="character" w:customStyle="1" w:styleId="132">
    <w:name w:val="页脚 字符1"/>
    <w:autoRedefine/>
    <w:semiHidden/>
    <w:qFormat/>
    <w:uiPriority w:val="99"/>
    <w:rPr>
      <w:rFonts w:ascii="宋体" w:hAnsi="Calibri" w:eastAsia="宋体" w:cs="Times New Roman"/>
      <w:kern w:val="0"/>
      <w:sz w:val="18"/>
      <w:szCs w:val="18"/>
    </w:rPr>
  </w:style>
  <w:style w:type="character" w:customStyle="1" w:styleId="133">
    <w:name w:val="列表段落 字符"/>
    <w:link w:val="134"/>
    <w:autoRedefine/>
    <w:qFormat/>
    <w:uiPriority w:val="34"/>
    <w:rPr>
      <w:kern w:val="2"/>
      <w:sz w:val="21"/>
      <w:szCs w:val="22"/>
    </w:rPr>
  </w:style>
  <w:style w:type="paragraph" w:styleId="134">
    <w:name w:val="List Paragraph"/>
    <w:basedOn w:val="1"/>
    <w:link w:val="133"/>
    <w:autoRedefine/>
    <w:qFormat/>
    <w:uiPriority w:val="34"/>
    <w:pPr>
      <w:ind w:firstLine="420" w:firstLineChars="200"/>
    </w:pPr>
  </w:style>
  <w:style w:type="character" w:customStyle="1" w:styleId="135">
    <w:name w:val="正文文本 Char"/>
    <w:autoRedefine/>
    <w:qFormat/>
    <w:uiPriority w:val="99"/>
    <w:rPr>
      <w:rFonts w:ascii="宋体" w:eastAsia="宋体"/>
      <w:b/>
      <w:bCs/>
      <w:sz w:val="84"/>
      <w:szCs w:val="84"/>
      <w:lang w:val="zh-CN"/>
    </w:rPr>
  </w:style>
  <w:style w:type="character" w:customStyle="1" w:styleId="136">
    <w:name w:val="页眉 字符1"/>
    <w:autoRedefine/>
    <w:semiHidden/>
    <w:qFormat/>
    <w:uiPriority w:val="99"/>
    <w:rPr>
      <w:rFonts w:ascii="宋体" w:hAnsi="Calibri" w:eastAsia="宋体" w:cs="Times New Roman"/>
      <w:kern w:val="0"/>
      <w:sz w:val="18"/>
      <w:szCs w:val="18"/>
    </w:rPr>
  </w:style>
  <w:style w:type="character" w:customStyle="1" w:styleId="137">
    <w:name w:val="标题 5 字符1"/>
    <w:link w:val="8"/>
    <w:autoRedefine/>
    <w:qFormat/>
    <w:uiPriority w:val="9"/>
    <w:rPr>
      <w:rFonts w:ascii="宋体" w:hAnsi="Calibri" w:eastAsia="宋体" w:cs="Times New Roman"/>
      <w:b/>
      <w:bCs/>
      <w:kern w:val="0"/>
      <w:sz w:val="28"/>
      <w:szCs w:val="28"/>
    </w:rPr>
  </w:style>
  <w:style w:type="character" w:customStyle="1" w:styleId="138">
    <w:name w:val="keyfeatures1"/>
    <w:autoRedefine/>
    <w:qFormat/>
    <w:uiPriority w:val="0"/>
    <w:rPr>
      <w:rFonts w:hint="default" w:ascii="Arial" w:hAnsi="Arial" w:cs="Arial"/>
      <w:color w:val="003366"/>
      <w:sz w:val="17"/>
      <w:szCs w:val="17"/>
      <w:u w:val="none"/>
    </w:rPr>
  </w:style>
  <w:style w:type="character" w:customStyle="1" w:styleId="139">
    <w:name w:val="题注 字符"/>
    <w:autoRedefine/>
    <w:qFormat/>
    <w:uiPriority w:val="0"/>
    <w:rPr>
      <w:rFonts w:ascii="宋体" w:hAnsi="宋体" w:eastAsia="黑体" w:cs="Times New Roman"/>
      <w:b/>
      <w:szCs w:val="21"/>
    </w:rPr>
  </w:style>
  <w:style w:type="character" w:customStyle="1" w:styleId="140">
    <w:name w:val="标题 4 Char"/>
    <w:autoRedefine/>
    <w:qFormat/>
    <w:uiPriority w:val="0"/>
    <w:rPr>
      <w:rFonts w:ascii="宋体" w:hAnsi="宋体" w:eastAsia="宋体"/>
      <w:b/>
      <w:kern w:val="2"/>
      <w:sz w:val="21"/>
      <w:szCs w:val="24"/>
      <w:lang w:val="en-US" w:eastAsia="zh-CN" w:bidi="ar-SA"/>
    </w:rPr>
  </w:style>
  <w:style w:type="character" w:customStyle="1" w:styleId="141">
    <w:name w:val="批注文字 字符3"/>
    <w:autoRedefine/>
    <w:semiHidden/>
    <w:qFormat/>
    <w:uiPriority w:val="99"/>
    <w:rPr>
      <w:rFonts w:ascii="宋体" w:hAnsi="Calibri" w:eastAsia="宋体" w:cs="Times New Roman"/>
      <w:kern w:val="0"/>
      <w:sz w:val="24"/>
      <w:szCs w:val="24"/>
    </w:rPr>
  </w:style>
  <w:style w:type="character" w:customStyle="1" w:styleId="142">
    <w:name w:val="纯文本 字符1"/>
    <w:autoRedefine/>
    <w:qFormat/>
    <w:uiPriority w:val="0"/>
    <w:rPr>
      <w:rFonts w:ascii="宋体" w:hAnsi="Courier New" w:eastAsia="宋体"/>
      <w:kern w:val="2"/>
      <w:sz w:val="21"/>
      <w:szCs w:val="24"/>
      <w:lang w:val="en-US" w:eastAsia="zh-CN" w:bidi="ar-SA"/>
    </w:rPr>
  </w:style>
  <w:style w:type="character" w:customStyle="1" w:styleId="143">
    <w:name w:val="列出段落 Char1"/>
    <w:autoRedefine/>
    <w:qFormat/>
    <w:uiPriority w:val="34"/>
    <w:rPr>
      <w:rFonts w:ascii="宋体"/>
      <w:sz w:val="24"/>
      <w:szCs w:val="24"/>
    </w:rPr>
  </w:style>
  <w:style w:type="character" w:customStyle="1" w:styleId="144">
    <w:name w:val="彩色列表 - 着色 1 字符"/>
    <w:link w:val="145"/>
    <w:autoRedefine/>
    <w:qFormat/>
    <w:uiPriority w:val="0"/>
    <w:rPr>
      <w:rFonts w:ascii="Calibri" w:hAnsi="Calibri"/>
    </w:rPr>
  </w:style>
  <w:style w:type="paragraph" w:customStyle="1" w:styleId="145">
    <w:name w:val="彩色列表 - 着色 11"/>
    <w:basedOn w:val="1"/>
    <w:link w:val="144"/>
    <w:autoRedefine/>
    <w:qFormat/>
    <w:uiPriority w:val="0"/>
    <w:pPr>
      <w:ind w:firstLine="420" w:firstLineChars="200"/>
    </w:pPr>
    <w:rPr>
      <w:rFonts w:ascii="Calibri" w:hAnsi="Calibri"/>
    </w:rPr>
  </w:style>
  <w:style w:type="character" w:customStyle="1" w:styleId="146">
    <w:name w:val="纯文本 Char"/>
    <w:autoRedefine/>
    <w:qFormat/>
    <w:uiPriority w:val="0"/>
    <w:rPr>
      <w:rFonts w:ascii="宋体" w:hAnsi="Courier New" w:eastAsia="宋体" w:cs="Times New Roman"/>
      <w:szCs w:val="20"/>
    </w:rPr>
  </w:style>
  <w:style w:type="character" w:customStyle="1" w:styleId="147">
    <w:name w:val="标题 6 字符1"/>
    <w:link w:val="9"/>
    <w:autoRedefine/>
    <w:qFormat/>
    <w:uiPriority w:val="9"/>
    <w:rPr>
      <w:rFonts w:ascii="Times New Roman" w:hAnsi="Calibri" w:eastAsia="黑体" w:cs="Times New Roman"/>
      <w:b/>
      <w:bCs/>
      <w:kern w:val="0"/>
      <w:sz w:val="28"/>
      <w:szCs w:val="24"/>
    </w:rPr>
  </w:style>
  <w:style w:type="character" w:customStyle="1" w:styleId="148">
    <w:name w:val="正文文本 2 字符"/>
    <w:link w:val="38"/>
    <w:autoRedefine/>
    <w:qFormat/>
    <w:uiPriority w:val="0"/>
    <w:rPr>
      <w:rFonts w:ascii="Arial" w:hAnsi="Arial" w:eastAsia="宋体" w:cs="Times New Roman"/>
      <w:color w:val="000000"/>
      <w:szCs w:val="24"/>
    </w:rPr>
  </w:style>
  <w:style w:type="character" w:customStyle="1" w:styleId="149">
    <w:name w:val="标题 3 字符1"/>
    <w:link w:val="6"/>
    <w:autoRedefine/>
    <w:qFormat/>
    <w:uiPriority w:val="0"/>
    <w:rPr>
      <w:rFonts w:ascii="宋体" w:hAnsi="Calibri" w:eastAsia="宋体" w:cs="Times New Roman"/>
      <w:kern w:val="0"/>
      <w:sz w:val="24"/>
      <w:szCs w:val="24"/>
    </w:rPr>
  </w:style>
  <w:style w:type="character" w:customStyle="1" w:styleId="150">
    <w:name w:val="正文文本缩进 2 字符1"/>
    <w:autoRedefine/>
    <w:semiHidden/>
    <w:qFormat/>
    <w:uiPriority w:val="99"/>
    <w:rPr>
      <w:rFonts w:ascii="宋体" w:hAnsi="Calibri" w:eastAsia="宋体" w:cs="Times New Roman"/>
      <w:kern w:val="0"/>
      <w:sz w:val="24"/>
      <w:szCs w:val="24"/>
    </w:rPr>
  </w:style>
  <w:style w:type="character" w:customStyle="1" w:styleId="151">
    <w:name w:val="正文文本缩进 3 字符1"/>
    <w:autoRedefine/>
    <w:semiHidden/>
    <w:qFormat/>
    <w:uiPriority w:val="99"/>
    <w:rPr>
      <w:rFonts w:ascii="宋体" w:hAnsi="Calibri" w:eastAsia="宋体" w:cs="Times New Roman"/>
      <w:kern w:val="0"/>
      <w:sz w:val="16"/>
      <w:szCs w:val="16"/>
    </w:rPr>
  </w:style>
  <w:style w:type="character" w:customStyle="1" w:styleId="152">
    <w:name w:val="正文文本 2 字符1"/>
    <w:autoRedefine/>
    <w:semiHidden/>
    <w:qFormat/>
    <w:uiPriority w:val="99"/>
    <w:rPr>
      <w:rFonts w:ascii="宋体" w:hAnsi="Calibri" w:eastAsia="宋体" w:cs="Times New Roman"/>
      <w:kern w:val="0"/>
      <w:sz w:val="24"/>
      <w:szCs w:val="24"/>
    </w:rPr>
  </w:style>
  <w:style w:type="character" w:customStyle="1" w:styleId="153">
    <w:name w:val="eschoolnr"/>
    <w:autoRedefine/>
    <w:qFormat/>
    <w:uiPriority w:val="0"/>
    <w:rPr>
      <w:sz w:val="23"/>
      <w:szCs w:val="23"/>
    </w:rPr>
  </w:style>
  <w:style w:type="character" w:customStyle="1" w:styleId="154">
    <w:name w:val="访问过的超链接1"/>
    <w:autoRedefine/>
    <w:qFormat/>
    <w:uiPriority w:val="0"/>
    <w:rPr>
      <w:rFonts w:ascii="Arial" w:hAnsi="Arial" w:cs="Arial"/>
      <w:color w:val="000000"/>
      <w:sz w:val="20"/>
      <w:szCs w:val="20"/>
      <w:u w:val="none"/>
    </w:rPr>
  </w:style>
  <w:style w:type="character" w:customStyle="1" w:styleId="155">
    <w:name w:val="标题 1 字符1"/>
    <w:link w:val="4"/>
    <w:autoRedefine/>
    <w:qFormat/>
    <w:uiPriority w:val="0"/>
    <w:rPr>
      <w:rFonts w:ascii="宋体" w:hAnsi="Calibri" w:eastAsia="宋体" w:cs="Times New Roman"/>
      <w:kern w:val="0"/>
      <w:sz w:val="24"/>
      <w:szCs w:val="24"/>
    </w:rPr>
  </w:style>
  <w:style w:type="character" w:customStyle="1" w:styleId="156">
    <w:name w:val="批注文字 Char1"/>
    <w:autoRedefine/>
    <w:qFormat/>
    <w:uiPriority w:val="0"/>
    <w:rPr>
      <w:kern w:val="2"/>
      <w:sz w:val="21"/>
      <w:szCs w:val="24"/>
    </w:rPr>
  </w:style>
  <w:style w:type="character" w:customStyle="1" w:styleId="157">
    <w:name w:val="批注框文本 Char"/>
    <w:autoRedefine/>
    <w:semiHidden/>
    <w:qFormat/>
    <w:uiPriority w:val="99"/>
    <w:rPr>
      <w:kern w:val="2"/>
      <w:sz w:val="18"/>
      <w:szCs w:val="18"/>
    </w:rPr>
  </w:style>
  <w:style w:type="character" w:customStyle="1" w:styleId="158">
    <w:name w:val="DAS正文 Char"/>
    <w:autoRedefine/>
    <w:qFormat/>
    <w:uiPriority w:val="0"/>
    <w:rPr>
      <w:rFonts w:ascii="Verdana" w:hAnsi="Verdana" w:eastAsia="宋体"/>
      <w:kern w:val="2"/>
      <w:sz w:val="21"/>
      <w:szCs w:val="21"/>
      <w:lang w:val="en-US" w:eastAsia="zh-CN" w:bidi="ar-SA"/>
    </w:rPr>
  </w:style>
  <w:style w:type="character" w:customStyle="1" w:styleId="159">
    <w:name w:val="正文文本缩进 3 字符"/>
    <w:link w:val="35"/>
    <w:autoRedefine/>
    <w:qFormat/>
    <w:uiPriority w:val="0"/>
    <w:rPr>
      <w:rFonts w:ascii="宋体" w:hAnsi="Times New Roman" w:eastAsia="宋体" w:cs="Times New Roman"/>
      <w:kern w:val="0"/>
      <w:sz w:val="24"/>
      <w:szCs w:val="24"/>
    </w:rPr>
  </w:style>
  <w:style w:type="character" w:customStyle="1" w:styleId="160">
    <w:name w:val="页眉 Char"/>
    <w:autoRedefine/>
    <w:qFormat/>
    <w:uiPriority w:val="99"/>
    <w:rPr>
      <w:kern w:val="2"/>
      <w:sz w:val="18"/>
      <w:szCs w:val="18"/>
    </w:rPr>
  </w:style>
  <w:style w:type="character" w:customStyle="1" w:styleId="161">
    <w:name w:val="正文文本 3 字符"/>
    <w:link w:val="20"/>
    <w:autoRedefine/>
    <w:qFormat/>
    <w:uiPriority w:val="0"/>
    <w:rPr>
      <w:rFonts w:ascii="宋体" w:hAnsi="Times New Roman" w:eastAsia="宋体" w:cs="Times New Roman"/>
      <w:b/>
      <w:bCs/>
      <w:color w:val="3366FF"/>
      <w:sz w:val="52"/>
      <w:szCs w:val="52"/>
      <w:lang w:val="zh-CN"/>
    </w:rPr>
  </w:style>
  <w:style w:type="character" w:customStyle="1" w:styleId="162">
    <w:name w:val="HTML 预设格式 字符1"/>
    <w:autoRedefine/>
    <w:semiHidden/>
    <w:qFormat/>
    <w:uiPriority w:val="99"/>
    <w:rPr>
      <w:rFonts w:ascii="Courier New" w:hAnsi="Courier New" w:eastAsia="宋体" w:cs="Courier New"/>
      <w:kern w:val="0"/>
      <w:sz w:val="20"/>
      <w:szCs w:val="20"/>
    </w:rPr>
  </w:style>
  <w:style w:type="character" w:customStyle="1" w:styleId="163">
    <w:name w:val="彩色列表 - 强调文字颜色 1 Char"/>
    <w:link w:val="164"/>
    <w:autoRedefine/>
    <w:qFormat/>
    <w:uiPriority w:val="0"/>
    <w:rPr>
      <w:rFonts w:ascii="宋体"/>
      <w:sz w:val="24"/>
      <w:szCs w:val="24"/>
    </w:rPr>
  </w:style>
  <w:style w:type="paragraph" w:customStyle="1" w:styleId="164">
    <w:name w:val="彩色列表 - 强调文字颜色 11"/>
    <w:basedOn w:val="1"/>
    <w:link w:val="163"/>
    <w:autoRedefine/>
    <w:qFormat/>
    <w:uiPriority w:val="0"/>
    <w:pPr>
      <w:autoSpaceDE w:val="0"/>
      <w:autoSpaceDN w:val="0"/>
      <w:adjustRightInd w:val="0"/>
      <w:ind w:firstLine="420" w:firstLineChars="200"/>
      <w:jc w:val="left"/>
    </w:pPr>
    <w:rPr>
      <w:rFonts w:ascii="宋体"/>
      <w:sz w:val="24"/>
      <w:szCs w:val="24"/>
    </w:rPr>
  </w:style>
  <w:style w:type="character" w:customStyle="1" w:styleId="165">
    <w:name w:val="普通(网站) 字符"/>
    <w:autoRedefine/>
    <w:qFormat/>
    <w:locked/>
    <w:uiPriority w:val="99"/>
    <w:rPr>
      <w:rFonts w:ascii="宋体" w:hAnsi="宋体" w:eastAsia="宋体" w:cs="Times New Roman"/>
      <w:kern w:val="0"/>
      <w:sz w:val="15"/>
      <w:szCs w:val="15"/>
      <w:lang w:val="en-US" w:eastAsia="zh-CN"/>
    </w:rPr>
  </w:style>
  <w:style w:type="paragraph" w:customStyle="1" w:styleId="166">
    <w:name w:val="_Style 123"/>
    <w:basedOn w:val="1"/>
    <w:next w:val="134"/>
    <w:autoRedefine/>
    <w:qFormat/>
    <w:uiPriority w:val="34"/>
    <w:pPr>
      <w:spacing w:line="360" w:lineRule="auto"/>
      <w:ind w:firstLine="420" w:firstLineChars="200"/>
    </w:pPr>
    <w:rPr>
      <w:rFonts w:ascii="Calibri" w:hAnsi="Calibri" w:eastAsia="宋体" w:cs="Times New Roman"/>
    </w:rPr>
  </w:style>
  <w:style w:type="character" w:customStyle="1" w:styleId="167">
    <w:name w:val="纯文本 字符4"/>
    <w:basedOn w:val="45"/>
    <w:autoRedefine/>
    <w:semiHidden/>
    <w:qFormat/>
    <w:uiPriority w:val="99"/>
    <w:rPr>
      <w:rFonts w:hAnsi="Courier New" w:cs="Courier New" w:asciiTheme="minorEastAsia"/>
    </w:rPr>
  </w:style>
  <w:style w:type="character" w:customStyle="1" w:styleId="168">
    <w:name w:val="批注文字 字符4"/>
    <w:basedOn w:val="45"/>
    <w:link w:val="19"/>
    <w:autoRedefine/>
    <w:semiHidden/>
    <w:qFormat/>
    <w:uiPriority w:val="99"/>
  </w:style>
  <w:style w:type="character" w:customStyle="1" w:styleId="169">
    <w:name w:val="批注主题 字符2"/>
    <w:basedOn w:val="168"/>
    <w:autoRedefine/>
    <w:semiHidden/>
    <w:qFormat/>
    <w:uiPriority w:val="99"/>
    <w:rPr>
      <w:b/>
      <w:bCs/>
    </w:rPr>
  </w:style>
  <w:style w:type="character" w:customStyle="1" w:styleId="170">
    <w:name w:val="标题 字符3"/>
    <w:basedOn w:val="45"/>
    <w:autoRedefine/>
    <w:qFormat/>
    <w:uiPriority w:val="10"/>
    <w:rPr>
      <w:rFonts w:asciiTheme="majorHAnsi" w:hAnsiTheme="majorHAnsi" w:eastAsiaTheme="majorEastAsia" w:cstheme="majorBidi"/>
      <w:b/>
      <w:bCs/>
      <w:sz w:val="32"/>
      <w:szCs w:val="32"/>
    </w:rPr>
  </w:style>
  <w:style w:type="character" w:customStyle="1" w:styleId="171">
    <w:name w:val="正文文本缩进 字符3"/>
    <w:basedOn w:val="45"/>
    <w:autoRedefine/>
    <w:semiHidden/>
    <w:qFormat/>
    <w:uiPriority w:val="99"/>
  </w:style>
  <w:style w:type="character" w:customStyle="1" w:styleId="172">
    <w:name w:val="正文文本 字符4"/>
    <w:basedOn w:val="45"/>
    <w:autoRedefine/>
    <w:semiHidden/>
    <w:qFormat/>
    <w:uiPriority w:val="99"/>
  </w:style>
  <w:style w:type="character" w:customStyle="1" w:styleId="173">
    <w:name w:val="正文文本缩进 3 字符2"/>
    <w:basedOn w:val="45"/>
    <w:autoRedefine/>
    <w:semiHidden/>
    <w:qFormat/>
    <w:uiPriority w:val="99"/>
    <w:rPr>
      <w:sz w:val="16"/>
      <w:szCs w:val="16"/>
    </w:rPr>
  </w:style>
  <w:style w:type="character" w:customStyle="1" w:styleId="174">
    <w:name w:val="页眉 字符2"/>
    <w:basedOn w:val="45"/>
    <w:autoRedefine/>
    <w:semiHidden/>
    <w:qFormat/>
    <w:uiPriority w:val="99"/>
    <w:rPr>
      <w:sz w:val="18"/>
      <w:szCs w:val="18"/>
    </w:rPr>
  </w:style>
  <w:style w:type="character" w:customStyle="1" w:styleId="175">
    <w:name w:val="批注框文本 字符2"/>
    <w:basedOn w:val="45"/>
    <w:autoRedefine/>
    <w:semiHidden/>
    <w:qFormat/>
    <w:uiPriority w:val="99"/>
    <w:rPr>
      <w:sz w:val="18"/>
      <w:szCs w:val="18"/>
    </w:rPr>
  </w:style>
  <w:style w:type="character" w:customStyle="1" w:styleId="176">
    <w:name w:val="HTML 预设格式 字符2"/>
    <w:basedOn w:val="45"/>
    <w:autoRedefine/>
    <w:semiHidden/>
    <w:qFormat/>
    <w:uiPriority w:val="99"/>
    <w:rPr>
      <w:rFonts w:ascii="Courier New" w:hAnsi="Courier New" w:cs="Courier New"/>
      <w:sz w:val="20"/>
      <w:szCs w:val="20"/>
    </w:rPr>
  </w:style>
  <w:style w:type="character" w:customStyle="1" w:styleId="177">
    <w:name w:val="页脚 字符2"/>
    <w:basedOn w:val="45"/>
    <w:autoRedefine/>
    <w:semiHidden/>
    <w:qFormat/>
    <w:uiPriority w:val="99"/>
    <w:rPr>
      <w:sz w:val="18"/>
      <w:szCs w:val="18"/>
    </w:rPr>
  </w:style>
  <w:style w:type="character" w:customStyle="1" w:styleId="178">
    <w:name w:val="正文文本缩进 2 字符2"/>
    <w:basedOn w:val="45"/>
    <w:autoRedefine/>
    <w:semiHidden/>
    <w:qFormat/>
    <w:uiPriority w:val="99"/>
  </w:style>
  <w:style w:type="character" w:customStyle="1" w:styleId="179">
    <w:name w:val="正文文本 3 字符2"/>
    <w:basedOn w:val="45"/>
    <w:autoRedefine/>
    <w:semiHidden/>
    <w:qFormat/>
    <w:uiPriority w:val="99"/>
    <w:rPr>
      <w:sz w:val="16"/>
      <w:szCs w:val="16"/>
    </w:rPr>
  </w:style>
  <w:style w:type="character" w:customStyle="1" w:styleId="180">
    <w:name w:val="正文文本 2 字符2"/>
    <w:basedOn w:val="45"/>
    <w:autoRedefine/>
    <w:semiHidden/>
    <w:qFormat/>
    <w:uiPriority w:val="99"/>
  </w:style>
  <w:style w:type="paragraph" w:customStyle="1" w:styleId="181">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82">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83">
    <w:name w:val="文档结构图 字符2"/>
    <w:basedOn w:val="45"/>
    <w:autoRedefine/>
    <w:semiHidden/>
    <w:qFormat/>
    <w:uiPriority w:val="99"/>
    <w:rPr>
      <w:rFonts w:ascii="Microsoft YaHei UI" w:eastAsia="Microsoft YaHei UI"/>
      <w:sz w:val="18"/>
      <w:szCs w:val="18"/>
    </w:rPr>
  </w:style>
  <w:style w:type="character" w:customStyle="1" w:styleId="184">
    <w:name w:val="日期 字符2"/>
    <w:basedOn w:val="45"/>
    <w:autoRedefine/>
    <w:semiHidden/>
    <w:qFormat/>
    <w:uiPriority w:val="99"/>
  </w:style>
  <w:style w:type="paragraph" w:customStyle="1" w:styleId="185">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6">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7">
    <w:name w:val="修订1"/>
    <w:autoRedefine/>
    <w:semiHidden/>
    <w:qFormat/>
    <w:uiPriority w:val="99"/>
    <w:rPr>
      <w:rFonts w:ascii="宋体" w:hAnsi="Calibri" w:eastAsia="宋体" w:cs="Times New Roman"/>
      <w:sz w:val="24"/>
      <w:szCs w:val="24"/>
      <w:lang w:val="en-US" w:eastAsia="zh-CN" w:bidi="ar-SA"/>
    </w:rPr>
  </w:style>
  <w:style w:type="paragraph" w:customStyle="1" w:styleId="188">
    <w:name w:val="图/图注"/>
    <w:basedOn w:val="10"/>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9">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0">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1">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2">
    <w:name w:val="p0"/>
    <w:basedOn w:val="1"/>
    <w:autoRedefine/>
    <w:qFormat/>
    <w:uiPriority w:val="0"/>
    <w:pPr>
      <w:widowControl/>
    </w:pPr>
    <w:rPr>
      <w:rFonts w:ascii="Times New Roman" w:hAnsi="Calibri" w:eastAsia="宋体" w:cs="Times New Roman"/>
      <w:kern w:val="0"/>
      <w:szCs w:val="20"/>
    </w:rPr>
  </w:style>
  <w:style w:type="paragraph" w:customStyle="1" w:styleId="193">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4">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5">
    <w:name w:val="网格表 32"/>
    <w:basedOn w:val="4"/>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WPSOffice手动目录 1"/>
    <w:autoRedefine/>
    <w:qFormat/>
    <w:uiPriority w:val="0"/>
    <w:rPr>
      <w:rFonts w:ascii="Calibri" w:hAnsi="Calibri" w:eastAsia="宋体" w:cs="Times New Roman"/>
      <w:lang w:val="en-US" w:eastAsia="zh-CN" w:bidi="ar-SA"/>
    </w:rPr>
  </w:style>
  <w:style w:type="paragraph" w:customStyle="1" w:styleId="197">
    <w:name w:val="_Style 69"/>
    <w:basedOn w:val="1"/>
    <w:next w:val="134"/>
    <w:autoRedefine/>
    <w:qFormat/>
    <w:uiPriority w:val="34"/>
    <w:pPr>
      <w:spacing w:line="360" w:lineRule="auto"/>
      <w:ind w:firstLine="420" w:firstLineChars="200"/>
    </w:pPr>
    <w:rPr>
      <w:rFonts w:ascii="Calibri" w:hAnsi="Calibri" w:eastAsia="宋体" w:cs="Times New Roman"/>
    </w:rPr>
  </w:style>
  <w:style w:type="paragraph" w:customStyle="1" w:styleId="198">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9">
    <w:name w:val="保留正文"/>
    <w:basedOn w:val="3"/>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0">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201">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202">
    <w:name w:val="网格表 31"/>
    <w:basedOn w:val="4"/>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3">
    <w:name w:val="表格文字居中"/>
    <w:basedOn w:val="127"/>
    <w:autoRedefine/>
    <w:qFormat/>
    <w:uiPriority w:val="0"/>
    <w:pPr>
      <w:jc w:val="center"/>
    </w:pPr>
    <w:rPr>
      <w:rFonts w:cs="宋体"/>
      <w:szCs w:val="20"/>
    </w:rPr>
  </w:style>
  <w:style w:type="paragraph" w:customStyle="1" w:styleId="204">
    <w:name w:val="正文缩进4格"/>
    <w:basedOn w:val="68"/>
    <w:autoRedefine/>
    <w:qFormat/>
    <w:uiPriority w:val="0"/>
    <w:pPr>
      <w:spacing w:line="360" w:lineRule="auto"/>
      <w:ind w:left="964" w:leftChars="314" w:hanging="210" w:hangingChars="100"/>
    </w:pPr>
    <w:rPr>
      <w:rFonts w:ascii="宋体" w:eastAsia="宋体"/>
      <w:sz w:val="21"/>
      <w:szCs w:val="21"/>
      <w:lang w:val="zh-CN"/>
    </w:rPr>
  </w:style>
  <w:style w:type="paragraph" w:customStyle="1" w:styleId="205">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6">
    <w:name w:val="正文文本首行缩进 字符"/>
    <w:basedOn w:val="123"/>
    <w:link w:val="2"/>
    <w:autoRedefine/>
    <w:semiHidden/>
    <w:qFormat/>
    <w:uiPriority w:val="99"/>
    <w:rPr>
      <w:rFonts w:ascii="宋体" w:eastAsia="宋体"/>
      <w:b w:val="0"/>
      <w:bCs w:val="0"/>
      <w:sz w:val="84"/>
      <w:szCs w:val="84"/>
      <w:lang w:val="zh-CN"/>
    </w:rPr>
  </w:style>
  <w:style w:type="paragraph" w:customStyle="1" w:styleId="207">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8">
    <w:name w:val="样式 宋体 行距: 1.5 倍行距"/>
    <w:basedOn w:val="1"/>
    <w:autoRedefine/>
    <w:qFormat/>
    <w:uiPriority w:val="0"/>
    <w:pPr>
      <w:jc w:val="center"/>
    </w:pPr>
    <w:rPr>
      <w:rFonts w:ascii="Times New Roman"/>
      <w:b/>
    </w:rPr>
  </w:style>
  <w:style w:type="table" w:customStyle="1" w:styleId="209">
    <w:name w:val="网格型4"/>
    <w:basedOn w:val="4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0">
    <w:name w:val="未处理的提及1"/>
    <w:basedOn w:val="45"/>
    <w:autoRedefine/>
    <w:semiHidden/>
    <w:unhideWhenUsed/>
    <w:qFormat/>
    <w:uiPriority w:val="99"/>
    <w:rPr>
      <w:color w:val="605E5C"/>
      <w:shd w:val="clear" w:color="auto" w:fill="E1DFDD"/>
    </w:rPr>
  </w:style>
  <w:style w:type="paragraph" w:customStyle="1" w:styleId="211">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2">
    <w:name w:val="修订4"/>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13">
    <w:name w:val="font151"/>
    <w:basedOn w:val="45"/>
    <w:autoRedefine/>
    <w:qFormat/>
    <w:uiPriority w:val="0"/>
    <w:rPr>
      <w:rFonts w:hint="eastAsia" w:ascii="宋体" w:hAnsi="宋体" w:eastAsia="宋体" w:cs="宋体"/>
      <w:color w:val="000000"/>
      <w:sz w:val="22"/>
      <w:szCs w:val="22"/>
      <w:u w:val="none"/>
      <w:vertAlign w:val="superscript"/>
    </w:rPr>
  </w:style>
  <w:style w:type="character" w:customStyle="1" w:styleId="214">
    <w:name w:val="font161"/>
    <w:basedOn w:val="45"/>
    <w:autoRedefine/>
    <w:qFormat/>
    <w:uiPriority w:val="0"/>
    <w:rPr>
      <w:rFonts w:ascii="黑体" w:hAnsi="宋体" w:eastAsia="黑体" w:cs="黑体"/>
      <w:color w:val="000000"/>
      <w:sz w:val="20"/>
      <w:szCs w:val="20"/>
      <w:u w:val="none"/>
    </w:rPr>
  </w:style>
  <w:style w:type="character" w:customStyle="1" w:styleId="215">
    <w:name w:val="font91"/>
    <w:basedOn w:val="45"/>
    <w:autoRedefine/>
    <w:qFormat/>
    <w:uiPriority w:val="0"/>
    <w:rPr>
      <w:rFonts w:hint="default" w:ascii="Segoe UI" w:hAnsi="Segoe UI" w:eastAsia="Segoe UI" w:cs="Segoe UI"/>
      <w:color w:val="000000"/>
      <w:sz w:val="19"/>
      <w:szCs w:val="19"/>
      <w:u w:val="none"/>
    </w:rPr>
  </w:style>
  <w:style w:type="character" w:customStyle="1" w:styleId="216">
    <w:name w:val="font171"/>
    <w:basedOn w:val="45"/>
    <w:autoRedefine/>
    <w:qFormat/>
    <w:uiPriority w:val="0"/>
    <w:rPr>
      <w:rFonts w:hint="eastAsia" w:ascii="宋体" w:hAnsi="宋体" w:eastAsia="宋体" w:cs="宋体"/>
      <w:color w:val="000000"/>
      <w:sz w:val="19"/>
      <w:szCs w:val="19"/>
      <w:u w:val="none"/>
    </w:rPr>
  </w:style>
  <w:style w:type="paragraph" w:customStyle="1" w:styleId="217">
    <w:name w:val="文档正文"/>
    <w:basedOn w:val="1"/>
    <w:autoRedefine/>
    <w:qFormat/>
    <w:uiPriority w:val="0"/>
    <w:pPr>
      <w:spacing w:line="360" w:lineRule="auto"/>
    </w:pPr>
    <w:rPr>
      <w:rFonts w:ascii="宋体" w:cs="Arial"/>
      <w:bCs/>
    </w:rPr>
  </w:style>
  <w:style w:type="character" w:customStyle="1" w:styleId="218">
    <w:name w:val="font131"/>
    <w:basedOn w:val="45"/>
    <w:autoRedefine/>
    <w:qFormat/>
    <w:uiPriority w:val="0"/>
    <w:rPr>
      <w:rFonts w:hint="eastAsia" w:ascii="宋体" w:hAnsi="宋体" w:eastAsia="宋体" w:cs="宋体"/>
      <w:color w:val="000000"/>
      <w:sz w:val="22"/>
      <w:szCs w:val="22"/>
      <w:u w:val="none"/>
      <w:vertAlign w:val="superscript"/>
    </w:rPr>
  </w:style>
  <w:style w:type="character" w:customStyle="1" w:styleId="219">
    <w:name w:val="font141"/>
    <w:basedOn w:val="45"/>
    <w:autoRedefine/>
    <w:qFormat/>
    <w:uiPriority w:val="0"/>
    <w:rPr>
      <w:rFonts w:ascii="黑体" w:hAnsi="宋体" w:eastAsia="黑体" w:cs="黑体"/>
      <w:color w:val="000000"/>
      <w:sz w:val="20"/>
      <w:szCs w:val="20"/>
      <w:u w:val="none"/>
    </w:rPr>
  </w:style>
  <w:style w:type="character" w:customStyle="1" w:styleId="220">
    <w:name w:val="font81"/>
    <w:basedOn w:val="45"/>
    <w:autoRedefine/>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143</Pages>
  <Words>22575</Words>
  <Characters>23775</Characters>
  <Lines>796</Lines>
  <Paragraphs>224</Paragraphs>
  <TotalTime>0</TotalTime>
  <ScaleCrop>false</ScaleCrop>
  <LinksUpToDate>false</LinksUpToDate>
  <CharactersWithSpaces>24300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2024-06-17T08:27:00Z</dcterms:created>
  <dc:creator>HS</dc:creator>
  <cp:lastModifiedBy>郑翠婷</cp:lastModifiedBy>
  <cp:lastPrinted>2024-08-27T02:41:00Z</cp:lastPrinted>
  <dcterms:modified xsi:type="dcterms:W3CDTF">2025-11-25T10:40:02Z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0D8B267179994A7C9710F8EE7EAC61FA_13</vt:lpwstr>
  </property>
  <property fmtid="{D5CDD505-2E9C-101B-9397-08002B2CF9AE}" pid="4" name="KSOTemplateDocerSaveRecord">
    <vt:lpwstr>eyJoZGlkIjoiYjM3MDlmZjc5NjhlNzcxODhhNDYyMDVhNmE1MTU0NzgiLCJ1c2VySWQiOiI0MzczNTY5ODQifQ==</vt:lpwstr>
  </property>
</Properties>
</file>