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CD4A3">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25DBD5D9">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东莞市水务环境投资控股集团管网有限公司2026至2028年度公众责任险</w:t>
      </w:r>
    </w:p>
    <w:p w14:paraId="56DCA8EF">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采购项目</w:t>
      </w:r>
    </w:p>
    <w:p w14:paraId="21831096">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0F9651D2">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464EE46D">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0AE45F93">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16B7D5E0">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419ED07A">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1DBF692B">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7D75DF48">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079A663E">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号：YDZB25DGQY0094</w:t>
      </w:r>
    </w:p>
    <w:p w14:paraId="458C2DA1">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人：东莞市水务环境投资控股集团管网有限公司</w:t>
      </w:r>
    </w:p>
    <w:p w14:paraId="7AA89F0B">
      <w:pPr>
        <w:autoSpaceDE w:val="0"/>
        <w:autoSpaceDN w:val="0"/>
        <w:adjustRightInd w:val="0"/>
        <w:spacing w:line="480" w:lineRule="auto"/>
        <w:ind w:left="1842" w:leftChars="877" w:firstLine="19" w:firstLineChars="6"/>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0A36C1F9">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14:paraId="7B707B0F">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14:paraId="32405A1C">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10</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27</w:t>
      </w:r>
      <w:r>
        <w:rPr>
          <w:rFonts w:hint="eastAsia" w:ascii="宋体" w:hAnsi="宋体" w:eastAsia="宋体" w:cs="宋体"/>
          <w:b/>
          <w:bCs/>
          <w:color w:val="auto"/>
          <w:sz w:val="32"/>
          <w:szCs w:val="32"/>
          <w:highlight w:val="none"/>
          <w:lang w:val="zh-CN"/>
        </w:rPr>
        <w:t>日</w:t>
      </w:r>
    </w:p>
    <w:p w14:paraId="6D35B275">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sdt>
      <w:sdtPr>
        <w:rPr>
          <w:rFonts w:hint="eastAsia" w:ascii="宋体" w:hAnsi="宋体" w:eastAsia="宋体" w:cs="宋体"/>
          <w:color w:val="auto"/>
          <w:kern w:val="2"/>
          <w:sz w:val="21"/>
          <w:szCs w:val="22"/>
          <w:highlight w:val="none"/>
          <w:lang w:val="en-US" w:eastAsia="zh-CN" w:bidi="ar-SA"/>
        </w:rPr>
        <w:id w:val="147454344"/>
        <w15:color w:val="DBDBDB"/>
        <w:docPartObj>
          <w:docPartGallery w:val="Table of Contents"/>
          <w:docPartUnique/>
        </w:docPartObj>
      </w:sdtPr>
      <w:sdtEndPr>
        <w:rPr>
          <w:rFonts w:hint="eastAsia" w:ascii="宋体" w:hAnsi="宋体" w:eastAsia="宋体" w:cs="宋体"/>
          <w:color w:val="auto"/>
          <w:kern w:val="2"/>
          <w:sz w:val="21"/>
          <w:szCs w:val="22"/>
          <w:highlight w:val="none"/>
          <w:lang w:val="en-US" w:eastAsia="zh-CN" w:bidi="ar-SA"/>
        </w:rPr>
      </w:sdtEndPr>
      <w:sdtContent>
        <w:p w14:paraId="5DF432A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p>
        <w:p w14:paraId="64A096E5">
          <w:pPr>
            <w:pStyle w:val="30"/>
            <w:tabs>
              <w:tab w:val="right" w:leader="dot" w:pos="10154"/>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_Toc25032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kern w:val="2"/>
              <w:szCs w:val="22"/>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7B61DA8">
          <w:pPr>
            <w:pStyle w:val="30"/>
            <w:tabs>
              <w:tab w:val="right" w:leader="dot" w:pos="10154"/>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_Toc15993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kern w:val="2"/>
              <w:szCs w:val="22"/>
              <w:highlight w:val="none"/>
              <w:lang w:val="zh-CN"/>
            </w:rPr>
            <w:t>第二篇</w:t>
          </w:r>
          <w:r>
            <w:rPr>
              <w:rFonts w:hint="eastAsia" w:ascii="宋体" w:hAnsi="宋体" w:eastAsia="宋体" w:cs="宋体"/>
              <w:bCs w:val="0"/>
              <w:color w:val="auto"/>
              <w:kern w:val="2"/>
              <w:szCs w:val="22"/>
              <w:highlight w:val="none"/>
            </w:rPr>
            <w:t xml:space="preserve"> </w:t>
          </w:r>
          <w:r>
            <w:rPr>
              <w:rFonts w:hint="eastAsia" w:ascii="宋体" w:hAnsi="宋体" w:eastAsia="宋体" w:cs="宋体"/>
              <w:bCs w:val="0"/>
              <w:color w:val="auto"/>
              <w:kern w:val="2"/>
              <w:szCs w:val="2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_Toc15993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E504B4">
          <w:pPr>
            <w:pStyle w:val="30"/>
            <w:tabs>
              <w:tab w:val="right" w:leader="dot" w:pos="10154"/>
            </w:tabs>
            <w:spacing w:line="400" w:lineRule="exact"/>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_Toc7314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kern w:val="2"/>
              <w:szCs w:val="22"/>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5EE893">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_Toc15927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_Toc15927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96E5A05">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_Toc7215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_Toc7215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B369B7">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3 合格的</w:t>
          </w:r>
          <w:r>
            <w:rPr>
              <w:rFonts w:hint="eastAsia" w:ascii="宋体" w:hAnsi="宋体" w:eastAsia="宋体" w:cs="宋体"/>
              <w:color w:val="auto"/>
              <w:szCs w:val="22"/>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_Toc5507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217C8B0">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_Toc7166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E5F1236">
          <w:pPr>
            <w:pStyle w:val="30"/>
            <w:tabs>
              <w:tab w:val="right" w:leader="dot" w:pos="10154"/>
            </w:tabs>
            <w:spacing w:line="400" w:lineRule="exact"/>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_Toc27799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kern w:val="2"/>
              <w:szCs w:val="22"/>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_Toc27799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EBEC5B">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_Toc23652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_Toc23652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D8EABC">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_Toc32545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_Toc32545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F4EA6D">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_Toc15275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_Toc15275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1FB897">
          <w:pPr>
            <w:pStyle w:val="30"/>
            <w:tabs>
              <w:tab w:val="right" w:leader="dot" w:pos="10154"/>
            </w:tabs>
            <w:spacing w:line="400" w:lineRule="exact"/>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_Toc26172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kern w:val="2"/>
              <w:szCs w:val="22"/>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_Toc26172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974EEF">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_Toc6832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_Toc6832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B609B28">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2DAD6C">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_Toc5184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293E44A">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_Toc29698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_Toc29698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3B1C54">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268036F">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_Toc8932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FD787CC">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_Toc679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1943EB">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_Toc29434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_Toc29434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6C5E73">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_Toc26076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_Toc26076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2844148">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_Toc10649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_Toc10649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A032C33">
          <w:pPr>
            <w:pStyle w:val="30"/>
            <w:tabs>
              <w:tab w:val="right" w:leader="dot" w:pos="10154"/>
            </w:tabs>
            <w:spacing w:line="400" w:lineRule="exact"/>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_Toc4452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kern w:val="2"/>
              <w:szCs w:val="22"/>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_Toc4452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EF93FE">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_Toc26730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_Toc26730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8EEB23">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_Toc470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76F98FF">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_Toc15628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_Toc15628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9A4F435">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_Toc3110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DE90A43">
          <w:pPr>
            <w:pStyle w:val="30"/>
            <w:tabs>
              <w:tab w:val="right" w:leader="dot" w:pos="10154"/>
            </w:tabs>
            <w:spacing w:line="400" w:lineRule="exact"/>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_Toc5908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kern w:val="2"/>
              <w:szCs w:val="22"/>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_Toc5908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59F008">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_Toc24133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_Toc24133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4ED204F">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_Toc7858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 xml:space="preserve">23 </w:t>
          </w:r>
          <w:r>
            <w:rPr>
              <w:rFonts w:hint="eastAsia" w:ascii="宋体" w:hAnsi="宋体" w:eastAsia="宋体" w:cs="宋体"/>
              <w:color w:val="auto"/>
              <w:kern w:val="2"/>
              <w:szCs w:val="22"/>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_Toc7858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7D695D">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_Toc29084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_Toc29084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69D6165">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_Toc31163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_Toc31163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D3EA57D">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_Toc26228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_Toc26228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DB4E44">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_Toc14841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_Toc14841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F58246">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_Toc14218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_Toc14218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81A36DB">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_Toc18148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2</w:t>
          </w:r>
          <w:r>
            <w:rPr>
              <w:rFonts w:hint="eastAsia" w:ascii="宋体" w:hAnsi="宋体" w:eastAsia="宋体" w:cs="宋体"/>
              <w:color w:val="auto"/>
              <w:szCs w:val="22"/>
              <w:highlight w:val="none"/>
            </w:rPr>
            <w:t xml:space="preserve">9 </w:t>
          </w:r>
          <w:r>
            <w:rPr>
              <w:rFonts w:hint="eastAsia" w:ascii="宋体" w:hAnsi="宋体" w:eastAsia="宋体" w:cs="宋体"/>
              <w:color w:val="auto"/>
              <w:szCs w:val="22"/>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0582B0">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_Toc28516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rPr>
            <w:t>30</w:t>
          </w:r>
          <w:r>
            <w:rPr>
              <w:rFonts w:hint="eastAsia" w:ascii="宋体" w:hAnsi="宋体" w:eastAsia="宋体" w:cs="宋体"/>
              <w:color w:val="auto"/>
              <w:szCs w:val="22"/>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_Toc28516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E3CDBF1">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_Toc26159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rPr>
            <w:t>31</w:t>
          </w:r>
          <w:r>
            <w:rPr>
              <w:rFonts w:hint="eastAsia" w:ascii="宋体" w:hAnsi="宋体" w:eastAsia="宋体" w:cs="宋体"/>
              <w:color w:val="auto"/>
              <w:szCs w:val="22"/>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_Toc26159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C80FDB">
          <w:pPr>
            <w:pStyle w:val="30"/>
            <w:tabs>
              <w:tab w:val="right" w:leader="dot" w:pos="10154"/>
            </w:tabs>
            <w:spacing w:line="400" w:lineRule="exact"/>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_Toc5404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kern w:val="2"/>
              <w:szCs w:val="22"/>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_Toc5404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6DF4D8">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_Toc25050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rPr>
            <w:t>32</w:t>
          </w:r>
          <w:r>
            <w:rPr>
              <w:rFonts w:hint="eastAsia" w:ascii="宋体" w:hAnsi="宋体" w:eastAsia="宋体" w:cs="宋体"/>
              <w:color w:val="auto"/>
              <w:szCs w:val="22"/>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71B67CF">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_Toc29888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8E8ED6">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_Toc32671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rPr>
            <w:t>34</w:t>
          </w:r>
          <w:r>
            <w:rPr>
              <w:rFonts w:hint="eastAsia" w:ascii="宋体" w:hAnsi="宋体" w:eastAsia="宋体" w:cs="宋体"/>
              <w:color w:val="auto"/>
              <w:szCs w:val="22"/>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4586C5">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_Toc18298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rPr>
            <w:t xml:space="preserve">35 </w:t>
          </w:r>
          <w:r>
            <w:rPr>
              <w:rFonts w:hint="eastAsia" w:ascii="宋体" w:hAnsi="宋体" w:eastAsia="宋体" w:cs="宋体"/>
              <w:color w:val="auto"/>
              <w:szCs w:val="22"/>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_Toc18298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C5C3081">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_Toc23796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rPr>
            <w:t>36</w:t>
          </w:r>
          <w:r>
            <w:rPr>
              <w:rFonts w:hint="eastAsia" w:ascii="宋体" w:hAnsi="宋体" w:eastAsia="宋体" w:cs="宋体"/>
              <w:color w:val="auto"/>
              <w:szCs w:val="22"/>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_Toc23796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A7F9F66">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_Toc8723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rPr>
            <w:t>37</w:t>
          </w:r>
          <w:r>
            <w:rPr>
              <w:rFonts w:hint="eastAsia" w:ascii="宋体" w:hAnsi="宋体" w:eastAsia="宋体" w:cs="宋体"/>
              <w:color w:val="auto"/>
              <w:szCs w:val="22"/>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_Toc8723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987A359">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_Toc7165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rPr>
            <w:t>38</w:t>
          </w:r>
          <w:r>
            <w:rPr>
              <w:rFonts w:hint="eastAsia" w:ascii="宋体" w:hAnsi="宋体" w:eastAsia="宋体" w:cs="宋体"/>
              <w:color w:val="auto"/>
              <w:szCs w:val="22"/>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DF3906">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_Toc1180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1844ACC">
          <w:pPr>
            <w:pStyle w:val="23"/>
            <w:tabs>
              <w:tab w:val="right" w:leader="dot" w:pos="10154"/>
              <w:tab w:val="clear" w:pos="10144"/>
            </w:tabs>
            <w:spacing w:line="400" w:lineRule="exact"/>
            <w:ind w:left="420" w:left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_Toc28954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2"/>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_Toc28954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699DDF">
          <w:pPr>
            <w:pStyle w:val="30"/>
            <w:tabs>
              <w:tab w:val="right" w:leader="dot" w:pos="10154"/>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_Toc31801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kern w:val="2"/>
              <w:szCs w:val="2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_Toc31801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C69EB8">
          <w:pPr>
            <w:pStyle w:val="30"/>
            <w:tabs>
              <w:tab w:val="right" w:leader="dot" w:pos="10154"/>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_Toc24068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kern w:val="2"/>
              <w:szCs w:val="2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_Toc24068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AAAF37">
          <w:pPr>
            <w:pStyle w:val="30"/>
            <w:tabs>
              <w:tab w:val="right" w:leader="dot" w:pos="10154"/>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_Toc4192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szCs w:val="2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4A7E6E3">
          <w:pPr>
            <w:pStyle w:val="30"/>
            <w:tabs>
              <w:tab w:val="right" w:leader="dot" w:pos="10154"/>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_Toc3718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kern w:val="2"/>
              <w:szCs w:val="2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_Toc3718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206007">
          <w:pPr>
            <w:pStyle w:val="30"/>
            <w:tabs>
              <w:tab w:val="right" w:leader="dot" w:pos="10154"/>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_Toc16148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kern w:val="2"/>
              <w:szCs w:val="2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3CE591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75C763F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AAFF9DF">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rPr>
      </w:pPr>
      <w:bookmarkStart w:id="0" w:name="_Toc31091"/>
      <w:bookmarkStart w:id="1" w:name="_Toc450662846"/>
      <w:bookmarkStart w:id="2" w:name="_Toc2723_WPSOffice_Level1"/>
      <w:bookmarkStart w:id="3" w:name="_Toc4869"/>
      <w:bookmarkStart w:id="4" w:name="_Toc142508310"/>
      <w:bookmarkStart w:id="5" w:name="_Toc25032"/>
      <w:bookmarkStart w:id="6" w:name="_Toc486167660"/>
      <w:bookmarkStart w:id="7" w:name="_Toc17326"/>
      <w:bookmarkStart w:id="8" w:name="_Toc20249"/>
      <w:bookmarkStart w:id="9" w:name="_Toc25037"/>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bookmarkEnd w:id="4"/>
      <w:bookmarkEnd w:id="5"/>
      <w:bookmarkEnd w:id="6"/>
      <w:bookmarkEnd w:id="7"/>
      <w:bookmarkEnd w:id="8"/>
      <w:bookmarkEnd w:id="9"/>
    </w:p>
    <w:p w14:paraId="6B5B5B9F">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广东有德招标采购有限公司（以下简称“招标代理机构”）受东莞市水务环境投资控股集团管网有限公司（以下简称“招标人”）的委托，对</w:t>
      </w:r>
      <w:bookmarkStart w:id="10" w:name="_Hlk41903390"/>
      <w:r>
        <w:rPr>
          <w:rFonts w:hint="eastAsia" w:ascii="宋体" w:hAnsi="宋体" w:eastAsia="宋体" w:cs="宋体"/>
          <w:color w:val="auto"/>
          <w:szCs w:val="21"/>
          <w:highlight w:val="none"/>
          <w:lang w:val="zh-CN"/>
        </w:rPr>
        <w:t>东莞市水务环境投资控股集团管网有限公司2026至2028年度公众责任险采购项目(招标编号：YDZB25DGQY0094)</w:t>
      </w:r>
      <w:bookmarkEnd w:id="10"/>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4B38AFA5">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434110DD">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根据东莞市水务环境投资控股集团有限公司发展战略部署，东莞市水务环境投资控股集团管网有限公司承接东莞市水务环境投资控股集团有限公司排水管网版块业务，累计接收运营管网约1万多公里，泵站约300座。现拟通过公开招标的方式确定服务单位，负责东莞市水务环境投资控股集团管网有限公司2026至2028年度公众责任险采购项目服务工作。（具体内容详见：第三篇用户需求书）。</w:t>
      </w:r>
    </w:p>
    <w:p w14:paraId="6CC69E0A">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3DF1C1F0">
      <w:pPr>
        <w:numPr>
          <w:ilvl w:val="0"/>
          <w:numId w:val="1"/>
        </w:numPr>
        <w:autoSpaceDE w:val="0"/>
        <w:autoSpaceDN w:val="0"/>
        <w:adjustRightInd w:val="0"/>
        <w:snapToGrid w:val="0"/>
        <w:spacing w:line="360" w:lineRule="auto"/>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4C1DAE4B">
      <w:pPr>
        <w:pStyle w:val="160"/>
        <w:keepNext w:val="0"/>
        <w:keepLines w:val="0"/>
        <w:pageBreakBefore w:val="0"/>
        <w:widowControl w:val="0"/>
        <w:kinsoku/>
        <w:wordWrap/>
        <w:overflowPunct/>
        <w:topLinePunct w:val="0"/>
        <w:autoSpaceDE w:val="0"/>
        <w:autoSpaceDN w:val="0"/>
        <w:bidi w:val="0"/>
        <w:adjustRightInd w:val="0"/>
        <w:snapToGrid/>
        <w:spacing w:line="360" w:lineRule="auto"/>
        <w:ind w:left="422" w:right="-29" w:rightChars="-14" w:hanging="422" w:hangingChars="200"/>
        <w:jc w:val="both"/>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在中华人民共和国境内登记注册、合法存续、正常经营且具有独立承担民事责任能力的法人或其他组织；若投标人为非独立法人（即由合法法人依法建立的分公司</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val="zh-CN"/>
        </w:rPr>
        <w:t>中心支公司</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val="zh-CN"/>
        </w:rPr>
        <w:t>营销服务部</w:t>
      </w:r>
      <w:r>
        <w:rPr>
          <w:rFonts w:hint="eastAsia" w:ascii="宋体" w:hAnsi="宋体" w:eastAsia="宋体" w:cs="宋体"/>
          <w:b/>
          <w:color w:val="auto"/>
          <w:sz w:val="21"/>
          <w:szCs w:val="21"/>
          <w:highlight w:val="none"/>
          <w:lang w:val="en-US" w:eastAsia="zh-CN"/>
        </w:rPr>
        <w:t>等分支机构</w:t>
      </w:r>
      <w:r>
        <w:rPr>
          <w:rFonts w:hint="eastAsia" w:ascii="宋体" w:hAnsi="宋体" w:eastAsia="宋体" w:cs="宋体"/>
          <w:b/>
          <w:color w:val="auto"/>
          <w:sz w:val="21"/>
          <w:szCs w:val="21"/>
          <w:highlight w:val="none"/>
          <w:lang w:val="zh-CN"/>
        </w:rPr>
        <w:t>）</w:t>
      </w:r>
      <w:r>
        <w:rPr>
          <w:rFonts w:hint="eastAsia"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zh-CN"/>
        </w:rPr>
        <w:t>还必须同时提供：①总公司的多证合一营业执照（或事业单位法人证书）、</w:t>
      </w:r>
      <w:r>
        <w:rPr>
          <w:rFonts w:hint="eastAsia" w:ascii="宋体" w:hAnsi="宋体" w:eastAsia="宋体" w:cs="宋体"/>
          <w:b/>
          <w:color w:val="auto"/>
          <w:sz w:val="21"/>
          <w:szCs w:val="21"/>
          <w:highlight w:val="none"/>
          <w:lang w:val="en-US" w:eastAsia="zh-CN"/>
        </w:rPr>
        <w:t>保险许可证</w:t>
      </w:r>
      <w:r>
        <w:rPr>
          <w:rFonts w:hint="eastAsia" w:ascii="宋体" w:hAnsi="宋体" w:eastAsia="宋体" w:cs="宋体"/>
          <w:b/>
          <w:color w:val="auto"/>
          <w:sz w:val="21"/>
          <w:szCs w:val="21"/>
          <w:highlight w:val="none"/>
          <w:lang w:val="zh-CN"/>
        </w:rPr>
        <w:t>；②总公司对分公司</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val="zh-CN"/>
        </w:rPr>
        <w:t>中心支公司</w:t>
      </w:r>
      <w:r>
        <w:rPr>
          <w:rFonts w:hint="eastAsia" w:ascii="宋体"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val="zh-CN"/>
        </w:rPr>
        <w:t>营销服务部</w:t>
      </w:r>
      <w:r>
        <w:rPr>
          <w:rFonts w:hint="eastAsia" w:ascii="宋体" w:hAnsi="宋体" w:eastAsia="宋体" w:cs="宋体"/>
          <w:b/>
          <w:color w:val="auto"/>
          <w:sz w:val="21"/>
          <w:szCs w:val="21"/>
          <w:highlight w:val="none"/>
          <w:lang w:val="en-US" w:eastAsia="zh-CN"/>
        </w:rPr>
        <w:t>等</w:t>
      </w:r>
      <w:r>
        <w:rPr>
          <w:rFonts w:hint="eastAsia" w:ascii="宋体" w:hAnsi="宋体" w:eastAsia="宋体" w:cs="宋体"/>
          <w:b/>
          <w:color w:val="auto"/>
          <w:sz w:val="21"/>
          <w:szCs w:val="21"/>
          <w:highlight w:val="none"/>
          <w:lang w:val="zh-CN"/>
        </w:rPr>
        <w:t>出具的独家授权其参加本次投标的授权书</w:t>
      </w:r>
      <w:r>
        <w:rPr>
          <w:rFonts w:hint="eastAsia"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zh-CN"/>
        </w:rPr>
        <w:t>同一</w:t>
      </w:r>
      <w:r>
        <w:rPr>
          <w:rFonts w:hint="eastAsia" w:ascii="宋体" w:hAnsi="宋体" w:eastAsia="宋体" w:cs="宋体"/>
          <w:b/>
          <w:color w:val="auto"/>
          <w:sz w:val="21"/>
          <w:szCs w:val="21"/>
          <w:highlight w:val="none"/>
          <w:lang w:val="en-US" w:eastAsia="zh-CN"/>
        </w:rPr>
        <w:t>总公司</w:t>
      </w:r>
      <w:r>
        <w:rPr>
          <w:rFonts w:hint="eastAsia" w:ascii="宋体" w:hAnsi="宋体" w:eastAsia="宋体" w:cs="宋体"/>
          <w:b/>
          <w:color w:val="auto"/>
          <w:sz w:val="21"/>
          <w:szCs w:val="21"/>
          <w:highlight w:val="none"/>
          <w:lang w:val="zh-CN"/>
        </w:rPr>
        <w:t>只能授权一家分支机构参加本项目投标（授权一家以上分支机构参与投标的，将同时作无效投标处理）</w:t>
      </w:r>
      <w:r>
        <w:rPr>
          <w:rFonts w:hint="eastAsia" w:hAnsi="宋体" w:eastAsia="宋体" w:cs="宋体"/>
          <w:b/>
          <w:color w:val="auto"/>
          <w:sz w:val="21"/>
          <w:szCs w:val="21"/>
          <w:highlight w:val="none"/>
          <w:lang w:val="en-US" w:eastAsia="zh-CN"/>
        </w:rPr>
        <w:t>，</w:t>
      </w:r>
      <w:r>
        <w:rPr>
          <w:rFonts w:hint="eastAsia" w:ascii="宋体" w:hAnsi="宋体" w:eastAsia="宋体" w:cs="宋体"/>
          <w:b/>
          <w:color w:val="auto"/>
          <w:sz w:val="21"/>
          <w:szCs w:val="21"/>
          <w:highlight w:val="none"/>
          <w:lang w:val="zh-CN"/>
        </w:rPr>
        <w:t>授权书必须写明授权投标及处理投标相关事宜的权限</w:t>
      </w:r>
      <w:r>
        <w:rPr>
          <w:rFonts w:hint="eastAsia"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zh-CN"/>
        </w:rPr>
        <w:t>授权书需加盖总公司公章；</w:t>
      </w:r>
    </w:p>
    <w:p w14:paraId="08D153FC">
      <w:pPr>
        <w:pStyle w:val="160"/>
        <w:keepNext w:val="0"/>
        <w:keepLines w:val="0"/>
        <w:pageBreakBefore w:val="0"/>
        <w:widowControl w:val="0"/>
        <w:kinsoku/>
        <w:wordWrap/>
        <w:overflowPunct/>
        <w:topLinePunct w:val="0"/>
        <w:autoSpaceDE w:val="0"/>
        <w:autoSpaceDN w:val="0"/>
        <w:bidi w:val="0"/>
        <w:adjustRightInd w:val="0"/>
        <w:snapToGrid/>
        <w:spacing w:line="360" w:lineRule="auto"/>
        <w:ind w:left="422" w:right="-29" w:rightChars="-14" w:hanging="422" w:hangingChars="200"/>
        <w:jc w:val="both"/>
        <w:textAlignment w:val="auto"/>
        <w:rPr>
          <w:rFonts w:hint="eastAsia" w:ascii="宋体" w:hAnsi="宋体" w:eastAsia="宋体" w:cs="宋体"/>
          <w:b/>
          <w:color w:val="auto"/>
          <w:sz w:val="21"/>
          <w:szCs w:val="21"/>
          <w:highlight w:val="none"/>
          <w:lang w:val="zh-CN"/>
        </w:rPr>
      </w:pPr>
      <w:bookmarkStart w:id="11" w:name="_Toc25819"/>
      <w:r>
        <w:rPr>
          <w:rFonts w:hint="eastAsia" w:ascii="宋体" w:hAnsi="宋体" w:eastAsia="宋体" w:cs="宋体"/>
          <w:b/>
          <w:color w:val="auto"/>
          <w:sz w:val="21"/>
          <w:szCs w:val="21"/>
          <w:highlight w:val="none"/>
          <w:lang w:val="zh-CN"/>
        </w:rPr>
        <w:t>2.2 提供一份</w:t>
      </w:r>
      <w:r>
        <w:rPr>
          <w:rFonts w:hint="eastAsia" w:ascii="宋体" w:hAnsi="宋体" w:eastAsia="宋体" w:cs="宋体"/>
          <w:b/>
          <w:color w:val="auto"/>
          <w:sz w:val="21"/>
          <w:szCs w:val="21"/>
          <w:highlight w:val="none"/>
          <w:lang w:val="en-US" w:eastAsia="zh-CN"/>
        </w:rPr>
        <w:t>2022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日以来</w:t>
      </w:r>
      <w:r>
        <w:rPr>
          <w:rFonts w:hint="eastAsia" w:ascii="宋体" w:hAnsi="宋体" w:eastAsia="宋体" w:cs="宋体"/>
          <w:b/>
          <w:color w:val="auto"/>
          <w:sz w:val="21"/>
          <w:szCs w:val="21"/>
          <w:highlight w:val="none"/>
          <w:lang w:val="en-US" w:eastAsia="zh-CN"/>
        </w:rPr>
        <w:t>公众责任险服务</w:t>
      </w:r>
      <w:r>
        <w:rPr>
          <w:rFonts w:hint="eastAsia" w:ascii="宋体" w:hAnsi="宋体" w:eastAsia="宋体" w:cs="宋体"/>
          <w:b/>
          <w:color w:val="auto"/>
          <w:sz w:val="21"/>
          <w:szCs w:val="21"/>
          <w:highlight w:val="none"/>
          <w:lang w:val="zh-CN"/>
        </w:rPr>
        <w:t>业绩（</w:t>
      </w:r>
      <w:r>
        <w:rPr>
          <w:rFonts w:hint="eastAsia" w:ascii="宋体" w:hAnsi="宋体" w:eastAsia="宋体" w:cs="宋体"/>
          <w:b/>
          <w:color w:val="auto"/>
          <w:sz w:val="21"/>
          <w:szCs w:val="21"/>
          <w:highlight w:val="none"/>
          <w:lang w:val="zh-CN" w:eastAsia="zh-CN"/>
        </w:rPr>
        <w:t>合同签订时间</w:t>
      </w:r>
      <w:r>
        <w:rPr>
          <w:rFonts w:hint="eastAsia" w:ascii="宋体" w:hAnsi="宋体" w:eastAsia="宋体" w:cs="宋体"/>
          <w:b/>
          <w:color w:val="auto"/>
          <w:sz w:val="21"/>
          <w:szCs w:val="21"/>
          <w:highlight w:val="none"/>
          <w:lang w:val="zh-CN"/>
        </w:rPr>
        <w:t>为</w:t>
      </w:r>
      <w:r>
        <w:rPr>
          <w:rFonts w:hint="eastAsia" w:ascii="宋体" w:hAnsi="宋体" w:eastAsia="宋体" w:cs="宋体"/>
          <w:b/>
          <w:color w:val="auto"/>
          <w:sz w:val="21"/>
          <w:szCs w:val="21"/>
          <w:highlight w:val="none"/>
          <w:lang w:val="en-US" w:eastAsia="zh-CN"/>
        </w:rPr>
        <w:t>2022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日或以后）；</w:t>
      </w:r>
    </w:p>
    <w:p w14:paraId="32815C01">
      <w:pPr>
        <w:pStyle w:val="160"/>
        <w:keepNext w:val="0"/>
        <w:keepLines w:val="0"/>
        <w:pageBreakBefore w:val="0"/>
        <w:widowControl w:val="0"/>
        <w:kinsoku/>
        <w:wordWrap/>
        <w:overflowPunct/>
        <w:topLinePunct w:val="0"/>
        <w:autoSpaceDE w:val="0"/>
        <w:autoSpaceDN w:val="0"/>
        <w:bidi w:val="0"/>
        <w:adjustRightInd w:val="0"/>
        <w:snapToGrid/>
        <w:spacing w:line="360" w:lineRule="auto"/>
        <w:ind w:left="422" w:right="-29" w:rightChars="-14" w:hanging="422" w:hangingChars="200"/>
        <w:jc w:val="both"/>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2.3 投标人须具有</w:t>
      </w:r>
      <w:r>
        <w:rPr>
          <w:rFonts w:hint="eastAsia" w:hAnsi="宋体" w:eastAsia="宋体" w:cs="宋体"/>
          <w:b/>
          <w:color w:val="auto"/>
          <w:sz w:val="21"/>
          <w:szCs w:val="21"/>
          <w:highlight w:val="none"/>
          <w:lang w:val="en-US" w:eastAsia="zh-CN"/>
        </w:rPr>
        <w:t>保险监督管理部门</w:t>
      </w:r>
      <w:r>
        <w:rPr>
          <w:rFonts w:hint="eastAsia" w:ascii="宋体" w:hAnsi="宋体" w:eastAsia="宋体" w:cs="宋体"/>
          <w:b/>
          <w:color w:val="auto"/>
          <w:sz w:val="21"/>
          <w:szCs w:val="21"/>
          <w:highlight w:val="none"/>
          <w:lang w:val="en-US" w:eastAsia="zh-CN"/>
        </w:rPr>
        <w:t>颁发的《保险许可证》。</w:t>
      </w:r>
    </w:p>
    <w:p w14:paraId="3844EAAE">
      <w:pPr>
        <w:pStyle w:val="160"/>
        <w:keepNext w:val="0"/>
        <w:keepLines w:val="0"/>
        <w:pageBreakBefore w:val="0"/>
        <w:widowControl w:val="0"/>
        <w:kinsoku/>
        <w:wordWrap/>
        <w:overflowPunct/>
        <w:topLinePunct w:val="0"/>
        <w:autoSpaceDE w:val="0"/>
        <w:autoSpaceDN w:val="0"/>
        <w:bidi w:val="0"/>
        <w:adjustRightInd w:val="0"/>
        <w:snapToGrid/>
        <w:spacing w:line="360" w:lineRule="auto"/>
        <w:ind w:left="422" w:right="-29" w:rightChars="-14" w:hanging="422" w:hangingChars="200"/>
        <w:jc w:val="both"/>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 xml:space="preserve">2.4 </w:t>
      </w:r>
      <w:r>
        <w:rPr>
          <w:rFonts w:hint="eastAsia" w:ascii="宋体" w:hAnsi="宋体" w:eastAsia="宋体" w:cs="宋体"/>
          <w:b/>
          <w:color w:val="auto"/>
          <w:sz w:val="21"/>
          <w:szCs w:val="21"/>
          <w:highlight w:val="none"/>
          <w:lang w:val="zh-CN"/>
        </w:rPr>
        <w:t>本项目不接受联合体投标。</w:t>
      </w:r>
      <w:bookmarkEnd w:id="11"/>
    </w:p>
    <w:p w14:paraId="6E56DC20">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7E98FA3A">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下载招标文件。</w:t>
      </w:r>
    </w:p>
    <w:p w14:paraId="5D5C3AEA">
      <w:pPr>
        <w:autoSpaceDE w:val="0"/>
        <w:autoSpaceDN w:val="0"/>
        <w:adjustRightInd w:val="0"/>
        <w:spacing w:line="360" w:lineRule="auto"/>
        <w:ind w:left="630" w:leftChars="100" w:right="-29" w:rightChars="-14" w:hanging="420" w:hangingChars="200"/>
        <w:rPr>
          <w:rFonts w:hint="eastAsia" w:ascii="宋体" w:hAnsi="宋体" w:eastAsia="宋体" w:cs="宋体"/>
          <w:color w:val="auto"/>
          <w:szCs w:val="21"/>
          <w:highlight w:val="none"/>
          <w:lang w:val="zh-CN"/>
        </w:rPr>
      </w:pPr>
    </w:p>
    <w:p w14:paraId="7AA38702">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0A234EF7">
      <w:pPr>
        <w:autoSpaceDE w:val="0"/>
        <w:autoSpaceDN w:val="0"/>
        <w:adjustRightInd w:val="0"/>
        <w:spacing w:line="360" w:lineRule="auto"/>
        <w:ind w:right="-29" w:rightChars="-14" w:firstLine="420"/>
        <w:rPr>
          <w:rFonts w:hint="eastAsia" w:ascii="宋体" w:hAnsi="宋体" w:eastAsia="宋体" w:cs="宋体"/>
          <w:color w:val="auto"/>
          <w:szCs w:val="21"/>
          <w:highlight w:val="none"/>
          <w:lang w:val="zh-CN"/>
        </w:rPr>
      </w:pPr>
    </w:p>
    <w:p w14:paraId="197FC34C">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45567E38">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11</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18</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13：30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en-US" w:eastAsia="zh-CN"/>
        </w:rPr>
        <w:t>14：00</w:t>
      </w:r>
      <w:r>
        <w:rPr>
          <w:rFonts w:hint="eastAsia" w:ascii="宋体" w:hAnsi="宋体" w:eastAsia="宋体" w:cs="宋体"/>
          <w:bCs/>
          <w:color w:val="auto"/>
          <w:kern w:val="0"/>
          <w:szCs w:val="21"/>
          <w:highlight w:val="none"/>
        </w:rPr>
        <w:t>；</w:t>
      </w:r>
    </w:p>
    <w:p w14:paraId="6A0FCE2F">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11</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18</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14：00</w:t>
      </w:r>
      <w:r>
        <w:rPr>
          <w:rFonts w:hint="eastAsia" w:ascii="宋体" w:hAnsi="宋体" w:eastAsia="宋体" w:cs="宋体"/>
          <w:bCs/>
          <w:color w:val="auto"/>
          <w:kern w:val="0"/>
          <w:szCs w:val="21"/>
          <w:highlight w:val="none"/>
        </w:rPr>
        <w:t>；</w:t>
      </w:r>
    </w:p>
    <w:p w14:paraId="296D91F1">
      <w:pPr>
        <w:autoSpaceDE w:val="0"/>
        <w:autoSpaceDN w:val="0"/>
        <w:adjustRightInd w:val="0"/>
        <w:spacing w:line="360" w:lineRule="auto"/>
        <w:ind w:right="-29" w:rightChars="-14"/>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投标及开标地点：广东省东莞市东城街道新源路海德琥珀台6栋1703室</w:t>
      </w:r>
      <w:bookmarkStart w:id="820" w:name="_GoBack"/>
      <w:bookmarkEnd w:id="820"/>
    </w:p>
    <w:p w14:paraId="5ABD8F6C">
      <w:pPr>
        <w:autoSpaceDE w:val="0"/>
        <w:autoSpaceDN w:val="0"/>
        <w:adjustRightInd w:val="0"/>
        <w:spacing w:line="360" w:lineRule="auto"/>
        <w:ind w:right="-29" w:rightChars="-14" w:firstLine="210" w:firstLineChars="100"/>
        <w:rPr>
          <w:rFonts w:hint="eastAsia" w:ascii="宋体" w:hAnsi="宋体" w:eastAsia="宋体" w:cs="宋体"/>
          <w:color w:val="auto"/>
          <w:kern w:val="0"/>
          <w:szCs w:val="21"/>
          <w:highlight w:val="none"/>
        </w:rPr>
      </w:pPr>
    </w:p>
    <w:p w14:paraId="69ACB3B0">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00793D25">
      <w:pPr>
        <w:autoSpaceDE w:val="0"/>
        <w:autoSpaceDN w:val="0"/>
        <w:adjustRightInd w:val="0"/>
        <w:spacing w:line="360" w:lineRule="auto"/>
        <w:ind w:left="210" w:leftChars="100" w:right="-29" w:rightChars="-14"/>
        <w:rPr>
          <w:rFonts w:hint="eastAsia" w:ascii="宋体" w:hAnsi="宋体" w:eastAsia="宋体" w:cs="宋体"/>
          <w:color w:val="auto"/>
          <w:szCs w:val="21"/>
          <w:highlight w:val="none"/>
          <w:lang w:val="zh-CN"/>
        </w:rPr>
      </w:pPr>
    </w:p>
    <w:p w14:paraId="5D7E32E8">
      <w:pPr>
        <w:numPr>
          <w:ilvl w:val="0"/>
          <w:numId w:val="1"/>
        </w:numPr>
        <w:autoSpaceDE w:val="0"/>
        <w:autoSpaceDN w:val="0"/>
        <w:adjustRightInd w:val="0"/>
        <w:snapToGrid w:val="0"/>
        <w:spacing w:line="360" w:lineRule="auto"/>
        <w:ind w:right="-34"/>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本项目相关公告在以下媒介发布：中国招标投标公共服务平台（www.cebpubservice.com）、</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bCs/>
          <w:color w:val="auto"/>
          <w:szCs w:val="21"/>
          <w:highlight w:val="none"/>
        </w:rPr>
        <w:t>网（www.dgswjt.cn）、招标代理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网站（www.youde.net）</w:t>
      </w:r>
      <w:r>
        <w:rPr>
          <w:rFonts w:hint="eastAsia" w:ascii="宋体" w:hAnsi="宋体" w:eastAsia="宋体" w:cs="宋体"/>
          <w:color w:val="auto"/>
          <w:szCs w:val="21"/>
          <w:highlight w:val="none"/>
          <w:lang w:val="zh-CN"/>
        </w:rPr>
        <w:t>。</w:t>
      </w:r>
    </w:p>
    <w:p w14:paraId="50920FC4">
      <w:pPr>
        <w:numPr>
          <w:ilvl w:val="-1"/>
          <w:numId w:val="0"/>
        </w:numPr>
        <w:autoSpaceDE w:val="0"/>
        <w:autoSpaceDN w:val="0"/>
        <w:adjustRightInd w:val="0"/>
        <w:snapToGrid w:val="0"/>
        <w:spacing w:line="360" w:lineRule="auto"/>
        <w:ind w:left="0" w:right="-34" w:firstLine="0"/>
        <w:jc w:val="left"/>
        <w:rPr>
          <w:rFonts w:hint="eastAsia" w:ascii="宋体" w:hAnsi="宋体" w:eastAsia="宋体" w:cs="宋体"/>
          <w:color w:val="auto"/>
          <w:szCs w:val="21"/>
          <w:highlight w:val="none"/>
        </w:rPr>
      </w:pPr>
    </w:p>
    <w:p w14:paraId="535BF429">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74FD16A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东莞市水务环境投资控股集团管网有限公司</w:t>
      </w:r>
    </w:p>
    <w:p w14:paraId="13E38E9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址：广东省东莞市东城街道东城运河路5号108室</w:t>
      </w:r>
    </w:p>
    <w:p w14:paraId="28B991BE">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王晓华</w:t>
      </w:r>
    </w:p>
    <w:p w14:paraId="1FA8846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w:t>
      </w:r>
      <w:r>
        <w:rPr>
          <w:rFonts w:hint="eastAsia" w:ascii="宋体" w:hAnsi="宋体" w:eastAsia="宋体" w:cs="宋体"/>
          <w:color w:val="auto"/>
          <w:kern w:val="0"/>
          <w:szCs w:val="21"/>
          <w:highlight w:val="none"/>
          <w:lang w:val="en-US" w:eastAsia="zh-CN"/>
        </w:rPr>
        <w:t>22001387</w:t>
      </w:r>
    </w:p>
    <w:p w14:paraId="49432451">
      <w:pPr>
        <w:autoSpaceDE w:val="0"/>
        <w:autoSpaceDN w:val="0"/>
        <w:adjustRightInd w:val="0"/>
        <w:spacing w:line="360" w:lineRule="auto"/>
        <w:ind w:right="-29" w:rightChars="-14" w:firstLine="420"/>
        <w:rPr>
          <w:rFonts w:hint="eastAsia" w:ascii="宋体" w:hAnsi="宋体" w:eastAsia="宋体" w:cs="宋体"/>
          <w:color w:val="auto"/>
          <w:kern w:val="0"/>
          <w:szCs w:val="21"/>
          <w:highlight w:val="none"/>
        </w:rPr>
      </w:pPr>
    </w:p>
    <w:p w14:paraId="0EC7D01A">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招标代理机构及异议受理联系方式</w:t>
      </w:r>
    </w:p>
    <w:p w14:paraId="73CC4EB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bookmarkStart w:id="12" w:name="_Toc31764_WPSOffice_Level1"/>
      <w:bookmarkStart w:id="13" w:name="_Toc450662847"/>
      <w:bookmarkStart w:id="14" w:name="_Toc486167661"/>
      <w:r>
        <w:rPr>
          <w:rFonts w:hint="eastAsia" w:ascii="宋体" w:hAnsi="宋体" w:eastAsia="宋体" w:cs="宋体"/>
          <w:color w:val="auto"/>
          <w:kern w:val="0"/>
          <w:szCs w:val="21"/>
          <w:highlight w:val="none"/>
        </w:rPr>
        <w:t>招标代理机构：广东有德招标采购有限公司</w:t>
      </w:r>
    </w:p>
    <w:p w14:paraId="6CEFE2E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w:t>
      </w:r>
      <w:r>
        <w:rPr>
          <w:rFonts w:hint="eastAsia" w:ascii="宋体" w:hAnsi="宋体" w:eastAsia="宋体" w:cs="宋体"/>
          <w:color w:val="auto"/>
          <w:szCs w:val="21"/>
          <w:highlight w:val="none"/>
        </w:rPr>
        <w:t>东莞市东城街道新源路海德琥珀台6栋1703室</w:t>
      </w:r>
    </w:p>
    <w:p w14:paraId="35BB192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缪俊豪</w:t>
      </w:r>
    </w:p>
    <w:p w14:paraId="56D058F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w:t>
      </w:r>
      <w:r>
        <w:rPr>
          <w:rFonts w:hint="eastAsia" w:ascii="宋体" w:hAnsi="宋体" w:eastAsia="宋体" w:cs="宋体"/>
          <w:color w:val="auto"/>
          <w:szCs w:val="21"/>
          <w:highlight w:val="none"/>
        </w:rPr>
        <w:t>23362836-8018</w:t>
      </w:r>
    </w:p>
    <w:p w14:paraId="4A633B71">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15" w:name="_Toc15993"/>
      <w:bookmarkStart w:id="16" w:name="_Toc142508311"/>
      <w:bookmarkStart w:id="17" w:name="_Toc12324"/>
      <w:bookmarkStart w:id="18" w:name="_Toc15111"/>
      <w:bookmarkStart w:id="19" w:name="_Toc18212"/>
      <w:bookmarkStart w:id="20" w:name="_Toc22704"/>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2"/>
      <w:bookmarkEnd w:id="13"/>
      <w:bookmarkEnd w:id="14"/>
      <w:bookmarkEnd w:id="15"/>
      <w:bookmarkEnd w:id="16"/>
      <w:bookmarkEnd w:id="17"/>
      <w:bookmarkEnd w:id="18"/>
      <w:bookmarkEnd w:id="19"/>
      <w:bookmarkEnd w:id="20"/>
    </w:p>
    <w:p w14:paraId="708B7328">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1" w:name="_Toc2351"/>
      <w:bookmarkStart w:id="22" w:name="_Toc142508312"/>
      <w:bookmarkStart w:id="23" w:name="_Toc486167662"/>
      <w:bookmarkStart w:id="24" w:name="_Toc140596871"/>
      <w:bookmarkStart w:id="25" w:name="_Toc7314"/>
      <w:bookmarkStart w:id="26" w:name="_Toc15366_WPSOffice_Level2"/>
      <w:bookmarkStart w:id="27" w:name="_Toc24479"/>
      <w:bookmarkStart w:id="28" w:name="_Toc23338"/>
      <w:bookmarkStart w:id="29" w:name="_Toc450662848"/>
      <w:bookmarkStart w:id="30" w:name="_Toc9555"/>
      <w:r>
        <w:rPr>
          <w:rFonts w:hint="eastAsia" w:ascii="宋体" w:hAnsi="宋体" w:eastAsia="宋体" w:cs="宋体"/>
          <w:b/>
          <w:bCs/>
          <w:color w:val="auto"/>
          <w:kern w:val="44"/>
          <w:szCs w:val="21"/>
          <w:highlight w:val="none"/>
          <w:lang w:val="zh-CN"/>
        </w:rPr>
        <w:t>一、总则</w:t>
      </w:r>
      <w:bookmarkEnd w:id="21"/>
      <w:bookmarkEnd w:id="22"/>
      <w:bookmarkEnd w:id="23"/>
      <w:bookmarkEnd w:id="24"/>
      <w:bookmarkEnd w:id="25"/>
      <w:bookmarkEnd w:id="26"/>
      <w:bookmarkEnd w:id="27"/>
      <w:bookmarkEnd w:id="28"/>
      <w:bookmarkEnd w:id="29"/>
      <w:bookmarkEnd w:id="30"/>
    </w:p>
    <w:p w14:paraId="59A14F8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1" w:name="_Toc142508313"/>
      <w:bookmarkStart w:id="32" w:name="_Toc486167663"/>
      <w:bookmarkStart w:id="33" w:name="_Toc15927"/>
      <w:bookmarkStart w:id="34" w:name="_Toc9608"/>
      <w:bookmarkStart w:id="35" w:name="_Toc23333"/>
      <w:bookmarkStart w:id="36" w:name="_Toc450662849"/>
      <w:bookmarkStart w:id="37" w:name="_Toc21710_WPSOffice_Level3"/>
      <w:bookmarkStart w:id="38" w:name="_Toc28492"/>
      <w:bookmarkStart w:id="39" w:name="_Toc18460"/>
      <w:r>
        <w:rPr>
          <w:rFonts w:hint="eastAsia" w:ascii="宋体" w:hAnsi="宋体" w:eastAsia="宋体" w:cs="宋体"/>
          <w:color w:val="auto"/>
          <w:szCs w:val="21"/>
          <w:highlight w:val="none"/>
          <w:lang w:val="zh-CN"/>
        </w:rPr>
        <w:t>1 资金来源：企业自筹资金。</w:t>
      </w:r>
      <w:bookmarkEnd w:id="31"/>
      <w:bookmarkEnd w:id="32"/>
      <w:bookmarkEnd w:id="33"/>
      <w:bookmarkEnd w:id="34"/>
      <w:bookmarkEnd w:id="35"/>
      <w:bookmarkEnd w:id="36"/>
      <w:bookmarkEnd w:id="37"/>
      <w:bookmarkEnd w:id="38"/>
      <w:bookmarkEnd w:id="39"/>
    </w:p>
    <w:p w14:paraId="10DE3822">
      <w:pPr>
        <w:autoSpaceDE w:val="0"/>
        <w:autoSpaceDN w:val="0"/>
        <w:adjustRightInd w:val="0"/>
        <w:jc w:val="left"/>
        <w:rPr>
          <w:rFonts w:hint="eastAsia" w:ascii="宋体" w:hAnsi="宋体" w:eastAsia="宋体" w:cs="宋体"/>
          <w:color w:val="auto"/>
          <w:kern w:val="0"/>
          <w:sz w:val="24"/>
          <w:szCs w:val="24"/>
          <w:highlight w:val="none"/>
        </w:rPr>
      </w:pPr>
    </w:p>
    <w:p w14:paraId="089EDB3C">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40" w:name="_Toc142508314"/>
      <w:bookmarkStart w:id="41" w:name="_Toc7215"/>
      <w:bookmarkStart w:id="42" w:name="_Toc32244"/>
      <w:bookmarkStart w:id="43" w:name="_Toc18557"/>
      <w:bookmarkStart w:id="44" w:name="_Toc25946"/>
      <w:bookmarkStart w:id="45" w:name="_Toc486167664"/>
      <w:bookmarkStart w:id="46" w:name="_Toc28906"/>
      <w:bookmarkStart w:id="47" w:name="_Toc80_WPSOffice_Level3"/>
      <w:bookmarkStart w:id="48" w:name="_Toc450662850"/>
      <w:r>
        <w:rPr>
          <w:rFonts w:hint="eastAsia" w:ascii="宋体" w:hAnsi="宋体" w:eastAsia="宋体" w:cs="宋体"/>
          <w:b/>
          <w:color w:val="auto"/>
          <w:szCs w:val="21"/>
          <w:highlight w:val="none"/>
          <w:lang w:val="zh-CN"/>
        </w:rPr>
        <w:t>2 合格的投标人</w:t>
      </w:r>
      <w:bookmarkEnd w:id="40"/>
      <w:bookmarkEnd w:id="41"/>
      <w:bookmarkEnd w:id="42"/>
      <w:bookmarkEnd w:id="43"/>
      <w:bookmarkEnd w:id="44"/>
      <w:bookmarkEnd w:id="45"/>
      <w:bookmarkEnd w:id="46"/>
      <w:bookmarkEnd w:id="47"/>
      <w:bookmarkEnd w:id="48"/>
    </w:p>
    <w:p w14:paraId="6B126E05">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33BDA864">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54263961">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784FBDE5">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 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77CC5A52">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6FDDF04B">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1A9DCD6F">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49" w:name="_Toc142508315"/>
      <w:bookmarkStart w:id="50" w:name="_Toc23847_WPSOffice_Level3"/>
      <w:bookmarkStart w:id="51" w:name="_Toc5507"/>
      <w:bookmarkStart w:id="52" w:name="_Toc31007"/>
      <w:bookmarkStart w:id="53" w:name="_Toc24017"/>
      <w:bookmarkStart w:id="54" w:name="_Toc19774"/>
      <w:bookmarkStart w:id="55" w:name="_Toc11689"/>
      <w:bookmarkStart w:id="56" w:name="_Toc486167665"/>
      <w:bookmarkStart w:id="57" w:name="_Toc450662851"/>
      <w:r>
        <w:rPr>
          <w:rFonts w:hint="eastAsia" w:ascii="宋体" w:hAnsi="宋体" w:eastAsia="宋体" w:cs="宋体"/>
          <w:b/>
          <w:color w:val="auto"/>
          <w:szCs w:val="21"/>
          <w:highlight w:val="none"/>
          <w:lang w:val="zh-CN"/>
        </w:rPr>
        <w:t>3 合格的</w:t>
      </w:r>
      <w:bookmarkEnd w:id="49"/>
      <w:bookmarkEnd w:id="50"/>
      <w:r>
        <w:rPr>
          <w:rFonts w:hint="eastAsia" w:ascii="宋体" w:hAnsi="宋体" w:eastAsia="宋体" w:cs="宋体"/>
          <w:b/>
          <w:color w:val="auto"/>
          <w:szCs w:val="21"/>
          <w:highlight w:val="none"/>
          <w:lang w:val="en-US" w:eastAsia="zh-CN"/>
        </w:rPr>
        <w:t>服务</w:t>
      </w:r>
      <w:bookmarkEnd w:id="51"/>
      <w:bookmarkEnd w:id="52"/>
      <w:bookmarkEnd w:id="53"/>
      <w:bookmarkEnd w:id="54"/>
      <w:bookmarkEnd w:id="55"/>
    </w:p>
    <w:p w14:paraId="02494763">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“服务”是指投标人按招标文件规定完成的全部服务内容，其中包括完成服务所需的货物和工程，及须承担的技术支持、培训和其它伴随服务。</w:t>
      </w:r>
    </w:p>
    <w:p w14:paraId="49829392">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58" w:name="_Toc533708063"/>
      <w:bookmarkStart w:id="59" w:name="_Toc1977663"/>
      <w:r>
        <w:rPr>
          <w:rFonts w:hint="eastAsia" w:ascii="宋体" w:hAnsi="宋体" w:eastAsia="宋体" w:cs="宋体"/>
          <w:color w:val="auto"/>
          <w:szCs w:val="21"/>
          <w:highlight w:val="none"/>
          <w:lang w:val="zh-CN"/>
        </w:rPr>
        <w:t xml:space="preserve">3.2  </w:t>
      </w:r>
      <w:bookmarkEnd w:id="58"/>
      <w:bookmarkEnd w:id="59"/>
      <w:bookmarkStart w:id="60" w:name="_Toc1977665"/>
      <w:bookmarkStart w:id="61" w:name="_Toc5337080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60"/>
      <w:bookmarkEnd w:id="61"/>
    </w:p>
    <w:p w14:paraId="420DA0ED">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62" w:name="_Toc1977666"/>
      <w:bookmarkStart w:id="63"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62"/>
      <w:bookmarkEnd w:id="63"/>
      <w:bookmarkStart w:id="64" w:name="_Toc1977667"/>
      <w:bookmarkStart w:id="65" w:name="_Toc5337080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64"/>
      <w:bookmarkEnd w:id="65"/>
    </w:p>
    <w:p w14:paraId="7DB15B0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66" w:name="_Toc1977668"/>
      <w:bookmarkStart w:id="67"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66"/>
      <w:bookmarkEnd w:id="67"/>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1316091C">
      <w:pPr>
        <w:autoSpaceDE w:val="0"/>
        <w:autoSpaceDN w:val="0"/>
        <w:adjustRightInd w:val="0"/>
        <w:spacing w:line="360" w:lineRule="auto"/>
        <w:jc w:val="left"/>
        <w:rPr>
          <w:rFonts w:hint="eastAsia" w:ascii="宋体" w:hAnsi="宋体" w:eastAsia="宋体" w:cs="宋体"/>
          <w:color w:val="auto"/>
          <w:szCs w:val="21"/>
          <w:highlight w:val="none"/>
          <w:lang w:val="zh-CN"/>
        </w:rPr>
      </w:pPr>
    </w:p>
    <w:p w14:paraId="5198F0EF">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68" w:name="_Toc9658_WPSOffice_Level3"/>
      <w:bookmarkStart w:id="69" w:name="_Toc7166"/>
      <w:bookmarkStart w:id="70" w:name="_Toc11533"/>
      <w:bookmarkStart w:id="71" w:name="_Toc142508316"/>
      <w:bookmarkStart w:id="72" w:name="_Toc3404"/>
      <w:bookmarkStart w:id="73" w:name="_Toc20100"/>
      <w:bookmarkStart w:id="74" w:name="_Toc32384"/>
      <w:r>
        <w:rPr>
          <w:rFonts w:hint="eastAsia" w:ascii="宋体" w:hAnsi="宋体" w:eastAsia="宋体" w:cs="宋体"/>
          <w:color w:val="auto"/>
          <w:szCs w:val="21"/>
          <w:highlight w:val="none"/>
          <w:lang w:val="zh-CN"/>
        </w:rPr>
        <w:t>4 其它说明</w:t>
      </w:r>
      <w:bookmarkEnd w:id="68"/>
      <w:bookmarkEnd w:id="69"/>
      <w:bookmarkEnd w:id="70"/>
      <w:bookmarkEnd w:id="71"/>
      <w:bookmarkEnd w:id="72"/>
      <w:bookmarkEnd w:id="73"/>
      <w:bookmarkEnd w:id="74"/>
    </w:p>
    <w:p w14:paraId="1779EBB8">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5" w:name="_Toc1977670"/>
      <w:bookmarkStart w:id="76" w:name="_Toc533708070"/>
      <w:r>
        <w:rPr>
          <w:rFonts w:hint="eastAsia" w:ascii="宋体" w:hAnsi="宋体" w:eastAsia="宋体" w:cs="宋体"/>
          <w:color w:val="auto"/>
          <w:szCs w:val="21"/>
          <w:highlight w:val="none"/>
          <w:lang w:val="zh-CN"/>
        </w:rPr>
        <w:t>4.1  投标费用</w:t>
      </w:r>
      <w:bookmarkEnd w:id="75"/>
      <w:bookmarkEnd w:id="76"/>
    </w:p>
    <w:p w14:paraId="10727E83">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77" w:name="_Toc1977672"/>
      <w:bookmarkStart w:id="78" w:name="_Toc5337080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77"/>
      <w:bookmarkEnd w:id="78"/>
    </w:p>
    <w:p w14:paraId="228FBD3F">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9" w:name="_Toc533708073"/>
      <w:bookmarkStart w:id="80" w:name="_Toc1977673"/>
      <w:r>
        <w:rPr>
          <w:rFonts w:hint="eastAsia" w:ascii="宋体" w:hAnsi="宋体" w:eastAsia="宋体" w:cs="宋体"/>
          <w:color w:val="auto"/>
          <w:szCs w:val="21"/>
          <w:highlight w:val="none"/>
          <w:lang w:val="zh-CN"/>
        </w:rPr>
        <w:t>4.2  踏勘现场</w:t>
      </w:r>
      <w:bookmarkEnd w:id="79"/>
      <w:bookmarkEnd w:id="80"/>
    </w:p>
    <w:p w14:paraId="4EC6F541">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81" w:name="_Toc1977676"/>
      <w:bookmarkStart w:id="82" w:name="_Toc533708076"/>
      <w:r>
        <w:rPr>
          <w:rFonts w:hint="eastAsia" w:ascii="宋体" w:hAnsi="宋体" w:eastAsia="宋体" w:cs="宋体"/>
          <w:color w:val="auto"/>
          <w:kern w:val="0"/>
          <w:szCs w:val="21"/>
          <w:highlight w:val="none"/>
        </w:rPr>
        <w:t>（1）本项目不组织集中踏勘现场和答疑，投标人应自行到实地踏勘考察。</w:t>
      </w:r>
    </w:p>
    <w:p w14:paraId="12284268">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3670B1A4">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6A45BE20">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2E7E4DB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56"/>
      <w:bookmarkEnd w:id="57"/>
      <w:bookmarkEnd w:id="81"/>
      <w:bookmarkEnd w:id="82"/>
    </w:p>
    <w:p w14:paraId="738D5A5B">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4E2F4BD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49B83E2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762B3BA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7FE782FB">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E225EB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6D9C387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2EAB95A6">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83" w:name="_Toc30507_WPSOffice_Level2"/>
      <w:bookmarkStart w:id="84" w:name="_Toc450662853"/>
      <w:bookmarkStart w:id="85" w:name="_Toc142508317"/>
      <w:bookmarkStart w:id="86" w:name="_Toc5395"/>
      <w:bookmarkStart w:id="87" w:name="_Toc19990"/>
      <w:bookmarkStart w:id="88" w:name="_Toc486167667"/>
      <w:bookmarkStart w:id="89" w:name="_Toc27799"/>
      <w:bookmarkStart w:id="90" w:name="_Toc1565"/>
      <w:bookmarkStart w:id="91" w:name="_Toc140596876"/>
      <w:bookmarkStart w:id="92" w:name="_Toc1226"/>
      <w:r>
        <w:rPr>
          <w:rFonts w:hint="eastAsia" w:ascii="宋体" w:hAnsi="宋体" w:eastAsia="宋体" w:cs="宋体"/>
          <w:b/>
          <w:bCs/>
          <w:color w:val="auto"/>
          <w:kern w:val="44"/>
          <w:szCs w:val="21"/>
          <w:highlight w:val="none"/>
          <w:lang w:val="zh-CN"/>
        </w:rPr>
        <w:t>二、招标文件</w:t>
      </w:r>
      <w:bookmarkEnd w:id="83"/>
      <w:bookmarkEnd w:id="84"/>
      <w:bookmarkEnd w:id="85"/>
      <w:bookmarkEnd w:id="86"/>
      <w:bookmarkEnd w:id="87"/>
      <w:bookmarkEnd w:id="88"/>
      <w:bookmarkEnd w:id="89"/>
      <w:bookmarkEnd w:id="90"/>
      <w:bookmarkEnd w:id="91"/>
      <w:bookmarkEnd w:id="92"/>
    </w:p>
    <w:p w14:paraId="7EE4303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3" w:name="_Toc31378"/>
      <w:bookmarkStart w:id="94" w:name="_Toc450662854"/>
      <w:bookmarkStart w:id="95" w:name="_Toc2406"/>
      <w:bookmarkStart w:id="96" w:name="_Toc486167668"/>
      <w:bookmarkStart w:id="97" w:name="_Toc28893"/>
      <w:bookmarkStart w:id="98" w:name="_Toc142508318"/>
      <w:bookmarkStart w:id="99" w:name="_Toc26635_WPSOffice_Level3"/>
      <w:bookmarkStart w:id="100" w:name="_Toc23652"/>
      <w:bookmarkStart w:id="101" w:name="_Toc7514"/>
      <w:r>
        <w:rPr>
          <w:rFonts w:hint="eastAsia" w:ascii="宋体" w:hAnsi="宋体" w:eastAsia="宋体" w:cs="宋体"/>
          <w:color w:val="auto"/>
          <w:szCs w:val="21"/>
          <w:highlight w:val="none"/>
          <w:lang w:val="zh-CN"/>
        </w:rPr>
        <w:t>5 招标文件的构成</w:t>
      </w:r>
      <w:bookmarkEnd w:id="93"/>
      <w:bookmarkEnd w:id="94"/>
      <w:bookmarkEnd w:id="95"/>
      <w:bookmarkEnd w:id="96"/>
      <w:bookmarkEnd w:id="97"/>
      <w:bookmarkEnd w:id="98"/>
      <w:bookmarkEnd w:id="99"/>
      <w:bookmarkEnd w:id="100"/>
      <w:bookmarkEnd w:id="101"/>
    </w:p>
    <w:p w14:paraId="1C7357E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1769360D">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08DC6356">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712EE02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279EA46E">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14:paraId="68F29734">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753BE753">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27436222">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01CAF089">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342478F7">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3C1B233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kern w:val="0"/>
          <w:szCs w:val="21"/>
          <w:highlight w:val="none"/>
          <w:lang w:eastAsia="zh-CN"/>
        </w:rPr>
        <w:t>东莞市水务环境投资控股集团管网有限公司</w:t>
      </w:r>
      <w:r>
        <w:rPr>
          <w:rFonts w:hint="eastAsia" w:ascii="宋体" w:hAnsi="宋体" w:eastAsia="宋体" w:cs="宋体"/>
          <w:color w:val="auto"/>
          <w:kern w:val="0"/>
          <w:szCs w:val="21"/>
          <w:highlight w:val="none"/>
        </w:rPr>
        <w:t>；</w:t>
      </w:r>
    </w:p>
    <w:p w14:paraId="769896B2">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（2）“招标代理机构”指广东有德招标采购有限公司；</w:t>
      </w:r>
    </w:p>
    <w:p w14:paraId="0CAE203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szCs w:val="21"/>
          <w:highlight w:val="none"/>
          <w:lang w:val="zh-CN"/>
        </w:rPr>
        <w:t>东莞市水务环境投资控股集团管网有限公司2026至2028年度公众责任险采购项目</w:t>
      </w:r>
      <w:r>
        <w:rPr>
          <w:rFonts w:hint="eastAsia" w:ascii="宋体" w:hAnsi="宋体" w:eastAsia="宋体" w:cs="宋体"/>
          <w:color w:val="auto"/>
          <w:kern w:val="0"/>
          <w:szCs w:val="21"/>
          <w:highlight w:val="none"/>
        </w:rPr>
        <w:t>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14:paraId="081081BB">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3B8BEE9F">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6C245BCF">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w:t>
      </w:r>
      <w:r>
        <w:rPr>
          <w:rFonts w:hint="eastAsia" w:ascii="宋体" w:hAnsi="宋体" w:eastAsia="宋体" w:cs="宋体"/>
          <w:color w:val="auto"/>
          <w:kern w:val="0"/>
          <w:szCs w:val="21"/>
          <w:highlight w:val="none"/>
          <w:lang w:eastAsia="zh-CN"/>
        </w:rPr>
        <w:t>东莞市水务环境投资控股集团管网有限公司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含其下属子公司</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w:t>
      </w:r>
    </w:p>
    <w:p w14:paraId="6DEDF10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14:paraId="1561D814">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（8）“招标文件”指由招标代理机构发出的本招标文件，包括全部章节和附件；</w:t>
      </w:r>
    </w:p>
    <w:p w14:paraId="2BF0D2B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31DF8F6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0E97A65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71907ED5">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1370F85F">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61BAA88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2F0463FC">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75ECF19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2" w:name="_Toc450662855"/>
      <w:bookmarkStart w:id="103" w:name="_Toc3727"/>
      <w:bookmarkStart w:id="104" w:name="_Toc11346"/>
      <w:bookmarkStart w:id="105" w:name="_Toc21241"/>
      <w:bookmarkStart w:id="106" w:name="_Toc32545"/>
      <w:bookmarkStart w:id="107" w:name="_Toc29125_WPSOffice_Level3"/>
      <w:bookmarkStart w:id="108" w:name="_Toc17747"/>
      <w:bookmarkStart w:id="109" w:name="_Toc486167669"/>
      <w:bookmarkStart w:id="110" w:name="_Toc142508319"/>
      <w:r>
        <w:rPr>
          <w:rFonts w:hint="eastAsia" w:ascii="宋体" w:hAnsi="宋体" w:eastAsia="宋体" w:cs="宋体"/>
          <w:color w:val="auto"/>
          <w:szCs w:val="21"/>
          <w:highlight w:val="none"/>
          <w:lang w:val="zh-CN"/>
        </w:rPr>
        <w:t>6 招标文件的异议</w:t>
      </w:r>
      <w:bookmarkEnd w:id="102"/>
      <w:bookmarkEnd w:id="103"/>
      <w:bookmarkEnd w:id="104"/>
      <w:bookmarkEnd w:id="105"/>
      <w:bookmarkEnd w:id="106"/>
      <w:bookmarkEnd w:id="107"/>
      <w:bookmarkEnd w:id="108"/>
      <w:bookmarkEnd w:id="109"/>
      <w:bookmarkEnd w:id="110"/>
    </w:p>
    <w:p w14:paraId="56DD26D2">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1FD5D6A">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61D74E8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1" w:name="_Toc142508320"/>
      <w:bookmarkStart w:id="112" w:name="_Toc17145"/>
      <w:bookmarkStart w:id="113" w:name="_Toc23483_WPSOffice_Level3"/>
      <w:bookmarkStart w:id="114" w:name="_Toc23704"/>
      <w:bookmarkStart w:id="115" w:name="_Toc450662856"/>
      <w:bookmarkStart w:id="116" w:name="_Toc29864"/>
      <w:bookmarkStart w:id="117" w:name="_Toc15275"/>
      <w:bookmarkStart w:id="118" w:name="_Toc486167670"/>
      <w:bookmarkStart w:id="119" w:name="_Toc20958"/>
      <w:r>
        <w:rPr>
          <w:rFonts w:hint="eastAsia" w:ascii="宋体" w:hAnsi="宋体" w:eastAsia="宋体" w:cs="宋体"/>
          <w:color w:val="auto"/>
          <w:szCs w:val="21"/>
          <w:highlight w:val="none"/>
          <w:lang w:val="zh-CN"/>
        </w:rPr>
        <w:t>7 招标文件的澄清及修改</w:t>
      </w:r>
      <w:bookmarkEnd w:id="111"/>
      <w:bookmarkEnd w:id="112"/>
      <w:bookmarkEnd w:id="113"/>
      <w:bookmarkEnd w:id="114"/>
      <w:bookmarkEnd w:id="115"/>
      <w:bookmarkEnd w:id="116"/>
      <w:bookmarkEnd w:id="117"/>
      <w:bookmarkEnd w:id="118"/>
      <w:bookmarkEnd w:id="119"/>
    </w:p>
    <w:p w14:paraId="2F03363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1C7998D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87633D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招标文件的修改、补充通知在中国招标投标公共服务平台</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"http://www.cebpubservice.com）、广东省招标投标监管"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东莞市水务环境投资控股集团有限公司网</w:t>
      </w:r>
      <w:r>
        <w:rPr>
          <w:rFonts w:hint="eastAsia" w:ascii="宋体" w:hAnsi="宋体" w:eastAsia="宋体" w:cs="宋体"/>
          <w:color w:val="auto"/>
          <w:szCs w:val="21"/>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"www.dgswjt.cn）、招标代理公司网站（http://%20%20%20%20%20%20%20%20%20%20%20%20%20%20）" </w:instrText>
      </w:r>
      <w:r>
        <w:rPr>
          <w:rFonts w:hint="eastAsia" w:ascii="宋体" w:hAnsi="宋体" w:eastAsia="宋体" w:cs="宋体"/>
          <w:color w:val="auto"/>
          <w:highlight w:val="none"/>
        </w:rPr>
        <w:fldChar w:fldCharType="separate"/>
      </w:r>
      <w:r>
        <w:rPr>
          <w:rStyle w:val="45"/>
          <w:rFonts w:hint="eastAsia" w:ascii="宋体" w:hAnsi="宋体" w:eastAsia="宋体" w:cs="宋体"/>
          <w:color w:val="auto"/>
          <w:sz w:val="21"/>
          <w:szCs w:val="21"/>
          <w:highlight w:val="none"/>
        </w:rPr>
        <w:t>www.dgswjt.cn）</w:t>
      </w:r>
      <w:r>
        <w:rPr>
          <w:rStyle w:val="45"/>
          <w:rFonts w:hint="eastAsia" w:ascii="宋体" w:hAnsi="宋体" w:eastAsia="宋体" w:cs="宋体"/>
          <w:color w:val="auto"/>
          <w:sz w:val="21"/>
          <w:szCs w:val="21"/>
          <w:highlight w:val="none"/>
          <w:lang w:val="zh-CN"/>
        </w:rPr>
        <w:t>、</w:t>
      </w:r>
      <w:r>
        <w:rPr>
          <w:rStyle w:val="45"/>
          <w:rFonts w:hint="eastAsia" w:ascii="宋体" w:hAnsi="宋体" w:eastAsia="宋体" w:cs="宋体"/>
          <w:bCs/>
          <w:color w:val="auto"/>
          <w:kern w:val="0"/>
          <w:sz w:val="21"/>
          <w:szCs w:val="21"/>
          <w:highlight w:val="none"/>
        </w:rPr>
        <w:t>招标代理</w:t>
      </w:r>
      <w:r>
        <w:rPr>
          <w:rStyle w:val="45"/>
          <w:rFonts w:hint="eastAsia" w:ascii="宋体" w:hAnsi="宋体" w:eastAsia="宋体" w:cs="宋体"/>
          <w:bCs/>
          <w:color w:val="auto"/>
          <w:kern w:val="0"/>
          <w:sz w:val="21"/>
          <w:szCs w:val="21"/>
          <w:highlight w:val="none"/>
          <w:lang w:val="en-US" w:eastAsia="zh-CN"/>
        </w:rPr>
        <w:t>机构</w:t>
      </w:r>
      <w:r>
        <w:rPr>
          <w:rStyle w:val="45"/>
          <w:rFonts w:hint="eastAsia" w:ascii="宋体" w:hAnsi="宋体" w:eastAsia="宋体" w:cs="宋体"/>
          <w:bCs/>
          <w:color w:val="auto"/>
          <w:kern w:val="0"/>
          <w:sz w:val="21"/>
          <w:szCs w:val="21"/>
          <w:highlight w:val="none"/>
        </w:rPr>
        <w:t>网站（</w:t>
      </w:r>
      <w:r>
        <w:rPr>
          <w:rFonts w:hint="eastAsia" w:ascii="宋体" w:hAnsi="宋体" w:eastAsia="宋体" w:cs="宋体"/>
          <w:bCs/>
          <w:color w:val="auto"/>
          <w:szCs w:val="21"/>
          <w:highlight w:val="none"/>
        </w:rPr>
        <w:t>www.youde.net</w:t>
      </w:r>
      <w:r>
        <w:rPr>
          <w:rStyle w:val="45"/>
          <w:rFonts w:hint="eastAsia" w:ascii="宋体" w:hAnsi="宋体" w:eastAsia="宋体" w:cs="宋体"/>
          <w:bCs/>
          <w:color w:val="auto"/>
          <w:kern w:val="0"/>
          <w:sz w:val="21"/>
          <w:szCs w:val="21"/>
          <w:highlight w:val="none"/>
        </w:rPr>
        <w:t>）</w:t>
      </w:r>
      <w:r>
        <w:rPr>
          <w:rStyle w:val="45"/>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083F1566">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4E57647C">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20" w:name="_Toc486167671"/>
      <w:bookmarkStart w:id="121" w:name="_Toc140596880"/>
      <w:bookmarkStart w:id="122" w:name="_Toc23342"/>
      <w:bookmarkStart w:id="123" w:name="_Toc6096"/>
      <w:bookmarkStart w:id="124" w:name="_Toc142508321"/>
      <w:bookmarkStart w:id="125" w:name="_Toc8711"/>
      <w:bookmarkStart w:id="126" w:name="_Toc450662857"/>
      <w:bookmarkStart w:id="127" w:name="_Toc26172"/>
      <w:bookmarkStart w:id="128" w:name="_Toc31918"/>
      <w:bookmarkStart w:id="129" w:name="_Toc29659_WPSOffice_Level2"/>
      <w:r>
        <w:rPr>
          <w:rFonts w:hint="eastAsia" w:ascii="宋体" w:hAnsi="宋体" w:eastAsia="宋体" w:cs="宋体"/>
          <w:b/>
          <w:bCs/>
          <w:color w:val="auto"/>
          <w:kern w:val="44"/>
          <w:szCs w:val="21"/>
          <w:highlight w:val="none"/>
          <w:lang w:val="zh-CN"/>
        </w:rPr>
        <w:t>三、投标文件的编制</w:t>
      </w:r>
      <w:bookmarkEnd w:id="120"/>
      <w:bookmarkEnd w:id="121"/>
      <w:bookmarkEnd w:id="122"/>
      <w:bookmarkEnd w:id="123"/>
      <w:bookmarkEnd w:id="124"/>
      <w:bookmarkEnd w:id="125"/>
      <w:bookmarkEnd w:id="126"/>
      <w:bookmarkEnd w:id="127"/>
      <w:bookmarkEnd w:id="128"/>
      <w:bookmarkEnd w:id="129"/>
    </w:p>
    <w:p w14:paraId="3C73EB62">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0" w:name="_Toc11588"/>
      <w:bookmarkStart w:id="131" w:name="_Toc28778"/>
      <w:bookmarkStart w:id="132" w:name="_Toc31162"/>
      <w:bookmarkStart w:id="133" w:name="_Toc6832"/>
      <w:bookmarkStart w:id="134" w:name="_Toc486167672"/>
      <w:bookmarkStart w:id="135" w:name="_Toc450662858"/>
      <w:bookmarkStart w:id="136" w:name="_Toc6244"/>
      <w:bookmarkStart w:id="137" w:name="_Toc142508322"/>
      <w:bookmarkStart w:id="138" w:name="_Toc10015_WPSOffice_Level3"/>
      <w:r>
        <w:rPr>
          <w:rFonts w:hint="eastAsia" w:ascii="宋体" w:hAnsi="宋体" w:eastAsia="宋体" w:cs="宋体"/>
          <w:color w:val="auto"/>
          <w:szCs w:val="21"/>
          <w:highlight w:val="none"/>
          <w:lang w:val="zh-CN"/>
        </w:rPr>
        <w:t>8 投标使用的文字及度量衡单位</w:t>
      </w:r>
      <w:bookmarkEnd w:id="130"/>
      <w:bookmarkEnd w:id="131"/>
      <w:bookmarkEnd w:id="132"/>
      <w:bookmarkEnd w:id="133"/>
      <w:bookmarkEnd w:id="134"/>
      <w:bookmarkEnd w:id="135"/>
      <w:bookmarkEnd w:id="136"/>
      <w:bookmarkEnd w:id="137"/>
      <w:bookmarkEnd w:id="138"/>
    </w:p>
    <w:p w14:paraId="4268677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039DC4AB">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2C964161">
      <w:pPr>
        <w:autoSpaceDE w:val="0"/>
        <w:autoSpaceDN w:val="0"/>
        <w:adjustRightInd w:val="0"/>
        <w:spacing w:line="360" w:lineRule="auto"/>
        <w:rPr>
          <w:rFonts w:hint="eastAsia" w:ascii="宋体" w:hAnsi="宋体" w:eastAsia="宋体" w:cs="宋体"/>
          <w:color w:val="auto"/>
          <w:szCs w:val="21"/>
          <w:highlight w:val="none"/>
          <w:lang w:val="zh-CN"/>
        </w:rPr>
      </w:pPr>
    </w:p>
    <w:p w14:paraId="3AA5B289">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39" w:name="_Toc8907"/>
      <w:bookmarkStart w:id="140" w:name="_Toc27004"/>
      <w:bookmarkStart w:id="141" w:name="_Toc7348"/>
      <w:bookmarkStart w:id="142" w:name="_Toc18475"/>
      <w:bookmarkStart w:id="143" w:name="_Toc14943"/>
      <w:bookmarkStart w:id="144" w:name="_Toc486167673"/>
      <w:bookmarkStart w:id="145" w:name="_Toc450662859"/>
      <w:bookmarkStart w:id="146" w:name="_Toc142508323"/>
      <w:bookmarkStart w:id="147" w:name="_Toc24916_WPSOffice_Level3"/>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39"/>
      <w:bookmarkEnd w:id="140"/>
      <w:bookmarkEnd w:id="141"/>
      <w:bookmarkEnd w:id="142"/>
      <w:bookmarkEnd w:id="143"/>
      <w:bookmarkEnd w:id="144"/>
      <w:bookmarkEnd w:id="145"/>
      <w:bookmarkEnd w:id="146"/>
      <w:bookmarkEnd w:id="147"/>
    </w:p>
    <w:p w14:paraId="4A92B84B">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04FB22C2">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商务文件：</w:t>
      </w:r>
    </w:p>
    <w:p w14:paraId="4831FCE4">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66F85FDB">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58C3097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7D1F5A93">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7F31CD8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68B79B7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6C88C79E">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若投标人为非独立法人（即由合法法人依法建立的分公司/中心支公司/营销服务部等分支机构），还必须同时提供：①总公司的多证合一营业执照（或事业单位法人证书）复印件、保险许可证复印件；②总公司对分公司/中心支公司/营销服务部等出具的独家授权其参加本次投标的授权书，同一总公司只能授权一家分支机构参加本项目投标（授权一家以上分支机构参与投标的，将同时作无效投标处理）,授权书必须写明授权投标及处理投标相关事宜的权限，授权书需加盖总公司公章；</w:t>
      </w:r>
    </w:p>
    <w:p w14:paraId="50292110">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4E10E140">
      <w:pPr>
        <w:autoSpaceDE w:val="0"/>
        <w:autoSpaceDN w:val="0"/>
        <w:adjustRightInd w:val="0"/>
        <w:spacing w:line="360" w:lineRule="auto"/>
        <w:ind w:left="283" w:hanging="283" w:hangingChars="13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3）保险监督管理部门颁发的《保险许可证》</w:t>
      </w:r>
      <w:r>
        <w:rPr>
          <w:rFonts w:hint="eastAsia" w:ascii="宋体" w:hAnsi="宋体" w:eastAsia="宋体" w:cs="宋体"/>
          <w:color w:val="auto"/>
          <w:sz w:val="21"/>
          <w:szCs w:val="21"/>
          <w:highlight w:val="none"/>
        </w:rPr>
        <w:t>复印件</w:t>
      </w:r>
      <w:r>
        <w:rPr>
          <w:rFonts w:hint="eastAsia" w:ascii="宋体" w:hAnsi="宋体" w:eastAsia="宋体" w:cs="宋体"/>
          <w:color w:val="auto"/>
          <w:szCs w:val="21"/>
          <w:highlight w:val="none"/>
          <w:lang w:val="en-US" w:eastAsia="zh-CN"/>
        </w:rPr>
        <w:t>；</w:t>
      </w:r>
    </w:p>
    <w:p w14:paraId="56F18D15">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法定代表人</w:t>
      </w:r>
      <w:r>
        <w:rPr>
          <w:rFonts w:hint="eastAsia" w:ascii="宋体" w:hAnsi="宋体" w:eastAsia="宋体" w:cs="宋体"/>
          <w:color w:val="auto"/>
          <w:kern w:val="2"/>
          <w:sz w:val="21"/>
          <w:szCs w:val="21"/>
          <w:highlight w:val="none"/>
          <w:lang w:val="zh-CN"/>
        </w:rPr>
        <w:t>（或法定负责人）</w:t>
      </w:r>
      <w:r>
        <w:rPr>
          <w:rFonts w:hint="eastAsia" w:ascii="宋体" w:hAnsi="宋体" w:eastAsia="宋体" w:cs="宋体"/>
          <w:color w:val="auto"/>
          <w:szCs w:val="21"/>
          <w:highlight w:val="none"/>
          <w:lang w:val="zh-CN"/>
        </w:rPr>
        <w:t>身份证明书和法定代表人</w:t>
      </w:r>
      <w:r>
        <w:rPr>
          <w:rFonts w:hint="eastAsia" w:ascii="宋体" w:hAnsi="宋体" w:eastAsia="宋体" w:cs="宋体"/>
          <w:color w:val="auto"/>
          <w:kern w:val="2"/>
          <w:sz w:val="21"/>
          <w:szCs w:val="21"/>
          <w:highlight w:val="none"/>
          <w:lang w:val="zh-CN"/>
        </w:rPr>
        <w:t>（或法定负责人）</w:t>
      </w:r>
      <w:r>
        <w:rPr>
          <w:rFonts w:hint="eastAsia" w:ascii="宋体" w:hAnsi="宋体" w:eastAsia="宋体" w:cs="宋体"/>
          <w:color w:val="auto"/>
          <w:szCs w:val="21"/>
          <w:highlight w:val="none"/>
          <w:lang w:val="zh-CN"/>
        </w:rPr>
        <w:t>授权书原件【法定代表人</w:t>
      </w:r>
      <w:r>
        <w:rPr>
          <w:rFonts w:hint="eastAsia" w:ascii="宋体" w:hAnsi="宋体" w:eastAsia="宋体" w:cs="宋体"/>
          <w:color w:val="auto"/>
          <w:kern w:val="2"/>
          <w:sz w:val="21"/>
          <w:szCs w:val="21"/>
          <w:highlight w:val="none"/>
          <w:lang w:val="zh-CN"/>
        </w:rPr>
        <w:t>（或法定负责人）</w:t>
      </w:r>
      <w:r>
        <w:rPr>
          <w:rFonts w:hint="eastAsia" w:ascii="宋体" w:hAnsi="宋体" w:eastAsia="宋体" w:cs="宋体"/>
          <w:color w:val="auto"/>
          <w:szCs w:val="21"/>
          <w:highlight w:val="none"/>
          <w:lang w:val="zh-CN"/>
        </w:rPr>
        <w:t>投标时只提供法定代表人</w:t>
      </w:r>
      <w:r>
        <w:rPr>
          <w:rFonts w:hint="eastAsia" w:ascii="宋体" w:hAnsi="宋体" w:eastAsia="宋体" w:cs="宋体"/>
          <w:color w:val="auto"/>
          <w:kern w:val="2"/>
          <w:sz w:val="21"/>
          <w:szCs w:val="21"/>
          <w:highlight w:val="none"/>
          <w:lang w:val="zh-CN"/>
        </w:rPr>
        <w:t>（或法定负责人）</w:t>
      </w:r>
      <w:r>
        <w:rPr>
          <w:rFonts w:hint="eastAsia" w:ascii="宋体" w:hAnsi="宋体" w:eastAsia="宋体" w:cs="宋体"/>
          <w:color w:val="auto"/>
          <w:szCs w:val="21"/>
          <w:highlight w:val="none"/>
          <w:lang w:val="zh-CN"/>
        </w:rPr>
        <w:t>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w:t>
      </w:r>
      <w:r>
        <w:rPr>
          <w:rFonts w:hint="eastAsia" w:ascii="宋体" w:hAnsi="宋体" w:eastAsia="宋体" w:cs="宋体"/>
          <w:color w:val="auto"/>
          <w:kern w:val="2"/>
          <w:sz w:val="21"/>
          <w:szCs w:val="21"/>
          <w:highlight w:val="none"/>
          <w:lang w:val="zh-CN"/>
        </w:rPr>
        <w:t>（或法定负责人）</w:t>
      </w:r>
      <w:r>
        <w:rPr>
          <w:rFonts w:hint="eastAsia" w:ascii="宋体" w:hAnsi="宋体" w:eastAsia="宋体" w:cs="宋体"/>
          <w:color w:val="auto"/>
          <w:szCs w:val="21"/>
          <w:highlight w:val="none"/>
          <w:lang w:val="zh-CN"/>
        </w:rPr>
        <w:t>授权书】；</w:t>
      </w:r>
    </w:p>
    <w:p w14:paraId="72AA74E6">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）资格业绩【</w:t>
      </w:r>
      <w:r>
        <w:rPr>
          <w:rFonts w:hint="eastAsia" w:ascii="宋体" w:hAnsi="宋体" w:eastAsia="宋体" w:cs="宋体"/>
          <w:color w:val="auto"/>
          <w:szCs w:val="21"/>
          <w:highlight w:val="none"/>
          <w:lang w:val="zh-CN"/>
        </w:rPr>
        <w:t>提供一份</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日以来</w:t>
      </w:r>
      <w:r>
        <w:rPr>
          <w:rFonts w:hint="eastAsia" w:ascii="宋体" w:hAnsi="宋体" w:eastAsia="宋体" w:cs="宋体"/>
          <w:color w:val="auto"/>
          <w:szCs w:val="21"/>
          <w:highlight w:val="none"/>
          <w:lang w:val="en-US" w:eastAsia="zh-CN"/>
        </w:rPr>
        <w:t>公众责任险服务</w:t>
      </w:r>
      <w:r>
        <w:rPr>
          <w:rFonts w:hint="eastAsia" w:ascii="宋体" w:hAnsi="宋体" w:eastAsia="宋体" w:cs="宋体"/>
          <w:color w:val="auto"/>
          <w:szCs w:val="21"/>
          <w:highlight w:val="none"/>
          <w:lang w:val="zh-CN"/>
        </w:rPr>
        <w:t>业绩（</w:t>
      </w:r>
      <w:r>
        <w:rPr>
          <w:rFonts w:hint="eastAsia" w:ascii="宋体" w:hAnsi="宋体" w:eastAsia="宋体" w:cs="宋体"/>
          <w:color w:val="auto"/>
          <w:szCs w:val="21"/>
          <w:highlight w:val="none"/>
          <w:lang w:val="zh-CN" w:eastAsia="zh-CN"/>
        </w:rPr>
        <w:t>合同签订时间</w:t>
      </w:r>
      <w:r>
        <w:rPr>
          <w:rFonts w:hint="eastAsia" w:ascii="宋体" w:hAnsi="宋体" w:eastAsia="宋体" w:cs="宋体"/>
          <w:color w:val="auto"/>
          <w:szCs w:val="21"/>
          <w:highlight w:val="none"/>
          <w:lang w:val="zh-CN"/>
        </w:rPr>
        <w:t>为</w:t>
      </w:r>
      <w:r>
        <w:rPr>
          <w:rFonts w:hint="eastAsia" w:ascii="宋体" w:hAnsi="宋体" w:eastAsia="宋体" w:cs="宋体"/>
          <w:color w:val="auto"/>
          <w:szCs w:val="21"/>
          <w:highlight w:val="none"/>
          <w:lang w:val="en-US" w:eastAsia="zh-CN"/>
        </w:rPr>
        <w:t>2022</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日或以后）</w:t>
      </w:r>
      <w:r>
        <w:rPr>
          <w:rFonts w:hint="eastAsia" w:ascii="宋体" w:hAnsi="宋体" w:eastAsia="宋体" w:cs="宋体"/>
          <w:color w:val="auto"/>
          <w:szCs w:val="21"/>
          <w:highlight w:val="none"/>
        </w:rPr>
        <w:t>，资格业绩证明材料提交要求详见招标文件第六篇投标文件格式</w:t>
      </w:r>
      <w:r>
        <w:rPr>
          <w:rFonts w:hint="eastAsia" w:ascii="宋体" w:hAnsi="宋体" w:eastAsia="宋体" w:cs="宋体"/>
          <w:color w:val="auto"/>
          <w:szCs w:val="21"/>
          <w:highlight w:val="none"/>
          <w:u w:val="single"/>
          <w:lang w:val="en-US" w:eastAsia="zh-CN"/>
        </w:rPr>
        <w:t>5.6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523D7E88">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56D75C60">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3C5CC303">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03F9FFD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604EB98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）中标服务费承诺书</w:t>
      </w:r>
    </w:p>
    <w:p w14:paraId="5E5CC03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3A7705C9">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5F30A9AB">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126F35CD">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46979003">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770ED849">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（2）项目整体服务方案；</w:t>
      </w:r>
    </w:p>
    <w:p w14:paraId="4CEBFA37">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（3）售后服务承诺及保证措施；</w:t>
      </w:r>
    </w:p>
    <w:p w14:paraId="155AD695">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（4）投标人认为有必要提供的其它材料（不做强制要求）。</w:t>
      </w:r>
    </w:p>
    <w:p w14:paraId="5AD1CF77">
      <w:pPr>
        <w:autoSpaceDE w:val="0"/>
        <w:autoSpaceDN w:val="0"/>
        <w:adjustRightInd w:val="0"/>
        <w:spacing w:line="360" w:lineRule="auto"/>
        <w:ind w:left="422" w:leftChars="-100" w:hanging="632" w:hangingChars="300"/>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0DC044EA">
      <w:pPr>
        <w:autoSpaceDE w:val="0"/>
        <w:autoSpaceDN w:val="0"/>
        <w:adjustRightInd w:val="0"/>
        <w:spacing w:line="360" w:lineRule="auto"/>
        <w:ind w:left="35" w:leftChars="-118" w:hanging="283" w:hangingChars="1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091B0973">
      <w:pPr>
        <w:autoSpaceDE w:val="0"/>
        <w:autoSpaceDN w:val="0"/>
        <w:adjustRightInd w:val="0"/>
        <w:spacing w:line="360" w:lineRule="auto"/>
        <w:ind w:left="422" w:leftChars="-100" w:hanging="632" w:hangingChars="3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49712A3C">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7F361FC2">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1A61897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1A6DF3E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3FA628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259B3AA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8" w:name="_Toc5184"/>
      <w:bookmarkStart w:id="149" w:name="_Toc13214"/>
      <w:bookmarkStart w:id="150" w:name="_Toc450662860"/>
      <w:bookmarkStart w:id="151" w:name="_Toc23357"/>
      <w:bookmarkStart w:id="152" w:name="_Toc486167674"/>
      <w:bookmarkStart w:id="153" w:name="_Toc8675_WPSOffice_Level3"/>
      <w:bookmarkStart w:id="154" w:name="_Toc11170"/>
      <w:bookmarkStart w:id="155" w:name="_Toc26571"/>
      <w:bookmarkStart w:id="156" w:name="_Toc142508324"/>
      <w:r>
        <w:rPr>
          <w:rFonts w:hint="eastAsia" w:ascii="宋体" w:hAnsi="宋体" w:eastAsia="宋体" w:cs="宋体"/>
          <w:color w:val="auto"/>
          <w:szCs w:val="21"/>
          <w:highlight w:val="none"/>
          <w:lang w:val="zh-CN"/>
        </w:rPr>
        <w:t>10 投标函</w:t>
      </w:r>
      <w:bookmarkEnd w:id="148"/>
      <w:bookmarkEnd w:id="149"/>
      <w:bookmarkEnd w:id="150"/>
      <w:bookmarkEnd w:id="151"/>
      <w:bookmarkEnd w:id="152"/>
      <w:bookmarkEnd w:id="153"/>
      <w:bookmarkEnd w:id="154"/>
      <w:bookmarkEnd w:id="155"/>
      <w:bookmarkEnd w:id="156"/>
    </w:p>
    <w:p w14:paraId="68F1C88B">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0D6E951C">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2899E49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57" w:name="_Toc15427"/>
      <w:bookmarkStart w:id="158" w:name="_Toc6628"/>
      <w:bookmarkStart w:id="159" w:name="_Toc4385_WPSOffice_Level3"/>
      <w:bookmarkStart w:id="160" w:name="_Toc31090"/>
      <w:bookmarkStart w:id="161" w:name="_Toc24311"/>
      <w:bookmarkStart w:id="162" w:name="_Toc142508325"/>
      <w:bookmarkStart w:id="163" w:name="_Toc450662861"/>
      <w:bookmarkStart w:id="164" w:name="_Toc486167675"/>
      <w:bookmarkStart w:id="165" w:name="_Toc29698"/>
      <w:r>
        <w:rPr>
          <w:rFonts w:hint="eastAsia" w:ascii="宋体" w:hAnsi="宋体" w:eastAsia="宋体" w:cs="宋体"/>
          <w:color w:val="auto"/>
          <w:szCs w:val="21"/>
          <w:highlight w:val="none"/>
          <w:lang w:val="zh-CN"/>
        </w:rPr>
        <w:t>11 投标报价</w:t>
      </w:r>
      <w:bookmarkEnd w:id="157"/>
      <w:bookmarkEnd w:id="158"/>
      <w:bookmarkEnd w:id="159"/>
      <w:bookmarkEnd w:id="160"/>
      <w:bookmarkEnd w:id="161"/>
      <w:bookmarkEnd w:id="162"/>
      <w:bookmarkEnd w:id="163"/>
      <w:bookmarkEnd w:id="164"/>
      <w:bookmarkEnd w:id="165"/>
    </w:p>
    <w:p w14:paraId="4913B9AF">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61830B7F">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5665597">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F7DB1E4">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w:t>
      </w:r>
      <w:r>
        <w:rPr>
          <w:rFonts w:hint="eastAsia" w:ascii="宋体" w:hAnsi="宋体" w:eastAsia="宋体" w:cs="宋体"/>
          <w:color w:val="auto"/>
          <w:szCs w:val="21"/>
          <w:highlight w:val="none"/>
          <w:lang w:val="en-US" w:eastAsia="zh-CN"/>
        </w:rPr>
        <w:t>施工</w:t>
      </w:r>
      <w:r>
        <w:rPr>
          <w:rFonts w:hint="eastAsia" w:ascii="宋体" w:hAnsi="宋体" w:eastAsia="宋体" w:cs="宋体"/>
          <w:color w:val="auto"/>
          <w:szCs w:val="21"/>
          <w:highlight w:val="none"/>
          <w:lang w:val="zh-CN"/>
        </w:rPr>
        <w:t>、采购货物等所产生的价税）的其他全部费用。本采购项目的销项税额由招标人承担，不计入投标报价。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r>
        <w:rPr>
          <w:rFonts w:hint="eastAsia" w:ascii="宋体" w:hAnsi="宋体" w:eastAsia="宋体" w:cs="宋体"/>
          <w:b w:val="0"/>
          <w:bCs w:val="0"/>
          <w:color w:val="auto"/>
          <w:kern w:val="2"/>
          <w:sz w:val="21"/>
          <w:szCs w:val="21"/>
          <w:highlight w:val="none"/>
          <w:lang w:val="en-US" w:eastAsia="zh-CN" w:bidi="ar-SA"/>
        </w:rPr>
        <w:t>人工费、通讯费、交通费、设备使用费、管理费、</w:t>
      </w:r>
      <w:r>
        <w:rPr>
          <w:rFonts w:hint="eastAsia" w:ascii="宋体" w:hAnsi="宋体" w:eastAsia="宋体" w:cs="宋体"/>
          <w:color w:val="auto"/>
          <w:kern w:val="2"/>
          <w:sz w:val="21"/>
          <w:szCs w:val="21"/>
          <w:highlight w:val="none"/>
          <w:lang w:val="zh-CN"/>
        </w:rPr>
        <w:t>本项目所发生的</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lang w:val="zh-CN"/>
        </w:rPr>
        <w:t>销项税额以外的税费</w:t>
      </w:r>
      <w:r>
        <w:rPr>
          <w:rFonts w:hint="eastAsia" w:ascii="宋体" w:hAnsi="宋体" w:eastAsia="宋体" w:cs="宋体"/>
          <w:b w:val="0"/>
          <w:bCs w:val="0"/>
          <w:color w:val="auto"/>
          <w:kern w:val="2"/>
          <w:sz w:val="21"/>
          <w:szCs w:val="21"/>
          <w:highlight w:val="none"/>
          <w:lang w:val="en-US" w:eastAsia="zh-CN" w:bidi="ar-SA"/>
        </w:rPr>
        <w:t>、利润、中标服务费、现场勘查费、救援费、调查费、售后服务费等一切相关费用及合同实施过程中的不可预见费用等全部费用</w:t>
      </w:r>
      <w:r>
        <w:rPr>
          <w:rFonts w:hint="eastAsia" w:ascii="宋体" w:hAnsi="宋体" w:eastAsia="宋体" w:cs="宋体"/>
          <w:color w:val="auto"/>
          <w:kern w:val="2"/>
          <w:sz w:val="21"/>
          <w:szCs w:val="21"/>
          <w:highlight w:val="none"/>
          <w:lang w:val="en-US" w:eastAsia="zh-CN" w:bidi="ar-SA"/>
        </w:rPr>
        <w:t>。</w:t>
      </w:r>
    </w:p>
    <w:p w14:paraId="7911853D">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6D7F070F">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60B2D056">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服务所需的费用，投标人都应计入投标报价总价。</w:t>
      </w:r>
    </w:p>
    <w:p w14:paraId="4D496C35">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non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宋体"/>
          <w:b/>
          <w:bCs/>
          <w:color w:val="auto"/>
          <w:kern w:val="0"/>
          <w:szCs w:val="24"/>
          <w:highlight w:val="none"/>
          <w:u w:val="single"/>
        </w:rPr>
        <w:t>的投标报价高于</w:t>
      </w:r>
      <w:r>
        <w:rPr>
          <w:rFonts w:hint="eastAsia" w:ascii="宋体" w:hAnsi="宋体" w:eastAsia="宋体" w:cs="宋体"/>
          <w:b/>
          <w:color w:val="auto"/>
          <w:szCs w:val="21"/>
          <w:highlight w:val="none"/>
          <w:u w:val="single"/>
          <w:lang w:val="zh-CN"/>
        </w:rPr>
        <w:t>不含税</w:t>
      </w:r>
      <w:r>
        <w:rPr>
          <w:rFonts w:hint="eastAsia" w:ascii="宋体" w:hAnsi="宋体" w:eastAsia="宋体" w:cs="宋体"/>
          <w:b/>
          <w:bCs/>
          <w:color w:val="auto"/>
          <w:kern w:val="0"/>
          <w:szCs w:val="24"/>
          <w:highlight w:val="none"/>
          <w:u w:val="single"/>
        </w:rPr>
        <w:t>最高投标限价</w:t>
      </w:r>
      <w:r>
        <w:rPr>
          <w:rFonts w:hint="eastAsia" w:ascii="宋体" w:hAnsi="宋体" w:eastAsia="宋体" w:cs="宋体"/>
          <w:b/>
          <w:bCs/>
          <w:color w:val="auto"/>
          <w:kern w:val="0"/>
          <w:szCs w:val="24"/>
          <w:highlight w:val="none"/>
          <w:u w:val="single"/>
          <w:lang w:val="en-US" w:eastAsia="zh-CN"/>
        </w:rPr>
        <w:t>或</w:t>
      </w:r>
      <w:r>
        <w:rPr>
          <w:rFonts w:hint="eastAsia" w:ascii="宋体" w:hAnsi="宋体" w:eastAsia="宋体" w:cs="宋体"/>
          <w:b/>
          <w:color w:val="auto"/>
          <w:kern w:val="0"/>
          <w:szCs w:val="21"/>
          <w:highlight w:val="none"/>
          <w:u w:val="single"/>
          <w:lang w:val="en-US" w:eastAsia="zh-CN"/>
        </w:rPr>
        <w:t>投标单价报价</w:t>
      </w:r>
      <w:r>
        <w:rPr>
          <w:rFonts w:hint="eastAsia" w:ascii="宋体" w:hAnsi="宋体" w:eastAsia="宋体" w:cs="宋体"/>
          <w:b/>
          <w:bCs/>
          <w:color w:val="auto"/>
          <w:kern w:val="0"/>
          <w:szCs w:val="21"/>
          <w:highlight w:val="none"/>
          <w:u w:val="single"/>
        </w:rPr>
        <w:t>高于</w:t>
      </w:r>
      <w:r>
        <w:rPr>
          <w:rFonts w:hint="eastAsia" w:ascii="宋体" w:hAnsi="宋体" w:eastAsia="宋体" w:cs="宋体"/>
          <w:b/>
          <w:color w:val="auto"/>
          <w:szCs w:val="21"/>
          <w:highlight w:val="none"/>
          <w:u w:val="single"/>
          <w:lang w:val="zh-CN"/>
        </w:rPr>
        <w:t>不含税</w:t>
      </w:r>
      <w:r>
        <w:rPr>
          <w:rFonts w:hint="eastAsia" w:ascii="宋体" w:hAnsi="宋体" w:eastAsia="宋体" w:cs="宋体"/>
          <w:b/>
          <w:bCs/>
          <w:color w:val="auto"/>
          <w:kern w:val="0"/>
          <w:szCs w:val="24"/>
          <w:highlight w:val="none"/>
          <w:u w:val="single"/>
        </w:rPr>
        <w:t>最高</w:t>
      </w:r>
      <w:r>
        <w:rPr>
          <w:rFonts w:hint="eastAsia" w:ascii="宋体" w:hAnsi="宋体" w:eastAsia="宋体" w:cs="宋体"/>
          <w:b/>
          <w:bCs/>
          <w:color w:val="auto"/>
          <w:kern w:val="0"/>
          <w:szCs w:val="24"/>
          <w:highlight w:val="none"/>
          <w:u w:val="single"/>
          <w:lang w:val="en-US" w:eastAsia="zh-CN"/>
        </w:rPr>
        <w:t>投标单价</w:t>
      </w:r>
      <w:r>
        <w:rPr>
          <w:rFonts w:hint="eastAsia" w:ascii="宋体" w:hAnsi="宋体" w:eastAsia="宋体" w:cs="宋体"/>
          <w:b/>
          <w:bCs/>
          <w:color w:val="auto"/>
          <w:kern w:val="0"/>
          <w:szCs w:val="24"/>
          <w:highlight w:val="none"/>
          <w:u w:val="single"/>
        </w:rPr>
        <w:t>限价的，该投标人的投标文件将被视为无效投标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宋体"/>
          <w:b/>
          <w:bCs/>
          <w:color w:val="auto"/>
          <w:szCs w:val="21"/>
          <w:highlight w:val="none"/>
          <w:u w:val="single"/>
          <w:lang w:val="zh-CN"/>
        </w:rPr>
        <w:t>为1,</w:t>
      </w:r>
      <w:r>
        <w:rPr>
          <w:rFonts w:hint="eastAsia" w:ascii="宋体" w:hAnsi="宋体" w:eastAsia="宋体" w:cs="宋体"/>
          <w:b/>
          <w:bCs/>
          <w:color w:val="auto"/>
          <w:szCs w:val="21"/>
          <w:highlight w:val="none"/>
          <w:u w:val="single"/>
          <w:lang w:val="en-US" w:eastAsia="zh-CN"/>
        </w:rPr>
        <w:t>556,603.76</w:t>
      </w:r>
      <w:r>
        <w:rPr>
          <w:rFonts w:hint="eastAsia" w:ascii="宋体" w:hAnsi="宋体" w:eastAsia="宋体" w:cs="宋体"/>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壹佰伍拾伍万陆仟陆佰零叁元柒角陆分</w:t>
      </w:r>
      <w:r>
        <w:rPr>
          <w:rFonts w:hint="eastAsia" w:ascii="宋体" w:hAnsi="宋体" w:eastAsia="宋体" w:cs="宋体"/>
          <w:b/>
          <w:color w:val="auto"/>
          <w:szCs w:val="21"/>
          <w:highlight w:val="none"/>
          <w:u w:val="single"/>
          <w:lang w:val="zh-CN"/>
        </w:rPr>
        <w:t>），不含税最高投标</w:t>
      </w:r>
      <w:r>
        <w:rPr>
          <w:rFonts w:hint="eastAsia" w:ascii="宋体" w:hAnsi="宋体" w:eastAsia="宋体" w:cs="宋体"/>
          <w:b/>
          <w:color w:val="auto"/>
          <w:szCs w:val="21"/>
          <w:highlight w:val="none"/>
          <w:u w:val="single"/>
          <w:lang w:val="en-US" w:eastAsia="zh-CN"/>
        </w:rPr>
        <w:t>单价</w:t>
      </w:r>
      <w:r>
        <w:rPr>
          <w:rFonts w:hint="eastAsia" w:ascii="宋体" w:hAnsi="宋体" w:eastAsia="宋体" w:cs="宋体"/>
          <w:b/>
          <w:color w:val="auto"/>
          <w:szCs w:val="21"/>
          <w:highlight w:val="none"/>
          <w:u w:val="single"/>
          <w:lang w:val="zh-CN"/>
        </w:rPr>
        <w:t>限价</w:t>
      </w:r>
      <w:r>
        <w:rPr>
          <w:rFonts w:hint="eastAsia" w:ascii="宋体" w:hAnsi="宋体" w:eastAsia="宋体" w:cs="宋体"/>
          <w:b/>
          <w:bCs/>
          <w:color w:val="auto"/>
          <w:szCs w:val="21"/>
          <w:highlight w:val="none"/>
          <w:u w:val="single"/>
          <w:lang w:val="zh-CN"/>
        </w:rPr>
        <w:t>为</w:t>
      </w:r>
      <w:r>
        <w:rPr>
          <w:rFonts w:hint="eastAsia" w:ascii="宋体" w:hAnsi="宋体" w:eastAsia="宋体" w:cs="宋体"/>
          <w:b/>
          <w:bCs/>
          <w:color w:val="auto"/>
          <w:szCs w:val="21"/>
          <w:highlight w:val="none"/>
          <w:u w:val="single"/>
          <w:lang w:val="en-US" w:eastAsia="zh-CN"/>
        </w:rPr>
        <w:t>518</w:t>
      </w:r>
      <w:r>
        <w:rPr>
          <w:rFonts w:hint="eastAsia" w:ascii="宋体" w:hAnsi="宋体" w:eastAsia="宋体" w:cs="宋体"/>
          <w:b/>
          <w:bCs/>
          <w:color w:val="auto"/>
          <w:szCs w:val="21"/>
          <w:highlight w:val="none"/>
          <w:u w:val="single"/>
          <w:lang w:val="zh-CN"/>
        </w:rPr>
        <w:t>,</w:t>
      </w:r>
      <w:r>
        <w:rPr>
          <w:rFonts w:hint="eastAsia" w:ascii="宋体" w:hAnsi="宋体" w:eastAsia="宋体" w:cs="宋体"/>
          <w:b/>
          <w:bCs/>
          <w:color w:val="auto"/>
          <w:szCs w:val="21"/>
          <w:highlight w:val="none"/>
          <w:u w:val="single"/>
          <w:lang w:val="en-US" w:eastAsia="zh-CN"/>
        </w:rPr>
        <w:t>867</w:t>
      </w:r>
      <w:r>
        <w:rPr>
          <w:rFonts w:hint="eastAsia" w:ascii="宋体" w:hAnsi="宋体" w:eastAsia="宋体" w:cs="宋体"/>
          <w:b/>
          <w:bCs/>
          <w:color w:val="auto"/>
          <w:szCs w:val="21"/>
          <w:highlight w:val="none"/>
          <w:u w:val="single"/>
          <w:lang w:val="zh-CN"/>
        </w:rPr>
        <w:t>.</w:t>
      </w:r>
      <w:r>
        <w:rPr>
          <w:rFonts w:hint="eastAsia" w:ascii="宋体" w:hAnsi="宋体" w:eastAsia="宋体" w:cs="宋体"/>
          <w:b/>
          <w:bCs/>
          <w:color w:val="auto"/>
          <w:szCs w:val="21"/>
          <w:highlight w:val="none"/>
          <w:u w:val="single"/>
          <w:lang w:val="en-US" w:eastAsia="zh-CN"/>
        </w:rPr>
        <w:t>92</w:t>
      </w:r>
      <w:r>
        <w:rPr>
          <w:rFonts w:hint="eastAsia" w:ascii="宋体" w:hAnsi="宋体" w:eastAsia="宋体" w:cs="宋体"/>
          <w:b/>
          <w:bCs/>
          <w:color w:val="auto"/>
          <w:szCs w:val="21"/>
          <w:highlight w:val="none"/>
          <w:u w:val="single"/>
          <w:lang w:val="zh-CN"/>
        </w:rPr>
        <w:t>元</w:t>
      </w:r>
      <w:r>
        <w:rPr>
          <w:rFonts w:hint="eastAsia" w:ascii="宋体" w:hAnsi="宋体" w:eastAsia="宋体" w:cs="宋体"/>
          <w:b/>
          <w:bCs/>
          <w:color w:val="auto"/>
          <w:szCs w:val="21"/>
          <w:highlight w:val="none"/>
          <w:u w:val="single"/>
          <w:lang w:val="en-US" w:eastAsia="zh-CN"/>
        </w:rPr>
        <w:t>/年</w:t>
      </w:r>
      <w:r>
        <w:rPr>
          <w:rFonts w:hint="eastAsia" w:ascii="宋体" w:hAnsi="宋体" w:eastAsia="宋体" w:cs="宋体"/>
          <w:b/>
          <w:bCs/>
          <w:color w:val="auto"/>
          <w:szCs w:val="21"/>
          <w:highlight w:val="none"/>
          <w:u w:val="single"/>
          <w:lang w:val="zh-CN"/>
        </w:rPr>
        <w:t>（大写</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每年</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伍拾壹万捌仟捌佰陆拾柒元玖角贰分</w:t>
      </w:r>
      <w:r>
        <w:rPr>
          <w:rFonts w:hint="eastAsia" w:ascii="宋体" w:hAnsi="宋体" w:eastAsia="宋体" w:cs="宋体"/>
          <w:b/>
          <w:color w:val="auto"/>
          <w:szCs w:val="21"/>
          <w:highlight w:val="none"/>
          <w:u w:val="single"/>
          <w:lang w:val="zh-CN"/>
        </w:rPr>
        <w:t>）。</w:t>
      </w:r>
    </w:p>
    <w:p w14:paraId="6BD9B5A6">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1A1162AF">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66" w:name="_Toc30042_WPSOffice_Level3"/>
      <w:bookmarkStart w:id="167" w:name="_Toc25921"/>
      <w:bookmarkStart w:id="168" w:name="_Toc27321"/>
      <w:bookmarkStart w:id="169" w:name="_Toc20312"/>
      <w:bookmarkStart w:id="170" w:name="_Toc486167676"/>
      <w:bookmarkStart w:id="171" w:name="_Toc3469"/>
      <w:bookmarkStart w:id="172" w:name="_Toc142508326"/>
      <w:bookmarkStart w:id="173" w:name="_Toc450662862"/>
      <w:bookmarkStart w:id="174" w:name="_Toc1037"/>
      <w:r>
        <w:rPr>
          <w:rFonts w:hint="eastAsia" w:ascii="宋体" w:hAnsi="宋体" w:eastAsia="宋体" w:cs="宋体"/>
          <w:b/>
          <w:color w:val="auto"/>
          <w:szCs w:val="21"/>
          <w:highlight w:val="none"/>
          <w:lang w:val="zh-CN"/>
        </w:rPr>
        <w:t>12 投标报价货币</w:t>
      </w:r>
      <w:bookmarkEnd w:id="166"/>
      <w:bookmarkEnd w:id="167"/>
      <w:bookmarkEnd w:id="168"/>
      <w:bookmarkEnd w:id="169"/>
      <w:bookmarkEnd w:id="170"/>
      <w:bookmarkEnd w:id="171"/>
      <w:bookmarkEnd w:id="172"/>
      <w:bookmarkEnd w:id="173"/>
      <w:bookmarkEnd w:id="174"/>
    </w:p>
    <w:p w14:paraId="5D355BAE">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4C9516AD">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3E5AD6E9">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5" w:name="_Toc142508327"/>
      <w:bookmarkStart w:id="176" w:name="_Toc3961"/>
      <w:bookmarkStart w:id="177" w:name="_Toc486167677"/>
      <w:bookmarkStart w:id="178" w:name="_Toc20031"/>
      <w:bookmarkStart w:id="179" w:name="_Toc14415"/>
      <w:bookmarkStart w:id="180" w:name="_Toc8932"/>
      <w:bookmarkStart w:id="181" w:name="_Toc450662863"/>
      <w:bookmarkStart w:id="182" w:name="_Toc10363"/>
      <w:bookmarkStart w:id="183" w:name="_Toc9411_WPSOffice_Level3"/>
      <w:r>
        <w:rPr>
          <w:rFonts w:hint="eastAsia" w:ascii="宋体" w:hAnsi="宋体" w:eastAsia="宋体" w:cs="宋体"/>
          <w:color w:val="auto"/>
          <w:szCs w:val="21"/>
          <w:highlight w:val="none"/>
          <w:lang w:val="zh-CN"/>
        </w:rPr>
        <w:t>13 证明投标人的合格性和资格的声明文件</w:t>
      </w:r>
      <w:bookmarkEnd w:id="175"/>
      <w:bookmarkEnd w:id="176"/>
      <w:bookmarkEnd w:id="177"/>
      <w:bookmarkEnd w:id="178"/>
      <w:bookmarkEnd w:id="179"/>
      <w:bookmarkEnd w:id="180"/>
      <w:bookmarkEnd w:id="181"/>
      <w:bookmarkEnd w:id="182"/>
      <w:bookmarkEnd w:id="183"/>
    </w:p>
    <w:p w14:paraId="54F2FD18">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24C8AD52">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7266A128">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7F2EAFA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0369F0F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1FB2853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2F74A519">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0D0BFE2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4" w:name="_Toc29754"/>
      <w:bookmarkStart w:id="185" w:name="_Toc486167678"/>
      <w:bookmarkStart w:id="186" w:name="_Toc32009"/>
      <w:bookmarkStart w:id="187" w:name="_Toc679"/>
      <w:bookmarkStart w:id="188" w:name="_Toc27771_WPSOffice_Level3"/>
      <w:bookmarkStart w:id="189" w:name="_Toc450662864"/>
      <w:bookmarkStart w:id="190" w:name="_Toc8615"/>
      <w:bookmarkStart w:id="191" w:name="_Toc142508328"/>
      <w:bookmarkStart w:id="192" w:name="_Toc28416"/>
      <w:r>
        <w:rPr>
          <w:rFonts w:hint="eastAsia" w:ascii="宋体" w:hAnsi="宋体" w:eastAsia="宋体" w:cs="宋体"/>
          <w:color w:val="auto"/>
          <w:szCs w:val="21"/>
          <w:highlight w:val="none"/>
          <w:lang w:val="zh-CN"/>
        </w:rPr>
        <w:t>14 证明服务的合格性并符合招标文件规定的声明文件</w:t>
      </w:r>
      <w:bookmarkEnd w:id="184"/>
      <w:bookmarkEnd w:id="185"/>
      <w:bookmarkEnd w:id="186"/>
      <w:bookmarkEnd w:id="187"/>
      <w:bookmarkEnd w:id="188"/>
      <w:bookmarkEnd w:id="189"/>
      <w:bookmarkEnd w:id="190"/>
      <w:bookmarkEnd w:id="191"/>
      <w:bookmarkEnd w:id="192"/>
    </w:p>
    <w:p w14:paraId="2F285E2D">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28E3633A">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681CFCF4">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3A5457B9">
      <w:pPr>
        <w:autoSpaceDE w:val="0"/>
        <w:autoSpaceDN w:val="0"/>
        <w:adjustRightInd w:val="0"/>
        <w:spacing w:line="360" w:lineRule="auto"/>
        <w:rPr>
          <w:rFonts w:hint="eastAsia" w:ascii="宋体" w:hAnsi="宋体" w:eastAsia="宋体" w:cs="宋体"/>
          <w:color w:val="auto"/>
          <w:kern w:val="0"/>
          <w:sz w:val="24"/>
          <w:szCs w:val="24"/>
          <w:highlight w:val="none"/>
        </w:rPr>
      </w:pPr>
    </w:p>
    <w:p w14:paraId="2EC2396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3" w:name="_Toc3457"/>
      <w:bookmarkStart w:id="194" w:name="_Toc29434"/>
      <w:bookmarkStart w:id="195" w:name="_Toc486167679"/>
      <w:bookmarkStart w:id="196" w:name="_Toc30555"/>
      <w:bookmarkStart w:id="197" w:name="_Toc8644"/>
      <w:bookmarkStart w:id="198" w:name="_Toc142508329"/>
      <w:bookmarkStart w:id="199" w:name="_Toc19996"/>
      <w:bookmarkStart w:id="200" w:name="_Toc5356_WPSOffice_Level3"/>
      <w:r>
        <w:rPr>
          <w:rFonts w:hint="eastAsia" w:ascii="宋体" w:hAnsi="宋体" w:eastAsia="宋体" w:cs="宋体"/>
          <w:color w:val="auto"/>
          <w:szCs w:val="21"/>
          <w:highlight w:val="none"/>
          <w:lang w:val="zh-CN"/>
        </w:rPr>
        <w:t>15 投标保证金</w:t>
      </w:r>
      <w:bookmarkEnd w:id="193"/>
      <w:bookmarkEnd w:id="194"/>
      <w:bookmarkEnd w:id="195"/>
      <w:bookmarkEnd w:id="196"/>
      <w:bookmarkEnd w:id="197"/>
      <w:bookmarkEnd w:id="198"/>
      <w:bookmarkEnd w:id="199"/>
      <w:bookmarkEnd w:id="200"/>
    </w:p>
    <w:p w14:paraId="0C653468">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31,000.00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叁万壹仟元整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1B129B6F">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78E2420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67DDF652">
      <w:pPr>
        <w:spacing w:line="360" w:lineRule="auto"/>
        <w:ind w:firstLine="777" w:firstLineChars="3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4B418B9B">
      <w:pPr>
        <w:autoSpaceDE w:val="0"/>
        <w:autoSpaceDN w:val="0"/>
        <w:adjustRightInd w:val="0"/>
        <w:spacing w:line="360" w:lineRule="auto"/>
        <w:ind w:left="225" w:leftChars="107" w:firstLine="491" w:firstLineChars="233"/>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开户名称：东莞市水务环境投资控股集团管网有限公司</w:t>
      </w:r>
    </w:p>
    <w:p w14:paraId="78F17142">
      <w:pPr>
        <w:autoSpaceDE w:val="0"/>
        <w:autoSpaceDN w:val="0"/>
        <w:adjustRightInd w:val="0"/>
        <w:spacing w:line="360" w:lineRule="auto"/>
        <w:ind w:left="225" w:leftChars="107" w:firstLine="491" w:firstLineChars="233"/>
        <w:jc w:val="left"/>
        <w:outlineLvl w:val="9"/>
        <w:rPr>
          <w:rFonts w:hint="eastAsia" w:ascii="宋体" w:hAnsi="宋体" w:eastAsia="宋体" w:cs="宋体"/>
          <w:b/>
          <w:bCs/>
          <w:color w:val="auto"/>
          <w:kern w:val="0"/>
          <w:szCs w:val="21"/>
          <w:highlight w:val="none"/>
          <w:u w:val="single"/>
          <w:lang w:val="zh-CN"/>
        </w:rPr>
      </w:pPr>
      <w:r>
        <w:rPr>
          <w:rFonts w:hint="eastAsia" w:ascii="宋体" w:hAnsi="宋体" w:eastAsia="宋体" w:cs="宋体"/>
          <w:b/>
          <w:bCs/>
          <w:color w:val="auto"/>
          <w:kern w:val="0"/>
          <w:szCs w:val="21"/>
          <w:highlight w:val="none"/>
          <w:lang w:val="zh-CN"/>
        </w:rPr>
        <w:t>开户银行：中信银行东莞分行营业部</w:t>
      </w:r>
    </w:p>
    <w:p w14:paraId="3FEA31B4">
      <w:pPr>
        <w:autoSpaceDE w:val="0"/>
        <w:autoSpaceDN w:val="0"/>
        <w:adjustRightInd w:val="0"/>
        <w:spacing w:line="360" w:lineRule="auto"/>
        <w:ind w:left="225" w:leftChars="107" w:firstLine="491" w:firstLineChars="233"/>
        <w:jc w:val="left"/>
        <w:outlineLvl w:val="9"/>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lang w:val="zh-CN"/>
        </w:rPr>
        <w:t>银行账号：8114801014000043052</w:t>
      </w:r>
    </w:p>
    <w:p w14:paraId="6359448A">
      <w:pPr>
        <w:spacing w:line="360" w:lineRule="auto"/>
        <w:ind w:left="210" w:leftChars="100" w:firstLine="211" w:firstLineChars="1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1ADAF693">
      <w:pPr>
        <w:autoSpaceDE w:val="0"/>
        <w:autoSpaceDN w:val="0"/>
        <w:adjustRightInd w:val="0"/>
        <w:spacing w:line="360" w:lineRule="auto"/>
        <w:ind w:left="357" w:leftChars="-100" w:hanging="567" w:hangingChars="270"/>
        <w:jc w:val="left"/>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57B688CA">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，按照其投标保证金支付凭证上注明的收款人名称和账号予以退还，除非投标保证金有效期已延长。</w:t>
      </w:r>
    </w:p>
    <w:p w14:paraId="3F9A824C">
      <w:pPr>
        <w:spacing w:line="360" w:lineRule="auto"/>
        <w:ind w:left="357" w:leftChars="-100" w:hanging="567" w:hangingChars="27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中标人的投标保证金，满足下列要求，并最迟应在合同签订后的5日内退还。</w:t>
      </w:r>
    </w:p>
    <w:p w14:paraId="711FFCC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74A31F75">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65C04EA3">
      <w:pPr>
        <w:spacing w:line="360" w:lineRule="auto"/>
        <w:ind w:left="315" w:leftChars="-100" w:hanging="525" w:hangingChars="250"/>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135E6C7B">
      <w:pPr>
        <w:numPr>
          <w:ilvl w:val="2"/>
          <w:numId w:val="0"/>
        </w:numPr>
        <w:autoSpaceDE w:val="0"/>
        <w:autoSpaceDN w:val="0"/>
        <w:adjustRightInd w:val="0"/>
        <w:spacing w:line="360" w:lineRule="auto"/>
        <w:ind w:left="853" w:leftChars="136" w:hanging="567"/>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0B15B35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7DD1E8A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0B858C4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77D51AF8">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（4）将中标项目转让给他人，或者在投标文件中未说明，且未经招标人同意，将中标项目的合同的权利义务转让给第三方的；</w:t>
      </w:r>
    </w:p>
    <w:p w14:paraId="715E87EF">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6B4209C3">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17F4D3D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01" w:name="_Toc1458"/>
      <w:bookmarkStart w:id="202" w:name="_Toc486167680"/>
      <w:bookmarkStart w:id="203" w:name="_Toc29607"/>
      <w:bookmarkStart w:id="204" w:name="_Toc12894"/>
      <w:bookmarkStart w:id="205" w:name="_Toc18287"/>
      <w:bookmarkStart w:id="206" w:name="_Toc26076"/>
      <w:bookmarkStart w:id="207" w:name="_Toc22649_WPSOffice_Level3"/>
      <w:bookmarkStart w:id="208" w:name="_Toc142508330"/>
      <w:bookmarkStart w:id="209" w:name="_Toc450662865"/>
      <w:r>
        <w:rPr>
          <w:rFonts w:hint="eastAsia" w:ascii="宋体" w:hAnsi="宋体" w:eastAsia="宋体" w:cs="宋体"/>
          <w:color w:val="auto"/>
          <w:szCs w:val="21"/>
          <w:highlight w:val="none"/>
          <w:lang w:val="zh-CN"/>
        </w:rPr>
        <w:t>16 投标有效期</w:t>
      </w:r>
      <w:bookmarkEnd w:id="201"/>
      <w:bookmarkEnd w:id="202"/>
      <w:bookmarkEnd w:id="203"/>
      <w:bookmarkEnd w:id="204"/>
      <w:bookmarkEnd w:id="205"/>
      <w:bookmarkEnd w:id="206"/>
      <w:bookmarkEnd w:id="207"/>
      <w:bookmarkEnd w:id="208"/>
      <w:bookmarkEnd w:id="209"/>
    </w:p>
    <w:p w14:paraId="3D2CF8A7">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065D446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1FDF5F3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280FB918">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741BB95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0" w:name="_Toc450662866"/>
      <w:bookmarkStart w:id="211" w:name="_Toc932"/>
      <w:bookmarkStart w:id="212" w:name="_Toc29726"/>
      <w:bookmarkStart w:id="213" w:name="_Toc142508331"/>
      <w:bookmarkStart w:id="214" w:name="_Toc455"/>
      <w:bookmarkStart w:id="215" w:name="_Toc10649"/>
      <w:bookmarkStart w:id="216" w:name="_Toc486167681"/>
      <w:bookmarkStart w:id="217" w:name="_Toc25637_WPSOffice_Level3"/>
      <w:bookmarkStart w:id="218" w:name="_Toc20422"/>
      <w:r>
        <w:rPr>
          <w:rFonts w:hint="eastAsia" w:ascii="宋体" w:hAnsi="宋体" w:eastAsia="宋体" w:cs="宋体"/>
          <w:color w:val="auto"/>
          <w:szCs w:val="21"/>
          <w:highlight w:val="none"/>
          <w:lang w:val="zh-CN"/>
        </w:rPr>
        <w:t>17 投标文件的式样和签署</w:t>
      </w:r>
      <w:bookmarkEnd w:id="210"/>
      <w:bookmarkEnd w:id="211"/>
      <w:bookmarkEnd w:id="212"/>
      <w:bookmarkEnd w:id="213"/>
      <w:bookmarkEnd w:id="214"/>
      <w:bookmarkEnd w:id="215"/>
      <w:bookmarkEnd w:id="216"/>
      <w:bookmarkEnd w:id="217"/>
      <w:bookmarkEnd w:id="218"/>
    </w:p>
    <w:p w14:paraId="351F93E7">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423EBA4B">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highlight w:val="none"/>
          <w:lang w:val="en-US" w:eastAsia="zh-CN"/>
        </w:rPr>
        <w:t>法定代表人授权书（或法定负责人授权书）</w:t>
      </w:r>
      <w:r>
        <w:rPr>
          <w:rFonts w:hint="eastAsia" w:ascii="宋体" w:hAnsi="宋体" w:eastAsia="宋体" w:cs="宋体"/>
          <w:bCs/>
          <w:color w:val="auto"/>
          <w:szCs w:val="21"/>
          <w:highlight w:val="none"/>
          <w:lang w:val="zh-CN"/>
        </w:rPr>
        <w:t>”以书面形式附在投标文件中。</w:t>
      </w:r>
      <w:r>
        <w:rPr>
          <w:rFonts w:hint="eastAsia" w:ascii="宋体" w:hAnsi="宋体" w:eastAsia="宋体" w:cs="宋体"/>
          <w:color w:val="auto"/>
          <w:szCs w:val="21"/>
          <w:highlight w:val="none"/>
          <w:lang w:val="zh-CN"/>
        </w:rPr>
        <w:t>副本文件可由正本文件复印而成。</w:t>
      </w:r>
    </w:p>
    <w:p w14:paraId="73F8473B">
      <w:pPr>
        <w:autoSpaceDE w:val="0"/>
        <w:autoSpaceDN w:val="0"/>
        <w:adjustRightInd w:val="0"/>
        <w:spacing w:line="360" w:lineRule="auto"/>
        <w:ind w:left="357" w:leftChars="-100" w:hanging="567"/>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5FC18D41">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5F090506">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6A645F6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09790B56">
      <w:pPr>
        <w:autoSpaceDE w:val="0"/>
        <w:autoSpaceDN w:val="0"/>
        <w:adjustRightInd w:val="0"/>
        <w:jc w:val="left"/>
        <w:rPr>
          <w:rFonts w:hint="eastAsia" w:ascii="宋体" w:hAnsi="宋体" w:eastAsia="宋体" w:cs="宋体"/>
          <w:color w:val="auto"/>
          <w:kern w:val="0"/>
          <w:sz w:val="24"/>
          <w:szCs w:val="24"/>
          <w:highlight w:val="none"/>
        </w:rPr>
      </w:pPr>
      <w:bookmarkStart w:id="219" w:name="_Toc450662867"/>
    </w:p>
    <w:p w14:paraId="312258E4">
      <w:pPr>
        <w:keepNext/>
        <w:keepLines/>
        <w:tabs>
          <w:tab w:val="left" w:pos="509"/>
        </w:tabs>
        <w:autoSpaceDE w:val="0"/>
        <w:autoSpaceDN w:val="0"/>
        <w:adjustRightInd w:val="0"/>
        <w:spacing w:line="360" w:lineRule="auto"/>
        <w:jc w:val="left"/>
        <w:outlineLvl w:val="0"/>
        <w:rPr>
          <w:rFonts w:hint="eastAsia" w:ascii="宋体" w:hAnsi="宋体" w:eastAsia="宋体" w:cs="宋体"/>
          <w:color w:val="auto"/>
          <w:kern w:val="0"/>
          <w:sz w:val="24"/>
          <w:szCs w:val="24"/>
          <w:highlight w:val="none"/>
        </w:rPr>
      </w:pPr>
      <w:bookmarkStart w:id="220" w:name="_Toc17199"/>
      <w:bookmarkStart w:id="221" w:name="_Toc26605"/>
      <w:bookmarkStart w:id="222" w:name="_Toc17529"/>
      <w:bookmarkStart w:id="223" w:name="_Toc4452"/>
      <w:bookmarkStart w:id="224" w:name="_Toc140596891"/>
      <w:bookmarkStart w:id="225" w:name="_Toc24841"/>
      <w:bookmarkStart w:id="226" w:name="_Toc22356_WPSOffice_Level2"/>
      <w:bookmarkStart w:id="227" w:name="_Toc142508332"/>
      <w:bookmarkStart w:id="228" w:name="_Toc486167682"/>
      <w:r>
        <w:rPr>
          <w:rFonts w:hint="eastAsia" w:ascii="宋体" w:hAnsi="宋体" w:eastAsia="宋体" w:cs="宋体"/>
          <w:b/>
          <w:bCs/>
          <w:color w:val="auto"/>
          <w:kern w:val="44"/>
          <w:szCs w:val="21"/>
          <w:highlight w:val="none"/>
          <w:lang w:val="zh-CN"/>
        </w:rPr>
        <w:t>四、投标文件的递交</w:t>
      </w:r>
      <w:bookmarkEnd w:id="219"/>
      <w:bookmarkEnd w:id="220"/>
      <w:bookmarkEnd w:id="221"/>
      <w:bookmarkEnd w:id="222"/>
      <w:bookmarkEnd w:id="223"/>
      <w:bookmarkEnd w:id="224"/>
      <w:bookmarkEnd w:id="225"/>
      <w:bookmarkEnd w:id="226"/>
      <w:bookmarkEnd w:id="227"/>
      <w:bookmarkEnd w:id="228"/>
    </w:p>
    <w:p w14:paraId="14FC45E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29" w:name="_Toc26730"/>
      <w:bookmarkStart w:id="230" w:name="_Toc486167683"/>
      <w:bookmarkStart w:id="231" w:name="_Toc29885"/>
      <w:bookmarkStart w:id="232" w:name="_Toc1109"/>
      <w:bookmarkStart w:id="233" w:name="_Toc142508333"/>
      <w:bookmarkStart w:id="234" w:name="_Toc12192_WPSOffice_Level3"/>
      <w:bookmarkStart w:id="235" w:name="_Toc31551"/>
      <w:bookmarkStart w:id="236" w:name="_Toc450662868"/>
      <w:bookmarkStart w:id="237" w:name="_Toc12036"/>
      <w:r>
        <w:rPr>
          <w:rFonts w:hint="eastAsia" w:ascii="宋体" w:hAnsi="宋体" w:eastAsia="宋体" w:cs="宋体"/>
          <w:color w:val="auto"/>
          <w:szCs w:val="21"/>
          <w:highlight w:val="none"/>
          <w:lang w:val="zh-CN"/>
        </w:rPr>
        <w:t>18 投标文件的密封和标记</w:t>
      </w:r>
      <w:bookmarkEnd w:id="229"/>
      <w:bookmarkEnd w:id="230"/>
      <w:bookmarkEnd w:id="231"/>
      <w:bookmarkEnd w:id="232"/>
      <w:bookmarkEnd w:id="233"/>
      <w:bookmarkEnd w:id="234"/>
      <w:bookmarkEnd w:id="235"/>
      <w:bookmarkEnd w:id="236"/>
      <w:bookmarkEnd w:id="237"/>
    </w:p>
    <w:p w14:paraId="710494E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2E31B5CC">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46343EEC">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7567CF94">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0CD9014B">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4F117C13">
      <w:pPr>
        <w:autoSpaceDE w:val="0"/>
        <w:autoSpaceDN w:val="0"/>
        <w:adjustRightInd w:val="0"/>
        <w:spacing w:line="360" w:lineRule="auto"/>
        <w:ind w:left="319" w:leftChars="-118"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5C461532">
      <w:pPr>
        <w:tabs>
          <w:tab w:val="left" w:pos="567"/>
        </w:tabs>
        <w:autoSpaceDE w:val="0"/>
        <w:autoSpaceDN w:val="0"/>
        <w:adjustRightInd w:val="0"/>
        <w:spacing w:line="360" w:lineRule="auto"/>
        <w:ind w:left="357" w:leftChars="-100" w:right="15" w:rightChars="7"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4AB11CBF">
      <w:pPr>
        <w:autoSpaceDE w:val="0"/>
        <w:autoSpaceDN w:val="0"/>
        <w:adjustRightInd w:val="0"/>
        <w:spacing w:line="360" w:lineRule="auto"/>
        <w:ind w:left="355" w:leftChars="-101" w:right="15" w:rightChars="7"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2496732E">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14:paraId="6A42A20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8" w:name="_Toc12582"/>
      <w:bookmarkStart w:id="239" w:name="_Toc18241"/>
      <w:bookmarkStart w:id="240" w:name="_Toc470"/>
      <w:bookmarkStart w:id="241" w:name="_Toc21356"/>
      <w:bookmarkStart w:id="242" w:name="_Toc4979"/>
      <w:bookmarkStart w:id="243" w:name="_Toc450662869"/>
      <w:bookmarkStart w:id="244" w:name="_Toc142508334"/>
      <w:bookmarkStart w:id="245" w:name="_Toc486167684"/>
      <w:bookmarkStart w:id="246" w:name="_Toc29665_WPSOffice_Level3"/>
      <w:r>
        <w:rPr>
          <w:rFonts w:hint="eastAsia" w:ascii="宋体" w:hAnsi="宋体" w:eastAsia="宋体" w:cs="宋体"/>
          <w:color w:val="auto"/>
          <w:szCs w:val="21"/>
          <w:highlight w:val="none"/>
          <w:lang w:val="zh-CN"/>
        </w:rPr>
        <w:t>19 递交投标文件的截止日期</w:t>
      </w:r>
      <w:bookmarkEnd w:id="238"/>
      <w:bookmarkEnd w:id="239"/>
      <w:bookmarkEnd w:id="240"/>
      <w:bookmarkEnd w:id="241"/>
      <w:bookmarkEnd w:id="242"/>
      <w:bookmarkEnd w:id="243"/>
      <w:bookmarkEnd w:id="244"/>
      <w:bookmarkEnd w:id="245"/>
      <w:bookmarkEnd w:id="246"/>
    </w:p>
    <w:p w14:paraId="4AF0DBE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004D29F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5C4FF0A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729ECF7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kern w:val="0"/>
          <w:sz w:val="24"/>
          <w:szCs w:val="24"/>
          <w:highlight w:val="none"/>
        </w:rPr>
      </w:pPr>
      <w:bookmarkStart w:id="247" w:name="_Toc22431_WPSOffice_Level3"/>
      <w:bookmarkStart w:id="248" w:name="_Toc20835"/>
      <w:bookmarkStart w:id="249" w:name="_Toc486167685"/>
      <w:bookmarkStart w:id="250" w:name="_Toc450662870"/>
      <w:bookmarkStart w:id="251" w:name="_Toc30430"/>
      <w:bookmarkStart w:id="252" w:name="_Toc1699"/>
      <w:bookmarkStart w:id="253" w:name="_Toc30287"/>
      <w:bookmarkStart w:id="254" w:name="_Toc15628"/>
      <w:bookmarkStart w:id="255" w:name="_Toc142508335"/>
      <w:r>
        <w:rPr>
          <w:rFonts w:hint="eastAsia" w:ascii="宋体" w:hAnsi="宋体" w:eastAsia="宋体" w:cs="宋体"/>
          <w:color w:val="auto"/>
          <w:szCs w:val="21"/>
          <w:highlight w:val="none"/>
          <w:lang w:val="zh-CN"/>
        </w:rPr>
        <w:t>20 迟交的投标文件</w:t>
      </w:r>
      <w:bookmarkEnd w:id="247"/>
      <w:bookmarkEnd w:id="248"/>
      <w:bookmarkEnd w:id="249"/>
      <w:bookmarkEnd w:id="250"/>
      <w:bookmarkEnd w:id="251"/>
      <w:bookmarkEnd w:id="252"/>
      <w:bookmarkEnd w:id="253"/>
      <w:bookmarkEnd w:id="254"/>
      <w:bookmarkEnd w:id="255"/>
    </w:p>
    <w:p w14:paraId="5C8B5E90">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B6D9980">
      <w:pPr>
        <w:autoSpaceDE w:val="0"/>
        <w:autoSpaceDN w:val="0"/>
        <w:adjustRightInd w:val="0"/>
        <w:jc w:val="left"/>
        <w:rPr>
          <w:rFonts w:hint="eastAsia" w:ascii="宋体" w:hAnsi="宋体" w:eastAsia="宋体" w:cs="宋体"/>
          <w:color w:val="auto"/>
          <w:kern w:val="0"/>
          <w:sz w:val="24"/>
          <w:szCs w:val="24"/>
          <w:highlight w:val="none"/>
        </w:rPr>
      </w:pPr>
    </w:p>
    <w:p w14:paraId="18F53E2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6" w:name="_Toc16192"/>
      <w:bookmarkStart w:id="257" w:name="_Toc4883_WPSOffice_Level3"/>
      <w:bookmarkStart w:id="258" w:name="_Toc450662871"/>
      <w:bookmarkStart w:id="259" w:name="_Toc142508336"/>
      <w:bookmarkStart w:id="260" w:name="_Toc27851"/>
      <w:bookmarkStart w:id="261" w:name="_Toc26938"/>
      <w:bookmarkStart w:id="262" w:name="_Toc3110"/>
      <w:bookmarkStart w:id="263" w:name="_Toc486167686"/>
      <w:bookmarkStart w:id="264" w:name="_Toc3814"/>
      <w:r>
        <w:rPr>
          <w:rFonts w:hint="eastAsia" w:ascii="宋体" w:hAnsi="宋体" w:eastAsia="宋体" w:cs="宋体"/>
          <w:color w:val="auto"/>
          <w:szCs w:val="21"/>
          <w:highlight w:val="none"/>
          <w:lang w:val="zh-CN"/>
        </w:rPr>
        <w:t>21 投标文件的修改和撤回</w:t>
      </w:r>
      <w:bookmarkEnd w:id="256"/>
      <w:bookmarkEnd w:id="257"/>
      <w:bookmarkEnd w:id="258"/>
      <w:bookmarkEnd w:id="259"/>
      <w:bookmarkEnd w:id="260"/>
      <w:bookmarkEnd w:id="261"/>
      <w:bookmarkEnd w:id="262"/>
      <w:bookmarkEnd w:id="263"/>
      <w:bookmarkEnd w:id="264"/>
    </w:p>
    <w:p w14:paraId="1188E7F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5EC24972">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38E88BE8">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33E87D6B">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51AA43F5">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1BCFD357">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65" w:name="_Toc29616"/>
      <w:bookmarkStart w:id="266" w:name="_Toc450662872"/>
      <w:bookmarkStart w:id="267" w:name="_Toc5908"/>
      <w:bookmarkStart w:id="268" w:name="_Toc24541"/>
      <w:bookmarkStart w:id="269" w:name="_Toc142508337"/>
      <w:bookmarkStart w:id="270" w:name="_Toc140596896"/>
      <w:bookmarkStart w:id="271" w:name="_Toc486167687"/>
      <w:bookmarkStart w:id="272" w:name="_Toc30428"/>
      <w:bookmarkStart w:id="273" w:name="_Toc28824"/>
      <w:bookmarkStart w:id="274" w:name="_Toc1049_WPSOffice_Level2"/>
      <w:r>
        <w:rPr>
          <w:rFonts w:hint="eastAsia" w:ascii="宋体" w:hAnsi="宋体" w:eastAsia="宋体" w:cs="宋体"/>
          <w:b/>
          <w:bCs/>
          <w:color w:val="auto"/>
          <w:kern w:val="44"/>
          <w:szCs w:val="21"/>
          <w:highlight w:val="none"/>
          <w:lang w:val="zh-CN"/>
        </w:rPr>
        <w:t>五、开标与评标</w:t>
      </w:r>
      <w:bookmarkEnd w:id="265"/>
      <w:bookmarkEnd w:id="266"/>
      <w:bookmarkEnd w:id="267"/>
      <w:bookmarkEnd w:id="268"/>
      <w:bookmarkEnd w:id="269"/>
      <w:bookmarkEnd w:id="270"/>
      <w:bookmarkEnd w:id="271"/>
      <w:bookmarkEnd w:id="272"/>
      <w:bookmarkEnd w:id="273"/>
      <w:bookmarkEnd w:id="274"/>
    </w:p>
    <w:p w14:paraId="6DDE49A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5" w:name="_Toc21095"/>
      <w:bookmarkStart w:id="276" w:name="_Toc11256"/>
      <w:bookmarkStart w:id="277" w:name="_Toc24133"/>
      <w:bookmarkStart w:id="278" w:name="_Toc2258"/>
      <w:bookmarkStart w:id="279" w:name="_Toc8728"/>
      <w:bookmarkStart w:id="280" w:name="_Toc142508338"/>
      <w:bookmarkStart w:id="281" w:name="_Toc144_WPSOffice_Level3"/>
      <w:bookmarkStart w:id="282" w:name="_Toc486167688"/>
      <w:bookmarkStart w:id="283" w:name="_Toc450662873"/>
      <w:r>
        <w:rPr>
          <w:rFonts w:hint="eastAsia" w:ascii="宋体" w:hAnsi="宋体" w:eastAsia="宋体" w:cs="宋体"/>
          <w:color w:val="auto"/>
          <w:szCs w:val="21"/>
          <w:highlight w:val="none"/>
          <w:lang w:val="zh-CN"/>
        </w:rPr>
        <w:t>22 开标</w:t>
      </w:r>
      <w:bookmarkEnd w:id="275"/>
      <w:bookmarkEnd w:id="276"/>
      <w:bookmarkEnd w:id="277"/>
      <w:bookmarkEnd w:id="278"/>
      <w:bookmarkEnd w:id="279"/>
      <w:bookmarkEnd w:id="280"/>
      <w:bookmarkEnd w:id="281"/>
      <w:bookmarkEnd w:id="282"/>
      <w:bookmarkEnd w:id="283"/>
    </w:p>
    <w:p w14:paraId="04520EDD">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67C37BAF">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6E27786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6062FAF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7681422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3579326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1467928B">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7BE3A51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4" w:name="_Toc30867"/>
      <w:bookmarkStart w:id="285" w:name="_Toc23059"/>
      <w:bookmarkStart w:id="286" w:name="_Toc12165_WPSOffice_Level3"/>
      <w:bookmarkStart w:id="287" w:name="_Toc32534"/>
      <w:bookmarkStart w:id="288" w:name="_Toc450662874"/>
      <w:bookmarkStart w:id="289" w:name="_Toc486167689"/>
      <w:bookmarkStart w:id="290" w:name="_Toc142508339"/>
      <w:bookmarkStart w:id="291" w:name="_Toc2637"/>
      <w:bookmarkStart w:id="292" w:name="_Toc7858"/>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bookmarkEnd w:id="284"/>
      <w:bookmarkEnd w:id="285"/>
      <w:bookmarkEnd w:id="286"/>
      <w:bookmarkEnd w:id="287"/>
      <w:bookmarkEnd w:id="288"/>
      <w:bookmarkEnd w:id="289"/>
      <w:bookmarkEnd w:id="290"/>
      <w:bookmarkEnd w:id="291"/>
      <w:bookmarkEnd w:id="292"/>
    </w:p>
    <w:p w14:paraId="4E9133D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13F35A8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090A868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114FC7F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3" w:name="_Toc450662875"/>
      <w:bookmarkStart w:id="294" w:name="_Toc800"/>
      <w:bookmarkStart w:id="295" w:name="_Toc26599"/>
      <w:bookmarkStart w:id="296" w:name="_Toc29084"/>
      <w:bookmarkStart w:id="297" w:name="_Toc486167690"/>
      <w:bookmarkStart w:id="298" w:name="_Toc16920"/>
      <w:bookmarkStart w:id="299" w:name="_Toc15565_WPSOffice_Level3"/>
      <w:bookmarkStart w:id="300" w:name="_Toc142508340"/>
      <w:bookmarkStart w:id="301" w:name="_Toc23521"/>
      <w:r>
        <w:rPr>
          <w:rFonts w:hint="eastAsia" w:ascii="宋体" w:hAnsi="宋体" w:eastAsia="宋体" w:cs="宋体"/>
          <w:color w:val="auto"/>
          <w:szCs w:val="21"/>
          <w:highlight w:val="none"/>
          <w:lang w:val="zh-CN"/>
        </w:rPr>
        <w:t>24 评标委员会</w:t>
      </w:r>
      <w:bookmarkEnd w:id="293"/>
      <w:bookmarkEnd w:id="294"/>
      <w:bookmarkEnd w:id="295"/>
      <w:bookmarkEnd w:id="296"/>
      <w:bookmarkEnd w:id="297"/>
      <w:bookmarkEnd w:id="298"/>
      <w:bookmarkEnd w:id="299"/>
      <w:bookmarkEnd w:id="300"/>
      <w:bookmarkEnd w:id="301"/>
    </w:p>
    <w:p w14:paraId="40E2E70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79BE6532">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3B24998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7280FF3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302" w:name="_Toc31163"/>
      <w:bookmarkStart w:id="303" w:name="_Toc486167691"/>
      <w:bookmarkStart w:id="304" w:name="_Toc31462"/>
      <w:bookmarkStart w:id="305" w:name="_Toc142508341"/>
      <w:bookmarkStart w:id="306" w:name="_Toc18668"/>
      <w:bookmarkStart w:id="307" w:name="_Toc28910_WPSOffice_Level3"/>
      <w:bookmarkStart w:id="308" w:name="_Toc12715"/>
      <w:bookmarkStart w:id="309" w:name="_Toc450662876"/>
      <w:bookmarkStart w:id="310" w:name="_Toc755"/>
      <w:r>
        <w:rPr>
          <w:rFonts w:hint="eastAsia" w:ascii="宋体" w:hAnsi="宋体" w:eastAsia="宋体" w:cs="宋体"/>
          <w:b/>
          <w:color w:val="auto"/>
          <w:szCs w:val="21"/>
          <w:highlight w:val="none"/>
          <w:lang w:val="zh-CN"/>
        </w:rPr>
        <w:t>25 投标文件的初审</w:t>
      </w:r>
      <w:bookmarkEnd w:id="302"/>
      <w:bookmarkEnd w:id="303"/>
      <w:bookmarkEnd w:id="304"/>
      <w:bookmarkEnd w:id="305"/>
      <w:bookmarkEnd w:id="306"/>
      <w:bookmarkEnd w:id="307"/>
      <w:bookmarkEnd w:id="308"/>
      <w:bookmarkEnd w:id="309"/>
      <w:bookmarkEnd w:id="310"/>
    </w:p>
    <w:p w14:paraId="4206776E">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2F92FFE0">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3BDF55CA">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4F58B6D3">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11" w:name="_Toc450662877"/>
      <w:bookmarkStart w:id="312" w:name="_Toc142508342"/>
      <w:bookmarkStart w:id="313" w:name="_Toc486167692"/>
      <w:bookmarkStart w:id="314" w:name="_Toc4837"/>
      <w:bookmarkStart w:id="315" w:name="_Toc25468"/>
      <w:bookmarkStart w:id="316" w:name="_Toc2228"/>
      <w:bookmarkStart w:id="317" w:name="_Toc26228"/>
      <w:bookmarkStart w:id="318" w:name="_Toc338_WPSOffice_Level3"/>
      <w:bookmarkStart w:id="319" w:name="_Toc30225"/>
      <w:r>
        <w:rPr>
          <w:rFonts w:hint="eastAsia" w:ascii="宋体" w:hAnsi="宋体" w:eastAsia="宋体" w:cs="宋体"/>
          <w:color w:val="auto"/>
          <w:szCs w:val="21"/>
          <w:highlight w:val="none"/>
          <w:lang w:val="zh-CN"/>
        </w:rPr>
        <w:t>26 投标文件的澄清</w:t>
      </w:r>
      <w:bookmarkEnd w:id="311"/>
      <w:bookmarkEnd w:id="312"/>
      <w:bookmarkEnd w:id="313"/>
      <w:bookmarkEnd w:id="314"/>
      <w:bookmarkEnd w:id="315"/>
      <w:bookmarkEnd w:id="316"/>
      <w:bookmarkEnd w:id="317"/>
      <w:bookmarkEnd w:id="318"/>
      <w:bookmarkEnd w:id="319"/>
    </w:p>
    <w:p w14:paraId="3876740D">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0A868845">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320"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52D3D48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320"/>
    <w:p w14:paraId="2C0A5EA1">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21" w:name="_Toc14841"/>
      <w:bookmarkStart w:id="322" w:name="_Toc27741"/>
      <w:bookmarkStart w:id="323" w:name="_Toc18368_WPSOffice_Level3"/>
      <w:bookmarkStart w:id="324" w:name="_Toc521918096"/>
      <w:bookmarkStart w:id="325" w:name="_Toc9871"/>
      <w:bookmarkStart w:id="326" w:name="_Toc522047355"/>
      <w:bookmarkStart w:id="327" w:name="_Toc10967"/>
      <w:bookmarkStart w:id="328" w:name="_Toc142508343"/>
      <w:bookmarkStart w:id="329" w:name="_Toc22065"/>
      <w:r>
        <w:rPr>
          <w:rFonts w:hint="eastAsia" w:ascii="宋体" w:hAnsi="宋体" w:eastAsia="宋体" w:cs="宋体"/>
          <w:color w:val="auto"/>
          <w:szCs w:val="21"/>
          <w:highlight w:val="none"/>
          <w:lang w:val="zh-CN"/>
        </w:rPr>
        <w:t>27 对投标文件的比较和评价</w:t>
      </w:r>
      <w:bookmarkEnd w:id="321"/>
      <w:bookmarkEnd w:id="322"/>
      <w:bookmarkEnd w:id="323"/>
      <w:bookmarkEnd w:id="324"/>
      <w:bookmarkEnd w:id="325"/>
      <w:bookmarkEnd w:id="326"/>
      <w:bookmarkEnd w:id="327"/>
      <w:bookmarkEnd w:id="328"/>
      <w:bookmarkEnd w:id="329"/>
    </w:p>
    <w:p w14:paraId="712F2BC3">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w:t>
      </w:r>
    </w:p>
    <w:p w14:paraId="2592A81C">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23F50FBB">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330" w:name="_Toc522047356"/>
      <w:bookmarkStart w:id="331" w:name="_Toc521918097"/>
    </w:p>
    <w:p w14:paraId="624C791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32" w:name="_Toc15740"/>
      <w:bookmarkStart w:id="333" w:name="_Toc27026"/>
      <w:bookmarkStart w:id="334" w:name="_Toc14218"/>
      <w:bookmarkStart w:id="335" w:name="_Toc14804"/>
      <w:bookmarkStart w:id="336" w:name="_Toc13784"/>
      <w:bookmarkStart w:id="337" w:name="_Toc142508344"/>
      <w:bookmarkStart w:id="338" w:name="_Toc21460_WPSOffice_Level3"/>
      <w:r>
        <w:rPr>
          <w:rFonts w:hint="eastAsia" w:ascii="宋体" w:hAnsi="宋体" w:eastAsia="宋体" w:cs="宋体"/>
          <w:color w:val="auto"/>
          <w:szCs w:val="21"/>
          <w:highlight w:val="none"/>
          <w:lang w:val="zh-CN"/>
        </w:rPr>
        <w:t>28 评标原则及方法</w:t>
      </w:r>
      <w:bookmarkEnd w:id="330"/>
      <w:bookmarkEnd w:id="331"/>
      <w:bookmarkEnd w:id="332"/>
      <w:bookmarkEnd w:id="333"/>
      <w:bookmarkEnd w:id="334"/>
      <w:bookmarkEnd w:id="335"/>
      <w:bookmarkEnd w:id="336"/>
      <w:bookmarkEnd w:id="337"/>
      <w:bookmarkEnd w:id="338"/>
    </w:p>
    <w:p w14:paraId="0DF6CB0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eastAsia="zh-CN"/>
        </w:rPr>
        <w:t>本项目采取最低评标价法</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投标文件满足招标文件全部实质性要求，且投标报价最低的投标人为中标候选人的评标方法</w:t>
      </w:r>
      <w:r>
        <w:rPr>
          <w:rFonts w:hint="eastAsia" w:ascii="宋体" w:hAnsi="宋体" w:eastAsia="宋体" w:cs="宋体"/>
          <w:color w:val="auto"/>
          <w:szCs w:val="21"/>
          <w:highlight w:val="none"/>
          <w:lang w:val="zh-CN"/>
        </w:rPr>
        <w:t>。</w:t>
      </w:r>
    </w:p>
    <w:p w14:paraId="26B96ED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评标委员会按</w:t>
      </w:r>
      <w:r>
        <w:rPr>
          <w:rFonts w:hint="eastAsia" w:ascii="宋体" w:hAnsi="宋体" w:eastAsia="宋体" w:cs="宋体"/>
          <w:color w:val="auto"/>
          <w:szCs w:val="21"/>
          <w:highlight w:val="none"/>
          <w:lang w:val="zh-CN" w:eastAsia="zh-CN"/>
        </w:rPr>
        <w:t>投标报价</w:t>
      </w:r>
      <w:r>
        <w:rPr>
          <w:rFonts w:hint="eastAsia" w:ascii="宋体" w:hAnsi="宋体" w:eastAsia="宋体" w:cs="宋体"/>
          <w:color w:val="auto"/>
          <w:szCs w:val="21"/>
          <w:highlight w:val="none"/>
          <w:lang w:val="zh-CN"/>
        </w:rPr>
        <w:t>从</w:t>
      </w:r>
      <w:r>
        <w:rPr>
          <w:rFonts w:hint="eastAsia" w:ascii="宋体" w:hAnsi="宋体" w:eastAsia="宋体" w:cs="宋体"/>
          <w:color w:val="auto"/>
          <w:szCs w:val="21"/>
          <w:highlight w:val="none"/>
          <w:lang w:val="en-US" w:eastAsia="zh-CN"/>
        </w:rPr>
        <w:t>低</w:t>
      </w:r>
      <w:r>
        <w:rPr>
          <w:rFonts w:hint="eastAsia" w:ascii="宋体" w:hAnsi="宋体" w:eastAsia="宋体" w:cs="宋体"/>
          <w:color w:val="auto"/>
          <w:szCs w:val="21"/>
          <w:highlight w:val="none"/>
          <w:lang w:val="zh-CN"/>
        </w:rPr>
        <w:t>到</w:t>
      </w:r>
      <w:r>
        <w:rPr>
          <w:rFonts w:hint="eastAsia" w:ascii="宋体" w:hAnsi="宋体" w:eastAsia="宋体" w:cs="宋体"/>
          <w:color w:val="auto"/>
          <w:szCs w:val="21"/>
          <w:highlight w:val="none"/>
          <w:lang w:val="en-US" w:eastAsia="zh-CN"/>
        </w:rPr>
        <w:t>高</w:t>
      </w:r>
      <w:r>
        <w:rPr>
          <w:rFonts w:hint="eastAsia" w:ascii="宋体" w:hAnsi="宋体" w:eastAsia="宋体" w:cs="宋体"/>
          <w:color w:val="auto"/>
          <w:szCs w:val="21"/>
          <w:highlight w:val="none"/>
          <w:lang w:val="zh-CN"/>
        </w:rPr>
        <w:t>依次进行资格性检查和符合性检查，直到保证合格投标人家数为三家的前提下，将不再进行余下投标文件的后续评审。</w:t>
      </w:r>
    </w:p>
    <w:p w14:paraId="1D099515">
      <w:pPr>
        <w:autoSpaceDE w:val="0"/>
        <w:autoSpaceDN w:val="0"/>
        <w:adjustRightInd w:val="0"/>
        <w:spacing w:line="360" w:lineRule="auto"/>
        <w:ind w:left="441" w:leftChars="-60"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75A7ECA9">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0B43BEFE">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39" w:name="_Toc11615"/>
      <w:bookmarkStart w:id="340" w:name="_Toc28082"/>
      <w:bookmarkStart w:id="341" w:name="_Toc465358969"/>
      <w:bookmarkStart w:id="342" w:name="_Toc32498_WPSOffice_Level3"/>
      <w:bookmarkStart w:id="343" w:name="_Toc486167694"/>
      <w:bookmarkStart w:id="344" w:name="_Toc4819"/>
      <w:bookmarkStart w:id="345" w:name="_Toc26869"/>
      <w:bookmarkStart w:id="346" w:name="_Toc142508345"/>
      <w:bookmarkStart w:id="347" w:name="_Toc466882017"/>
      <w:bookmarkStart w:id="348" w:name="_Toc18148"/>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bookmarkEnd w:id="339"/>
      <w:bookmarkEnd w:id="340"/>
      <w:bookmarkEnd w:id="341"/>
      <w:bookmarkEnd w:id="342"/>
      <w:bookmarkEnd w:id="343"/>
      <w:bookmarkEnd w:id="344"/>
      <w:bookmarkEnd w:id="345"/>
      <w:bookmarkEnd w:id="346"/>
      <w:bookmarkEnd w:id="347"/>
      <w:bookmarkEnd w:id="348"/>
    </w:p>
    <w:p w14:paraId="6E043AD0">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46BC13A9">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26A452D5">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7BDA8BCB">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 书面要求的时间(一般不少于三个工作日) 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61A7045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F84498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67A94BF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7AD38EFB">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503EC5A6">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DE26A2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3066E579">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25CF886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0E32584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3E13CE3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监督部门：东莞市水务环境投资控股集团有限公司，联系人：莫先生，联系电话：0769-28823251。</w:t>
      </w:r>
    </w:p>
    <w:p w14:paraId="5573E922">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798FE377">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349" w:name="_Toc465358970"/>
      <w:bookmarkStart w:id="350" w:name="_Toc142508346"/>
      <w:bookmarkStart w:id="351" w:name="_Toc6696"/>
      <w:bookmarkStart w:id="352" w:name="_Toc26354"/>
      <w:bookmarkStart w:id="353" w:name="_Toc1848_WPSOffice_Level3"/>
      <w:bookmarkStart w:id="354" w:name="_Toc486167695"/>
      <w:bookmarkStart w:id="355" w:name="_Toc3154"/>
      <w:bookmarkStart w:id="356" w:name="_Toc28516"/>
      <w:bookmarkStart w:id="357" w:name="_Toc466882018"/>
      <w:bookmarkStart w:id="358" w:name="_Toc3220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49"/>
      <w:bookmarkEnd w:id="350"/>
      <w:bookmarkEnd w:id="351"/>
      <w:bookmarkEnd w:id="352"/>
      <w:bookmarkEnd w:id="353"/>
      <w:bookmarkEnd w:id="354"/>
      <w:bookmarkEnd w:id="355"/>
      <w:bookmarkEnd w:id="356"/>
      <w:bookmarkEnd w:id="357"/>
      <w:bookmarkEnd w:id="358"/>
    </w:p>
    <w:p w14:paraId="240A4392">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664AE92">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198ABA8">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环境投资控股集团有限公司相关招标采购等活动的，由投标人自行承担全部后果。</w:t>
      </w:r>
    </w:p>
    <w:p w14:paraId="7C7E1A6F">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359" w:name="_Toc465358971"/>
      <w:bookmarkStart w:id="360" w:name="_Toc466882019"/>
    </w:p>
    <w:p w14:paraId="28F4C4E1">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361" w:name="_Toc8654"/>
      <w:bookmarkStart w:id="362" w:name="_Toc142508347"/>
      <w:bookmarkStart w:id="363" w:name="_Toc26159"/>
      <w:bookmarkStart w:id="364" w:name="_Toc486167696"/>
      <w:bookmarkStart w:id="365" w:name="_Toc31583"/>
      <w:bookmarkStart w:id="366" w:name="_Toc11322"/>
      <w:bookmarkStart w:id="367" w:name="_Toc10867_WPSOffice_Level3"/>
      <w:bookmarkStart w:id="368" w:name="_Toc23672"/>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59"/>
      <w:bookmarkEnd w:id="360"/>
      <w:bookmarkEnd w:id="361"/>
      <w:bookmarkEnd w:id="362"/>
      <w:bookmarkEnd w:id="363"/>
      <w:bookmarkEnd w:id="364"/>
      <w:bookmarkEnd w:id="365"/>
      <w:bookmarkEnd w:id="366"/>
      <w:bookmarkEnd w:id="367"/>
      <w:bookmarkEnd w:id="368"/>
    </w:p>
    <w:p w14:paraId="0FC968E3">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136DD42">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369" w:name="_Toc450662880"/>
    </w:p>
    <w:p w14:paraId="1371A986">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370" w:name="_Toc486167697"/>
      <w:bookmarkStart w:id="371" w:name="_Toc488"/>
      <w:bookmarkStart w:id="372" w:name="_Toc142508348"/>
      <w:bookmarkStart w:id="373" w:name="_Toc16789"/>
      <w:bookmarkStart w:id="374" w:name="_Toc27936"/>
      <w:bookmarkStart w:id="375" w:name="_Toc5404"/>
      <w:bookmarkStart w:id="376" w:name="_Toc15351"/>
      <w:bookmarkStart w:id="377" w:name="_Toc140596907"/>
      <w:bookmarkStart w:id="378" w:name="_Toc16848_WPSOffice_Level2"/>
      <w:r>
        <w:rPr>
          <w:rFonts w:hint="eastAsia" w:ascii="宋体" w:hAnsi="宋体" w:eastAsia="宋体" w:cs="宋体"/>
          <w:b/>
          <w:bCs/>
          <w:color w:val="auto"/>
          <w:kern w:val="44"/>
          <w:szCs w:val="21"/>
          <w:highlight w:val="none"/>
          <w:lang w:val="zh-CN"/>
        </w:rPr>
        <w:t>六、授予合同</w:t>
      </w:r>
      <w:bookmarkEnd w:id="369"/>
      <w:bookmarkEnd w:id="370"/>
      <w:bookmarkEnd w:id="371"/>
      <w:bookmarkEnd w:id="372"/>
      <w:bookmarkEnd w:id="373"/>
      <w:bookmarkEnd w:id="374"/>
      <w:bookmarkEnd w:id="375"/>
      <w:bookmarkEnd w:id="376"/>
      <w:bookmarkEnd w:id="377"/>
      <w:bookmarkEnd w:id="378"/>
    </w:p>
    <w:p w14:paraId="4936398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79" w:name="_Toc17767"/>
      <w:bookmarkStart w:id="380" w:name="_Toc29383"/>
      <w:bookmarkStart w:id="381" w:name="_Toc25050"/>
      <w:bookmarkStart w:id="382" w:name="_Toc6401_WPSOffice_Level3"/>
      <w:bookmarkStart w:id="383" w:name="_Toc450662881"/>
      <w:bookmarkStart w:id="384" w:name="_Toc31713"/>
      <w:bookmarkStart w:id="385" w:name="_Toc9832"/>
      <w:bookmarkStart w:id="386" w:name="_Toc142508349"/>
      <w:bookmarkStart w:id="387" w:name="_Toc486167698"/>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bookmarkEnd w:id="379"/>
      <w:bookmarkEnd w:id="380"/>
      <w:bookmarkEnd w:id="381"/>
      <w:bookmarkEnd w:id="382"/>
      <w:bookmarkEnd w:id="383"/>
      <w:bookmarkEnd w:id="384"/>
      <w:bookmarkEnd w:id="385"/>
      <w:bookmarkEnd w:id="386"/>
      <w:bookmarkEnd w:id="387"/>
    </w:p>
    <w:p w14:paraId="6C5FF8D8">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4658E7D9">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141A9760">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57F166A2">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88" w:name="_Toc450662885"/>
    </w:p>
    <w:p w14:paraId="61C58B94">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89" w:name="_Toc142508350"/>
      <w:bookmarkStart w:id="390" w:name="_Toc8196"/>
      <w:bookmarkStart w:id="391" w:name="_Toc12028"/>
      <w:bookmarkStart w:id="392" w:name="_Toc6726_WPSOffice_Level3"/>
      <w:bookmarkStart w:id="393" w:name="_Toc486167699"/>
      <w:bookmarkStart w:id="394" w:name="_Toc29888"/>
      <w:bookmarkStart w:id="395" w:name="_Toc18984"/>
      <w:bookmarkStart w:id="396" w:name="_Toc8093"/>
      <w:r>
        <w:rPr>
          <w:rFonts w:hint="eastAsia" w:ascii="宋体" w:hAnsi="宋体" w:eastAsia="宋体" w:cs="宋体"/>
          <w:color w:val="auto"/>
          <w:szCs w:val="21"/>
          <w:highlight w:val="none"/>
          <w:lang w:val="zh-CN"/>
        </w:rPr>
        <w:t>33 中标通知</w:t>
      </w:r>
      <w:bookmarkEnd w:id="388"/>
      <w:bookmarkEnd w:id="389"/>
      <w:bookmarkEnd w:id="390"/>
      <w:bookmarkEnd w:id="391"/>
      <w:bookmarkEnd w:id="392"/>
      <w:bookmarkEnd w:id="393"/>
      <w:bookmarkEnd w:id="394"/>
      <w:bookmarkEnd w:id="395"/>
      <w:bookmarkEnd w:id="396"/>
    </w:p>
    <w:p w14:paraId="2B84018C">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97"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743E9B72">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15FF7828">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3F38478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98" w:name="_Toc16122"/>
      <w:bookmarkStart w:id="399" w:name="_Toc486167700"/>
      <w:bookmarkStart w:id="400" w:name="_Toc142508351"/>
      <w:bookmarkStart w:id="401" w:name="_Toc9694_WPSOffice_Level3"/>
      <w:bookmarkStart w:id="402" w:name="_Toc25814"/>
      <w:bookmarkStart w:id="403" w:name="_Toc19127"/>
      <w:bookmarkStart w:id="404" w:name="_Toc32671"/>
      <w:bookmarkStart w:id="405" w:name="_Toc28020"/>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bookmarkEnd w:id="397"/>
      <w:bookmarkEnd w:id="398"/>
      <w:bookmarkEnd w:id="399"/>
      <w:bookmarkEnd w:id="400"/>
      <w:bookmarkEnd w:id="401"/>
      <w:bookmarkEnd w:id="402"/>
      <w:bookmarkEnd w:id="403"/>
      <w:bookmarkEnd w:id="404"/>
      <w:bookmarkEnd w:id="405"/>
    </w:p>
    <w:p w14:paraId="41663D7D">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C00C2B8">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14:paraId="68371579">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46F939EE">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 xml:space="preserve">34.3 </w:t>
      </w:r>
      <w:r>
        <w:rPr>
          <w:rFonts w:hint="eastAsia" w:ascii="宋体" w:hAnsi="宋体" w:eastAsia="宋体" w:cs="宋体"/>
          <w:b/>
          <w:bCs/>
          <w:color w:val="auto"/>
          <w:szCs w:val="21"/>
          <w:highlight w:val="none"/>
          <w:lang w:val="zh-CN"/>
        </w:rPr>
        <w:t>中标人需与东莞市水务环境投资控股集团管网有限公司、东莞市莞泽水环境投资有限公司、东莞市东信水环境投资有限公司、东莞市东泽水环境投资有限公司、东莞市清泽水环境投资有限公司、东莞市莞清水环境投资有限公司、东莞市东江水环境投资有限公司等签订合同。</w:t>
      </w:r>
    </w:p>
    <w:p w14:paraId="0FB84902">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2DB5045B">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06" w:name="_Toc10513_WPSOffice_Level3"/>
      <w:bookmarkStart w:id="407" w:name="_Toc18298"/>
      <w:bookmarkStart w:id="408" w:name="_Toc450662887"/>
      <w:bookmarkStart w:id="409" w:name="_Toc11779"/>
      <w:bookmarkStart w:id="410" w:name="_Toc5304"/>
      <w:bookmarkStart w:id="411" w:name="_Toc13132"/>
      <w:bookmarkStart w:id="412" w:name="_Toc8181"/>
      <w:bookmarkStart w:id="413" w:name="_Toc486167701"/>
      <w:bookmarkStart w:id="414" w:name="_Toc142508352"/>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bookmarkEnd w:id="406"/>
      <w:bookmarkEnd w:id="407"/>
      <w:bookmarkEnd w:id="408"/>
      <w:bookmarkEnd w:id="409"/>
      <w:bookmarkEnd w:id="410"/>
      <w:bookmarkEnd w:id="411"/>
      <w:bookmarkEnd w:id="412"/>
      <w:bookmarkEnd w:id="413"/>
      <w:bookmarkEnd w:id="414"/>
    </w:p>
    <w:p w14:paraId="6118C43D">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bookmarkStart w:id="415" w:name="_Toc466882025"/>
      <w:bookmarkStart w:id="416"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中标人应在签订合同前且中标通知书发出之日起30日内，按本招标文件规定金额及形式要求，向招标人</w:t>
      </w:r>
      <w:r>
        <w:rPr>
          <w:rFonts w:hint="eastAsia" w:ascii="宋体" w:hAnsi="宋体" w:eastAsia="宋体" w:cs="宋体"/>
          <w:b/>
          <w:bCs/>
          <w:color w:val="auto"/>
          <w:szCs w:val="21"/>
          <w:highlight w:val="none"/>
          <w:u w:val="single"/>
        </w:rPr>
        <w:t>（含其下属子公司）</w:t>
      </w:r>
      <w:r>
        <w:rPr>
          <w:rFonts w:hint="eastAsia" w:ascii="宋体" w:hAnsi="宋体" w:eastAsia="宋体" w:cs="宋体"/>
          <w:b/>
          <w:bCs/>
          <w:color w:val="auto"/>
          <w:szCs w:val="21"/>
          <w:highlight w:val="none"/>
          <w:u w:val="single"/>
          <w:lang w:val="zh-CN"/>
        </w:rPr>
        <w:t>提交不可撤销银行履约保函（或履约保证金</w:t>
      </w:r>
      <w:r>
        <w:rPr>
          <w:rFonts w:hint="eastAsia" w:ascii="宋体" w:hAnsi="宋体" w:eastAsia="宋体" w:cs="宋体"/>
          <w:b/>
          <w:bCs/>
          <w:color w:val="auto"/>
          <w:szCs w:val="21"/>
          <w:highlight w:val="none"/>
          <w:u w:val="single"/>
          <w:lang w:val="en-US" w:eastAsia="zh-CN"/>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其中，采用履约保证金（银行转账形式）的金额为合同含税总价的5%，</w:t>
      </w:r>
      <w:r>
        <w:rPr>
          <w:rFonts w:hint="eastAsia" w:ascii="宋体" w:hAnsi="宋体" w:eastAsia="宋体" w:cs="宋体"/>
          <w:b/>
          <w:bCs/>
          <w:color w:val="auto"/>
          <w:szCs w:val="21"/>
          <w:highlight w:val="none"/>
          <w:u w:val="single"/>
        </w:rPr>
        <w:t>统一由</w:t>
      </w:r>
      <w:r>
        <w:rPr>
          <w:rFonts w:hint="eastAsia" w:ascii="宋体" w:hAnsi="宋体" w:eastAsia="宋体" w:cs="宋体"/>
          <w:b/>
          <w:bCs/>
          <w:color w:val="auto"/>
          <w:szCs w:val="21"/>
          <w:highlight w:val="none"/>
          <w:u w:val="single"/>
          <w:lang w:eastAsia="zh-CN"/>
        </w:rPr>
        <w:t>东莞市水务环境投资控股集团管网有限公司</w:t>
      </w:r>
      <w:r>
        <w:rPr>
          <w:rFonts w:hint="eastAsia" w:ascii="宋体" w:hAnsi="宋体" w:eastAsia="宋体" w:cs="宋体"/>
          <w:b/>
          <w:bCs/>
          <w:color w:val="auto"/>
          <w:szCs w:val="21"/>
          <w:highlight w:val="none"/>
          <w:u w:val="single"/>
        </w:rPr>
        <w:t>收取；</w:t>
      </w:r>
      <w:r>
        <w:rPr>
          <w:rFonts w:hint="eastAsia" w:ascii="宋体" w:hAnsi="宋体" w:eastAsia="宋体" w:cs="宋体"/>
          <w:b/>
          <w:bCs/>
          <w:color w:val="auto"/>
          <w:szCs w:val="21"/>
          <w:highlight w:val="none"/>
          <w:u w:val="single"/>
          <w:lang w:val="zh-CN"/>
        </w:rPr>
        <w:t>采用不可撤销银行履约保函</w:t>
      </w:r>
      <w:r>
        <w:rPr>
          <w:rFonts w:hint="eastAsia" w:ascii="宋体" w:hAnsi="宋体" w:eastAsia="宋体" w:cs="宋体"/>
          <w:b/>
          <w:bCs/>
          <w:color w:val="auto"/>
          <w:szCs w:val="21"/>
          <w:highlight w:val="none"/>
          <w:u w:val="single"/>
        </w:rPr>
        <w:t>（或履约保证保险）</w:t>
      </w:r>
      <w:r>
        <w:rPr>
          <w:rFonts w:hint="eastAsia" w:ascii="宋体" w:hAnsi="宋体" w:eastAsia="宋体" w:cs="宋体"/>
          <w:b/>
          <w:bCs/>
          <w:color w:val="auto"/>
          <w:szCs w:val="21"/>
          <w:highlight w:val="none"/>
          <w:u w:val="single"/>
          <w:lang w:val="zh-CN"/>
        </w:rPr>
        <w:t>形式的金额为合同含税总价的8%，</w:t>
      </w:r>
      <w:r>
        <w:rPr>
          <w:rFonts w:hint="eastAsia" w:ascii="宋体" w:hAnsi="宋体" w:eastAsia="宋体" w:cs="宋体"/>
          <w:b/>
          <w:bCs/>
          <w:color w:val="auto"/>
          <w:szCs w:val="21"/>
          <w:highlight w:val="none"/>
          <w:u w:val="single"/>
        </w:rPr>
        <w:t>中标人需开具一份受益人为</w:t>
      </w:r>
      <w:r>
        <w:rPr>
          <w:rFonts w:hint="eastAsia" w:ascii="宋体" w:hAnsi="宋体" w:eastAsia="宋体" w:cs="宋体"/>
          <w:b/>
          <w:bCs/>
          <w:color w:val="auto"/>
          <w:szCs w:val="21"/>
          <w:highlight w:val="none"/>
          <w:u w:val="single"/>
          <w:lang w:val="zh-CN"/>
        </w:rPr>
        <w:t>东莞市水务环境投资控股集团管网有限公司、东莞市莞泽水环境投资有限公司、东莞市东信水环境投资有限公司、东莞市东泽水环境投资有限公司、东莞市清泽水环境投资有限公司、东莞市莞清水环境投资有限公司、东莞市东江水环境投资有限公司</w:t>
      </w:r>
      <w:r>
        <w:rPr>
          <w:rFonts w:hint="eastAsia" w:ascii="宋体" w:hAnsi="宋体" w:eastAsia="宋体" w:cs="宋体"/>
          <w:b/>
          <w:bCs/>
          <w:color w:val="auto"/>
          <w:szCs w:val="21"/>
          <w:highlight w:val="none"/>
          <w:u w:val="single"/>
        </w:rPr>
        <w:t>的不可撤销银行履约保函（或履约保证保险）；</w:t>
      </w:r>
      <w:r>
        <w:rPr>
          <w:rFonts w:hint="eastAsia" w:ascii="宋体" w:hAnsi="宋体" w:eastAsia="宋体" w:cs="宋体"/>
          <w:b/>
          <w:bCs/>
          <w:color w:val="auto"/>
          <w:szCs w:val="21"/>
          <w:highlight w:val="none"/>
          <w:u w:val="single"/>
          <w:lang w:val="zh-CN"/>
        </w:rPr>
        <w:t>采用担保公司履约担保书形式的金额为合同含税总价的10%，</w:t>
      </w:r>
      <w:r>
        <w:rPr>
          <w:rFonts w:hint="eastAsia" w:ascii="宋体" w:hAnsi="宋体" w:eastAsia="宋体" w:cs="宋体"/>
          <w:b/>
          <w:bCs/>
          <w:color w:val="auto"/>
          <w:szCs w:val="21"/>
          <w:highlight w:val="none"/>
          <w:u w:val="single"/>
        </w:rPr>
        <w:t>中标人需开具一份受益人为</w:t>
      </w:r>
      <w:r>
        <w:rPr>
          <w:rFonts w:hint="eastAsia" w:ascii="宋体" w:hAnsi="宋体" w:eastAsia="宋体" w:cs="宋体"/>
          <w:b/>
          <w:bCs/>
          <w:color w:val="auto"/>
          <w:szCs w:val="21"/>
          <w:highlight w:val="none"/>
          <w:u w:val="single"/>
          <w:lang w:val="zh-CN"/>
        </w:rPr>
        <w:t>东莞市水务环境投资控股集团管网有限公司、东莞市莞泽水环境投资有限公司、东莞市东信水环境投资有限公司、东莞市东泽水环境投资有限公司、东莞市清泽水环境投资有限公司、东莞市莞清水环境投资有限公司、东莞市东江水环境投资有限公司</w:t>
      </w:r>
      <w:r>
        <w:rPr>
          <w:rFonts w:hint="eastAsia" w:ascii="宋体" w:hAnsi="宋体" w:eastAsia="宋体" w:cs="宋体"/>
          <w:b/>
          <w:bCs/>
          <w:color w:val="auto"/>
          <w:szCs w:val="21"/>
          <w:highlight w:val="none"/>
          <w:u w:val="single"/>
        </w:rPr>
        <w:t>的履约担保书。任何一个合同甲方均有权就全部的担保金额进行索赔</w:t>
      </w:r>
      <w:r>
        <w:rPr>
          <w:rFonts w:hint="eastAsia" w:ascii="宋体" w:hAnsi="宋体" w:eastAsia="宋体" w:cs="宋体"/>
          <w:b/>
          <w:bCs/>
          <w:color w:val="auto"/>
          <w:szCs w:val="21"/>
          <w:highlight w:val="none"/>
          <w:u w:val="single"/>
          <w:lang w:val="zh-CN"/>
        </w:rPr>
        <w:t>。</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14:paraId="234CF417">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因中标人不能完全履行其合同义务而蒙受的损失或其他合同约定的事项。如发生下列任一情况时，招标人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有权依合同追究违约责任外，同时有权提取履约担保并进行相应处理：</w:t>
      </w:r>
    </w:p>
    <w:p w14:paraId="60562CBA">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书面同意将部分权利义务转让给第三方的，招标人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有权没收其履约担保。</w:t>
      </w:r>
    </w:p>
    <w:p w14:paraId="1BA21B0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通知或要求承担违约金后仍拒不改正的，招标人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有权没收其履约担保。</w:t>
      </w:r>
    </w:p>
    <w:p w14:paraId="307BE97D">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经济损失、第三人人身财产损失等）、拖欠原材料供应商货款或与其所雇用员工发生劳资纠纷、上访、闹事或其他影响招标人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生产经营等情况而其未及时妥善处理的，招标人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有权使用履约担保予以支付或作出相应处理，由此产生的一切法律后果由中标人承担。</w:t>
      </w:r>
    </w:p>
    <w:p w14:paraId="3C0695C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有权直接从未付款项中直接扣除或启用履约担保予以支付。</w:t>
      </w:r>
    </w:p>
    <w:p w14:paraId="3D9D02E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有权提取履约担保用于处理该项工作。</w:t>
      </w:r>
    </w:p>
    <w:p w14:paraId="7EBFBEF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可启用履约担保的情形。</w:t>
      </w:r>
    </w:p>
    <w:p w14:paraId="71317551">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5C11162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同意，执行本款时所发生的费用由中标人承担。</w:t>
      </w:r>
    </w:p>
    <w:p w14:paraId="7B35A57C">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履约担保书）形式提供履约担保的，投标前应当自行向其拟申请开具保函的银行（</w:t>
      </w:r>
      <w:r>
        <w:rPr>
          <w:rFonts w:hint="eastAsia" w:ascii="宋体" w:hAnsi="宋体" w:eastAsia="宋体" w:cs="宋体"/>
          <w:color w:val="auto"/>
          <w:kern w:val="0"/>
          <w:szCs w:val="21"/>
          <w:highlight w:val="none"/>
          <w:lang w:val="en-US" w:eastAsia="zh-CN"/>
        </w:rPr>
        <w:t>或保险</w:t>
      </w:r>
      <w:r>
        <w:rPr>
          <w:rFonts w:hint="eastAsia" w:ascii="宋体" w:hAnsi="宋体" w:eastAsia="宋体" w:cs="宋体"/>
          <w:color w:val="auto"/>
          <w:kern w:val="0"/>
          <w:szCs w:val="21"/>
          <w:highlight w:val="none"/>
        </w:rPr>
        <w:t>或担保）机构落实履约保函（或履约保证保险或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履约担保书）格式情况，以确保能按本招标文件规定的格式提供保函。如使用其他格式的履约保函（或履约保证保险或</w:t>
      </w:r>
      <w:r>
        <w:rPr>
          <w:rFonts w:hint="eastAsia" w:ascii="宋体" w:hAnsi="宋体" w:eastAsia="宋体" w:cs="宋体"/>
          <w:color w:val="auto"/>
          <w:kern w:val="0"/>
          <w:szCs w:val="21"/>
          <w:highlight w:val="none"/>
          <w:lang w:val="en-US" w:eastAsia="zh-CN"/>
        </w:rPr>
        <w:t>担保公司</w:t>
      </w:r>
      <w:r>
        <w:rPr>
          <w:rFonts w:hint="eastAsia" w:ascii="宋体" w:hAnsi="宋体" w:eastAsia="宋体" w:cs="宋体"/>
          <w:color w:val="auto"/>
          <w:kern w:val="0"/>
          <w:szCs w:val="21"/>
          <w:highlight w:val="none"/>
        </w:rPr>
        <w:t>履约担保书），须事先经招标人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的书面同意。</w:t>
      </w:r>
    </w:p>
    <w:p w14:paraId="540B468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w:t>
      </w:r>
      <w:r>
        <w:rPr>
          <w:rFonts w:hint="eastAsia" w:ascii="宋体" w:hAnsi="宋体" w:eastAsia="宋体" w:cs="宋体"/>
          <w:color w:val="auto"/>
          <w:kern w:val="0"/>
          <w:szCs w:val="21"/>
          <w:highlight w:val="none"/>
          <w:lang w:val="en-US" w:eastAsia="zh-CN"/>
        </w:rPr>
        <w:t>东莞</w:t>
      </w:r>
      <w:r>
        <w:rPr>
          <w:rFonts w:hint="eastAsia" w:ascii="宋体" w:hAnsi="宋体" w:eastAsia="宋体" w:cs="宋体"/>
          <w:color w:val="auto"/>
          <w:kern w:val="0"/>
          <w:szCs w:val="21"/>
          <w:highlight w:val="none"/>
        </w:rPr>
        <w:t>市国有企业，或政府性融资担保机构（中标人须提供能证明其属于政府性融资担保机构的证明文件），并经招标人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同意，执行本款时所发生的费用由中标人承担。如招标人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合同条款接受担保公司预付款担保函的，对担保机构要求参照本条执行。</w:t>
      </w:r>
    </w:p>
    <w:p w14:paraId="5D600DC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要求的履约担保延期手续，否则视为中标人违约，招标人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到期后中标人未按招标人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要求重新提供的，招标人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有权要求中标人以履约担保金额为限承担违约金，违约金可直接从未付采购合同费用中扣除。</w:t>
      </w:r>
    </w:p>
    <w:p w14:paraId="3D1DCD8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有权按需补足的金额要求中标人承担违约金，并要求限期补足。如中标人仍不补足的，招标人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有权单方解除合同，违约金可直接从未付合同款或履约担保中扣除。</w:t>
      </w:r>
    </w:p>
    <w:p w14:paraId="7DD79AA5">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（6）不可撤销银行履约保函（或履约保证保险或担保公司履约担保书）应从合同签订之日起至合同期限届满并履行完毕相关服务义务且结算完毕之后二十八（28）日内保持有效。</w:t>
      </w:r>
    </w:p>
    <w:p w14:paraId="5BA08D9F">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460ED309">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w:t>
      </w:r>
      <w:r>
        <w:rPr>
          <w:rFonts w:hint="eastAsia" w:ascii="宋体" w:hAnsi="宋体" w:eastAsia="宋体" w:cs="宋体"/>
          <w:color w:val="auto"/>
          <w:kern w:val="0"/>
          <w:szCs w:val="21"/>
          <w:highlight w:val="none"/>
          <w:lang w:eastAsia="zh-CN"/>
        </w:rPr>
        <w:t>（含其下属子公司）</w:t>
      </w:r>
      <w:r>
        <w:rPr>
          <w:rFonts w:hint="eastAsia" w:ascii="宋体" w:hAnsi="宋体" w:eastAsia="宋体" w:cs="宋体"/>
          <w:color w:val="auto"/>
          <w:kern w:val="0"/>
          <w:szCs w:val="21"/>
          <w:highlight w:val="none"/>
        </w:rPr>
        <w:t>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0EF8A081">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本项目履约保证金统一由</w:t>
      </w:r>
      <w:r>
        <w:rPr>
          <w:rFonts w:hint="eastAsia" w:ascii="宋体" w:hAnsi="宋体" w:eastAsia="宋体" w:cs="宋体"/>
          <w:b/>
          <w:color w:val="auto"/>
          <w:kern w:val="0"/>
          <w:szCs w:val="21"/>
          <w:highlight w:val="none"/>
          <w:lang w:eastAsia="zh-CN"/>
        </w:rPr>
        <w:t>东莞市水务环境投资控股集团管网有限公司</w:t>
      </w:r>
      <w:r>
        <w:rPr>
          <w:rFonts w:hint="eastAsia" w:ascii="宋体" w:hAnsi="宋体" w:eastAsia="宋体" w:cs="宋体"/>
          <w:b/>
          <w:color w:val="auto"/>
          <w:kern w:val="0"/>
          <w:szCs w:val="21"/>
          <w:highlight w:val="none"/>
        </w:rPr>
        <w:t>收取，存入以下指定银行账户，转账时备注“履行《</w:t>
      </w:r>
      <w:r>
        <w:rPr>
          <w:rFonts w:hint="eastAsia" w:ascii="宋体" w:hAnsi="宋体" w:eastAsia="宋体" w:cs="宋体"/>
          <w:b/>
          <w:color w:val="auto"/>
          <w:kern w:val="0"/>
          <w:szCs w:val="21"/>
          <w:highlight w:val="none"/>
          <w:lang w:eastAsia="zh-CN"/>
        </w:rPr>
        <w:t>东莞市水务环境投资控股集团管网有限公司</w:t>
      </w:r>
      <w:r>
        <w:rPr>
          <w:rFonts w:hint="eastAsia" w:ascii="宋体" w:hAnsi="宋体" w:eastAsia="宋体" w:cs="宋体"/>
          <w:b/>
          <w:color w:val="auto"/>
          <w:kern w:val="0"/>
          <w:szCs w:val="21"/>
          <w:highlight w:val="none"/>
        </w:rPr>
        <w:t>2026至2028年度公众责任险采购项目采购合同》的保证金”。</w:t>
      </w:r>
    </w:p>
    <w:p w14:paraId="5B9D353B">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66912E4A">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u w:val="none"/>
          <w:lang w:eastAsia="zh-CN"/>
        </w:rPr>
      </w:pPr>
      <w:r>
        <w:rPr>
          <w:rFonts w:hint="eastAsia" w:ascii="宋体" w:hAnsi="宋体" w:eastAsia="宋体" w:cs="宋体"/>
          <w:b/>
          <w:color w:val="auto"/>
          <w:kern w:val="0"/>
          <w:szCs w:val="21"/>
          <w:highlight w:val="none"/>
          <w:u w:val="none"/>
        </w:rPr>
        <w:t>开户名称：</w:t>
      </w:r>
      <w:r>
        <w:rPr>
          <w:rFonts w:hint="eastAsia" w:ascii="宋体" w:hAnsi="宋体" w:eastAsia="宋体" w:cs="宋体"/>
          <w:b/>
          <w:color w:val="auto"/>
          <w:kern w:val="0"/>
          <w:szCs w:val="21"/>
          <w:highlight w:val="none"/>
          <w:u w:val="none"/>
          <w:lang w:eastAsia="zh-CN"/>
        </w:rPr>
        <w:t>东莞市水务环境投资控股集团管网有限公司</w:t>
      </w:r>
    </w:p>
    <w:p w14:paraId="642C0E36">
      <w:pPr>
        <w:snapToGrid w:val="0"/>
        <w:spacing w:line="360" w:lineRule="auto"/>
        <w:ind w:firstLine="632" w:firstLineChars="300"/>
        <w:outlineLvl w:val="9"/>
        <w:rPr>
          <w:rFonts w:hint="eastAsia" w:ascii="宋体" w:hAnsi="宋体" w:eastAsia="宋体" w:cs="宋体"/>
          <w:b/>
          <w:bCs/>
          <w:color w:val="auto"/>
          <w:szCs w:val="21"/>
          <w:highlight w:val="none"/>
          <w:u w:val="none"/>
        </w:rPr>
      </w:pPr>
      <w:r>
        <w:rPr>
          <w:rFonts w:hint="eastAsia" w:ascii="宋体" w:hAnsi="宋体" w:eastAsia="宋体" w:cs="宋体"/>
          <w:b/>
          <w:color w:val="auto"/>
          <w:kern w:val="0"/>
          <w:szCs w:val="21"/>
          <w:highlight w:val="none"/>
          <w:u w:val="none"/>
        </w:rPr>
        <w:t>银行账号：</w:t>
      </w:r>
      <w:r>
        <w:rPr>
          <w:rFonts w:hint="eastAsia" w:ascii="宋体" w:hAnsi="宋体" w:eastAsia="宋体" w:cs="宋体"/>
          <w:b/>
          <w:bCs/>
          <w:color w:val="auto"/>
          <w:szCs w:val="21"/>
          <w:highlight w:val="none"/>
          <w:u w:val="none"/>
        </w:rPr>
        <w:t>8114801014000043052</w:t>
      </w:r>
    </w:p>
    <w:p w14:paraId="0AA90AB8">
      <w:pPr>
        <w:snapToGrid w:val="0"/>
        <w:spacing w:line="360" w:lineRule="auto"/>
        <w:ind w:firstLine="632" w:firstLineChars="300"/>
        <w:outlineLvl w:val="9"/>
        <w:rPr>
          <w:rFonts w:hint="eastAsia" w:ascii="宋体" w:hAnsi="宋体" w:eastAsia="宋体" w:cs="宋体"/>
          <w:b/>
          <w:bCs/>
          <w:color w:val="auto"/>
          <w:szCs w:val="21"/>
          <w:highlight w:val="none"/>
          <w:u w:val="none"/>
        </w:rPr>
      </w:pPr>
      <w:r>
        <w:rPr>
          <w:rFonts w:hint="eastAsia" w:ascii="宋体" w:hAnsi="宋体" w:eastAsia="宋体" w:cs="宋体"/>
          <w:b/>
          <w:color w:val="auto"/>
          <w:kern w:val="0"/>
          <w:szCs w:val="21"/>
          <w:highlight w:val="none"/>
          <w:u w:val="none"/>
        </w:rPr>
        <w:t>开户银行：</w:t>
      </w:r>
      <w:r>
        <w:rPr>
          <w:rFonts w:hint="eastAsia" w:ascii="宋体" w:hAnsi="宋体" w:eastAsia="宋体" w:cs="宋体"/>
          <w:b/>
          <w:bCs/>
          <w:color w:val="auto"/>
          <w:szCs w:val="21"/>
          <w:highlight w:val="none"/>
          <w:u w:val="none"/>
        </w:rPr>
        <w:t>中信银行东莞分行营业部</w:t>
      </w:r>
    </w:p>
    <w:p w14:paraId="48F719E1">
      <w:pPr>
        <w:snapToGrid w:val="0"/>
        <w:spacing w:line="360" w:lineRule="auto"/>
        <w:ind w:left="550" w:leftChars="262" w:firstLine="527" w:firstLineChars="25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特别约定：任何一个合同甲方（</w:t>
      </w:r>
      <w:r>
        <w:rPr>
          <w:rFonts w:hint="eastAsia" w:ascii="宋体" w:hAnsi="宋体" w:eastAsia="宋体" w:cs="宋体"/>
          <w:b/>
          <w:bCs/>
          <w:color w:val="auto"/>
          <w:szCs w:val="21"/>
          <w:highlight w:val="none"/>
          <w:lang w:val="zh-CN"/>
        </w:rPr>
        <w:t>东莞市水务环境投资控股集团管网有限公司、东莞市莞泽水环境投资有限公司、东莞市东信水环境投资有限公司、东莞市东泽水环境投资有限公司、东莞市清泽水环境投资有限公司、东莞市莞清水环境投资有限公司、东莞市东江水环境投资有限公司</w:t>
      </w:r>
      <w:r>
        <w:rPr>
          <w:rFonts w:hint="eastAsia" w:ascii="宋体" w:hAnsi="宋体" w:eastAsia="宋体" w:cs="宋体"/>
          <w:b/>
          <w:bCs/>
          <w:color w:val="auto"/>
          <w:szCs w:val="21"/>
          <w:highlight w:val="none"/>
        </w:rPr>
        <w:t>）均有权就全部的履约保证金金额进行索赔。</w:t>
      </w:r>
    </w:p>
    <w:p w14:paraId="2C44961E">
      <w:pPr>
        <w:snapToGrid w:val="0"/>
        <w:spacing w:line="360" w:lineRule="auto"/>
        <w:ind w:left="550" w:leftChars="262" w:firstLine="527" w:firstLineChars="25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发生违约行为时，中标人应当按照合同约定和合同甲方的要求向对应的合同甲方支付违约金；否则，相应的合同甲方有权从履约保证金中扣除违约金，并由</w:t>
      </w:r>
      <w:r>
        <w:rPr>
          <w:rFonts w:hint="eastAsia" w:ascii="宋体" w:hAnsi="宋体" w:eastAsia="宋体" w:cs="宋体"/>
          <w:b/>
          <w:bCs/>
          <w:color w:val="auto"/>
          <w:szCs w:val="21"/>
          <w:highlight w:val="none"/>
          <w:lang w:eastAsia="zh-CN"/>
        </w:rPr>
        <w:t>东莞市水务环境投资控股集团管网有限公司</w:t>
      </w:r>
      <w:r>
        <w:rPr>
          <w:rFonts w:hint="eastAsia" w:ascii="宋体" w:hAnsi="宋体" w:eastAsia="宋体" w:cs="宋体"/>
          <w:b/>
          <w:bCs/>
          <w:color w:val="auto"/>
          <w:szCs w:val="21"/>
          <w:highlight w:val="none"/>
        </w:rPr>
        <w:t>将对应金额转入相应甲方的银行账户，同时中标人应在招标人指定期限内及时补足履约保证金金额。</w:t>
      </w:r>
    </w:p>
    <w:p w14:paraId="6614BC30">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62DC0DC5">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中标人以履约保证金（银行转账形式）提供履约担保的在依法完成本项目的所有合同义务，且扣除相应费用（若有）后，经招标人</w:t>
      </w:r>
      <w:r>
        <w:rPr>
          <w:rFonts w:hint="eastAsia" w:ascii="宋体" w:hAnsi="宋体" w:eastAsia="宋体" w:cs="宋体"/>
          <w:color w:val="auto"/>
          <w:szCs w:val="21"/>
          <w:highlight w:val="none"/>
          <w:lang w:val="zh-CN"/>
        </w:rPr>
        <w:t>（含其下属子公司）</w:t>
      </w:r>
      <w:r>
        <w:rPr>
          <w:rFonts w:hint="eastAsia" w:ascii="宋体" w:hAnsi="宋体" w:eastAsia="宋体" w:cs="宋体"/>
          <w:color w:val="auto"/>
          <w:kern w:val="0"/>
          <w:szCs w:val="21"/>
          <w:highlight w:val="none"/>
        </w:rPr>
        <w:t>确认，中标人可向招标人</w:t>
      </w:r>
      <w:r>
        <w:rPr>
          <w:rFonts w:hint="eastAsia" w:ascii="宋体" w:hAnsi="宋体" w:eastAsia="宋体" w:cs="宋体"/>
          <w:color w:val="auto"/>
          <w:szCs w:val="21"/>
          <w:highlight w:val="none"/>
          <w:lang w:val="zh-CN"/>
        </w:rPr>
        <w:t>（含其下属子公司）</w:t>
      </w:r>
      <w:r>
        <w:rPr>
          <w:rFonts w:hint="eastAsia" w:ascii="宋体" w:hAnsi="宋体" w:eastAsia="宋体" w:cs="宋体"/>
          <w:color w:val="auto"/>
          <w:kern w:val="0"/>
          <w:szCs w:val="21"/>
          <w:highlight w:val="none"/>
        </w:rPr>
        <w:t>提交退回履约担保的申请。招标人</w:t>
      </w:r>
      <w:r>
        <w:rPr>
          <w:rFonts w:hint="eastAsia" w:ascii="宋体" w:hAnsi="宋体" w:eastAsia="宋体" w:cs="宋体"/>
          <w:color w:val="auto"/>
          <w:szCs w:val="21"/>
          <w:highlight w:val="none"/>
          <w:lang w:val="zh-CN"/>
        </w:rPr>
        <w:t>（含其下属子公司）</w:t>
      </w:r>
      <w:r>
        <w:rPr>
          <w:rFonts w:hint="eastAsia" w:ascii="宋体" w:hAnsi="宋体" w:eastAsia="宋体" w:cs="宋体"/>
          <w:color w:val="auto"/>
          <w:kern w:val="0"/>
          <w:szCs w:val="21"/>
          <w:highlight w:val="none"/>
        </w:rPr>
        <w:t>审核无异议后，经招标人确认，中标人可向招标人提交退回履约担保的申请。招标人审核无异议后，办理履约担保退还手续，退回时一律以银行转账的形式无息退回到中标人的帐户。</w:t>
      </w:r>
    </w:p>
    <w:p w14:paraId="1876E52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619FDDB6">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17" w:name="_Toc10548"/>
      <w:bookmarkStart w:id="418" w:name="_Toc23796"/>
      <w:bookmarkStart w:id="419" w:name="_Toc32247"/>
      <w:bookmarkStart w:id="420" w:name="_Toc27162"/>
      <w:bookmarkStart w:id="421" w:name="_Toc24698"/>
      <w:bookmarkStart w:id="422" w:name="_Toc142508353"/>
      <w:bookmarkStart w:id="423"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15"/>
      <w:bookmarkEnd w:id="416"/>
      <w:bookmarkEnd w:id="417"/>
      <w:bookmarkEnd w:id="418"/>
      <w:bookmarkEnd w:id="419"/>
      <w:bookmarkEnd w:id="420"/>
      <w:bookmarkEnd w:id="421"/>
      <w:bookmarkEnd w:id="422"/>
      <w:bookmarkEnd w:id="423"/>
    </w:p>
    <w:p w14:paraId="3571DE94">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w:t>
      </w:r>
      <w:r>
        <w:rPr>
          <w:rFonts w:hint="eastAsia" w:ascii="宋体" w:hAnsi="宋体" w:eastAsia="宋体" w:cs="宋体"/>
          <w:color w:val="auto"/>
          <w:szCs w:val="21"/>
          <w:highlight w:val="none"/>
          <w:lang w:val="zh-CN"/>
        </w:rPr>
        <w:t>（含其下属子公司）</w:t>
      </w:r>
      <w:r>
        <w:rPr>
          <w:rFonts w:hint="eastAsia" w:ascii="宋体" w:hAnsi="宋体" w:eastAsia="宋体" w:cs="宋体"/>
          <w:color w:val="auto"/>
          <w:kern w:val="0"/>
          <w:szCs w:val="21"/>
          <w:highlight w:val="none"/>
        </w:rPr>
        <w:t>在合同约定的范围内，招标人</w:t>
      </w:r>
      <w:r>
        <w:rPr>
          <w:rFonts w:hint="eastAsia" w:ascii="宋体" w:hAnsi="宋体" w:eastAsia="宋体" w:cs="宋体"/>
          <w:color w:val="auto"/>
          <w:szCs w:val="21"/>
          <w:highlight w:val="none"/>
          <w:lang w:val="zh-CN"/>
        </w:rPr>
        <w:t>（含其下属子公司）</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4E0B61E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24" w:name="_Toc450662888"/>
    </w:p>
    <w:p w14:paraId="7BD0CE38">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25" w:name="_Toc30319"/>
      <w:bookmarkStart w:id="426" w:name="_Toc8534"/>
      <w:bookmarkStart w:id="427" w:name="_Toc142508354"/>
      <w:bookmarkStart w:id="428" w:name="_Toc8723"/>
      <w:bookmarkStart w:id="429" w:name="_Toc2401"/>
      <w:bookmarkStart w:id="430" w:name="_Toc28921_WPSOffice_Level3"/>
      <w:bookmarkStart w:id="431" w:name="_Toc486167703"/>
      <w:bookmarkStart w:id="432" w:name="_Toc23218"/>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bookmarkEnd w:id="424"/>
      <w:bookmarkEnd w:id="425"/>
      <w:bookmarkEnd w:id="426"/>
      <w:bookmarkEnd w:id="427"/>
      <w:bookmarkEnd w:id="428"/>
      <w:bookmarkEnd w:id="429"/>
      <w:bookmarkEnd w:id="430"/>
      <w:bookmarkEnd w:id="431"/>
      <w:bookmarkEnd w:id="432"/>
    </w:p>
    <w:p w14:paraId="0480E122">
      <w:pPr>
        <w:autoSpaceDE w:val="0"/>
        <w:autoSpaceDN w:val="0"/>
        <w:adjustRightInd w:val="0"/>
        <w:spacing w:line="360" w:lineRule="auto"/>
        <w:ind w:left="-210" w:leftChars="-100"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37.1 中标人应按37.2款规定在领取《中标通知书》原件之前向招标代理机构一次性交纳中标服务费（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参照国家计委《关于印发〈招标代理服务收费管理暂行办法〉的通知》（计价格〔2002〕1980号）及《国家发展改革委关于降低部分建设项目收费标准规范收费行为等有关问题的通知》（发改价格〔2011〕534号）等标准的80%计算。以本项目的中标价为计费额，本项目业务性质：按</w:t>
      </w:r>
      <w:r>
        <w:rPr>
          <w:rFonts w:hint="eastAsia" w:ascii="宋体" w:hAnsi="宋体" w:eastAsia="宋体" w:cs="宋体"/>
          <w:color w:val="auto"/>
          <w:szCs w:val="21"/>
          <w:highlight w:val="none"/>
          <w:lang w:val="en-US" w:eastAsia="zh-CN"/>
        </w:rPr>
        <w:t>服务类</w:t>
      </w:r>
      <w:r>
        <w:rPr>
          <w:rFonts w:hint="eastAsia" w:ascii="宋体" w:hAnsi="宋体" w:eastAsia="宋体" w:cs="宋体"/>
          <w:color w:val="auto"/>
          <w:szCs w:val="21"/>
          <w:highlight w:val="none"/>
          <w:lang w:val="zh-CN"/>
        </w:rPr>
        <w:t>招标代理服务收费）。</w:t>
      </w:r>
    </w:p>
    <w:p w14:paraId="5D693E86">
      <w:pPr>
        <w:autoSpaceDE w:val="0"/>
        <w:autoSpaceDN w:val="0"/>
        <w:adjustRightInd w:val="0"/>
        <w:spacing w:line="360" w:lineRule="auto"/>
        <w:ind w:left="-210" w:leftChars="-100"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37.2 </w:t>
      </w:r>
      <w:r>
        <w:rPr>
          <w:rFonts w:hint="eastAsia" w:ascii="宋体" w:hAnsi="宋体" w:eastAsia="宋体" w:cs="宋体"/>
          <w:color w:val="auto"/>
          <w:szCs w:val="21"/>
          <w:highlight w:val="none"/>
          <w:lang w:val="zh-CN"/>
        </w:rPr>
        <w:t>中标人收到中标通知后，须在15日内向招标代理机构交纳中标服务费用及领取《中标通知书》原件，否则视为放弃中标权利和义务。</w:t>
      </w:r>
    </w:p>
    <w:p w14:paraId="5515ACC7">
      <w:pPr>
        <w:autoSpaceDE w:val="0"/>
        <w:autoSpaceDN w:val="0"/>
        <w:adjustRightInd w:val="0"/>
        <w:spacing w:line="360" w:lineRule="auto"/>
        <w:ind w:left="-210" w:leftChars="-100"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37.3 </w:t>
      </w:r>
      <w:r>
        <w:rPr>
          <w:rFonts w:hint="eastAsia" w:ascii="宋体" w:hAnsi="宋体" w:eastAsia="宋体" w:cs="宋体"/>
          <w:color w:val="auto"/>
          <w:szCs w:val="21"/>
          <w:highlight w:val="none"/>
          <w:lang w:val="zh-CN"/>
        </w:rPr>
        <w:t>中标服务费只接受以银行转账、电汇方式交纳。</w:t>
      </w:r>
    </w:p>
    <w:p w14:paraId="3821C74D">
      <w:pPr>
        <w:autoSpaceDE w:val="0"/>
        <w:autoSpaceDN w:val="0"/>
        <w:adjustRightInd w:val="0"/>
        <w:spacing w:line="360" w:lineRule="auto"/>
        <w:ind w:left="-210" w:leftChars="-100" w:firstLine="420" w:firstLineChars="200"/>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中标服务费汇入账号（特别提醒，本账户非投标保证金汇入账户</w:t>
      </w:r>
      <w:r>
        <w:rPr>
          <w:rFonts w:hint="eastAsia" w:ascii="宋体" w:hAnsi="宋体" w:eastAsia="宋体" w:cs="宋体"/>
          <w:color w:val="auto"/>
          <w:szCs w:val="21"/>
          <w:highlight w:val="none"/>
          <w:lang w:val="en-US" w:eastAsia="zh-CN"/>
        </w:rPr>
        <w:t>)：</w:t>
      </w:r>
    </w:p>
    <w:p w14:paraId="2CE01955">
      <w:pPr>
        <w:autoSpaceDE w:val="0"/>
        <w:autoSpaceDN w:val="0"/>
        <w:adjustRightInd w:val="0"/>
        <w:spacing w:line="360" w:lineRule="auto"/>
        <w:ind w:left="-210" w:leftChars="-100" w:firstLine="420" w:firstLineChars="2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开户名称：广东有德招标采购有限公司东莞分公司</w:t>
      </w:r>
    </w:p>
    <w:p w14:paraId="071530A0">
      <w:pPr>
        <w:autoSpaceDE w:val="0"/>
        <w:autoSpaceDN w:val="0"/>
        <w:adjustRightInd w:val="0"/>
        <w:spacing w:line="360" w:lineRule="auto"/>
        <w:ind w:left="-210" w:leftChars="-100" w:firstLine="420" w:firstLineChars="2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银行</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lang w:val="zh-CN"/>
        </w:rPr>
        <w:t>号：44001776040053011261</w:t>
      </w:r>
    </w:p>
    <w:p w14:paraId="51EBB5C0">
      <w:pPr>
        <w:autoSpaceDE w:val="0"/>
        <w:autoSpaceDN w:val="0"/>
        <w:adjustRightInd w:val="0"/>
        <w:spacing w:line="360" w:lineRule="auto"/>
        <w:ind w:left="-210" w:leftChars="-100" w:firstLine="420" w:firstLineChars="2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开户银行：建行东莞南城支行</w:t>
      </w:r>
    </w:p>
    <w:p w14:paraId="5671D6B8">
      <w:pPr>
        <w:autoSpaceDE w:val="0"/>
        <w:autoSpaceDN w:val="0"/>
        <w:adjustRightInd w:val="0"/>
        <w:spacing w:line="360" w:lineRule="auto"/>
        <w:ind w:left="-210" w:leftChars="-100" w:firstLine="420" w:firstLineChars="200"/>
        <w:jc w:val="lef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37.4 中标人如未按第37.1款、第37.2款规定办理，将不予退还其投标保证金。</w:t>
      </w:r>
    </w:p>
    <w:p w14:paraId="3C83EBF7">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33" w:name="_Toc450662889"/>
    </w:p>
    <w:p w14:paraId="4AC7D2C8">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34" w:name="_Toc142508355"/>
      <w:bookmarkStart w:id="435" w:name="_Toc21985"/>
      <w:bookmarkStart w:id="436" w:name="_Toc6796"/>
      <w:bookmarkStart w:id="437" w:name="_Toc13382"/>
      <w:bookmarkStart w:id="438" w:name="_Toc6764_WPSOffice_Level3"/>
      <w:bookmarkStart w:id="439" w:name="_Toc26241"/>
      <w:bookmarkStart w:id="440" w:name="_Toc7165"/>
      <w:bookmarkStart w:id="441"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33"/>
      <w:bookmarkEnd w:id="434"/>
      <w:bookmarkEnd w:id="435"/>
      <w:bookmarkEnd w:id="436"/>
      <w:bookmarkEnd w:id="437"/>
      <w:bookmarkEnd w:id="438"/>
      <w:bookmarkEnd w:id="439"/>
      <w:bookmarkEnd w:id="440"/>
      <w:bookmarkEnd w:id="441"/>
    </w:p>
    <w:p w14:paraId="09C86ECE">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442" w:name="_Toc486167705"/>
      <w:bookmarkStart w:id="443" w:name="_Toc31106_WPSOffice_Level3"/>
      <w:r>
        <w:rPr>
          <w:rFonts w:hint="eastAsia" w:ascii="宋体" w:hAnsi="宋体" w:eastAsia="宋体" w:cs="宋体"/>
          <w:color w:val="auto"/>
          <w:szCs w:val="21"/>
          <w:highlight w:val="none"/>
          <w:lang w:val="zh-CN"/>
        </w:rPr>
        <w:t>该项目获得中标的中标人在执行合同过程中，向招标人（含其下属子公司）出具的发票必须是由中标人开具，不得以其他单位或个人名义出具，本项目中标人向招标人（含其下属子公司）出具的发票类型为增值税专用发票。</w:t>
      </w:r>
    </w:p>
    <w:p w14:paraId="023D853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760E4380">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444" w:name="_Toc8491"/>
      <w:bookmarkStart w:id="445" w:name="_Toc8619"/>
      <w:bookmarkStart w:id="446" w:name="_Toc142508356"/>
      <w:bookmarkStart w:id="447" w:name="_Toc702"/>
      <w:bookmarkStart w:id="448" w:name="_Toc1180"/>
      <w:bookmarkStart w:id="449" w:name="_Toc24547"/>
      <w:r>
        <w:rPr>
          <w:rFonts w:hint="eastAsia" w:ascii="宋体" w:hAnsi="宋体" w:eastAsia="宋体" w:cs="宋体"/>
          <w:b/>
          <w:color w:val="auto"/>
          <w:szCs w:val="21"/>
          <w:highlight w:val="none"/>
        </w:rPr>
        <w:t>39 招标相关补充约定</w:t>
      </w:r>
      <w:bookmarkEnd w:id="444"/>
      <w:bookmarkEnd w:id="445"/>
      <w:bookmarkEnd w:id="446"/>
      <w:bookmarkEnd w:id="447"/>
      <w:bookmarkEnd w:id="448"/>
      <w:bookmarkEnd w:id="449"/>
    </w:p>
    <w:p w14:paraId="047A0039">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w:t>
      </w:r>
      <w:r>
        <w:rPr>
          <w:rFonts w:hint="eastAsia" w:ascii="宋体" w:hAnsi="宋体" w:eastAsia="宋体" w:cs="宋体"/>
          <w:b/>
          <w:color w:val="auto"/>
          <w:szCs w:val="21"/>
          <w:highlight w:val="none"/>
          <w:lang w:val="en-US" w:eastAsia="zh-CN"/>
        </w:rPr>
        <w:t>当天</w:t>
      </w:r>
      <w:r>
        <w:rPr>
          <w:rFonts w:hint="eastAsia" w:ascii="宋体" w:hAnsi="宋体" w:eastAsia="宋体" w:cs="宋体"/>
          <w:b/>
          <w:color w:val="auto"/>
          <w:szCs w:val="21"/>
          <w:highlight w:val="none"/>
        </w:rPr>
        <w:t>在“信用中国”网站（www.creditchina.gov.cn）查询结果为准，或以司法、仲裁机构等出具的生效文件予以认定,时间以认定文件的落款时间为准。开标结束后，有关投标单位的行政处罚信息，以</w:t>
      </w:r>
      <w:r>
        <w:rPr>
          <w:rFonts w:hint="eastAsia" w:ascii="宋体" w:hAnsi="宋体" w:eastAsia="宋体" w:cs="宋体"/>
          <w:b/>
          <w:color w:val="auto"/>
          <w:szCs w:val="21"/>
          <w:highlight w:val="none"/>
          <w:lang w:val="en-US" w:eastAsia="zh-CN"/>
        </w:rPr>
        <w:t>开标当天查询</w:t>
      </w:r>
      <w:r>
        <w:rPr>
          <w:rFonts w:hint="eastAsia" w:ascii="宋体" w:hAnsi="宋体" w:eastAsia="宋体" w:cs="宋体"/>
          <w:b/>
          <w:color w:val="auto"/>
          <w:szCs w:val="21"/>
          <w:highlight w:val="none"/>
        </w:rPr>
        <w:t>结果为准；结果公示期间，如投标人对有关投标单位的行政处罚信息存在异议，但不涉及第一中标候选人的，视为对中标结果没有造成实质影响。</w:t>
      </w:r>
    </w:p>
    <w:p w14:paraId="51595CA7">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0B2CD883">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450" w:name="_Toc17962"/>
      <w:bookmarkStart w:id="451" w:name="_Toc11903"/>
      <w:bookmarkStart w:id="452" w:name="_Toc26594"/>
      <w:bookmarkStart w:id="453" w:name="_Toc142508357"/>
      <w:bookmarkStart w:id="454" w:name="_Toc29758"/>
      <w:bookmarkStart w:id="455" w:name="_Toc28954"/>
      <w:r>
        <w:rPr>
          <w:rFonts w:hint="eastAsia" w:ascii="宋体" w:hAnsi="宋体" w:eastAsia="宋体" w:cs="宋体"/>
          <w:color w:val="auto"/>
          <w:szCs w:val="21"/>
          <w:highlight w:val="none"/>
        </w:rPr>
        <w:t>40 本次招标活动的最终解释权归招标代理机构及招标人所有。</w:t>
      </w:r>
      <w:bookmarkEnd w:id="442"/>
      <w:bookmarkEnd w:id="443"/>
      <w:bookmarkEnd w:id="450"/>
      <w:bookmarkEnd w:id="451"/>
      <w:bookmarkEnd w:id="452"/>
      <w:bookmarkEnd w:id="453"/>
      <w:bookmarkEnd w:id="454"/>
      <w:bookmarkEnd w:id="455"/>
    </w:p>
    <w:p w14:paraId="2410EE66">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56" w:name="_Toc142508358"/>
      <w:bookmarkStart w:id="457" w:name="_Toc450662891"/>
      <w:bookmarkStart w:id="458" w:name="_Toc31801"/>
      <w:bookmarkStart w:id="459" w:name="_Toc27939_WPSOffice_Level1"/>
      <w:bookmarkStart w:id="460" w:name="_Toc486167706"/>
      <w:bookmarkStart w:id="461" w:name="_Toc24922"/>
      <w:bookmarkStart w:id="462" w:name="_Toc14879"/>
      <w:bookmarkStart w:id="463" w:name="_Toc21446"/>
      <w:bookmarkStart w:id="464" w:name="_Toc29881"/>
      <w:r>
        <w:rPr>
          <w:rFonts w:hint="eastAsia" w:ascii="宋体" w:hAnsi="宋体" w:eastAsia="宋体" w:cs="宋体"/>
          <w:b/>
          <w:bCs/>
          <w:color w:val="auto"/>
          <w:kern w:val="44"/>
          <w:sz w:val="32"/>
          <w:szCs w:val="32"/>
          <w:highlight w:val="none"/>
          <w:lang w:val="zh-CN"/>
        </w:rPr>
        <w:t>第三篇 用户需求书</w:t>
      </w:r>
      <w:bookmarkEnd w:id="456"/>
      <w:bookmarkEnd w:id="457"/>
      <w:bookmarkEnd w:id="458"/>
      <w:bookmarkEnd w:id="459"/>
      <w:bookmarkEnd w:id="460"/>
      <w:bookmarkEnd w:id="461"/>
      <w:bookmarkEnd w:id="462"/>
      <w:bookmarkEnd w:id="463"/>
      <w:bookmarkEnd w:id="464"/>
    </w:p>
    <w:p w14:paraId="586046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Cs w:val="21"/>
          <w:highlight w:val="none"/>
          <w:lang w:val="zh-CN"/>
        </w:rPr>
      </w:pPr>
    </w:p>
    <w:p w14:paraId="673AAE8A">
      <w:pPr>
        <w:keepNext w:val="0"/>
        <w:keepLines w:val="0"/>
        <w:pageBreakBefore w:val="0"/>
        <w:widowControl w:val="0"/>
        <w:numPr>
          <w:ilvl w:val="0"/>
          <w:numId w:val="0"/>
        </w:numPr>
        <w:kinsoku/>
        <w:wordWrap/>
        <w:overflowPunct/>
        <w:topLinePunct w:val="0"/>
        <w:bidi w:val="0"/>
        <w:snapToGrid/>
        <w:spacing w:beforeLines="0" w:afterLines="0" w:line="480" w:lineRule="auto"/>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一、项目名称</w:t>
      </w:r>
    </w:p>
    <w:p w14:paraId="211B0E7B">
      <w:pPr>
        <w:keepNext w:val="0"/>
        <w:keepLines w:val="0"/>
        <w:pageBreakBefore w:val="0"/>
        <w:widowControl w:val="0"/>
        <w:numPr>
          <w:ilvl w:val="0"/>
          <w:numId w:val="0"/>
        </w:numPr>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东莞市水务环境投资控股集团管网有限公司2026至2028年度公众责任险采购项目</w:t>
      </w:r>
    </w:p>
    <w:p w14:paraId="0F72197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rPr>
        <w:t>项目概况</w:t>
      </w:r>
    </w:p>
    <w:p w14:paraId="13B72E27">
      <w:pPr>
        <w:keepNext w:val="0"/>
        <w:keepLines w:val="0"/>
        <w:pageBreakBefore w:val="0"/>
        <w:widowControl w:val="0"/>
        <w:numPr>
          <w:ilvl w:val="0"/>
          <w:numId w:val="0"/>
        </w:numPr>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根据东莞市水务环境投资控股集团有限公司发展战略部署，东莞市水务环境投资控股集团管网有限公司承接东莞市水务环境投资控股集团有限公司排水管网版块业务，累计接收运营管网约1万多公里，泵站约300座</w:t>
      </w:r>
      <w:r>
        <w:rPr>
          <w:rFonts w:hint="eastAsia" w:ascii="宋体" w:hAnsi="宋体" w:eastAsia="宋体" w:cs="宋体"/>
          <w:color w:val="auto"/>
          <w:kern w:val="2"/>
          <w:sz w:val="21"/>
          <w:szCs w:val="21"/>
          <w:highlight w:val="none"/>
          <w:lang w:bidi="ar"/>
        </w:rPr>
        <w:t>。</w:t>
      </w:r>
      <w:r>
        <w:rPr>
          <w:rFonts w:hint="eastAsia" w:ascii="宋体" w:hAnsi="宋体" w:eastAsia="宋体" w:cs="宋体"/>
          <w:color w:val="auto"/>
          <w:sz w:val="21"/>
          <w:szCs w:val="21"/>
          <w:highlight w:val="none"/>
          <w:lang w:val="en-US" w:eastAsia="zh-CN"/>
        </w:rPr>
        <w:t>现拟通过公开招标的方式确定服务单位，负责东莞市水务环境投资控股集团管网有限公司2026至2028年度公众责任险采购项目服务工作。</w:t>
      </w:r>
    </w:p>
    <w:p w14:paraId="7360630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auto"/>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三、项目内容</w:t>
      </w:r>
    </w:p>
    <w:p w14:paraId="665D6798">
      <w:pPr>
        <w:keepNext w:val="0"/>
        <w:keepLines w:val="0"/>
        <w:pageBreakBefore w:val="0"/>
        <w:widowControl w:val="0"/>
        <w:numPr>
          <w:ilvl w:val="0"/>
          <w:numId w:val="0"/>
        </w:numPr>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（一）招标人</w:t>
      </w:r>
    </w:p>
    <w:p w14:paraId="6C4DC6E7">
      <w:pPr>
        <w:keepNext w:val="0"/>
        <w:keepLines w:val="0"/>
        <w:pageBreakBefore w:val="0"/>
        <w:widowControl w:val="0"/>
        <w:numPr>
          <w:ilvl w:val="0"/>
          <w:numId w:val="0"/>
        </w:numPr>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东莞市水务环境投资控股集团管网有限公司。</w:t>
      </w:r>
    </w:p>
    <w:p w14:paraId="226D5DEA">
      <w:pPr>
        <w:keepNext w:val="0"/>
        <w:keepLines w:val="0"/>
        <w:pageBreakBefore w:val="0"/>
        <w:widowControl w:val="0"/>
        <w:numPr>
          <w:ilvl w:val="0"/>
          <w:numId w:val="0"/>
        </w:numPr>
        <w:kinsoku/>
        <w:wordWrap/>
        <w:overflowPunct/>
        <w:topLinePunct w:val="0"/>
        <w:bidi w:val="0"/>
        <w:snapToGrid/>
        <w:spacing w:beforeLines="0" w:afterLines="0" w:line="360" w:lineRule="auto"/>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（二）采购限价</w:t>
      </w:r>
    </w:p>
    <w:p w14:paraId="12E74E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本项目的不含税最高投标限价为1,556,603.76元，不含税最高投标单价限价为518,867.92元/年。</w:t>
      </w:r>
    </w:p>
    <w:p w14:paraId="1B7B011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auto"/>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四、保险内容</w:t>
      </w:r>
    </w:p>
    <w:p w14:paraId="23066380">
      <w:pPr>
        <w:keepNext w:val="0"/>
        <w:keepLines w:val="0"/>
        <w:pageBreakBefore w:val="0"/>
        <w:widowControl w:val="0"/>
        <w:numPr>
          <w:ilvl w:val="0"/>
          <w:numId w:val="0"/>
        </w:numPr>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）险种：公众责任险。</w:t>
      </w:r>
    </w:p>
    <w:p w14:paraId="4A79B8EA">
      <w:pPr>
        <w:keepNext w:val="0"/>
        <w:keepLines w:val="0"/>
        <w:pageBreakBefore w:val="0"/>
        <w:widowControl w:val="0"/>
        <w:numPr>
          <w:ilvl w:val="0"/>
          <w:numId w:val="0"/>
        </w:numPr>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保人：东莞市水务环境投资控股集团管网有限公司、东莞市莞泽水环境投资有限公司、东莞市东信水环境投资有限公司、东莞市东泽水环境投资有限公司、东莞市清泽水环境投资有限公司、东莞市莞清水环境投资有限公司、东莞市东江水环境投资有限公司。</w:t>
      </w:r>
    </w:p>
    <w:p w14:paraId="6D49952D">
      <w:pPr>
        <w:keepNext w:val="0"/>
        <w:keepLines w:val="0"/>
        <w:pageBreakBefore w:val="0"/>
        <w:widowControl w:val="0"/>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被保险人：</w:t>
      </w:r>
      <w:r>
        <w:rPr>
          <w:rFonts w:hint="eastAsia" w:ascii="宋体" w:hAnsi="宋体" w:eastAsia="宋体" w:cs="宋体"/>
          <w:color w:val="auto"/>
          <w:sz w:val="21"/>
          <w:szCs w:val="21"/>
          <w:highlight w:val="none"/>
          <w:lang w:val="en-US" w:eastAsia="zh-CN"/>
        </w:rPr>
        <w:t>东莞市水务环境投资控股集团管网有限公司、东莞市莞泽水环境投资有限公司、东莞市东信水环境投资有限公司、东莞市东泽水环境投资有限公司、东莞市清泽水环境投资有限公司、东莞市莞清水环境投资有限公司、东莞市东江水环境投资有限公司。</w:t>
      </w:r>
    </w:p>
    <w:p w14:paraId="45D2647F">
      <w:pPr>
        <w:keepNext w:val="0"/>
        <w:keepLines w:val="0"/>
        <w:pageBreakBefore w:val="0"/>
        <w:widowControl w:val="0"/>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投保区域：东莞市。</w:t>
      </w:r>
    </w:p>
    <w:p w14:paraId="31DB32B2">
      <w:pPr>
        <w:keepNext w:val="0"/>
        <w:keepLines w:val="0"/>
        <w:pageBreakBefore w:val="0"/>
        <w:widowControl w:val="0"/>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承保范围：保险人承接的</w:t>
      </w:r>
      <w:r>
        <w:rPr>
          <w:rFonts w:hint="eastAsia" w:ascii="宋体" w:hAnsi="宋体" w:eastAsia="宋体" w:cs="宋体"/>
          <w:color w:val="auto"/>
          <w:sz w:val="21"/>
          <w:szCs w:val="21"/>
          <w:highlight w:val="none"/>
        </w:rPr>
        <w:t>所有管网运营项目，包括但不限于沙田镇、洪梅镇、麻涌镇、中堂镇、高埗镇、道滘镇、万江街道、东城街道、南城街道、莞城街道、石碣镇、石龙镇、望牛墩镇、凤岗镇、塘厦镇、清溪镇、谢岗镇、樟木头镇、常平镇、桥头镇、长安镇、厚街镇、虎门镇、黄江镇、大朗镇、横沥镇、东坑镇、寮步镇、大岭山镇、茶山镇、石排镇、松山湖、企石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滨海湾新区等</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个镇街的污水管网业务</w:t>
      </w:r>
      <w:r>
        <w:rPr>
          <w:rFonts w:hint="eastAsia" w:ascii="宋体" w:hAnsi="宋体" w:eastAsia="宋体" w:cs="宋体"/>
          <w:color w:val="auto"/>
          <w:sz w:val="21"/>
          <w:szCs w:val="21"/>
          <w:highlight w:val="none"/>
          <w:lang w:val="en-US" w:eastAsia="zh-CN"/>
        </w:rPr>
        <w:t>和雨水管网业务。</w:t>
      </w:r>
    </w:p>
    <w:p w14:paraId="33336BA9">
      <w:pPr>
        <w:keepNext w:val="0"/>
        <w:keepLines w:val="0"/>
        <w:pageBreakBefore w:val="0"/>
        <w:widowControl w:val="0"/>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（六）保险责任：</w:t>
      </w:r>
      <w:r>
        <w:rPr>
          <w:rFonts w:hint="eastAsia" w:ascii="宋体" w:hAnsi="宋体" w:eastAsia="宋体" w:cs="宋体"/>
          <w:color w:val="auto"/>
          <w:sz w:val="21"/>
          <w:szCs w:val="21"/>
          <w:highlight w:val="none"/>
        </w:rPr>
        <w:t>保险期限内因被保险人管理及</w:t>
      </w:r>
      <w:r>
        <w:rPr>
          <w:rFonts w:hint="eastAsia" w:ascii="宋体" w:hAnsi="宋体" w:eastAsia="宋体" w:cs="宋体"/>
          <w:color w:val="auto"/>
          <w:sz w:val="21"/>
          <w:szCs w:val="21"/>
          <w:highlight w:val="none"/>
          <w:lang w:val="en-US" w:eastAsia="zh-CN"/>
        </w:rPr>
        <w:t>其</w:t>
      </w:r>
      <w:r>
        <w:rPr>
          <w:rFonts w:hint="eastAsia" w:ascii="宋体" w:hAnsi="宋体" w:eastAsia="宋体" w:cs="宋体"/>
          <w:color w:val="auto"/>
          <w:sz w:val="21"/>
          <w:szCs w:val="21"/>
          <w:highlight w:val="none"/>
        </w:rPr>
        <w:t>维修保养的雨水、污水、雨污合流、渠箱、深隧等排水管网系统及附属设施（包括管道、渠箱、雨水篦子、窖井、泵站闸门等）等发生爆漏或其他非人为因素造成地面塌陷、内涝等事件，或设施存在损坏、异常或失窃等情况，导致第三方遭受人身伤亡或财产损失，依法应由被保险人承担的经济赔偿责任由保险人承担。</w:t>
      </w:r>
    </w:p>
    <w:p w14:paraId="41C77913">
      <w:pPr>
        <w:keepNext w:val="0"/>
        <w:keepLines w:val="0"/>
        <w:pageBreakBefore w:val="0"/>
        <w:widowControl w:val="0"/>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服务期限为3年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服务期间按1年为一个周期核保出单。</w:t>
      </w:r>
    </w:p>
    <w:p w14:paraId="1E813F76">
      <w:pPr>
        <w:keepNext w:val="0"/>
        <w:keepLines w:val="0"/>
        <w:pageBreakBefore w:val="0"/>
        <w:widowControl w:val="0"/>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主险</w:t>
      </w:r>
    </w:p>
    <w:p w14:paraId="2FE59D70">
      <w:pPr>
        <w:keepNext w:val="0"/>
        <w:keepLines w:val="0"/>
        <w:pageBreakBefore w:val="0"/>
        <w:widowControl w:val="0"/>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每份保单每次事故赔偿限额</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u w:val="single"/>
          <w:lang w:val="en-US" w:eastAsia="zh-CN"/>
        </w:rPr>
        <w:t>2000</w:t>
      </w:r>
      <w:r>
        <w:rPr>
          <w:rFonts w:hint="eastAsia" w:ascii="宋体" w:hAnsi="宋体" w:eastAsia="宋体" w:cs="宋体"/>
          <w:color w:val="auto"/>
          <w:sz w:val="21"/>
          <w:szCs w:val="21"/>
          <w:highlight w:val="none"/>
        </w:rPr>
        <w:t>万</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，其中每次事故财产损失赔偿限额</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u w:val="single"/>
          <w:lang w:val="en-US" w:eastAsia="zh-CN"/>
        </w:rPr>
        <w:t>1000</w:t>
      </w:r>
      <w:r>
        <w:rPr>
          <w:rFonts w:hint="eastAsia" w:ascii="宋体" w:hAnsi="宋体" w:eastAsia="宋体" w:cs="宋体"/>
          <w:color w:val="auto"/>
          <w:sz w:val="21"/>
          <w:szCs w:val="21"/>
          <w:highlight w:val="none"/>
        </w:rPr>
        <w:t>万</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，每次事故人伤赔偿限额</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u w:val="single"/>
          <w:lang w:val="en-US" w:eastAsia="zh-CN"/>
        </w:rPr>
        <w:t>1000</w:t>
      </w:r>
      <w:r>
        <w:rPr>
          <w:rFonts w:hint="eastAsia" w:ascii="宋体" w:hAnsi="宋体" w:eastAsia="宋体" w:cs="宋体"/>
          <w:color w:val="auto"/>
          <w:sz w:val="21"/>
          <w:szCs w:val="21"/>
          <w:highlight w:val="none"/>
        </w:rPr>
        <w:t>万</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，每人赔偿限额</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val="en-US" w:eastAsia="zh-CN"/>
        </w:rPr>
        <w:t>每份保单</w:t>
      </w:r>
      <w:r>
        <w:rPr>
          <w:rFonts w:hint="eastAsia" w:ascii="宋体" w:hAnsi="宋体" w:eastAsia="宋体" w:cs="宋体"/>
          <w:color w:val="auto"/>
          <w:sz w:val="21"/>
          <w:szCs w:val="21"/>
          <w:highlight w:val="none"/>
        </w:rPr>
        <w:t>累计赔偿限额</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u w:val="single"/>
          <w:lang w:val="en-US" w:eastAsia="zh-CN"/>
        </w:rPr>
        <w:t>3000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免赔为0元。</w:t>
      </w:r>
    </w:p>
    <w:p w14:paraId="42A93663">
      <w:pPr>
        <w:keepNext w:val="0"/>
        <w:keepLines w:val="0"/>
        <w:pageBreakBefore w:val="0"/>
        <w:widowControl w:val="0"/>
        <w:numPr>
          <w:ilvl w:val="0"/>
          <w:numId w:val="0"/>
        </w:numPr>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（九）附加条款</w:t>
      </w:r>
    </w:p>
    <w:p w14:paraId="74D18979">
      <w:pPr>
        <w:keepNext w:val="0"/>
        <w:keepLines w:val="0"/>
        <w:pageBreakBefore w:val="0"/>
        <w:widowControl w:val="0"/>
        <w:numPr>
          <w:ilvl w:val="0"/>
          <w:numId w:val="0"/>
        </w:numPr>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每份保单需</w:t>
      </w:r>
      <w:r>
        <w:rPr>
          <w:rFonts w:hint="eastAsia" w:ascii="宋体" w:hAnsi="宋体" w:eastAsia="宋体" w:cs="宋体"/>
          <w:color w:val="auto"/>
          <w:sz w:val="21"/>
          <w:szCs w:val="21"/>
          <w:highlight w:val="none"/>
        </w:rPr>
        <w:t>附加自然灾害责任保险条款，每次事故赔偿限额</w:t>
      </w:r>
      <w:r>
        <w:rPr>
          <w:rFonts w:hint="eastAsia" w:ascii="宋体" w:hAnsi="宋体" w:eastAsia="宋体" w:cs="宋体"/>
          <w:color w:val="auto"/>
          <w:sz w:val="21"/>
          <w:szCs w:val="21"/>
          <w:highlight w:val="none"/>
          <w:lang w:val="en-US" w:eastAsia="zh-CN"/>
        </w:rPr>
        <w:t>为15</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val="en-US" w:eastAsia="zh-CN"/>
        </w:rPr>
        <w:t>每份保单</w:t>
      </w:r>
      <w:r>
        <w:rPr>
          <w:rFonts w:hint="eastAsia" w:ascii="宋体" w:hAnsi="宋体" w:eastAsia="宋体" w:cs="宋体"/>
          <w:color w:val="auto"/>
          <w:sz w:val="21"/>
          <w:szCs w:val="21"/>
          <w:highlight w:val="none"/>
        </w:rPr>
        <w:t>整单累计赔偿限额</w:t>
      </w:r>
      <w:r>
        <w:rPr>
          <w:rFonts w:hint="eastAsia" w:ascii="宋体" w:hAnsi="宋体" w:eastAsia="宋体" w:cs="宋体"/>
          <w:color w:val="auto"/>
          <w:sz w:val="21"/>
          <w:szCs w:val="21"/>
          <w:highlight w:val="none"/>
          <w:lang w:val="en-US" w:eastAsia="zh-CN"/>
        </w:rPr>
        <w:t>为30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免赔为0元</w:t>
      </w:r>
      <w:r>
        <w:rPr>
          <w:rFonts w:hint="eastAsia" w:ascii="宋体" w:hAnsi="宋体" w:eastAsia="宋体" w:cs="宋体"/>
          <w:color w:val="auto"/>
          <w:sz w:val="21"/>
          <w:szCs w:val="21"/>
          <w:highlight w:val="none"/>
          <w:lang w:eastAsia="zh-CN"/>
        </w:rPr>
        <w:t>。其中 “自然灾害”包括但不限于雷击、暴雨、洪水、暴风、龙卷风、冰雹、台风、飓风、沙尘暴、暴雪、冰凌、突发性滑坡、崩塌、泥石流、地面突然下陷下沉及其他人力不可抗拒的破坏力强大的自然现象。</w:t>
      </w:r>
    </w:p>
    <w:p w14:paraId="7CB6FA1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auto"/>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五、服务要求</w:t>
      </w:r>
    </w:p>
    <w:p w14:paraId="095C30CC">
      <w:pPr>
        <w:keepNext w:val="0"/>
        <w:keepLines w:val="0"/>
        <w:pageBreakBefore w:val="0"/>
        <w:widowControl w:val="0"/>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（一）由投标人提供不少于2名项目管理人员负责对接投保人所投保公众责任险范围内的理赔业务，投保人需要服务单位到现场处理的或协商的理赔业务，服务单位应在1个小时内到达投保人指定位置。</w:t>
      </w:r>
    </w:p>
    <w:p w14:paraId="32739E19">
      <w:pPr>
        <w:keepNext w:val="0"/>
        <w:keepLines w:val="0"/>
        <w:pageBreakBefore w:val="0"/>
        <w:widowControl w:val="0"/>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（二）投标人在服务期内应对招标人的雇员开展理赔业务相应的程序，理赔范围、技巧及法规培训，每年不少于1次。</w:t>
      </w:r>
    </w:p>
    <w:p w14:paraId="6B5DB0AD">
      <w:pPr>
        <w:keepNext w:val="0"/>
        <w:keepLines w:val="0"/>
        <w:pageBreakBefore w:val="0"/>
        <w:widowControl w:val="0"/>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（三）投标人每月要将理赔情况反馈至投保人。</w:t>
      </w:r>
    </w:p>
    <w:p w14:paraId="17542CF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auto"/>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六、</w:t>
      </w:r>
      <w:r>
        <w:rPr>
          <w:rFonts w:hint="eastAsia" w:ascii="宋体" w:hAnsi="宋体" w:eastAsia="宋体" w:cs="宋体"/>
          <w:b/>
          <w:color w:val="auto"/>
          <w:kern w:val="2"/>
          <w:sz w:val="21"/>
          <w:szCs w:val="21"/>
          <w:highlight w:val="none"/>
          <w:lang w:val="en-US" w:eastAsia="zh-CN"/>
        </w:rPr>
        <w:t>支付</w:t>
      </w:r>
      <w:r>
        <w:rPr>
          <w:rFonts w:hint="eastAsia" w:ascii="宋体" w:hAnsi="宋体" w:eastAsia="宋体" w:cs="宋体"/>
          <w:b/>
          <w:color w:val="auto"/>
          <w:kern w:val="2"/>
          <w:sz w:val="21"/>
          <w:szCs w:val="21"/>
          <w:highlight w:val="none"/>
          <w:lang w:val="en-US"/>
        </w:rPr>
        <w:t>方式</w:t>
      </w:r>
    </w:p>
    <w:p w14:paraId="12DA143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20" w:firstLineChars="200"/>
        <w:jc w:val="both"/>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i w:val="0"/>
          <w:iCs w:val="0"/>
          <w:caps w:val="0"/>
          <w:color w:val="auto"/>
          <w:spacing w:val="0"/>
          <w:sz w:val="21"/>
          <w:szCs w:val="21"/>
          <w:highlight w:val="none"/>
          <w:shd w:val="clear" w:color="auto" w:fill="auto"/>
        </w:rPr>
        <w:t>在保险合同存续期间</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每年由</w:t>
      </w:r>
      <w:r>
        <w:rPr>
          <w:rFonts w:hint="eastAsia" w:ascii="宋体" w:hAnsi="宋体" w:eastAsia="宋体" w:cs="宋体"/>
          <w:i w:val="0"/>
          <w:iCs w:val="0"/>
          <w:caps w:val="0"/>
          <w:color w:val="auto"/>
          <w:spacing w:val="0"/>
          <w:sz w:val="21"/>
          <w:szCs w:val="21"/>
          <w:highlight w:val="none"/>
          <w:shd w:val="clear" w:color="auto" w:fill="auto"/>
          <w:lang w:val="en-US" w:eastAsia="zh-CN"/>
        </w:rPr>
        <w:t>投标人</w:t>
      </w:r>
      <w:r>
        <w:rPr>
          <w:rFonts w:hint="eastAsia" w:ascii="宋体" w:hAnsi="宋体" w:eastAsia="宋体" w:cs="宋体"/>
          <w:i w:val="0"/>
          <w:iCs w:val="0"/>
          <w:caps w:val="0"/>
          <w:color w:val="auto"/>
          <w:spacing w:val="0"/>
          <w:sz w:val="21"/>
          <w:szCs w:val="21"/>
          <w:highlight w:val="none"/>
          <w:shd w:val="clear" w:color="auto" w:fill="auto"/>
        </w:rPr>
        <w:t>出具一份独立的保险单，招标人将通过银行转账的方式，一次性全额支付当年度保险单的保险费用</w:t>
      </w:r>
      <w:r>
        <w:rPr>
          <w:rFonts w:hint="eastAsia" w:ascii="宋体" w:hAnsi="宋体" w:eastAsia="宋体" w:cs="宋体"/>
          <w:color w:val="auto"/>
          <w:kern w:val="0"/>
          <w:sz w:val="21"/>
          <w:szCs w:val="21"/>
          <w:highlight w:val="none"/>
          <w:lang w:val="zh-CN"/>
        </w:rPr>
        <w:t>。</w:t>
      </w:r>
    </w:p>
    <w:p w14:paraId="4CB9F32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80" w:lineRule="auto"/>
        <w:ind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七、特别说明</w:t>
      </w:r>
    </w:p>
    <w:p w14:paraId="0E90DF96">
      <w:pPr>
        <w:keepNext w:val="0"/>
        <w:keepLines w:val="0"/>
        <w:pageBreakBefore w:val="0"/>
        <w:widowControl w:val="0"/>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鉴于招标人业务发展存在动态变化的可能性，特就本次公众责任险采购项目作如下说明：</w:t>
      </w:r>
    </w:p>
    <w:p w14:paraId="18FB47BB">
      <w:pPr>
        <w:keepNext w:val="0"/>
        <w:keepLines w:val="0"/>
        <w:pageBreakBefore w:val="0"/>
        <w:widowControl w:val="0"/>
        <w:kinsoku/>
        <w:wordWrap/>
        <w:overflowPunct/>
        <w:topLinePunct w:val="0"/>
        <w:bidi w:val="0"/>
        <w:snapToGrid/>
        <w:spacing w:beforeLines="0" w:afterLines="0"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在服务合同期内，若因招标人经营范围变更、组织架构优化重组等原因，致使公众责任险实际服务范围发生调整，招标人有权在完成当年度保单约定服务的履行后，单方面、无条件终止保险服务合同。自终止之日起，招标人无需再支付后续剩余保险年度的保费款项，投标人应积极配合完成合同终止相关手续办理，请投标人充分知悉并认可本条款。</w:t>
      </w:r>
    </w:p>
    <w:p w14:paraId="0D81081E">
      <w:pPr>
        <w:spacing w:line="360" w:lineRule="auto"/>
        <w:rPr>
          <w:rFonts w:hint="eastAsia" w:ascii="宋体" w:hAnsi="宋体" w:eastAsia="宋体" w:cs="宋体"/>
          <w:color w:val="auto"/>
          <w:highlight w:val="none"/>
        </w:rPr>
      </w:pPr>
    </w:p>
    <w:p w14:paraId="25A866C1">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65" w:name="_Toc24068"/>
      <w:bookmarkStart w:id="466" w:name="_Toc9436"/>
      <w:r>
        <w:rPr>
          <w:rFonts w:hint="eastAsia" w:ascii="宋体" w:hAnsi="宋体" w:eastAsia="宋体" w:cs="宋体"/>
          <w:b/>
          <w:bCs/>
          <w:color w:val="auto"/>
          <w:kern w:val="44"/>
          <w:sz w:val="32"/>
          <w:szCs w:val="32"/>
          <w:highlight w:val="none"/>
          <w:lang w:val="zh-CN"/>
        </w:rPr>
        <w:t>第四篇 合同条款格式</w:t>
      </w:r>
      <w:bookmarkEnd w:id="465"/>
      <w:bookmarkEnd w:id="466"/>
    </w:p>
    <w:p w14:paraId="25506956">
      <w:pPr>
        <w:adjustRightInd w:val="0"/>
        <w:snapToGrid w:val="0"/>
        <w:ind w:left="0" w:leftChars="0" w:firstLine="1200" w:firstLineChars="500"/>
        <w:outlineLvl w:val="9"/>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eastAsia="zh"/>
        </w:rPr>
        <w:t xml:space="preserve">                                </w:t>
      </w:r>
      <w:r>
        <w:rPr>
          <w:rFonts w:hint="eastAsia" w:ascii="宋体" w:hAnsi="宋体" w:eastAsia="宋体" w:cs="宋体"/>
          <w:color w:val="auto"/>
          <w:sz w:val="24"/>
          <w:szCs w:val="32"/>
          <w:highlight w:val="none"/>
        </w:rPr>
        <w:t>合同编号:</w:t>
      </w:r>
    </w:p>
    <w:p w14:paraId="07563B6A">
      <w:pPr>
        <w:adjustRightInd w:val="0"/>
        <w:snapToGrid w:val="0"/>
        <w:outlineLvl w:val="9"/>
        <w:rPr>
          <w:rFonts w:hint="eastAsia" w:ascii="宋体" w:hAnsi="宋体" w:eastAsia="宋体" w:cs="宋体"/>
          <w:b/>
          <w:bCs/>
          <w:color w:val="auto"/>
          <w:sz w:val="32"/>
          <w:szCs w:val="32"/>
          <w:highlight w:val="none"/>
        </w:rPr>
      </w:pPr>
    </w:p>
    <w:p w14:paraId="361F0F08">
      <w:pPr>
        <w:pStyle w:val="19"/>
        <w:ind w:left="0" w:leftChars="0" w:firstLine="0" w:firstLineChars="0"/>
        <w:outlineLvl w:val="9"/>
        <w:rPr>
          <w:rFonts w:hint="eastAsia" w:ascii="宋体" w:hAnsi="宋体" w:eastAsia="宋体" w:cs="宋体"/>
          <w:color w:val="auto"/>
          <w:highlight w:val="none"/>
        </w:rPr>
      </w:pPr>
    </w:p>
    <w:p w14:paraId="11EE96B9">
      <w:pPr>
        <w:pStyle w:val="19"/>
        <w:ind w:firstLine="240"/>
        <w:outlineLvl w:val="9"/>
        <w:rPr>
          <w:rFonts w:hint="eastAsia" w:ascii="宋体" w:hAnsi="宋体" w:eastAsia="宋体" w:cs="宋体"/>
          <w:color w:val="auto"/>
          <w:highlight w:val="none"/>
        </w:rPr>
      </w:pPr>
    </w:p>
    <w:p w14:paraId="752D88B6">
      <w:pPr>
        <w:pStyle w:val="19"/>
        <w:ind w:firstLine="240"/>
        <w:outlineLvl w:val="9"/>
        <w:rPr>
          <w:rFonts w:hint="eastAsia" w:ascii="宋体" w:hAnsi="宋体" w:eastAsia="宋体" w:cs="宋体"/>
          <w:color w:val="auto"/>
          <w:highlight w:val="none"/>
        </w:rPr>
      </w:pPr>
    </w:p>
    <w:p w14:paraId="71A751DD">
      <w:pPr>
        <w:adjustRightInd w:val="0"/>
        <w:snapToGrid w:val="0"/>
        <w:jc w:val="center"/>
        <w:outlineLvl w:val="9"/>
        <w:rPr>
          <w:rFonts w:hint="eastAsia" w:ascii="宋体" w:hAnsi="宋体" w:eastAsia="宋体" w:cs="宋体"/>
          <w:b/>
          <w:bCs/>
          <w:color w:val="auto"/>
          <w:sz w:val="44"/>
          <w:szCs w:val="44"/>
          <w:highlight w:val="none"/>
        </w:rPr>
      </w:pPr>
      <w:bookmarkStart w:id="467" w:name="_Toc25516"/>
      <w:r>
        <w:rPr>
          <w:rFonts w:hint="eastAsia" w:ascii="宋体" w:hAnsi="宋体" w:eastAsia="宋体" w:cs="宋体"/>
          <w:b/>
          <w:bCs/>
          <w:color w:val="auto"/>
          <w:sz w:val="44"/>
          <w:szCs w:val="44"/>
          <w:highlight w:val="none"/>
          <w:lang w:eastAsia="zh-CN"/>
        </w:rPr>
        <w:t>东莞市水务环境投资控股集团管网有限公司</w:t>
      </w:r>
      <w:r>
        <w:rPr>
          <w:rFonts w:hint="eastAsia" w:ascii="宋体" w:hAnsi="宋体" w:eastAsia="宋体" w:cs="宋体"/>
          <w:b/>
          <w:bCs/>
          <w:color w:val="auto"/>
          <w:sz w:val="44"/>
          <w:szCs w:val="44"/>
          <w:highlight w:val="none"/>
        </w:rPr>
        <w:t>2026至2028年度公众责任险保险服务</w:t>
      </w:r>
      <w:r>
        <w:rPr>
          <w:rFonts w:hint="eastAsia" w:ascii="宋体" w:hAnsi="宋体" w:eastAsia="宋体" w:cs="宋体"/>
          <w:b/>
          <w:bCs/>
          <w:color w:val="auto"/>
          <w:sz w:val="44"/>
          <w:szCs w:val="44"/>
          <w:highlight w:val="none"/>
          <w:lang w:val="zh-CN"/>
        </w:rPr>
        <w:t>采购项目</w:t>
      </w:r>
      <w:r>
        <w:rPr>
          <w:rFonts w:hint="eastAsia" w:ascii="宋体" w:hAnsi="宋体" w:eastAsia="宋体" w:cs="宋体"/>
          <w:b/>
          <w:bCs/>
          <w:color w:val="auto"/>
          <w:sz w:val="44"/>
          <w:szCs w:val="44"/>
          <w:highlight w:val="none"/>
        </w:rPr>
        <w:t>合同</w:t>
      </w:r>
      <w:bookmarkEnd w:id="467"/>
    </w:p>
    <w:p w14:paraId="417F7444">
      <w:pPr>
        <w:adjustRightInd w:val="0"/>
        <w:snapToGrid w:val="0"/>
        <w:jc w:val="center"/>
        <w:outlineLvl w:val="9"/>
        <w:rPr>
          <w:rFonts w:hint="eastAsia" w:ascii="宋体" w:hAnsi="宋体" w:eastAsia="宋体" w:cs="宋体"/>
          <w:b/>
          <w:bCs/>
          <w:color w:val="auto"/>
          <w:sz w:val="44"/>
          <w:szCs w:val="44"/>
          <w:highlight w:val="none"/>
          <w:lang w:eastAsia="zh-CN"/>
        </w:rPr>
      </w:pPr>
      <w:bookmarkStart w:id="468" w:name="_Toc29312"/>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此合同为参考范本，签订时将根据投标文件的内容进行调整，人员设备配置以投标文件为准</w:t>
      </w:r>
      <w:r>
        <w:rPr>
          <w:rFonts w:hint="eastAsia" w:ascii="宋体" w:hAnsi="宋体" w:eastAsia="宋体" w:cs="宋体"/>
          <w:b/>
          <w:bCs/>
          <w:color w:val="auto"/>
          <w:sz w:val="24"/>
          <w:szCs w:val="24"/>
          <w:highlight w:val="none"/>
          <w:lang w:eastAsia="zh-CN"/>
        </w:rPr>
        <w:t>）</w:t>
      </w:r>
      <w:bookmarkEnd w:id="468"/>
    </w:p>
    <w:p w14:paraId="4269628D">
      <w:pPr>
        <w:adjustRightInd w:val="0"/>
        <w:snapToGrid w:val="0"/>
        <w:outlineLvl w:val="9"/>
        <w:rPr>
          <w:rFonts w:hint="eastAsia" w:ascii="宋体" w:hAnsi="宋体" w:eastAsia="宋体" w:cs="宋体"/>
          <w:b/>
          <w:bCs/>
          <w:color w:val="auto"/>
          <w:sz w:val="32"/>
          <w:szCs w:val="32"/>
          <w:highlight w:val="none"/>
        </w:rPr>
      </w:pPr>
    </w:p>
    <w:p w14:paraId="781290D4">
      <w:pPr>
        <w:pStyle w:val="18"/>
        <w:outlineLvl w:val="9"/>
        <w:rPr>
          <w:rFonts w:hint="eastAsia" w:ascii="宋体" w:hAnsi="宋体" w:eastAsia="宋体" w:cs="宋体"/>
          <w:color w:val="auto"/>
          <w:highlight w:val="none"/>
        </w:rPr>
      </w:pPr>
    </w:p>
    <w:p w14:paraId="492E662D">
      <w:pPr>
        <w:outlineLvl w:val="9"/>
        <w:rPr>
          <w:rFonts w:hint="eastAsia" w:ascii="宋体" w:hAnsi="宋体" w:eastAsia="宋体" w:cs="宋体"/>
          <w:color w:val="auto"/>
          <w:highlight w:val="none"/>
        </w:rPr>
      </w:pPr>
    </w:p>
    <w:p w14:paraId="29E7E478">
      <w:pPr>
        <w:adjustRightInd w:val="0"/>
        <w:snapToGrid w:val="0"/>
        <w:outlineLvl w:val="9"/>
        <w:rPr>
          <w:rFonts w:hint="eastAsia" w:ascii="宋体" w:hAnsi="宋体" w:eastAsia="宋体" w:cs="宋体"/>
          <w:b/>
          <w:bCs/>
          <w:color w:val="auto"/>
          <w:sz w:val="32"/>
          <w:szCs w:val="32"/>
          <w:highlight w:val="none"/>
        </w:rPr>
      </w:pPr>
    </w:p>
    <w:p w14:paraId="61A314EA">
      <w:pPr>
        <w:adjustRightInd w:val="0"/>
        <w:snapToGrid w:val="0"/>
        <w:jc w:val="center"/>
        <w:outlineLvl w:val="9"/>
        <w:rPr>
          <w:rFonts w:hint="eastAsia" w:ascii="宋体" w:hAnsi="宋体" w:eastAsia="宋体" w:cs="宋体"/>
          <w:b/>
          <w:bCs/>
          <w:color w:val="auto"/>
          <w:sz w:val="32"/>
          <w:szCs w:val="32"/>
          <w:highlight w:val="none"/>
        </w:rPr>
      </w:pPr>
    </w:p>
    <w:p w14:paraId="06FAEDBC">
      <w:pPr>
        <w:adjustRightInd w:val="0"/>
        <w:snapToGrid w:val="0"/>
        <w:outlineLvl w:val="9"/>
        <w:rPr>
          <w:rFonts w:hint="eastAsia" w:ascii="宋体" w:hAnsi="宋体" w:eastAsia="宋体" w:cs="宋体"/>
          <w:b/>
          <w:bCs/>
          <w:color w:val="auto"/>
          <w:sz w:val="32"/>
          <w:szCs w:val="32"/>
          <w:highlight w:val="none"/>
        </w:rPr>
      </w:pPr>
    </w:p>
    <w:p w14:paraId="32003300">
      <w:pPr>
        <w:pStyle w:val="18"/>
        <w:outlineLvl w:val="9"/>
        <w:rPr>
          <w:rFonts w:hint="eastAsia" w:ascii="宋体" w:hAnsi="宋体" w:eastAsia="宋体" w:cs="宋体"/>
          <w:b/>
          <w:bCs/>
          <w:color w:val="auto"/>
          <w:sz w:val="32"/>
          <w:szCs w:val="32"/>
          <w:highlight w:val="none"/>
        </w:rPr>
      </w:pPr>
    </w:p>
    <w:p w14:paraId="54B062D1">
      <w:pPr>
        <w:pStyle w:val="19"/>
        <w:outlineLvl w:val="9"/>
        <w:rPr>
          <w:rFonts w:hint="eastAsia" w:ascii="宋体" w:hAnsi="宋体" w:eastAsia="宋体" w:cs="宋体"/>
          <w:b/>
          <w:bCs/>
          <w:color w:val="auto"/>
          <w:sz w:val="32"/>
          <w:szCs w:val="32"/>
          <w:highlight w:val="none"/>
        </w:rPr>
      </w:pPr>
    </w:p>
    <w:p w14:paraId="3C015BDC">
      <w:pPr>
        <w:pStyle w:val="19"/>
        <w:outlineLvl w:val="9"/>
        <w:rPr>
          <w:rFonts w:hint="eastAsia" w:ascii="宋体" w:hAnsi="宋体" w:eastAsia="宋体" w:cs="宋体"/>
          <w:b/>
          <w:bCs/>
          <w:color w:val="auto"/>
          <w:sz w:val="32"/>
          <w:szCs w:val="32"/>
          <w:highlight w:val="none"/>
        </w:rPr>
      </w:pPr>
    </w:p>
    <w:p w14:paraId="134706B3">
      <w:pPr>
        <w:pStyle w:val="19"/>
        <w:outlineLvl w:val="9"/>
        <w:rPr>
          <w:rFonts w:hint="eastAsia" w:ascii="宋体" w:hAnsi="宋体" w:eastAsia="宋体" w:cs="宋体"/>
          <w:b/>
          <w:bCs/>
          <w:color w:val="auto"/>
          <w:sz w:val="32"/>
          <w:szCs w:val="32"/>
          <w:highlight w:val="none"/>
        </w:rPr>
      </w:pPr>
    </w:p>
    <w:p w14:paraId="46229983">
      <w:pPr>
        <w:pStyle w:val="19"/>
        <w:outlineLvl w:val="9"/>
        <w:rPr>
          <w:rFonts w:hint="eastAsia" w:ascii="宋体" w:hAnsi="宋体" w:eastAsia="宋体" w:cs="宋体"/>
          <w:b/>
          <w:bCs/>
          <w:color w:val="auto"/>
          <w:sz w:val="32"/>
          <w:szCs w:val="32"/>
          <w:highlight w:val="none"/>
        </w:rPr>
      </w:pPr>
    </w:p>
    <w:p w14:paraId="6EB64B2C">
      <w:pPr>
        <w:pStyle w:val="19"/>
        <w:outlineLvl w:val="9"/>
        <w:rPr>
          <w:rFonts w:hint="eastAsia" w:ascii="宋体" w:hAnsi="宋体" w:eastAsia="宋体" w:cs="宋体"/>
          <w:b/>
          <w:bCs/>
          <w:color w:val="auto"/>
          <w:sz w:val="32"/>
          <w:szCs w:val="32"/>
          <w:highlight w:val="none"/>
        </w:rPr>
      </w:pPr>
    </w:p>
    <w:p w14:paraId="7491FC59">
      <w:pPr>
        <w:pStyle w:val="19"/>
        <w:ind w:left="0" w:leftChars="0" w:firstLine="0" w:firstLineChars="0"/>
        <w:outlineLvl w:val="9"/>
        <w:rPr>
          <w:rFonts w:hint="eastAsia" w:ascii="宋体" w:hAnsi="宋体" w:eastAsia="宋体" w:cs="宋体"/>
          <w:b/>
          <w:bCs/>
          <w:color w:val="auto"/>
          <w:sz w:val="32"/>
          <w:szCs w:val="32"/>
          <w:highlight w:val="none"/>
        </w:rPr>
      </w:pPr>
    </w:p>
    <w:p w14:paraId="1F7E8AC0">
      <w:pPr>
        <w:adjustRightInd w:val="0"/>
        <w:snapToGrid w:val="0"/>
        <w:outlineLvl w:val="9"/>
        <w:rPr>
          <w:rFonts w:hint="eastAsia" w:ascii="宋体" w:hAnsi="宋体" w:eastAsia="宋体" w:cs="宋体"/>
          <w:b/>
          <w:bCs/>
          <w:color w:val="auto"/>
          <w:sz w:val="32"/>
          <w:szCs w:val="32"/>
          <w:highlight w:val="none"/>
        </w:rPr>
      </w:pPr>
    </w:p>
    <w:p w14:paraId="4B916A63">
      <w:pPr>
        <w:adjustRightInd w:val="0"/>
        <w:snapToGrid w:val="0"/>
        <w:outlineLvl w:val="9"/>
        <w:rPr>
          <w:rFonts w:hint="eastAsia" w:ascii="宋体" w:hAnsi="宋体" w:eastAsia="宋体" w:cs="宋体"/>
          <w:b/>
          <w:bCs/>
          <w:color w:val="auto"/>
          <w:sz w:val="32"/>
          <w:szCs w:val="32"/>
          <w:highlight w:val="none"/>
        </w:rPr>
      </w:pPr>
    </w:p>
    <w:p w14:paraId="41BCEE99">
      <w:pPr>
        <w:adjustRightInd w:val="0"/>
        <w:snapToGrid w:val="0"/>
        <w:outlineLvl w:val="9"/>
        <w:rPr>
          <w:rFonts w:hint="eastAsia" w:ascii="宋体" w:hAnsi="宋体" w:eastAsia="宋体" w:cs="宋体"/>
          <w:b/>
          <w:bCs/>
          <w:color w:val="auto"/>
          <w:sz w:val="32"/>
          <w:szCs w:val="32"/>
          <w:highlight w:val="none"/>
        </w:rPr>
      </w:pPr>
    </w:p>
    <w:p w14:paraId="71795E14">
      <w:pPr>
        <w:adjustRightInd w:val="0"/>
        <w:snapToGrid w:val="0"/>
        <w:spacing w:line="560" w:lineRule="exact"/>
        <w:jc w:val="center"/>
        <w:outlineLvl w:val="9"/>
        <w:rPr>
          <w:rFonts w:hint="eastAsia" w:ascii="宋体" w:hAnsi="宋体" w:eastAsia="宋体" w:cs="宋体"/>
          <w:b/>
          <w:bCs/>
          <w:color w:val="auto"/>
          <w:sz w:val="36"/>
          <w:szCs w:val="36"/>
          <w:highlight w:val="none"/>
        </w:rPr>
      </w:pPr>
    </w:p>
    <w:p w14:paraId="3F98EDAC">
      <w:pPr>
        <w:adjustRightInd w:val="0"/>
        <w:snapToGrid w:val="0"/>
        <w:spacing w:line="560" w:lineRule="exact"/>
        <w:jc w:val="center"/>
        <w:outlineLvl w:val="9"/>
        <w:rPr>
          <w:rFonts w:hint="eastAsia" w:ascii="宋体" w:hAnsi="宋体" w:eastAsia="宋体" w:cs="宋体"/>
          <w:b/>
          <w:bCs/>
          <w:color w:val="auto"/>
          <w:sz w:val="36"/>
          <w:szCs w:val="36"/>
          <w:highlight w:val="none"/>
        </w:rPr>
      </w:pPr>
    </w:p>
    <w:p w14:paraId="685F263F">
      <w:pPr>
        <w:pStyle w:val="18"/>
        <w:outlineLvl w:val="9"/>
        <w:rPr>
          <w:rFonts w:hint="eastAsia" w:ascii="宋体" w:hAnsi="宋体" w:eastAsia="宋体" w:cs="宋体"/>
          <w:b/>
          <w:bCs/>
          <w:color w:val="auto"/>
          <w:sz w:val="36"/>
          <w:szCs w:val="36"/>
          <w:highlight w:val="none"/>
        </w:rPr>
      </w:pPr>
    </w:p>
    <w:p w14:paraId="400BDDFC">
      <w:pPr>
        <w:adjustRightInd w:val="0"/>
        <w:snapToGrid w:val="0"/>
        <w:spacing w:line="560" w:lineRule="exact"/>
        <w:jc w:val="both"/>
        <w:outlineLvl w:val="9"/>
        <w:rPr>
          <w:rFonts w:hint="eastAsia" w:ascii="宋体" w:hAnsi="宋体" w:eastAsia="宋体" w:cs="宋体"/>
          <w:color w:val="auto"/>
          <w:sz w:val="24"/>
          <w:szCs w:val="24"/>
          <w:highlight w:val="none"/>
          <w:lang w:eastAsia="zh-CN"/>
        </w:rPr>
      </w:pPr>
      <w:bookmarkStart w:id="469" w:name="_Toc31083"/>
      <w:r>
        <w:rPr>
          <w:rFonts w:hint="eastAsia" w:ascii="宋体" w:hAnsi="宋体" w:eastAsia="宋体" w:cs="宋体"/>
          <w:color w:val="auto"/>
          <w:sz w:val="24"/>
          <w:szCs w:val="24"/>
          <w:highlight w:val="none"/>
        </w:rPr>
        <w:t>甲方1：</w:t>
      </w:r>
      <w:bookmarkEnd w:id="469"/>
      <w:r>
        <w:rPr>
          <w:rFonts w:hint="eastAsia" w:ascii="宋体" w:hAnsi="宋体" w:eastAsia="宋体" w:cs="宋体"/>
          <w:color w:val="auto"/>
          <w:sz w:val="24"/>
          <w:szCs w:val="24"/>
          <w:highlight w:val="none"/>
          <w:u w:val="single"/>
          <w:lang w:eastAsia="zh-CN"/>
        </w:rPr>
        <w:t>东莞市水务环境投资控股集团管网有限公司</w:t>
      </w:r>
    </w:p>
    <w:p w14:paraId="238B3568">
      <w:pPr>
        <w:adjustRightInd w:val="0"/>
        <w:snapToGrid w:val="0"/>
        <w:spacing w:line="560" w:lineRule="exact"/>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甲方2：</w:t>
      </w:r>
      <w:r>
        <w:rPr>
          <w:rFonts w:hint="eastAsia" w:ascii="宋体" w:hAnsi="宋体" w:eastAsia="宋体" w:cs="宋体"/>
          <w:color w:val="auto"/>
          <w:sz w:val="24"/>
          <w:szCs w:val="24"/>
          <w:highlight w:val="none"/>
          <w:u w:val="single"/>
        </w:rPr>
        <w:t>东莞市莞泽水环境投资有限公司</w:t>
      </w:r>
    </w:p>
    <w:p w14:paraId="3653AF76">
      <w:pPr>
        <w:adjustRightInd w:val="0"/>
        <w:snapToGrid w:val="0"/>
        <w:spacing w:line="560" w:lineRule="exact"/>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甲方3：</w:t>
      </w:r>
      <w:r>
        <w:rPr>
          <w:rFonts w:hint="eastAsia" w:ascii="宋体" w:hAnsi="宋体" w:eastAsia="宋体" w:cs="宋体"/>
          <w:color w:val="auto"/>
          <w:sz w:val="24"/>
          <w:szCs w:val="24"/>
          <w:highlight w:val="none"/>
          <w:u w:val="single"/>
        </w:rPr>
        <w:t>东莞市东信水环境投资有限公司</w:t>
      </w:r>
    </w:p>
    <w:p w14:paraId="05617115">
      <w:pPr>
        <w:adjustRightInd w:val="0"/>
        <w:snapToGrid w:val="0"/>
        <w:spacing w:line="560" w:lineRule="exact"/>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甲方4：</w:t>
      </w:r>
      <w:r>
        <w:rPr>
          <w:rFonts w:hint="eastAsia" w:ascii="宋体" w:hAnsi="宋体" w:eastAsia="宋体" w:cs="宋体"/>
          <w:color w:val="auto"/>
          <w:sz w:val="24"/>
          <w:szCs w:val="24"/>
          <w:highlight w:val="none"/>
          <w:u w:val="single"/>
        </w:rPr>
        <w:t>东莞市东泽水环境投资有限公司</w:t>
      </w:r>
    </w:p>
    <w:p w14:paraId="3E602149">
      <w:pPr>
        <w:adjustRightInd w:val="0"/>
        <w:snapToGrid w:val="0"/>
        <w:spacing w:line="560" w:lineRule="exact"/>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甲方5：</w:t>
      </w:r>
      <w:r>
        <w:rPr>
          <w:rFonts w:hint="eastAsia" w:ascii="宋体" w:hAnsi="宋体" w:eastAsia="宋体" w:cs="宋体"/>
          <w:color w:val="auto"/>
          <w:sz w:val="24"/>
          <w:szCs w:val="24"/>
          <w:highlight w:val="none"/>
          <w:u w:val="single"/>
        </w:rPr>
        <w:t>东莞市清泽水环境投资有限公司</w:t>
      </w:r>
    </w:p>
    <w:p w14:paraId="3CF0D39C">
      <w:pPr>
        <w:adjustRightInd w:val="0"/>
        <w:snapToGrid w:val="0"/>
        <w:spacing w:line="560" w:lineRule="exact"/>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甲方6：</w:t>
      </w:r>
      <w:r>
        <w:rPr>
          <w:rFonts w:hint="eastAsia" w:ascii="宋体" w:hAnsi="宋体" w:eastAsia="宋体" w:cs="宋体"/>
          <w:color w:val="auto"/>
          <w:sz w:val="24"/>
          <w:szCs w:val="24"/>
          <w:highlight w:val="none"/>
          <w:u w:val="single"/>
        </w:rPr>
        <w:t>东莞市莞清水环境投资有限公司</w:t>
      </w:r>
    </w:p>
    <w:p w14:paraId="653F3E95">
      <w:pPr>
        <w:adjustRightInd w:val="0"/>
        <w:snapToGrid w:val="0"/>
        <w:spacing w:line="560" w:lineRule="exact"/>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甲方7：</w:t>
      </w:r>
      <w:r>
        <w:rPr>
          <w:rFonts w:hint="eastAsia" w:ascii="宋体" w:hAnsi="宋体" w:eastAsia="宋体" w:cs="宋体"/>
          <w:color w:val="auto"/>
          <w:sz w:val="24"/>
          <w:szCs w:val="24"/>
          <w:highlight w:val="none"/>
          <w:u w:val="single"/>
        </w:rPr>
        <w:t>东莞市东江水环境投资有限公司</w:t>
      </w:r>
    </w:p>
    <w:p w14:paraId="07EFDF40">
      <w:pPr>
        <w:pStyle w:val="19"/>
        <w:ind w:firstLine="2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(以下统称为“甲方”)</w:t>
      </w:r>
    </w:p>
    <w:p w14:paraId="5FB080B0">
      <w:pPr>
        <w:adjustRightInd w:val="0"/>
        <w:snapToGrid w:val="0"/>
        <w:spacing w:line="560" w:lineRule="exact"/>
        <w:jc w:val="left"/>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p>
    <w:p w14:paraId="258A55D5">
      <w:pPr>
        <w:adjustRightInd w:val="0"/>
        <w:snapToGrid w:val="0"/>
        <w:spacing w:line="560" w:lineRule="exact"/>
        <w:outlineLvl w:val="9"/>
        <w:rPr>
          <w:rFonts w:hint="eastAsia" w:ascii="宋体" w:hAnsi="宋体" w:eastAsia="宋体" w:cs="宋体"/>
          <w:color w:val="auto"/>
          <w:sz w:val="24"/>
          <w:szCs w:val="24"/>
          <w:highlight w:val="none"/>
          <w:u w:val="single"/>
        </w:rPr>
      </w:pPr>
    </w:p>
    <w:p w14:paraId="00290186">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和《中华人民共和国保险法》以及其他相关法律、法规的有关规定，甲乙双方在平等互利的基础上，经友好协商，就甲方投保公众责任险计划事宜，达成如下合意，并由双方共同恪守。</w:t>
      </w:r>
    </w:p>
    <w:p w14:paraId="00BB3B0E">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p>
    <w:p w14:paraId="73C0FC45">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rPr>
      </w:pPr>
      <w:bookmarkStart w:id="470" w:name="_Toc19178"/>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合同说明</w:t>
      </w:r>
      <w:bookmarkEnd w:id="470"/>
    </w:p>
    <w:p w14:paraId="4A86B4DF">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u w:val="none"/>
        </w:rPr>
        <w:t>内容是乙方《公众责任险》条</w:t>
      </w:r>
      <w:r>
        <w:rPr>
          <w:rFonts w:hint="eastAsia" w:ascii="宋体" w:hAnsi="宋体" w:eastAsia="宋体" w:cs="宋体"/>
          <w:color w:val="auto"/>
          <w:sz w:val="24"/>
          <w:szCs w:val="24"/>
          <w:highlight w:val="none"/>
        </w:rPr>
        <w:t>款内容的补充书面文件，本合同与保险条款相抵触之处，</w:t>
      </w:r>
      <w:r>
        <w:rPr>
          <w:rFonts w:hint="eastAsia" w:ascii="宋体" w:hAnsi="宋体" w:eastAsia="宋体" w:cs="宋体"/>
          <w:color w:val="auto"/>
          <w:sz w:val="24"/>
          <w:szCs w:val="24"/>
          <w:highlight w:val="none"/>
          <w:lang w:val="en-US" w:eastAsia="zh-CN"/>
        </w:rPr>
        <w:t>以</w:t>
      </w:r>
      <w:r>
        <w:rPr>
          <w:rFonts w:hint="eastAsia" w:ascii="宋体" w:hAnsi="宋体" w:eastAsia="宋体" w:cs="宋体"/>
          <w:color w:val="auto"/>
          <w:sz w:val="24"/>
          <w:szCs w:val="24"/>
          <w:highlight w:val="none"/>
        </w:rPr>
        <w:t>有利于被保险人的内容</w:t>
      </w:r>
      <w:r>
        <w:rPr>
          <w:rFonts w:hint="eastAsia" w:ascii="宋体" w:hAnsi="宋体" w:eastAsia="宋体" w:cs="宋体"/>
          <w:color w:val="auto"/>
          <w:sz w:val="24"/>
          <w:szCs w:val="24"/>
          <w:highlight w:val="none"/>
          <w:lang w:val="en-US" w:eastAsia="zh-CN"/>
        </w:rPr>
        <w:t>为准</w:t>
      </w:r>
      <w:r>
        <w:rPr>
          <w:rFonts w:hint="eastAsia" w:ascii="宋体" w:hAnsi="宋体" w:eastAsia="宋体" w:cs="宋体"/>
          <w:color w:val="auto"/>
          <w:sz w:val="24"/>
          <w:szCs w:val="24"/>
          <w:highlight w:val="none"/>
        </w:rPr>
        <w:t>。</w:t>
      </w:r>
    </w:p>
    <w:p w14:paraId="22E45255">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保险单或其他保险凭证、所附条款、投保单、合法有效声明、批注、附贴批单等均构成本合同的部分。</w:t>
      </w:r>
    </w:p>
    <w:p w14:paraId="6782F17B">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rPr>
      </w:pPr>
      <w:bookmarkStart w:id="471" w:name="_Toc25180"/>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投保方式</w:t>
      </w:r>
      <w:bookmarkEnd w:id="471"/>
    </w:p>
    <w:p w14:paraId="1D13C7DA">
      <w:pPr>
        <w:adjustRightInd w:val="0"/>
        <w:snapToGrid w:val="0"/>
        <w:spacing w:line="56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东莞市水务环境投资控股集团管网有限公司</w:t>
      </w:r>
      <w:r>
        <w:rPr>
          <w:rFonts w:hint="eastAsia" w:ascii="宋体" w:hAnsi="宋体" w:eastAsia="宋体" w:cs="宋体"/>
          <w:color w:val="auto"/>
          <w:sz w:val="24"/>
          <w:szCs w:val="24"/>
          <w:highlight w:val="none"/>
        </w:rPr>
        <w:t>、东莞市莞泽水环境投资有限公司、东莞市东信水环境投资有限公司、东莞市东泽水环境投资有限公司、东莞市清泽水环境投资有限公司、东莞市莞清水环境投资有限公司、东莞市东江水环境投资有限公司作为投保人，为被保险人投保乙方本产品。</w:t>
      </w:r>
    </w:p>
    <w:p w14:paraId="68B3FDF3">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rPr>
      </w:pPr>
      <w:bookmarkStart w:id="472" w:name="_Toc31781"/>
      <w:r>
        <w:rPr>
          <w:rFonts w:hint="eastAsia" w:ascii="宋体" w:hAnsi="宋体" w:eastAsia="宋体" w:cs="宋体"/>
          <w:b/>
          <w:bCs/>
          <w:color w:val="auto"/>
          <w:sz w:val="24"/>
          <w:szCs w:val="24"/>
          <w:highlight w:val="none"/>
          <w:lang w:val="en-US" w:eastAsia="zh-CN"/>
        </w:rPr>
        <w:t>三、保险人与被保险人</w:t>
      </w:r>
      <w:bookmarkEnd w:id="472"/>
    </w:p>
    <w:p w14:paraId="68842304">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乙方是本保险的保险人。</w:t>
      </w:r>
      <w:r>
        <w:rPr>
          <w:rFonts w:hint="eastAsia" w:ascii="宋体" w:hAnsi="宋体" w:eastAsia="宋体" w:cs="宋体"/>
          <w:color w:val="auto"/>
          <w:sz w:val="24"/>
          <w:szCs w:val="24"/>
          <w:highlight w:val="none"/>
        </w:rPr>
        <w:t>甲方是本保险的被保险人，由投保人投保。</w:t>
      </w:r>
    </w:p>
    <w:p w14:paraId="5036A2AB">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rPr>
      </w:pPr>
      <w:bookmarkStart w:id="473" w:name="_Toc17052"/>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受益人</w:t>
      </w:r>
      <w:bookmarkEnd w:id="473"/>
    </w:p>
    <w:p w14:paraId="7DFA495A">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受益人为</w:t>
      </w:r>
      <w:r>
        <w:rPr>
          <w:rFonts w:hint="eastAsia" w:ascii="宋体" w:hAnsi="宋体" w:eastAsia="宋体" w:cs="宋体"/>
          <w:color w:val="auto"/>
          <w:sz w:val="24"/>
          <w:szCs w:val="24"/>
          <w:highlight w:val="none"/>
          <w:lang w:eastAsia="zh-CN"/>
        </w:rPr>
        <w:t>东莞市水务环境投资控股集团管网有限公司</w:t>
      </w:r>
      <w:r>
        <w:rPr>
          <w:rFonts w:hint="eastAsia" w:ascii="宋体" w:hAnsi="宋体" w:eastAsia="宋体" w:cs="宋体"/>
          <w:color w:val="auto"/>
          <w:sz w:val="24"/>
          <w:szCs w:val="24"/>
          <w:highlight w:val="none"/>
        </w:rPr>
        <w:t>、东莞市莞泽水环境投资有限公司、东莞市东信水环境投资有限公司、东莞市东泽水环境投资有限公司、东莞市清泽水环境投资有限公司、东莞市莞清水环境投资有限公司、东莞市东江水环境投资有限公司。</w:t>
      </w:r>
    </w:p>
    <w:p w14:paraId="213F4600">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rPr>
      </w:pPr>
      <w:bookmarkStart w:id="474" w:name="_Toc22322"/>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保险计划</w:t>
      </w:r>
      <w:bookmarkEnd w:id="474"/>
    </w:p>
    <w:p w14:paraId="2C8F9BD7">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承保对象为</w:t>
      </w:r>
      <w:r>
        <w:rPr>
          <w:rFonts w:hint="eastAsia" w:ascii="宋体" w:hAnsi="宋体" w:eastAsia="宋体" w:cs="宋体"/>
          <w:color w:val="auto"/>
          <w:sz w:val="24"/>
          <w:szCs w:val="24"/>
          <w:highlight w:val="none"/>
          <w:lang w:eastAsia="zh-CN"/>
        </w:rPr>
        <w:t>东莞市水务环境投资控股集团管网有限公司</w:t>
      </w:r>
      <w:r>
        <w:rPr>
          <w:rFonts w:hint="eastAsia" w:ascii="宋体" w:hAnsi="宋体" w:eastAsia="宋体" w:cs="宋体"/>
          <w:color w:val="auto"/>
          <w:sz w:val="24"/>
          <w:szCs w:val="24"/>
          <w:highlight w:val="none"/>
        </w:rPr>
        <w:t>旗下管网运营所有项目，承保范围包括但不限于沙田镇、洪梅镇、麻涌镇、中堂镇、高埗镇、道滘镇、万江街道、东城街道、南城街道、莞城街道、石碣镇、石龙镇、望牛墩镇、凤岗镇、塘厦镇、清溪镇、谢岗镇、樟木头镇、常平镇、桥头镇、长安镇、厚街镇、虎门镇、黄江镇、大朗镇、横沥镇、东坑镇、寮步镇、大岭山镇、茶山镇、石排镇、松山湖、企石镇、滨海湾新区</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个镇街</w:t>
      </w:r>
      <w:r>
        <w:rPr>
          <w:rFonts w:hint="eastAsia" w:ascii="宋体" w:hAnsi="宋体" w:eastAsia="宋体" w:cs="宋体"/>
          <w:color w:val="auto"/>
          <w:sz w:val="24"/>
          <w:szCs w:val="24"/>
          <w:highlight w:val="none"/>
          <w:lang w:eastAsia="zh"/>
        </w:rPr>
        <w:t>（园区）</w:t>
      </w:r>
      <w:r>
        <w:rPr>
          <w:rFonts w:hint="eastAsia" w:ascii="宋体" w:hAnsi="宋体" w:eastAsia="宋体" w:cs="宋体"/>
          <w:color w:val="auto"/>
          <w:sz w:val="24"/>
          <w:szCs w:val="24"/>
          <w:highlight w:val="none"/>
        </w:rPr>
        <w:t>的污水管网业务和雨水管网业务，对于被保险人所运营服务范围内的管网及泵站设施（雨水、污水、雨污合流、渠箱、深隧等排水管网系统及附属设施，包括管道、渠箱、雨水篦子、窖井、泵站闸门等）破损等意外事故造成的第三者人身伤亡、财产损失和诉讼费用</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CN"/>
        </w:rPr>
        <w:t>按照本合同约定承担赔付责任。</w:t>
      </w:r>
    </w:p>
    <w:p w14:paraId="32382056">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rPr>
      </w:pPr>
      <w:bookmarkStart w:id="475" w:name="_Toc14130"/>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保险条件</w:t>
      </w:r>
      <w:bookmarkEnd w:id="475"/>
    </w:p>
    <w:tbl>
      <w:tblPr>
        <w:tblStyle w:val="39"/>
        <w:tblpPr w:leftFromText="180" w:rightFromText="180" w:vertAnchor="text" w:horzAnchor="page" w:tblpX="1274" w:tblpY="173"/>
        <w:tblOverlap w:val="never"/>
        <w:tblW w:w="9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2056"/>
        <w:gridCol w:w="4200"/>
        <w:gridCol w:w="1681"/>
      </w:tblGrid>
      <w:tr w14:paraId="6E5A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noWrap w:val="0"/>
            <w:vAlign w:val="center"/>
          </w:tcPr>
          <w:p w14:paraId="175F9D3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险种</w:t>
            </w:r>
          </w:p>
        </w:tc>
        <w:tc>
          <w:tcPr>
            <w:tcW w:w="2056" w:type="dxa"/>
            <w:noWrap w:val="0"/>
            <w:vAlign w:val="center"/>
          </w:tcPr>
          <w:p w14:paraId="46080C7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保险标的</w:t>
            </w:r>
          </w:p>
        </w:tc>
        <w:tc>
          <w:tcPr>
            <w:tcW w:w="4200" w:type="dxa"/>
            <w:noWrap w:val="0"/>
            <w:vAlign w:val="center"/>
          </w:tcPr>
          <w:p w14:paraId="31CC305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保险金额（元）</w:t>
            </w:r>
          </w:p>
        </w:tc>
        <w:tc>
          <w:tcPr>
            <w:tcW w:w="1681" w:type="dxa"/>
            <w:noWrap w:val="0"/>
            <w:vAlign w:val="center"/>
          </w:tcPr>
          <w:p w14:paraId="7977BE4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每次事故免赔</w:t>
            </w:r>
          </w:p>
        </w:tc>
      </w:tr>
      <w:tr w14:paraId="01BF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4" w:type="dxa"/>
            <w:noWrap w:val="0"/>
            <w:vAlign w:val="center"/>
          </w:tcPr>
          <w:p w14:paraId="110A6C8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公众责任险</w:t>
            </w:r>
          </w:p>
        </w:tc>
        <w:tc>
          <w:tcPr>
            <w:tcW w:w="2056" w:type="dxa"/>
            <w:noWrap w:val="0"/>
            <w:vAlign w:val="center"/>
          </w:tcPr>
          <w:p w14:paraId="257AA19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东莞市水务环境投资控股集团管网有限公司</w:t>
            </w:r>
            <w:r>
              <w:rPr>
                <w:rFonts w:hint="eastAsia" w:ascii="宋体" w:hAnsi="宋体" w:eastAsia="宋体" w:cs="宋体"/>
                <w:color w:val="auto"/>
                <w:sz w:val="21"/>
                <w:szCs w:val="21"/>
                <w:highlight w:val="none"/>
              </w:rPr>
              <w:t>（含其下属子公司）</w:t>
            </w:r>
            <w:r>
              <w:rPr>
                <w:rFonts w:hint="eastAsia" w:ascii="宋体" w:hAnsi="宋体" w:eastAsia="宋体" w:cs="宋体"/>
                <w:b w:val="0"/>
                <w:bCs/>
                <w:color w:val="auto"/>
                <w:sz w:val="21"/>
                <w:szCs w:val="21"/>
                <w:highlight w:val="none"/>
                <w:lang w:val="en-US" w:eastAsia="zh-CN"/>
              </w:rPr>
              <w:t>承接的所有管网运营项目</w:t>
            </w:r>
          </w:p>
        </w:tc>
        <w:tc>
          <w:tcPr>
            <w:tcW w:w="4200" w:type="dxa"/>
            <w:noWrap w:val="0"/>
            <w:vAlign w:val="center"/>
          </w:tcPr>
          <w:p w14:paraId="2B4BC039">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累计赔偿限额：人民币</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000万元</w:t>
            </w:r>
            <w:r>
              <w:rPr>
                <w:rFonts w:hint="eastAsia" w:ascii="宋体" w:hAnsi="宋体" w:eastAsia="宋体" w:cs="宋体"/>
                <w:color w:val="auto"/>
                <w:sz w:val="21"/>
                <w:szCs w:val="21"/>
                <w:highlight w:val="none"/>
                <w:lang w:eastAsia="zh-CN"/>
              </w:rPr>
              <w:t>。</w:t>
            </w:r>
          </w:p>
          <w:p w14:paraId="774BBA2E">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每次事故赔偿限额：人民币</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其中每次事故财产损失赔偿限额为</w:t>
            </w:r>
            <w:r>
              <w:rPr>
                <w:rFonts w:hint="eastAsia" w:ascii="宋体" w:hAnsi="宋体" w:eastAsia="宋体" w:cs="宋体"/>
                <w:color w:val="auto"/>
                <w:sz w:val="21"/>
                <w:szCs w:val="21"/>
                <w:highlight w:val="none"/>
                <w:lang w:val="en-US" w:eastAsia="zh-CN"/>
              </w:rPr>
              <w:t>1000</w:t>
            </w:r>
            <w:r>
              <w:rPr>
                <w:rFonts w:hint="eastAsia" w:ascii="宋体" w:hAnsi="宋体" w:eastAsia="宋体" w:cs="宋体"/>
                <w:color w:val="auto"/>
                <w:sz w:val="21"/>
                <w:szCs w:val="21"/>
                <w:highlight w:val="none"/>
              </w:rPr>
              <w:t>万元，每次事故人伤赔偿限额为1000万元，每人赔偿限额为100万元</w:t>
            </w:r>
            <w:r>
              <w:rPr>
                <w:rFonts w:hint="eastAsia" w:ascii="宋体" w:hAnsi="宋体" w:eastAsia="宋体" w:cs="宋体"/>
                <w:color w:val="auto"/>
                <w:sz w:val="21"/>
                <w:szCs w:val="21"/>
                <w:highlight w:val="none"/>
                <w:lang w:eastAsia="zh-CN"/>
              </w:rPr>
              <w:t>。</w:t>
            </w:r>
          </w:p>
        </w:tc>
        <w:tc>
          <w:tcPr>
            <w:tcW w:w="1681" w:type="dxa"/>
            <w:noWrap w:val="0"/>
            <w:vAlign w:val="center"/>
          </w:tcPr>
          <w:p w14:paraId="63F654A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每次事故免赔额为人民币</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元</w:t>
            </w:r>
          </w:p>
        </w:tc>
      </w:tr>
    </w:tbl>
    <w:p w14:paraId="19CB4639">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rPr>
      </w:pPr>
      <w:bookmarkStart w:id="476" w:name="_Toc31960"/>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保险责任</w:t>
      </w:r>
      <w:bookmarkEnd w:id="476"/>
    </w:p>
    <w:p w14:paraId="015900FA">
      <w:pPr>
        <w:numPr>
          <w:ilvl w:val="0"/>
          <w:numId w:val="0"/>
        </w:numPr>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保险期限内因被保险人管理及其维修保养的雨水、污水、雨污合流、渠箱、深隧等排水管网系统及附属设施（包括管道、渠箱、雨水篦子、窖井、泵站闸门等）等发生爆漏或其他非人为因素造成地面塌陷、内涝等事件，或设施存在损坏、异常或失窃等情况，导致第三方遭受人身伤亡或财产损失，依法应由被保险人承担的经济赔偿责任由保险人承担。</w:t>
      </w:r>
    </w:p>
    <w:p w14:paraId="0C250290">
      <w:pPr>
        <w:numPr>
          <w:ilvl w:val="0"/>
          <w:numId w:val="0"/>
        </w:numPr>
        <w:snapToGrid w:val="0"/>
        <w:spacing w:line="5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对被保险人因上述原因而支付的诉讼费用以及事先经保险人书面同意而支付的其它费用，保险人负责赔偿。</w:t>
      </w:r>
    </w:p>
    <w:p w14:paraId="5ED4C435">
      <w:pPr>
        <w:numPr>
          <w:ilvl w:val="0"/>
          <w:numId w:val="0"/>
        </w:numPr>
        <w:snapToGrid w:val="0"/>
        <w:spacing w:line="5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保险事故发生后，被保险人为减少损失所支付的必要的、合理的费用，由保险人承担；保险人所承担的费用数额在保险标的损失赔偿金额以外另行计算，最高不超过保单明细表所列的赔偿限额。</w:t>
      </w:r>
    </w:p>
    <w:p w14:paraId="35332C40">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lang w:eastAsia="zh-CN"/>
        </w:rPr>
      </w:pPr>
      <w:bookmarkStart w:id="477" w:name="_Toc32289"/>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val="en-US" w:eastAsia="zh-CN"/>
        </w:rPr>
        <w:t>服务要求</w:t>
      </w:r>
      <w:bookmarkEnd w:id="477"/>
    </w:p>
    <w:p w14:paraId="0F525164">
      <w:pPr>
        <w:snapToGrid w:val="0"/>
        <w:spacing w:line="5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1.由乙方提供不少于2名项目管理人员负责甲方所投保公众责任险范围内的理赔业务，甲方需要乙方到现场处理的或协商的理赔业务，乙方应在1个小时内到达甲方指定位置。</w:t>
      </w:r>
    </w:p>
    <w:p w14:paraId="5D418AB7">
      <w:pPr>
        <w:snapToGrid w:val="0"/>
        <w:spacing w:line="5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2.乙方应组织甲方的人员开展理赔业务相应的程序，理赔范围、技巧及法规培训，每年不少于1次。</w:t>
      </w:r>
      <w:r>
        <w:rPr>
          <w:rFonts w:hint="eastAsia" w:ascii="宋体" w:hAnsi="宋体" w:eastAsia="宋体" w:cs="宋体"/>
          <w:color w:val="auto"/>
          <w:sz w:val="24"/>
          <w:szCs w:val="24"/>
          <w:highlight w:val="none"/>
        </w:rPr>
        <w:t>培训费用由保险人承担，具体举办时间和地点由协议双方共同协商确定。培训内容包括保单内容、案例分析、索赔指引、风险管理、技术交流等。</w:t>
      </w:r>
    </w:p>
    <w:p w14:paraId="1E56A498">
      <w:pPr>
        <w:snapToGrid w:val="0"/>
        <w:spacing w:line="5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3.乙方每月要将理赔情况反馈至甲方。</w:t>
      </w:r>
    </w:p>
    <w:p w14:paraId="2790263B">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在保险期间内，</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在保险单载明的区域范围内因经营业务发生意外事故，造成第三者的人身伤亡或财产损失，依照中华人民共和国法律（不包括港澳台地区法律）应由</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承担的经济赔偿责任，</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按照本保险合同约定负责赔偿。</w:t>
      </w:r>
    </w:p>
    <w:p w14:paraId="7F65E9E3">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保险发生事故后，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因保险事故而被提起仲裁或者诉讼的，对应由</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支付的仲裁或诉讼费用以及其他必要的、合理的法律费用，</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按照本保险合同约定负责赔偿。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 xml:space="preserve">    6.</w:t>
      </w:r>
      <w:r>
        <w:rPr>
          <w:rFonts w:hint="eastAsia" w:ascii="宋体" w:hAnsi="宋体" w:eastAsia="宋体" w:cs="宋体"/>
          <w:i w:val="0"/>
          <w:iCs w:val="0"/>
          <w:caps w:val="0"/>
          <w:color w:val="auto"/>
          <w:spacing w:val="0"/>
          <w:kern w:val="2"/>
          <w:sz w:val="24"/>
          <w:szCs w:val="24"/>
          <w:highlight w:val="none"/>
          <w:shd w:val="clear" w:color="auto" w:fill="auto"/>
          <w:lang w:val="en-US" w:eastAsia="zh-CN" w:bidi="ar"/>
        </w:rPr>
        <w:t>自本保险合同生效之日起至第一年保单保险责任期间正式起始日前的过渡期间，乙方应对投保人在该期间内发生的、属于本保单约定承保范围内的保险事故，按照本保单载明的保险责任范围、责任限额及免赔率等条款承担保险责任。责任过渡期间内，甲方应按合同约定履行保费支付义务，乙方不得因该期间保费尚未支付或保单未正式生效为由，拒绝承担或拖延履行上述保险责任。本约定旨在确保保险保障的无缝衔接，消除合同生效与保单起始之间的责任空白期，双方均应遵照执行。在合同期限内续保的保单，在前述保单保险责任期间届满至后续新保单正式生效前的续保过渡期间，亦参照本条款约定执行，即仍以存续的原保单约定为依据承担保险责任，直至新保单生效后自动衔接。</w:t>
      </w:r>
    </w:p>
    <w:p w14:paraId="6851F231">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rPr>
      </w:pPr>
      <w:bookmarkStart w:id="478" w:name="_Toc14855"/>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val="en-US" w:eastAsia="zh-CN"/>
        </w:rPr>
        <w:t>责任</w:t>
      </w:r>
      <w:r>
        <w:rPr>
          <w:rFonts w:hint="eastAsia" w:ascii="宋体" w:hAnsi="宋体" w:eastAsia="宋体" w:cs="宋体"/>
          <w:b/>
          <w:bCs/>
          <w:color w:val="auto"/>
          <w:sz w:val="24"/>
          <w:szCs w:val="24"/>
          <w:highlight w:val="none"/>
        </w:rPr>
        <w:t>期间</w:t>
      </w:r>
      <w:bookmarkEnd w:id="478"/>
    </w:p>
    <w:p w14:paraId="7FA0AE99">
      <w:pPr>
        <w:adjustRightInd w:val="0"/>
        <w:snapToGrid w:val="0"/>
        <w:spacing w:line="560" w:lineRule="exact"/>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自合同签订日起</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（以保险单载明的起讫时间为准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而无论甲方是否已经实际付款</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保险期间按 1 年为一个周期核保出单，</w:t>
      </w:r>
      <w:r>
        <w:rPr>
          <w:rFonts w:hint="eastAsia" w:ascii="宋体" w:hAnsi="宋体" w:eastAsia="宋体" w:cs="宋体"/>
          <w:color w:val="auto"/>
          <w:sz w:val="24"/>
          <w:szCs w:val="24"/>
          <w:highlight w:val="none"/>
          <w:lang w:val="en-US" w:eastAsia="zh-CN"/>
        </w:rPr>
        <w:t>乙方应保证</w:t>
      </w:r>
      <w:r>
        <w:rPr>
          <w:rFonts w:hint="eastAsia" w:ascii="宋体" w:hAnsi="宋体" w:eastAsia="宋体" w:cs="宋体"/>
          <w:color w:val="auto"/>
          <w:sz w:val="24"/>
          <w:szCs w:val="24"/>
          <w:highlight w:val="none"/>
        </w:rPr>
        <w:t>每年保险单的保险责任起讫时间应连续无间断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否则由此造成甲方中途断保应自行承担赔偿责任的，该损失应由乙方全额予以赔偿</w:t>
      </w:r>
      <w:r>
        <w:rPr>
          <w:rFonts w:hint="eastAsia" w:ascii="宋体" w:hAnsi="宋体" w:eastAsia="宋体" w:cs="宋体"/>
          <w:color w:val="auto"/>
          <w:sz w:val="24"/>
          <w:szCs w:val="24"/>
          <w:highlight w:val="none"/>
        </w:rPr>
        <w:t>。</w:t>
      </w:r>
    </w:p>
    <w:p w14:paraId="4ED242A7">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lang w:val="en-US" w:eastAsia="zh-CN"/>
        </w:rPr>
      </w:pPr>
      <w:bookmarkStart w:id="479" w:name="_Toc25541"/>
      <w:r>
        <w:rPr>
          <w:rFonts w:hint="eastAsia" w:ascii="宋体" w:hAnsi="宋体" w:eastAsia="宋体" w:cs="宋体"/>
          <w:b/>
          <w:bCs/>
          <w:color w:val="auto"/>
          <w:sz w:val="24"/>
          <w:szCs w:val="24"/>
          <w:highlight w:val="none"/>
          <w:lang w:val="en-US" w:eastAsia="zh-CN"/>
        </w:rPr>
        <w:t>十、附加险：</w:t>
      </w:r>
      <w:bookmarkEnd w:id="479"/>
    </w:p>
    <w:p w14:paraId="721FBF52">
      <w:pPr>
        <w:numPr>
          <w:ilvl w:val="0"/>
          <w:numId w:val="0"/>
        </w:numPr>
        <w:adjustRightInd w:val="0"/>
        <w:snapToGrid w:val="0"/>
        <w:spacing w:line="560" w:lineRule="exact"/>
        <w:ind w:firstLine="480" w:firstLineChars="200"/>
        <w:outlineLvl w:val="9"/>
        <w:rPr>
          <w:rFonts w:hint="eastAsia" w:ascii="宋体" w:hAnsi="宋体" w:eastAsia="宋体" w:cs="宋体"/>
          <w:b w:val="0"/>
          <w:bCs w:val="0"/>
          <w:color w:val="auto"/>
          <w:sz w:val="24"/>
          <w:szCs w:val="24"/>
          <w:highlight w:val="none"/>
        </w:rPr>
      </w:pPr>
      <w:bookmarkStart w:id="480" w:name="_Toc14376"/>
      <w:r>
        <w:rPr>
          <w:rFonts w:hint="eastAsia" w:ascii="宋体" w:hAnsi="宋体" w:eastAsia="宋体" w:cs="宋体"/>
          <w:b w:val="0"/>
          <w:bCs w:val="0"/>
          <w:color w:val="auto"/>
          <w:sz w:val="24"/>
          <w:szCs w:val="24"/>
          <w:highlight w:val="none"/>
        </w:rPr>
        <w:t>附加自然灾害责任保险条款（每次事故赔偿限额为15万元，每份保单整单累计赔偿限额为30万元，免赔</w:t>
      </w:r>
      <w:r>
        <w:rPr>
          <w:rFonts w:hint="eastAsia" w:ascii="宋体" w:hAnsi="宋体" w:eastAsia="宋体" w:cs="宋体"/>
          <w:b w:val="0"/>
          <w:bCs w:val="0"/>
          <w:color w:val="auto"/>
          <w:sz w:val="24"/>
          <w:szCs w:val="24"/>
          <w:highlight w:val="none"/>
          <w:lang w:eastAsia="zh-CN"/>
        </w:rPr>
        <w:t>额</w:t>
      </w:r>
      <w:r>
        <w:rPr>
          <w:rFonts w:hint="eastAsia" w:ascii="宋体" w:hAnsi="宋体" w:eastAsia="宋体" w:cs="宋体"/>
          <w:b w:val="0"/>
          <w:bCs w:val="0"/>
          <w:color w:val="auto"/>
          <w:sz w:val="24"/>
          <w:szCs w:val="24"/>
          <w:highlight w:val="none"/>
        </w:rPr>
        <w:t>为0元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rPr>
        <w:t>其中 “自然灾害”</w:t>
      </w:r>
      <w:r>
        <w:rPr>
          <w:rFonts w:hint="eastAsia" w:ascii="宋体" w:hAnsi="宋体" w:eastAsia="宋体" w:cs="宋体"/>
          <w:color w:val="auto"/>
          <w:sz w:val="24"/>
          <w:szCs w:val="24"/>
          <w:highlight w:val="none"/>
          <w:lang w:val="en-US" w:eastAsia="zh-CN"/>
        </w:rPr>
        <w:t>包括但不限于</w:t>
      </w:r>
      <w:r>
        <w:rPr>
          <w:rFonts w:hint="eastAsia" w:ascii="宋体" w:hAnsi="宋体" w:eastAsia="宋体" w:cs="宋体"/>
          <w:color w:val="auto"/>
          <w:sz w:val="24"/>
          <w:szCs w:val="24"/>
          <w:highlight w:val="none"/>
        </w:rPr>
        <w:t>雷击、暴雨、洪水、暴风、龙卷风、冰雹、台风、飓风、沙尘暴、暴雪、冰凌、突发性滑坡、崩塌、泥石流、地面突然下陷下沉及其他人力不可抗拒的破坏力强大的自然现象</w:t>
      </w:r>
      <w:r>
        <w:rPr>
          <w:rFonts w:hint="eastAsia" w:ascii="宋体" w:hAnsi="宋体" w:eastAsia="宋体" w:cs="宋体"/>
          <w:b w:val="0"/>
          <w:bCs w:val="0"/>
          <w:color w:val="auto"/>
          <w:sz w:val="24"/>
          <w:szCs w:val="24"/>
          <w:highlight w:val="none"/>
        </w:rPr>
        <w:t>）</w:t>
      </w:r>
      <w:bookmarkEnd w:id="480"/>
    </w:p>
    <w:p w14:paraId="6C191C54">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rPr>
      </w:pPr>
      <w:bookmarkStart w:id="481" w:name="_Toc18526"/>
      <w:r>
        <w:rPr>
          <w:rFonts w:hint="eastAsia" w:ascii="宋体" w:hAnsi="宋体" w:eastAsia="宋体" w:cs="宋体"/>
          <w:b/>
          <w:bCs/>
          <w:color w:val="auto"/>
          <w:sz w:val="24"/>
          <w:szCs w:val="24"/>
          <w:highlight w:val="none"/>
          <w:lang w:val="en-US" w:eastAsia="zh-CN"/>
        </w:rPr>
        <w:t>十一、</w:t>
      </w:r>
      <w:r>
        <w:rPr>
          <w:rFonts w:hint="eastAsia" w:ascii="宋体" w:hAnsi="宋体" w:eastAsia="宋体" w:cs="宋体"/>
          <w:b/>
          <w:bCs/>
          <w:color w:val="auto"/>
          <w:sz w:val="24"/>
          <w:szCs w:val="24"/>
          <w:highlight w:val="none"/>
        </w:rPr>
        <w:t>履约担保</w:t>
      </w:r>
      <w:bookmarkEnd w:id="481"/>
    </w:p>
    <w:p w14:paraId="39026E0C">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482" w:name="_Toc10509"/>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应在签订合同前且中标通知书发出之日起30日内，按招标文件规定金额及形式要求，向甲方提交不可撤销银行履约保函（或履约保证金或履约保证保险或担保公司履约担保书），作为履约担保（所需费用由乙方自行承担），否则甲方可有权取消乙方的中标资格，并不予退还其投标保证金。其中，采用履约保证金（银行转账形式）的金额为合同</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rPr>
        <w:t>总价的5%，采用不可撤销银行履约保函（履约保证保险）形式的金额为合同</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rPr>
        <w:t>总价的8%，采用担保公司履约担保书形式的金额为合同</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rPr>
        <w:t>总价的10%。</w:t>
      </w:r>
      <w:r>
        <w:rPr>
          <w:rFonts w:hint="eastAsia" w:ascii="宋体" w:hAnsi="宋体" w:eastAsia="宋体" w:cs="宋体"/>
          <w:color w:val="auto"/>
          <w:sz w:val="24"/>
          <w:szCs w:val="24"/>
          <w:highlight w:val="none"/>
          <w:lang w:val="en-US" w:eastAsia="zh-CN"/>
        </w:rPr>
        <w:t>乙方开具的履约担保</w:t>
      </w:r>
      <w:r>
        <w:rPr>
          <w:rFonts w:hint="eastAsia" w:ascii="宋体" w:hAnsi="宋体" w:eastAsia="宋体" w:cs="宋体"/>
          <w:color w:val="auto"/>
          <w:sz w:val="24"/>
          <w:szCs w:val="24"/>
          <w:highlight w:val="none"/>
        </w:rPr>
        <w:t>受益人为</w:t>
      </w:r>
      <w:r>
        <w:rPr>
          <w:rFonts w:hint="eastAsia" w:ascii="宋体" w:hAnsi="宋体" w:eastAsia="宋体" w:cs="宋体"/>
          <w:color w:val="auto"/>
          <w:sz w:val="24"/>
          <w:szCs w:val="24"/>
          <w:highlight w:val="none"/>
          <w:lang w:eastAsia="zh-CN"/>
        </w:rPr>
        <w:t>东莞市水务环境投资控股集团管网有限公司</w:t>
      </w:r>
      <w:r>
        <w:rPr>
          <w:rFonts w:hint="eastAsia" w:ascii="宋体" w:hAnsi="宋体" w:eastAsia="宋体" w:cs="宋体"/>
          <w:color w:val="auto"/>
          <w:sz w:val="24"/>
          <w:szCs w:val="24"/>
          <w:highlight w:val="none"/>
        </w:rPr>
        <w:t>、东莞市莞泽水环境投资有限公司、东莞市东信水环境投资有限公司、东莞市东泽水环境投资有限公司、东莞市清泽水环境投资有限公司、东莞市莞清水环境投资有限公司、东莞市东江水环境投资有限公司。任何一个合同甲方均有权就全部的担保金额进行索赔。履约担保形式及金额由乙方从以下方式中任选一种：</w:t>
      </w:r>
      <w:bookmarkEnd w:id="482"/>
    </w:p>
    <w:p w14:paraId="3D9B408E">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483" w:name="_Toc26299"/>
      <w:r>
        <w:rPr>
          <w:rFonts w:hint="eastAsia" w:ascii="宋体" w:hAnsi="宋体" w:eastAsia="宋体" w:cs="宋体"/>
          <w:color w:val="auto"/>
          <w:sz w:val="24"/>
          <w:szCs w:val="24"/>
          <w:highlight w:val="none"/>
        </w:rPr>
        <w:t>□履约保证金为合同含税总价的5%（银行转账形式），金额为人民币；</w:t>
      </w:r>
      <w:bookmarkEnd w:id="483"/>
    </w:p>
    <w:p w14:paraId="1A593549">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484" w:name="_Toc4971"/>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银行不可撤销履约保函为合同含税总价的8%，金额为人民币；</w:t>
      </w:r>
      <w:bookmarkEnd w:id="484"/>
    </w:p>
    <w:p w14:paraId="202BCEA7">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485" w:name="_Toc3420"/>
      <w:r>
        <w:rPr>
          <w:rFonts w:hint="eastAsia" w:ascii="宋体" w:hAnsi="宋体" w:eastAsia="宋体" w:cs="宋体"/>
          <w:color w:val="auto"/>
          <w:sz w:val="24"/>
          <w:szCs w:val="24"/>
          <w:highlight w:val="none"/>
        </w:rPr>
        <w:t>□履约保证保险凭证为合同含税总价的8%，金额为人民币  ；</w:t>
      </w:r>
      <w:bookmarkEnd w:id="485"/>
    </w:p>
    <w:p w14:paraId="3930E86F">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486" w:name="_Toc19449"/>
      <w:r>
        <w:rPr>
          <w:rFonts w:hint="eastAsia" w:ascii="宋体" w:hAnsi="宋体" w:eastAsia="宋体" w:cs="宋体"/>
          <w:color w:val="auto"/>
          <w:sz w:val="24"/>
          <w:szCs w:val="24"/>
          <w:highlight w:val="none"/>
        </w:rPr>
        <w:t>□担保公司履约担保书为合同含税总价的10%，金额为人民币。</w:t>
      </w:r>
      <w:bookmarkEnd w:id="486"/>
    </w:p>
    <w:p w14:paraId="4245F00B">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487" w:name="_Toc17797"/>
      <w:r>
        <w:rPr>
          <w:rFonts w:hint="eastAsia" w:ascii="宋体" w:hAnsi="宋体" w:eastAsia="宋体" w:cs="宋体"/>
          <w:color w:val="auto"/>
          <w:sz w:val="24"/>
          <w:szCs w:val="24"/>
          <w:highlight w:val="none"/>
        </w:rPr>
        <w:t>合同履行过程中，乙方给甲方造成的损失超过履约担保数额的，乙方还应当对超过部分予以赔偿，甲方并依法追究乙方的相应责任。</w:t>
      </w:r>
      <w:bookmarkEnd w:id="487"/>
    </w:p>
    <w:p w14:paraId="25037FBD">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488" w:name="_Toc18600"/>
      <w:r>
        <w:rPr>
          <w:rFonts w:hint="eastAsia" w:ascii="宋体" w:hAnsi="宋体" w:eastAsia="宋体" w:cs="宋体"/>
          <w:color w:val="auto"/>
          <w:sz w:val="24"/>
          <w:szCs w:val="24"/>
          <w:highlight w:val="none"/>
        </w:rPr>
        <w:t>本项目履约保证金统一由</w:t>
      </w:r>
      <w:r>
        <w:rPr>
          <w:rFonts w:hint="eastAsia" w:ascii="宋体" w:hAnsi="宋体" w:eastAsia="宋体" w:cs="宋体"/>
          <w:color w:val="auto"/>
          <w:sz w:val="24"/>
          <w:szCs w:val="24"/>
          <w:highlight w:val="none"/>
          <w:lang w:eastAsia="zh-CN"/>
        </w:rPr>
        <w:t>东莞市水务环境投资控股集团管网有限公司</w:t>
      </w:r>
      <w:r>
        <w:rPr>
          <w:rFonts w:hint="eastAsia" w:ascii="宋体" w:hAnsi="宋体" w:eastAsia="宋体" w:cs="宋体"/>
          <w:color w:val="auto"/>
          <w:sz w:val="24"/>
          <w:szCs w:val="24"/>
          <w:highlight w:val="none"/>
        </w:rPr>
        <w:t>收取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存入以下指定银行账户，转账时备注“履行《</w:t>
      </w:r>
      <w:r>
        <w:rPr>
          <w:rFonts w:hint="eastAsia" w:ascii="宋体" w:hAnsi="宋体" w:eastAsia="宋体" w:cs="宋体"/>
          <w:color w:val="auto"/>
          <w:sz w:val="24"/>
          <w:szCs w:val="24"/>
          <w:highlight w:val="none"/>
          <w:lang w:eastAsia="zh-CN"/>
        </w:rPr>
        <w:t>东莞市水务环境投资控股集团管网有限公司</w:t>
      </w:r>
      <w:r>
        <w:rPr>
          <w:rFonts w:hint="eastAsia" w:ascii="宋体" w:hAnsi="宋体" w:eastAsia="宋体" w:cs="宋体"/>
          <w:color w:val="auto"/>
          <w:sz w:val="24"/>
          <w:szCs w:val="24"/>
          <w:highlight w:val="none"/>
        </w:rPr>
        <w:t>2026至2028年度公众责任险采购项目采购合同》的保证金”。</w:t>
      </w:r>
      <w:r>
        <w:rPr>
          <w:rFonts w:hint="eastAsia" w:ascii="宋体" w:hAnsi="宋体" w:eastAsia="宋体" w:cs="宋体"/>
          <w:color w:val="auto"/>
          <w:sz w:val="24"/>
          <w:szCs w:val="24"/>
          <w:highlight w:val="none"/>
          <w:lang w:eastAsia="zh-CN"/>
        </w:rPr>
        <w:t>东莞市水务环境投资控股集团管网有限公司</w:t>
      </w:r>
      <w:r>
        <w:rPr>
          <w:rFonts w:hint="eastAsia" w:ascii="宋体" w:hAnsi="宋体" w:eastAsia="宋体" w:cs="宋体"/>
          <w:color w:val="auto"/>
          <w:sz w:val="24"/>
          <w:szCs w:val="24"/>
          <w:highlight w:val="none"/>
        </w:rPr>
        <w:t>履约保证金收款账号为：</w:t>
      </w:r>
      <w:bookmarkEnd w:id="488"/>
    </w:p>
    <w:p w14:paraId="63B95D0B">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lang w:eastAsia="zh-CN"/>
        </w:rPr>
      </w:pPr>
      <w:bookmarkStart w:id="489" w:name="_Toc28"/>
      <w:r>
        <w:rPr>
          <w:rFonts w:hint="eastAsia" w:ascii="宋体" w:hAnsi="宋体" w:eastAsia="宋体" w:cs="宋体"/>
          <w:color w:val="auto"/>
          <w:sz w:val="24"/>
          <w:szCs w:val="24"/>
          <w:highlight w:val="none"/>
        </w:rPr>
        <w:t>开户名称：</w:t>
      </w:r>
      <w:bookmarkEnd w:id="489"/>
      <w:r>
        <w:rPr>
          <w:rFonts w:hint="eastAsia" w:ascii="宋体" w:hAnsi="宋体" w:eastAsia="宋体" w:cs="宋体"/>
          <w:color w:val="auto"/>
          <w:sz w:val="24"/>
          <w:szCs w:val="24"/>
          <w:highlight w:val="none"/>
          <w:lang w:eastAsia="zh-CN"/>
        </w:rPr>
        <w:t>东莞市水务环境投资控股集团管网有限公司</w:t>
      </w:r>
    </w:p>
    <w:p w14:paraId="033FDD8C">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490" w:name="_Toc9880"/>
      <w:r>
        <w:rPr>
          <w:rFonts w:hint="eastAsia" w:ascii="宋体" w:hAnsi="宋体" w:eastAsia="宋体" w:cs="宋体"/>
          <w:color w:val="auto"/>
          <w:sz w:val="24"/>
          <w:szCs w:val="24"/>
          <w:highlight w:val="none"/>
        </w:rPr>
        <w:t>银行账号：8114801014000043052</w:t>
      </w:r>
      <w:bookmarkEnd w:id="490"/>
    </w:p>
    <w:p w14:paraId="3BE67AF8">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491" w:name="_Toc24138"/>
      <w:r>
        <w:rPr>
          <w:rFonts w:hint="eastAsia" w:ascii="宋体" w:hAnsi="宋体" w:eastAsia="宋体" w:cs="宋体"/>
          <w:color w:val="auto"/>
          <w:sz w:val="24"/>
          <w:szCs w:val="24"/>
          <w:highlight w:val="none"/>
        </w:rPr>
        <w:t>开户银行：中信银行东莞分行营业部</w:t>
      </w:r>
      <w:bookmarkEnd w:id="491"/>
    </w:p>
    <w:p w14:paraId="64E34123">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lang w:eastAsia="zh-CN"/>
        </w:rPr>
      </w:pPr>
      <w:bookmarkStart w:id="492" w:name="_Toc16564"/>
      <w:r>
        <w:rPr>
          <w:rFonts w:hint="eastAsia" w:ascii="宋体" w:hAnsi="宋体" w:eastAsia="宋体" w:cs="宋体"/>
          <w:color w:val="auto"/>
          <w:sz w:val="24"/>
          <w:szCs w:val="24"/>
          <w:highlight w:val="none"/>
        </w:rPr>
        <w:t>特别约定：任何一个合同甲方（</w:t>
      </w:r>
      <w:r>
        <w:rPr>
          <w:rFonts w:hint="eastAsia" w:ascii="宋体" w:hAnsi="宋体" w:eastAsia="宋体" w:cs="宋体"/>
          <w:color w:val="auto"/>
          <w:sz w:val="24"/>
          <w:szCs w:val="24"/>
          <w:highlight w:val="none"/>
          <w:lang w:eastAsia="zh-CN"/>
        </w:rPr>
        <w:t>东莞市水务环境投资控股集团管网有限公司</w:t>
      </w:r>
      <w:r>
        <w:rPr>
          <w:rFonts w:hint="eastAsia" w:ascii="宋体" w:hAnsi="宋体" w:eastAsia="宋体" w:cs="宋体"/>
          <w:color w:val="auto"/>
          <w:sz w:val="24"/>
          <w:szCs w:val="24"/>
          <w:highlight w:val="none"/>
        </w:rPr>
        <w:t>、东莞市莞泽水环境投资有限公司、东莞市东信水环境投资有限公司、东莞市东泽水环境投资有限公司、东莞市清泽水环境投资有限公司、东莞市莞清水环境投资有限公司、东莞市东江水环境投资有限公司）均有权就全部的履约保证金金额进行索赔。</w:t>
      </w:r>
      <w:bookmarkEnd w:id="492"/>
    </w:p>
    <w:p w14:paraId="2699D393">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493" w:name="_Toc7211"/>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履约担保用于补偿甲方因乙方不能完全履行其合同义务而蒙受的损失或其他合同约定的事项。如发生下列任一情况时，甲方除有权依合同追究乙方违约责任外，还有权提取履约担保并进行相应处理：</w:t>
      </w:r>
      <w:bookmarkEnd w:id="493"/>
    </w:p>
    <w:p w14:paraId="7CA13B56">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494" w:name="_Toc25619"/>
      <w:r>
        <w:rPr>
          <w:rFonts w:hint="eastAsia" w:ascii="宋体" w:hAnsi="宋体" w:eastAsia="宋体" w:cs="宋体"/>
          <w:color w:val="auto"/>
          <w:sz w:val="24"/>
          <w:szCs w:val="24"/>
          <w:highlight w:val="none"/>
        </w:rPr>
        <w:t>（1）乙方将合同项下乙方的权利义务全部转让给第三方，或未经甲方书面同意将部分权利义务转让给第三方的，甲方可扣除其10%的履约担保。</w:t>
      </w:r>
      <w:bookmarkEnd w:id="494"/>
    </w:p>
    <w:p w14:paraId="2BAE8E7C">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495" w:name="_Toc5664"/>
      <w:r>
        <w:rPr>
          <w:rFonts w:hint="eastAsia" w:ascii="宋体" w:hAnsi="宋体" w:eastAsia="宋体" w:cs="宋体"/>
          <w:color w:val="auto"/>
          <w:sz w:val="24"/>
          <w:szCs w:val="24"/>
          <w:highlight w:val="none"/>
        </w:rPr>
        <w:t>（2）在合同履行期间，乙方怠于履行合同义务，经甲方通知或要求承担违约金后仍拒不改正的，甲方有权没收其履约担保。</w:t>
      </w:r>
      <w:bookmarkEnd w:id="495"/>
    </w:p>
    <w:p w14:paraId="3DC34CE6">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496" w:name="_Toc22682"/>
      <w:r>
        <w:rPr>
          <w:rFonts w:hint="eastAsia" w:ascii="宋体" w:hAnsi="宋体" w:eastAsia="宋体" w:cs="宋体"/>
          <w:color w:val="auto"/>
          <w:sz w:val="24"/>
          <w:szCs w:val="24"/>
          <w:highlight w:val="none"/>
        </w:rPr>
        <w:t>（3）在合同履行期间，因乙方服务质量问题造成损害、侵权损失（包括但不限于甲方经济损失、第三人人身财产损失等）或与其所雇用员工发生劳资纠纷、上访、闹事或其他影响甲方生产经营等情况而其未及时妥善处理的，甲方有权使用履约担保予以支付或作出相应处理，由此产生的一切法律后果由乙方承担。</w:t>
      </w:r>
      <w:bookmarkEnd w:id="496"/>
    </w:p>
    <w:p w14:paraId="762D7F62">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497" w:name="_Toc25975"/>
      <w:r>
        <w:rPr>
          <w:rFonts w:hint="eastAsia" w:ascii="宋体" w:hAnsi="宋体" w:eastAsia="宋体" w:cs="宋体"/>
          <w:color w:val="auto"/>
          <w:sz w:val="24"/>
          <w:szCs w:val="24"/>
          <w:highlight w:val="none"/>
        </w:rPr>
        <w:t>（4）在合同履行期间，乙方违约产生的违约金、赔偿、罚款或其他应付费用等款项，甲方有权直接从未付款项中直接扣除或启用履约担保予以支付。</w:t>
      </w:r>
      <w:bookmarkEnd w:id="497"/>
    </w:p>
    <w:p w14:paraId="67F316AD">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498" w:name="_Toc26481"/>
      <w:r>
        <w:rPr>
          <w:rFonts w:hint="eastAsia" w:ascii="宋体" w:hAnsi="宋体" w:eastAsia="宋体" w:cs="宋体"/>
          <w:color w:val="auto"/>
          <w:sz w:val="24"/>
          <w:szCs w:val="24"/>
          <w:highlight w:val="none"/>
        </w:rPr>
        <w:t>（5）合同期内，乙方不能及时完成合同某项义务的，甲方有权提取履约担保用于处理该项工作。</w:t>
      </w:r>
      <w:bookmarkEnd w:id="498"/>
    </w:p>
    <w:p w14:paraId="7287294F">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499" w:name="_Toc14210"/>
      <w:r>
        <w:rPr>
          <w:rFonts w:hint="eastAsia" w:ascii="宋体" w:hAnsi="宋体" w:eastAsia="宋体" w:cs="宋体"/>
          <w:color w:val="auto"/>
          <w:sz w:val="24"/>
          <w:szCs w:val="24"/>
          <w:highlight w:val="none"/>
        </w:rPr>
        <w:t>（6）其他根据本合同约定或法律规定，甲方可启用履约担保的情形。</w:t>
      </w:r>
      <w:bookmarkEnd w:id="499"/>
    </w:p>
    <w:p w14:paraId="5C02C39D">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500" w:name="_Toc5696"/>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乙方在履行完毕相关服务义务且结算完毕满28天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扣除相应费用（若有）后，经甲方确认，乙方可向甲方提交退回履约担保的申请。甲方审核无异议后，办理履约担保退还手续，履约保证金（银行转账形式）形式提交的履约担保退回时一律以银行转账的形式无息退回到乙方的帐户。</w:t>
      </w:r>
      <w:bookmarkEnd w:id="500"/>
    </w:p>
    <w:p w14:paraId="57EEBBD6">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501" w:name="_Toc23137"/>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如乙方提供银行不可撤销履约保函（或履约保证保险或担保公司履约担保书）作为履约担保的，银行不可撤销履约保函（或履约保证保险或担保公司履约担保书）应从合同签订之日起至</w:t>
      </w:r>
      <w:r>
        <w:rPr>
          <w:rFonts w:hint="default" w:ascii="宋体" w:hAnsi="宋体" w:eastAsia="宋体" w:cs="宋体"/>
          <w:color w:val="auto"/>
          <w:sz w:val="24"/>
          <w:szCs w:val="24"/>
          <w:highlight w:val="none"/>
        </w:rPr>
        <w:t>合同期限届满并履行完毕相关服务义务</w:t>
      </w:r>
      <w:r>
        <w:rPr>
          <w:rFonts w:hint="eastAsia" w:ascii="宋体" w:hAnsi="宋体" w:eastAsia="宋体" w:cs="宋体"/>
          <w:color w:val="auto"/>
          <w:sz w:val="24"/>
          <w:szCs w:val="24"/>
          <w:highlight w:val="none"/>
        </w:rPr>
        <w:t>且结算完毕后28日内保持有效。如银行不可撤销履约保函（或履约保证保险或担保公司履约担保书）在规定有效期届满时而</w:t>
      </w:r>
      <w:r>
        <w:rPr>
          <w:rFonts w:hint="eastAsia" w:ascii="宋体" w:hAnsi="宋体" w:eastAsia="宋体" w:cs="宋体"/>
          <w:color w:val="auto"/>
          <w:sz w:val="24"/>
          <w:szCs w:val="24"/>
          <w:highlight w:val="none"/>
          <w:lang w:val="en-US" w:eastAsia="zh-CN"/>
        </w:rPr>
        <w:t>相关服务义务尚未履行完</w:t>
      </w:r>
      <w:r>
        <w:rPr>
          <w:rFonts w:hint="eastAsia" w:ascii="宋体" w:hAnsi="宋体" w:eastAsia="宋体" w:cs="宋体"/>
          <w:color w:val="auto"/>
          <w:sz w:val="24"/>
          <w:szCs w:val="24"/>
          <w:highlight w:val="none"/>
        </w:rPr>
        <w:t>并结算完毕的，乙方必须在银行不可撤销履约保函（或履约保证保险或担保公司履约担保书）到期15日前无条件办理办妥符合甲方要求的延期手续或重新提供银行不可撤销履约保函（或履约保证保险或担保公司履约担保书）；否则视为乙方违约，甲方有权在银行不可撤销履约保函（或履约保证保险或担保公司履约担保书）到期前向出具履约担保的机构提取履约担保。在银行不可撤销履约保函（或履约保证保险或担保公司履约担保书）到期后乙方未按甲方要求重新提供的，甲方有权要求乙方以履约担保金额为限承担违约金，违约金可直接从未付合同费用中扣除。</w:t>
      </w:r>
      <w:bookmarkEnd w:id="501"/>
    </w:p>
    <w:p w14:paraId="7D4E8C9E">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502" w:name="_Toc17757"/>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发生违约行为时，</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应当按照合同约定和合同甲方的要求向对应的合同甲方支付违约金；否则，相应的合同甲方有权从履约保证金中扣除违约金，并由</w:t>
      </w:r>
      <w:r>
        <w:rPr>
          <w:rFonts w:hint="eastAsia" w:ascii="宋体" w:hAnsi="宋体" w:eastAsia="宋体" w:cs="宋体"/>
          <w:color w:val="auto"/>
          <w:sz w:val="24"/>
          <w:szCs w:val="24"/>
          <w:highlight w:val="none"/>
          <w:lang w:eastAsia="zh-CN"/>
        </w:rPr>
        <w:t>东莞市水务环境投资控股集团管网有限公司</w:t>
      </w:r>
      <w:r>
        <w:rPr>
          <w:rFonts w:hint="eastAsia" w:ascii="宋体" w:hAnsi="宋体" w:eastAsia="宋体" w:cs="宋体"/>
          <w:color w:val="auto"/>
          <w:sz w:val="24"/>
          <w:szCs w:val="24"/>
          <w:highlight w:val="none"/>
        </w:rPr>
        <w:t>将对应金额转入相应甲方的银行账户，同时</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指定期限内及时补足履约保证金金额。</w:t>
      </w:r>
      <w:bookmarkEnd w:id="502"/>
    </w:p>
    <w:p w14:paraId="5EC65851">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503" w:name="_Toc5375"/>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乙方不按照招标文件及本合同的约定提供履约担保的，每逾期一日，按人民币伍仟元整向甲方支付违约金；逾期超过15日的，甲方有权解除合同，并要求乙方支付合同总价2%的违约金。违约金不足以弥补甲方损失的，甲方有权继续追偿。</w:t>
      </w:r>
      <w:bookmarkEnd w:id="503"/>
    </w:p>
    <w:p w14:paraId="2BA086E1">
      <w:pPr>
        <w:numPr>
          <w:ilvl w:val="0"/>
          <w:numId w:val="0"/>
        </w:numPr>
        <w:adjustRightInd w:val="0"/>
        <w:snapToGrid w:val="0"/>
        <w:spacing w:line="560" w:lineRule="exact"/>
        <w:ind w:firstLine="480" w:firstLineChars="200"/>
        <w:outlineLvl w:val="9"/>
        <w:rPr>
          <w:rFonts w:hint="eastAsia" w:ascii="宋体" w:hAnsi="宋体" w:eastAsia="宋体" w:cs="宋体"/>
          <w:b w:val="0"/>
          <w:bCs w:val="0"/>
          <w:color w:val="auto"/>
          <w:sz w:val="24"/>
          <w:szCs w:val="24"/>
          <w:highlight w:val="none"/>
        </w:rPr>
      </w:pPr>
      <w:bookmarkStart w:id="504" w:name="_Toc4168"/>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bookmarkEnd w:id="504"/>
    </w:p>
    <w:p w14:paraId="77E0EBAD">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rPr>
      </w:pPr>
      <w:bookmarkStart w:id="505" w:name="_Toc19475"/>
      <w:r>
        <w:rPr>
          <w:rFonts w:hint="eastAsia" w:ascii="宋体" w:hAnsi="宋体" w:eastAsia="宋体" w:cs="宋体"/>
          <w:b/>
          <w:bCs/>
          <w:color w:val="auto"/>
          <w:sz w:val="24"/>
          <w:szCs w:val="24"/>
          <w:highlight w:val="none"/>
          <w:lang w:val="en-US" w:eastAsia="zh-CN"/>
        </w:rPr>
        <w:t>十二、特别约定：</w:t>
      </w:r>
      <w:bookmarkEnd w:id="505"/>
    </w:p>
    <w:p w14:paraId="25E4FD68">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1.每份保单每次事故赔偿限额为2000万元，其中每次事故财产损失赔偿限额为1000万元，每次事故人</w:t>
      </w:r>
      <w:r>
        <w:rPr>
          <w:rFonts w:hint="eastAsia" w:ascii="宋体" w:hAnsi="宋体" w:eastAsia="宋体" w:cs="宋体"/>
          <w:color w:val="auto"/>
          <w:sz w:val="24"/>
          <w:szCs w:val="24"/>
          <w:highlight w:val="none"/>
          <w:lang w:val="en-US" w:eastAsia="zh-CN"/>
        </w:rPr>
        <w:t>身</w:t>
      </w:r>
      <w:r>
        <w:rPr>
          <w:rFonts w:hint="eastAsia" w:ascii="宋体" w:hAnsi="宋体" w:eastAsia="宋体" w:cs="宋体"/>
          <w:color w:val="auto"/>
          <w:sz w:val="24"/>
          <w:szCs w:val="24"/>
          <w:highlight w:val="none"/>
        </w:rPr>
        <w:t>伤</w:t>
      </w:r>
      <w:r>
        <w:rPr>
          <w:rFonts w:hint="eastAsia" w:ascii="宋体" w:hAnsi="宋体" w:eastAsia="宋体" w:cs="宋体"/>
          <w:color w:val="auto"/>
          <w:sz w:val="24"/>
          <w:szCs w:val="24"/>
          <w:highlight w:val="none"/>
          <w:lang w:val="en-US" w:eastAsia="zh-CN"/>
        </w:rPr>
        <w:t>亡</w:t>
      </w:r>
      <w:r>
        <w:rPr>
          <w:rFonts w:hint="eastAsia" w:ascii="宋体" w:hAnsi="宋体" w:eastAsia="宋体" w:cs="宋体"/>
          <w:color w:val="auto"/>
          <w:sz w:val="24"/>
          <w:szCs w:val="24"/>
          <w:highlight w:val="none"/>
        </w:rPr>
        <w:t>赔偿限额为1000万元，其中每人每次事故人身伤亡赔偿限额100万元，每份保单累计赔偿限额为3000万元，免赔</w:t>
      </w:r>
      <w:r>
        <w:rPr>
          <w:rFonts w:hint="eastAsia" w:ascii="宋体" w:hAnsi="宋体" w:eastAsia="宋体" w:cs="宋体"/>
          <w:color w:val="auto"/>
          <w:sz w:val="24"/>
          <w:szCs w:val="24"/>
          <w:highlight w:val="none"/>
          <w:lang w:eastAsia="zh-CN"/>
        </w:rPr>
        <w:t>额</w:t>
      </w:r>
      <w:r>
        <w:rPr>
          <w:rFonts w:hint="eastAsia" w:ascii="宋体" w:hAnsi="宋体" w:eastAsia="宋体" w:cs="宋体"/>
          <w:color w:val="auto"/>
          <w:sz w:val="24"/>
          <w:szCs w:val="24"/>
          <w:highlight w:val="none"/>
        </w:rPr>
        <w:t>为0元。</w:t>
      </w:r>
    </w:p>
    <w:p w14:paraId="6679B96F">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责任</w:t>
      </w:r>
      <w:r>
        <w:rPr>
          <w:rFonts w:hint="eastAsia" w:ascii="宋体" w:hAnsi="宋体" w:eastAsia="宋体" w:cs="宋体"/>
          <w:color w:val="auto"/>
          <w:sz w:val="24"/>
          <w:szCs w:val="24"/>
          <w:highlight w:val="none"/>
          <w:lang w:val="en-US" w:eastAsia="zh-CN"/>
        </w:rPr>
        <w:t>导致的</w:t>
      </w:r>
      <w:r>
        <w:rPr>
          <w:rFonts w:hint="eastAsia" w:ascii="宋体" w:hAnsi="宋体" w:eastAsia="宋体" w:cs="宋体"/>
          <w:color w:val="auto"/>
          <w:sz w:val="24"/>
          <w:szCs w:val="24"/>
          <w:highlight w:val="none"/>
        </w:rPr>
        <w:t>事故所发生的医疗费用必须符合广东省城镇职工基本医疗保险诊疗项目管理和用药范围，保险人每次事故扣除人民币0元免赔额后，在保险金额范围内按100%赔付；在索赔时必须提供医疗专用收据和医药费用明细清单。</w:t>
      </w:r>
    </w:p>
    <w:p w14:paraId="5A06DD1C">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3.承保范围包括但不限于本合同第五条所列3</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个镇街（园区）。</w:t>
      </w:r>
    </w:p>
    <w:p w14:paraId="61E43065">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4.本保单附加自然灾害责任保险条款，</w:t>
      </w:r>
      <w:r>
        <w:rPr>
          <w:rFonts w:hint="eastAsia" w:ascii="宋体" w:hAnsi="宋体" w:eastAsia="宋体" w:cs="宋体"/>
          <w:b w:val="0"/>
          <w:bCs w:val="0"/>
          <w:color w:val="auto"/>
          <w:sz w:val="24"/>
          <w:szCs w:val="24"/>
          <w:highlight w:val="none"/>
        </w:rPr>
        <w:t>每次事故赔偿限额为15万元，每份保单整单累计赔偿限额为30万元，免赔</w:t>
      </w:r>
      <w:r>
        <w:rPr>
          <w:rFonts w:hint="eastAsia" w:ascii="宋体" w:hAnsi="宋体" w:eastAsia="宋体" w:cs="宋体"/>
          <w:b w:val="0"/>
          <w:bCs w:val="0"/>
          <w:color w:val="auto"/>
          <w:sz w:val="24"/>
          <w:szCs w:val="24"/>
          <w:highlight w:val="none"/>
          <w:lang w:eastAsia="zh-CN"/>
        </w:rPr>
        <w:t>额</w:t>
      </w:r>
      <w:r>
        <w:rPr>
          <w:rFonts w:hint="eastAsia" w:ascii="宋体" w:hAnsi="宋体" w:eastAsia="宋体" w:cs="宋体"/>
          <w:b w:val="0"/>
          <w:bCs w:val="0"/>
          <w:color w:val="auto"/>
          <w:sz w:val="24"/>
          <w:szCs w:val="24"/>
          <w:highlight w:val="none"/>
        </w:rPr>
        <w:t>为0元</w:t>
      </w:r>
      <w:r>
        <w:rPr>
          <w:rFonts w:hint="eastAsia" w:ascii="宋体" w:hAnsi="宋体" w:eastAsia="宋体" w:cs="宋体"/>
          <w:color w:val="auto"/>
          <w:sz w:val="24"/>
          <w:szCs w:val="24"/>
          <w:highlight w:val="none"/>
        </w:rPr>
        <w:t>。其中“自然灾害”</w:t>
      </w:r>
      <w:r>
        <w:rPr>
          <w:rFonts w:hint="eastAsia" w:ascii="宋体" w:hAnsi="宋体" w:eastAsia="宋体" w:cs="宋体"/>
          <w:color w:val="auto"/>
          <w:sz w:val="24"/>
          <w:szCs w:val="24"/>
          <w:highlight w:val="none"/>
          <w:lang w:val="en-US" w:eastAsia="zh-CN"/>
        </w:rPr>
        <w:t>包括但不限于</w:t>
      </w:r>
      <w:r>
        <w:rPr>
          <w:rFonts w:hint="eastAsia" w:ascii="宋体" w:hAnsi="宋体" w:eastAsia="宋体" w:cs="宋体"/>
          <w:color w:val="auto"/>
          <w:sz w:val="24"/>
          <w:szCs w:val="24"/>
          <w:highlight w:val="none"/>
        </w:rPr>
        <w:t>雷击、暴雨、洪水、暴风、龙卷风、冰雹、台风、飓风、沙尘暴、暴雪、冰凌、突发性滑坡、崩塌、泥石流、地面突然下陷下沉及其他人力不可抗拒的破坏力强大的自然现象。</w:t>
      </w:r>
    </w:p>
    <w:p w14:paraId="3537FEB4">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经保险双方协商并同意，投保人、被保险人或者保险金受益人知道保险事故发生后，应当在48小时内或经保险人书面同意延长的期限内通知保险人。故意或者因重大过失未及时通知，致使保险事故的性质、原因、损失程度等</w:t>
      </w:r>
      <w:r>
        <w:rPr>
          <w:rFonts w:hint="eastAsia" w:ascii="宋体" w:hAnsi="宋体" w:eastAsia="宋体" w:cs="宋体"/>
          <w:color w:val="auto"/>
          <w:sz w:val="24"/>
          <w:szCs w:val="24"/>
          <w:highlight w:val="none"/>
          <w:lang w:val="en-US" w:eastAsia="zh-CN"/>
        </w:rPr>
        <w:t>经过诉讼程序也无法</w:t>
      </w:r>
      <w:r>
        <w:rPr>
          <w:rFonts w:hint="eastAsia" w:ascii="宋体" w:hAnsi="宋体" w:eastAsia="宋体" w:cs="宋体"/>
          <w:color w:val="auto"/>
          <w:sz w:val="24"/>
          <w:szCs w:val="24"/>
          <w:highlight w:val="none"/>
        </w:rPr>
        <w:t>确定的，保险人对无法确定的部分，不承担赔偿责任。</w:t>
      </w:r>
    </w:p>
    <w:p w14:paraId="43E2C36F">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rPr>
      </w:pPr>
      <w:bookmarkStart w:id="506" w:name="_Toc2858"/>
      <w:r>
        <w:rPr>
          <w:rFonts w:hint="eastAsia" w:ascii="宋体" w:hAnsi="宋体" w:eastAsia="宋体" w:cs="宋体"/>
          <w:b/>
          <w:bCs/>
          <w:color w:val="auto"/>
          <w:sz w:val="24"/>
          <w:szCs w:val="24"/>
          <w:highlight w:val="none"/>
          <w:lang w:val="en-US" w:eastAsia="zh-CN"/>
        </w:rPr>
        <w:t>十三、</w:t>
      </w:r>
      <w:r>
        <w:rPr>
          <w:rFonts w:hint="eastAsia" w:ascii="宋体" w:hAnsi="宋体" w:eastAsia="宋体" w:cs="宋体"/>
          <w:b/>
          <w:bCs/>
          <w:color w:val="auto"/>
          <w:sz w:val="24"/>
          <w:szCs w:val="24"/>
          <w:highlight w:val="none"/>
        </w:rPr>
        <w:t>保险费交纳</w:t>
      </w:r>
      <w:bookmarkEnd w:id="506"/>
    </w:p>
    <w:p w14:paraId="41955854">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1.在保险合同存续期间，每年由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出具一份独立的保险单，</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将通过银行转账的方式，一次性全额支付当年度保险单的保险费用。</w:t>
      </w:r>
    </w:p>
    <w:p w14:paraId="5406B8C2">
      <w:pPr>
        <w:adjustRightInd w:val="0"/>
        <w:snapToGrid w:val="0"/>
        <w:spacing w:line="560" w:lineRule="exact"/>
        <w:ind w:firstLine="480" w:firstLineChars="20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2.保险费的交纳时间：</w:t>
      </w:r>
      <w:r>
        <w:rPr>
          <w:rFonts w:hint="eastAsia" w:ascii="宋体" w:hAnsi="宋体" w:eastAsia="宋体" w:cs="宋体"/>
          <w:color w:val="auto"/>
          <w:sz w:val="24"/>
          <w:szCs w:val="24"/>
          <w:highlight w:val="none"/>
          <w:lang w:val="zh-CN"/>
        </w:rPr>
        <w:t>由乙方提供保险报价书和汇款通知书，且经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val="zh-CN"/>
        </w:rPr>
        <w:t>确认无误后向乙方的指定账户一次性支付</w:t>
      </w:r>
      <w:r>
        <w:rPr>
          <w:rFonts w:hint="eastAsia" w:ascii="宋体" w:hAnsi="宋体" w:eastAsia="宋体" w:cs="宋体"/>
          <w:color w:val="auto"/>
          <w:sz w:val="24"/>
          <w:szCs w:val="24"/>
          <w:highlight w:val="none"/>
          <w:lang w:val="en-US" w:eastAsia="zh-CN"/>
        </w:rPr>
        <w:t>保险单</w:t>
      </w:r>
      <w:r>
        <w:rPr>
          <w:rFonts w:hint="eastAsia" w:ascii="宋体" w:hAnsi="宋体" w:eastAsia="宋体" w:cs="宋体"/>
          <w:color w:val="auto"/>
          <w:sz w:val="24"/>
          <w:szCs w:val="24"/>
          <w:highlight w:val="none"/>
        </w:rPr>
        <w:t>保险费用</w:t>
      </w:r>
      <w:r>
        <w:rPr>
          <w:rFonts w:hint="eastAsia" w:ascii="宋体" w:hAnsi="宋体" w:eastAsia="宋体" w:cs="宋体"/>
          <w:color w:val="auto"/>
          <w:sz w:val="24"/>
          <w:szCs w:val="24"/>
          <w:highlight w:val="none"/>
          <w:lang w:val="zh-CN"/>
        </w:rPr>
        <w:t>总额100%的价款，乙方在收到汇款和加盖</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zh-CN"/>
        </w:rPr>
        <w:t>公章的投保单后2天内需向</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zh-CN"/>
        </w:rPr>
        <w:t>出具正式保险单，同时在收到汇款后10日内向</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zh-CN"/>
        </w:rPr>
        <w:t>提交等额、合法有效的增值税专用发票（</w:t>
      </w:r>
      <w:r>
        <w:rPr>
          <w:rFonts w:hint="eastAsia" w:ascii="宋体" w:hAnsi="宋体" w:eastAsia="宋体" w:cs="宋体"/>
          <w:color w:val="auto"/>
          <w:sz w:val="24"/>
          <w:szCs w:val="24"/>
          <w:highlight w:val="none"/>
        </w:rPr>
        <w:t>保险费用</w:t>
      </w:r>
      <w:r>
        <w:rPr>
          <w:rFonts w:hint="eastAsia" w:ascii="宋体" w:hAnsi="宋体" w:eastAsia="宋体" w:cs="宋体"/>
          <w:color w:val="auto"/>
          <w:sz w:val="24"/>
          <w:szCs w:val="24"/>
          <w:highlight w:val="none"/>
          <w:lang w:val="zh-CN"/>
        </w:rPr>
        <w:t>由</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zh-CN"/>
        </w:rPr>
        <w:t>内部各方按照其内部约定的</w:t>
      </w:r>
      <w:r>
        <w:rPr>
          <w:rFonts w:hint="eastAsia" w:ascii="宋体" w:hAnsi="宋体" w:eastAsia="宋体" w:cs="宋体"/>
          <w:color w:val="auto"/>
          <w:sz w:val="24"/>
          <w:szCs w:val="24"/>
          <w:highlight w:val="none"/>
        </w:rPr>
        <w:t>保险费用</w:t>
      </w:r>
      <w:r>
        <w:rPr>
          <w:rFonts w:hint="eastAsia" w:ascii="宋体" w:hAnsi="宋体" w:eastAsia="宋体" w:cs="宋体"/>
          <w:color w:val="auto"/>
          <w:sz w:val="24"/>
          <w:szCs w:val="24"/>
          <w:highlight w:val="none"/>
          <w:lang w:val="zh-CN"/>
        </w:rPr>
        <w:t>比例承担，</w:t>
      </w:r>
      <w:r>
        <w:rPr>
          <w:rFonts w:hint="eastAsia" w:ascii="宋体" w:hAnsi="宋体" w:eastAsia="宋体" w:cs="宋体"/>
          <w:color w:val="auto"/>
          <w:sz w:val="24"/>
          <w:szCs w:val="24"/>
          <w:highlight w:val="none"/>
        </w:rPr>
        <w:t>其中甲方1：</w:t>
      </w:r>
      <w:r>
        <w:rPr>
          <w:rFonts w:hint="eastAsia" w:ascii="宋体" w:hAnsi="宋体" w:eastAsia="宋体" w:cs="宋体"/>
          <w:color w:val="auto"/>
          <w:sz w:val="24"/>
          <w:szCs w:val="24"/>
          <w:highlight w:val="none"/>
          <w:lang w:eastAsia="zh-CN"/>
        </w:rPr>
        <w:t>东莞市水务环境投资控股集团管网有限公司</w:t>
      </w:r>
      <w:r>
        <w:rPr>
          <w:rFonts w:hint="eastAsia" w:ascii="宋体" w:hAnsi="宋体" w:eastAsia="宋体" w:cs="宋体"/>
          <w:color w:val="auto"/>
          <w:sz w:val="24"/>
          <w:szCs w:val="24"/>
          <w:highlight w:val="none"/>
        </w:rPr>
        <w:t>占总费用10%、甲方2：东莞市莞泽水环境投资有限公司占10%、甲方3：东莞市东信水环境投资有限公司占20%、甲方4：东莞市东泽水环境投资有限公司占20%、甲方5：东莞市清泽水环境投资有限公司占20%、甲方6：东莞市莞清水环境投资有限</w:t>
      </w:r>
      <w:r>
        <w:rPr>
          <w:rFonts w:hint="eastAsia" w:ascii="宋体" w:hAnsi="宋体" w:eastAsia="宋体" w:cs="宋体"/>
          <w:color w:val="auto"/>
          <w:sz w:val="24"/>
          <w:szCs w:val="24"/>
          <w:highlight w:val="none"/>
          <w:lang w:eastAsia="zh-CN"/>
        </w:rPr>
        <w:t>公司</w:t>
      </w:r>
      <w:r>
        <w:rPr>
          <w:rFonts w:hint="eastAsia" w:ascii="宋体" w:hAnsi="宋体" w:eastAsia="宋体" w:cs="宋体"/>
          <w:color w:val="auto"/>
          <w:sz w:val="24"/>
          <w:szCs w:val="24"/>
          <w:highlight w:val="none"/>
        </w:rPr>
        <w:t>占10%、甲方7：东莞市东江水环境投资有限公司占10%。乙方</w:t>
      </w:r>
      <w:r>
        <w:rPr>
          <w:rFonts w:hint="eastAsia" w:ascii="宋体" w:hAnsi="宋体" w:eastAsia="宋体" w:cs="宋体"/>
          <w:color w:val="auto"/>
          <w:sz w:val="24"/>
          <w:szCs w:val="24"/>
          <w:highlight w:val="none"/>
          <w:lang w:val="zh-CN"/>
        </w:rPr>
        <w:t>对此知悉并明确表示同意且无任何异议。</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zh-CN"/>
        </w:rPr>
        <w:t>需按</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zh-CN"/>
        </w:rPr>
        <w:t>内部各方约定的保费承担比例向</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zh-CN"/>
        </w:rPr>
        <w:t>各方分别开具相应金额的增值税专用发票）。因乙方逾期提供请款资料及发票或提交资料不符合</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zh-CN"/>
        </w:rPr>
        <w:t>要求而给</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zh-CN"/>
        </w:rPr>
        <w:t>造成的损失由乙方承担赔偿责任。</w:t>
      </w:r>
    </w:p>
    <w:p w14:paraId="3FD0011D">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乙方指定银行账户如下：</w:t>
      </w:r>
    </w:p>
    <w:p w14:paraId="12135792">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p>
    <w:p w14:paraId="6A970704">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w:t>
      </w:r>
    </w:p>
    <w:p w14:paraId="7878EBEB">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15223E49">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.本次合同总价（含税，税率为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元，其中甲方1：</w:t>
      </w:r>
      <w:r>
        <w:rPr>
          <w:rFonts w:hint="eastAsia" w:ascii="宋体" w:hAnsi="宋体" w:eastAsia="宋体" w:cs="宋体"/>
          <w:color w:val="auto"/>
          <w:sz w:val="24"/>
          <w:szCs w:val="24"/>
          <w:highlight w:val="none"/>
          <w:lang w:eastAsia="zh-CN"/>
        </w:rPr>
        <w:t>东莞市水务环境投资控股集团管网有限公司</w:t>
      </w:r>
      <w:r>
        <w:rPr>
          <w:rFonts w:hint="eastAsia" w:ascii="宋体" w:hAnsi="宋体" w:eastAsia="宋体" w:cs="宋体"/>
          <w:color w:val="auto"/>
          <w:sz w:val="24"/>
          <w:szCs w:val="24"/>
          <w:highlight w:val="none"/>
        </w:rPr>
        <w:t>列支</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元，甲方2：东莞市莞泽水环境投资有限公司列支</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元，甲方3：东莞市东信水环境投资有限公司列支</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元，甲方4：东莞市东泽水环境投资有限公司列支</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元，甲方5：东莞市清泽水环境投资有限公司列支</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元，甲方6：东莞市莞清水环境投资有限公司列支</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元，甲方7：东莞市东江水环境投资有限公司列支</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与用户需求书不一致的，分摊费用比例以本条款为准</w:t>
      </w:r>
      <w:r>
        <w:rPr>
          <w:rFonts w:hint="eastAsia" w:ascii="宋体" w:hAnsi="宋体" w:eastAsia="宋体" w:cs="宋体"/>
          <w:color w:val="auto"/>
          <w:sz w:val="24"/>
          <w:szCs w:val="24"/>
          <w:highlight w:val="none"/>
        </w:rPr>
        <w:t>。</w:t>
      </w:r>
    </w:p>
    <w:p w14:paraId="53B2E417">
      <w:pPr>
        <w:snapToGrid w:val="0"/>
        <w:spacing w:line="560" w:lineRule="exact"/>
        <w:ind w:firstLine="560"/>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 xml:space="preserve">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本合同约定的增值税税率）”，对于多出的税款金额，乙方自愿放弃。 </w:t>
      </w:r>
      <w:r>
        <w:rPr>
          <w:rFonts w:hint="eastAsia" w:ascii="宋体" w:hAnsi="宋体" w:eastAsia="宋体" w:cs="宋体"/>
          <w:color w:val="auto"/>
          <w:sz w:val="24"/>
          <w:szCs w:val="24"/>
          <w:highlight w:val="none"/>
          <w:lang w:val="en-US"/>
        </w:rPr>
        <w:t xml:space="preserve">    </w:t>
      </w:r>
    </w:p>
    <w:p w14:paraId="43106426">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lang w:val="en-US" w:eastAsia="zh-CN"/>
        </w:rPr>
      </w:pPr>
      <w:bookmarkStart w:id="507" w:name="_Toc17455"/>
      <w:r>
        <w:rPr>
          <w:rFonts w:hint="eastAsia" w:ascii="宋体" w:hAnsi="宋体" w:eastAsia="宋体" w:cs="宋体"/>
          <w:b/>
          <w:bCs/>
          <w:color w:val="auto"/>
          <w:sz w:val="24"/>
          <w:szCs w:val="24"/>
          <w:highlight w:val="none"/>
          <w:lang w:val="en-US" w:eastAsia="zh-CN"/>
        </w:rPr>
        <w:t>十四、赔偿处理</w:t>
      </w:r>
      <w:bookmarkEnd w:id="507"/>
    </w:p>
    <w:p w14:paraId="700BFA4E">
      <w:pPr>
        <w:numPr>
          <w:ilvl w:val="0"/>
          <w:numId w:val="0"/>
        </w:numPr>
        <w:adjustRightInd w:val="0"/>
        <w:snapToGrid w:val="0"/>
        <w:spacing w:line="560" w:lineRule="exact"/>
        <w:ind w:firstLine="480" w:firstLineChars="200"/>
        <w:outlineLvl w:val="9"/>
        <w:rPr>
          <w:rFonts w:hint="default" w:ascii="宋体" w:hAnsi="宋体" w:eastAsia="宋体" w:cs="宋体"/>
          <w:b w:val="0"/>
          <w:bCs w:val="0"/>
          <w:color w:val="auto"/>
          <w:sz w:val="24"/>
          <w:szCs w:val="24"/>
          <w:highlight w:val="none"/>
        </w:rPr>
      </w:pPr>
      <w:bookmarkStart w:id="508" w:name="_Toc3381"/>
      <w:r>
        <w:rPr>
          <w:rFonts w:hint="eastAsia" w:ascii="宋体" w:hAnsi="宋体" w:eastAsia="宋体" w:cs="宋体"/>
          <w:b w:val="0"/>
          <w:bCs w:val="0"/>
          <w:color w:val="auto"/>
          <w:sz w:val="24"/>
          <w:szCs w:val="24"/>
          <w:highlight w:val="none"/>
          <w:lang w:val="en-US" w:eastAsia="zh-CN"/>
        </w:rPr>
        <w:t>1.乙方</w:t>
      </w:r>
      <w:r>
        <w:rPr>
          <w:rFonts w:hint="default" w:ascii="宋体" w:hAnsi="宋体" w:eastAsia="宋体" w:cs="宋体"/>
          <w:b w:val="0"/>
          <w:bCs w:val="0"/>
          <w:color w:val="auto"/>
          <w:sz w:val="24"/>
          <w:szCs w:val="24"/>
          <w:highlight w:val="none"/>
        </w:rPr>
        <w:t>对每次事故的赔偿，以法院判决、仲裁裁决或经</w:t>
      </w:r>
      <w:r>
        <w:rPr>
          <w:rFonts w:hint="eastAsia" w:ascii="宋体" w:hAnsi="宋体" w:eastAsia="宋体" w:cs="宋体"/>
          <w:b w:val="0"/>
          <w:bCs w:val="0"/>
          <w:color w:val="auto"/>
          <w:sz w:val="24"/>
          <w:szCs w:val="24"/>
          <w:highlight w:val="none"/>
          <w:lang w:val="en-US" w:eastAsia="zh-CN"/>
        </w:rPr>
        <w:t>甲方</w:t>
      </w:r>
      <w:r>
        <w:rPr>
          <w:rFonts w:hint="default" w:ascii="宋体" w:hAnsi="宋体" w:eastAsia="宋体" w:cs="宋体"/>
          <w:b w:val="0"/>
          <w:bCs w:val="0"/>
          <w:color w:val="auto"/>
          <w:sz w:val="24"/>
          <w:szCs w:val="24"/>
          <w:highlight w:val="none"/>
        </w:rPr>
        <w:t>、受害人及</w:t>
      </w:r>
      <w:r>
        <w:rPr>
          <w:rFonts w:hint="eastAsia" w:ascii="宋体" w:hAnsi="宋体" w:eastAsia="宋体" w:cs="宋体"/>
          <w:b w:val="0"/>
          <w:bCs w:val="0"/>
          <w:color w:val="auto"/>
          <w:sz w:val="24"/>
          <w:szCs w:val="24"/>
          <w:highlight w:val="none"/>
          <w:lang w:val="en-US" w:eastAsia="zh-CN"/>
        </w:rPr>
        <w:t>乙方</w:t>
      </w:r>
      <w:r>
        <w:rPr>
          <w:rFonts w:hint="default" w:ascii="宋体" w:hAnsi="宋体" w:eastAsia="宋体" w:cs="宋体"/>
          <w:b w:val="0"/>
          <w:bCs w:val="0"/>
          <w:color w:val="auto"/>
          <w:sz w:val="24"/>
          <w:szCs w:val="24"/>
          <w:highlight w:val="none"/>
        </w:rPr>
        <w:t>协商确定的应由被保险人赔偿的金额为准，但不超过约定的赔偿限额。</w:t>
      </w:r>
      <w:bookmarkEnd w:id="508"/>
    </w:p>
    <w:p w14:paraId="2DEB0A70">
      <w:pPr>
        <w:numPr>
          <w:ilvl w:val="0"/>
          <w:numId w:val="0"/>
        </w:numPr>
        <w:adjustRightInd w:val="0"/>
        <w:snapToGrid w:val="0"/>
        <w:spacing w:line="560" w:lineRule="exact"/>
        <w:ind w:firstLine="480" w:firstLineChars="200"/>
        <w:outlineLvl w:val="9"/>
        <w:rPr>
          <w:rFonts w:hint="default" w:ascii="宋体" w:hAnsi="宋体" w:eastAsia="宋体" w:cs="宋体"/>
          <w:b w:val="0"/>
          <w:bCs w:val="0"/>
          <w:color w:val="auto"/>
          <w:sz w:val="24"/>
          <w:szCs w:val="24"/>
          <w:highlight w:val="none"/>
        </w:rPr>
      </w:pPr>
      <w:bookmarkStart w:id="509" w:name="_Toc4372"/>
      <w:r>
        <w:rPr>
          <w:rFonts w:hint="eastAsia" w:ascii="宋体" w:hAnsi="宋体" w:eastAsia="宋体" w:cs="宋体"/>
          <w:b w:val="0"/>
          <w:bCs w:val="0"/>
          <w:color w:val="auto"/>
          <w:sz w:val="24"/>
          <w:szCs w:val="24"/>
          <w:highlight w:val="none"/>
          <w:lang w:eastAsia="zh-CN"/>
        </w:rPr>
        <w:t>2</w:t>
      </w:r>
      <w:r>
        <w:rPr>
          <w:rFonts w:hint="eastAsia" w:ascii="宋体" w:hAnsi="宋体" w:eastAsia="宋体" w:cs="宋体"/>
          <w:b w:val="0"/>
          <w:bCs w:val="0"/>
          <w:color w:val="auto"/>
          <w:sz w:val="24"/>
          <w:szCs w:val="24"/>
          <w:highlight w:val="none"/>
          <w:lang w:val="en-US" w:eastAsia="zh-CN"/>
        </w:rPr>
        <w:t>.乙方</w:t>
      </w:r>
      <w:r>
        <w:rPr>
          <w:rFonts w:hint="default" w:ascii="宋体" w:hAnsi="宋体" w:eastAsia="宋体" w:cs="宋体"/>
          <w:b w:val="0"/>
          <w:bCs w:val="0"/>
          <w:color w:val="auto"/>
          <w:sz w:val="24"/>
          <w:szCs w:val="24"/>
          <w:highlight w:val="none"/>
        </w:rPr>
        <w:t>对接办诉讼的处理或解决，不应给</w:t>
      </w:r>
      <w:r>
        <w:rPr>
          <w:rFonts w:hint="eastAsia" w:ascii="宋体" w:hAnsi="宋体" w:eastAsia="宋体" w:cs="宋体"/>
          <w:b w:val="0"/>
          <w:bCs w:val="0"/>
          <w:color w:val="auto"/>
          <w:sz w:val="24"/>
          <w:szCs w:val="24"/>
          <w:highlight w:val="none"/>
          <w:lang w:val="en-US" w:eastAsia="zh-CN"/>
        </w:rPr>
        <w:t>甲方</w:t>
      </w:r>
      <w:r>
        <w:rPr>
          <w:rFonts w:hint="default" w:ascii="宋体" w:hAnsi="宋体" w:eastAsia="宋体" w:cs="宋体"/>
          <w:b w:val="0"/>
          <w:bCs w:val="0"/>
          <w:color w:val="auto"/>
          <w:sz w:val="24"/>
          <w:szCs w:val="24"/>
          <w:highlight w:val="none"/>
        </w:rPr>
        <w:t>带来损失和诉讼。</w:t>
      </w:r>
      <w:bookmarkEnd w:id="509"/>
    </w:p>
    <w:p w14:paraId="1A8A038F">
      <w:pPr>
        <w:numPr>
          <w:ilvl w:val="0"/>
          <w:numId w:val="0"/>
        </w:numPr>
        <w:adjustRightInd w:val="0"/>
        <w:snapToGrid w:val="0"/>
        <w:spacing w:line="560" w:lineRule="exact"/>
        <w:ind w:firstLine="480" w:firstLineChars="200"/>
        <w:outlineLvl w:val="9"/>
        <w:rPr>
          <w:rFonts w:hint="default" w:ascii="宋体" w:hAnsi="宋体" w:eastAsia="宋体" w:cs="宋体"/>
          <w:b w:val="0"/>
          <w:bCs w:val="0"/>
          <w:color w:val="auto"/>
          <w:sz w:val="24"/>
          <w:szCs w:val="24"/>
          <w:highlight w:val="none"/>
        </w:rPr>
      </w:pPr>
      <w:bookmarkStart w:id="510" w:name="_Toc30484"/>
      <w:r>
        <w:rPr>
          <w:rFonts w:hint="eastAsia" w:ascii="宋体" w:hAnsi="宋体" w:eastAsia="宋体" w:cs="宋体"/>
          <w:b w:val="0"/>
          <w:bCs w:val="0"/>
          <w:color w:val="auto"/>
          <w:sz w:val="24"/>
          <w:szCs w:val="24"/>
          <w:highlight w:val="none"/>
          <w:lang w:eastAsia="zh-CN"/>
        </w:rPr>
        <w:t>3</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rPr>
        <w:t>保险事故发生后，</w:t>
      </w:r>
      <w:r>
        <w:rPr>
          <w:rFonts w:hint="eastAsia" w:ascii="宋体" w:hAnsi="宋体" w:eastAsia="宋体" w:cs="宋体"/>
          <w:b w:val="0"/>
          <w:bCs w:val="0"/>
          <w:color w:val="auto"/>
          <w:sz w:val="24"/>
          <w:szCs w:val="24"/>
          <w:highlight w:val="none"/>
          <w:lang w:val="en-US" w:eastAsia="zh-CN"/>
        </w:rPr>
        <w:t>甲方</w:t>
      </w:r>
      <w:r>
        <w:rPr>
          <w:rFonts w:hint="default" w:ascii="宋体" w:hAnsi="宋体" w:eastAsia="宋体" w:cs="宋体"/>
          <w:b w:val="0"/>
          <w:bCs w:val="0"/>
          <w:color w:val="auto"/>
          <w:sz w:val="24"/>
          <w:szCs w:val="24"/>
          <w:highlight w:val="none"/>
        </w:rPr>
        <w:t>为减少损失所支付的必要的、合理的费用，由</w:t>
      </w:r>
      <w:r>
        <w:rPr>
          <w:rFonts w:hint="eastAsia" w:ascii="宋体" w:hAnsi="宋体" w:eastAsia="宋体" w:cs="宋体"/>
          <w:b w:val="0"/>
          <w:bCs w:val="0"/>
          <w:color w:val="auto"/>
          <w:sz w:val="24"/>
          <w:szCs w:val="24"/>
          <w:highlight w:val="none"/>
          <w:lang w:val="en-US" w:eastAsia="zh-CN"/>
        </w:rPr>
        <w:t>乙方</w:t>
      </w:r>
      <w:r>
        <w:rPr>
          <w:rFonts w:hint="default" w:ascii="宋体" w:hAnsi="宋体" w:eastAsia="宋体" w:cs="宋体"/>
          <w:b w:val="0"/>
          <w:bCs w:val="0"/>
          <w:color w:val="auto"/>
          <w:sz w:val="24"/>
          <w:szCs w:val="24"/>
          <w:highlight w:val="none"/>
        </w:rPr>
        <w:t>承担；</w:t>
      </w:r>
      <w:r>
        <w:rPr>
          <w:rFonts w:hint="eastAsia" w:ascii="宋体" w:hAnsi="宋体" w:eastAsia="宋体" w:cs="宋体"/>
          <w:b w:val="0"/>
          <w:bCs w:val="0"/>
          <w:color w:val="auto"/>
          <w:sz w:val="24"/>
          <w:szCs w:val="24"/>
          <w:highlight w:val="none"/>
          <w:lang w:val="en-US" w:eastAsia="zh-CN"/>
        </w:rPr>
        <w:t>乙方</w:t>
      </w:r>
      <w:r>
        <w:rPr>
          <w:rFonts w:hint="default" w:ascii="宋体" w:hAnsi="宋体" w:eastAsia="宋体" w:cs="宋体"/>
          <w:b w:val="0"/>
          <w:bCs w:val="0"/>
          <w:color w:val="auto"/>
          <w:sz w:val="24"/>
          <w:szCs w:val="24"/>
          <w:highlight w:val="none"/>
        </w:rPr>
        <w:t>所承担的费用数额在保险标的损失赔偿金额以外另行计算，最高不超过约定的赔偿限额。</w:t>
      </w:r>
      <w:bookmarkEnd w:id="510"/>
    </w:p>
    <w:p w14:paraId="573F0CD1">
      <w:pPr>
        <w:numPr>
          <w:ilvl w:val="0"/>
          <w:numId w:val="0"/>
        </w:numPr>
        <w:adjustRightInd w:val="0"/>
        <w:snapToGrid w:val="0"/>
        <w:spacing w:line="560" w:lineRule="exact"/>
        <w:ind w:firstLine="480" w:firstLineChars="200"/>
        <w:outlineLvl w:val="9"/>
        <w:rPr>
          <w:rFonts w:hint="default" w:ascii="宋体" w:hAnsi="宋体" w:eastAsia="宋体" w:cs="宋体"/>
          <w:b w:val="0"/>
          <w:bCs w:val="0"/>
          <w:color w:val="auto"/>
          <w:sz w:val="24"/>
          <w:szCs w:val="24"/>
          <w:highlight w:val="none"/>
          <w:lang w:val="en-US" w:eastAsia="zh-CN"/>
        </w:rPr>
      </w:pPr>
      <w:bookmarkStart w:id="511" w:name="_Toc1259"/>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rPr>
        <w:t>如双方认为需由公估人介入理赔，公估人由</w:t>
      </w:r>
      <w:r>
        <w:rPr>
          <w:rFonts w:hint="eastAsia" w:ascii="宋体" w:hAnsi="宋体" w:eastAsia="宋体" w:cs="宋体"/>
          <w:color w:val="auto"/>
          <w:sz w:val="24"/>
          <w:szCs w:val="24"/>
          <w:highlight w:val="none"/>
          <w:lang w:val="en-US" w:eastAsia="zh-CN"/>
        </w:rPr>
        <w:t>甲乙双方</w:t>
      </w:r>
      <w:r>
        <w:rPr>
          <w:rFonts w:hint="default" w:ascii="宋体" w:hAnsi="宋体" w:eastAsia="宋体" w:cs="宋体"/>
          <w:color w:val="auto"/>
          <w:sz w:val="24"/>
          <w:szCs w:val="24"/>
          <w:highlight w:val="none"/>
        </w:rPr>
        <w:t>共同选定，公估费用由</w:t>
      </w:r>
      <w:r>
        <w:rPr>
          <w:rFonts w:hint="eastAsia" w:ascii="宋体" w:hAnsi="宋体" w:eastAsia="宋体" w:cs="宋体"/>
          <w:color w:val="auto"/>
          <w:sz w:val="24"/>
          <w:szCs w:val="24"/>
          <w:highlight w:val="none"/>
          <w:lang w:val="en-US" w:eastAsia="zh-CN"/>
        </w:rPr>
        <w:t>乙方</w:t>
      </w:r>
      <w:r>
        <w:rPr>
          <w:rFonts w:hint="default" w:ascii="宋体" w:hAnsi="宋体" w:eastAsia="宋体" w:cs="宋体"/>
          <w:color w:val="auto"/>
          <w:sz w:val="24"/>
          <w:szCs w:val="24"/>
          <w:highlight w:val="none"/>
        </w:rPr>
        <w:t>负责。</w:t>
      </w:r>
      <w:bookmarkEnd w:id="511"/>
    </w:p>
    <w:p w14:paraId="1F46BC8C">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rPr>
      </w:pPr>
      <w:bookmarkStart w:id="512" w:name="_Toc7631"/>
      <w:r>
        <w:rPr>
          <w:rFonts w:hint="eastAsia" w:ascii="宋体" w:hAnsi="宋体" w:eastAsia="宋体" w:cs="宋体"/>
          <w:b/>
          <w:bCs/>
          <w:color w:val="auto"/>
          <w:sz w:val="24"/>
          <w:szCs w:val="24"/>
          <w:highlight w:val="none"/>
          <w:lang w:val="en-US" w:eastAsia="zh-CN"/>
        </w:rPr>
        <w:t>十五、</w:t>
      </w:r>
      <w:r>
        <w:rPr>
          <w:rFonts w:hint="eastAsia" w:ascii="宋体" w:hAnsi="宋体" w:eastAsia="宋体" w:cs="宋体"/>
          <w:b/>
          <w:bCs/>
          <w:color w:val="auto"/>
          <w:sz w:val="24"/>
          <w:szCs w:val="24"/>
          <w:highlight w:val="none"/>
        </w:rPr>
        <w:t>合同变更</w:t>
      </w:r>
      <w:r>
        <w:rPr>
          <w:rFonts w:hint="eastAsia" w:ascii="宋体" w:hAnsi="宋体" w:eastAsia="宋体" w:cs="宋体"/>
          <w:b/>
          <w:bCs/>
          <w:color w:val="auto"/>
          <w:sz w:val="24"/>
          <w:szCs w:val="24"/>
          <w:highlight w:val="none"/>
          <w:lang w:val="en-US" w:eastAsia="zh-CN"/>
        </w:rPr>
        <w:t>或终止</w:t>
      </w:r>
      <w:bookmarkEnd w:id="512"/>
    </w:p>
    <w:p w14:paraId="631A9B19">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本合同生效后，甲、乙双方应严格按照本合同内容执行，非经双方协商一致不得擅自变更。如确有因国家法律、法令、政策等不可抗拒的原因需变更，应由双方协商一致并另行签订书面合同。</w:t>
      </w:r>
    </w:p>
    <w:p w14:paraId="34A3DD73">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在合同期内，若因甲方经营范围变更、组织架构优化重组等原因，致使公众责任险实际服务范围发生调整，甲方有权在完成当年度保单约定服务的履行后，单方面、无条件终止本服务合同，且无须承担违约责任。自终止之日起，甲方无需再支付后续剩余保险年度的保费款项，乙方应积极配合完成合同终止相关手续办理。</w:t>
      </w:r>
    </w:p>
    <w:p w14:paraId="2E436E5E">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rPr>
      </w:pPr>
      <w:bookmarkStart w:id="513" w:name="_Toc17945"/>
      <w:r>
        <w:rPr>
          <w:rFonts w:hint="eastAsia" w:ascii="宋体" w:hAnsi="宋体" w:eastAsia="宋体" w:cs="宋体"/>
          <w:b/>
          <w:bCs/>
          <w:color w:val="auto"/>
          <w:sz w:val="24"/>
          <w:szCs w:val="24"/>
          <w:highlight w:val="none"/>
          <w:lang w:val="en-US" w:eastAsia="zh-CN"/>
        </w:rPr>
        <w:t>十六、</w:t>
      </w:r>
      <w:r>
        <w:rPr>
          <w:rFonts w:hint="eastAsia" w:ascii="宋体" w:hAnsi="宋体" w:eastAsia="宋体" w:cs="宋体"/>
          <w:b/>
          <w:bCs/>
          <w:color w:val="auto"/>
          <w:sz w:val="24"/>
          <w:szCs w:val="24"/>
          <w:highlight w:val="none"/>
        </w:rPr>
        <w:t>违约</w:t>
      </w:r>
      <w:r>
        <w:rPr>
          <w:rFonts w:hint="eastAsia" w:ascii="宋体" w:hAnsi="宋体" w:eastAsia="宋体" w:cs="宋体"/>
          <w:b/>
          <w:bCs/>
          <w:color w:val="auto"/>
          <w:sz w:val="24"/>
          <w:szCs w:val="24"/>
          <w:highlight w:val="none"/>
          <w:lang w:val="en-US" w:eastAsia="zh-CN"/>
        </w:rPr>
        <w:t>责任</w:t>
      </w:r>
      <w:bookmarkEnd w:id="513"/>
    </w:p>
    <w:p w14:paraId="21D1479F">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甲乙双方应秉承善意履行本合同，如一方因过错不履行合同或履行不符合约定时，应承担相应法律责任。</w:t>
      </w:r>
    </w:p>
    <w:p w14:paraId="6A5D51B1">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在保险期内，</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原则上不得更换项目负责人，如</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必须更换项目负责人，必须提前</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个月通知</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并做出合理解释，且</w:t>
      </w:r>
      <w:r>
        <w:rPr>
          <w:rFonts w:hint="eastAsia" w:ascii="宋体" w:hAnsi="宋体" w:eastAsia="宋体" w:cs="宋体"/>
          <w:color w:val="auto"/>
          <w:sz w:val="24"/>
          <w:szCs w:val="24"/>
          <w:highlight w:val="none"/>
          <w:lang w:val="en-US" w:eastAsia="zh-CN"/>
        </w:rPr>
        <w:t>更换</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员</w:t>
      </w:r>
      <w:r>
        <w:rPr>
          <w:rFonts w:hint="eastAsia" w:ascii="宋体" w:hAnsi="宋体" w:eastAsia="宋体" w:cs="宋体"/>
          <w:color w:val="auto"/>
          <w:sz w:val="24"/>
          <w:szCs w:val="24"/>
          <w:highlight w:val="none"/>
        </w:rPr>
        <w:t>资质条件应具备与原负责人相当的专业资质、从业经验及服务能力（包括但不限于同等或更高的保险行业执业资格、同类保险项目服务年限不低于原负责人、无不良执业记录等）。</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在未征得</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同意前不得擅自更换项目负责人，如</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擅自更换项目负责人，每出现一人次，</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应向</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支付违约金人民币</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元。若更换后的人员资质、能力明显低于原负责人导致服务质量下降的，</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有权要求</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重新更换符合要求的项目负责人。</w:t>
      </w:r>
    </w:p>
    <w:p w14:paraId="6C06EEF2">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在本合同履行期间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乙方应保证投入本项目的项目管理人员数量并</w:t>
      </w:r>
      <w:r>
        <w:rPr>
          <w:rFonts w:hint="eastAsia" w:ascii="宋体" w:hAnsi="宋体" w:eastAsia="宋体" w:cs="宋体"/>
          <w:color w:val="auto"/>
          <w:sz w:val="24"/>
          <w:szCs w:val="24"/>
          <w:highlight w:val="none"/>
        </w:rPr>
        <w:t>具有履行本合同的资质能力</w:t>
      </w:r>
      <w:r>
        <w:rPr>
          <w:rFonts w:hint="eastAsia" w:ascii="宋体" w:hAnsi="宋体" w:eastAsia="宋体" w:cs="宋体"/>
          <w:color w:val="auto"/>
          <w:sz w:val="24"/>
          <w:szCs w:val="24"/>
          <w:highlight w:val="none"/>
          <w:lang w:val="en-US" w:eastAsia="zh-CN"/>
        </w:rPr>
        <w:t>，否则，</w:t>
      </w:r>
      <w:r>
        <w:rPr>
          <w:rFonts w:hint="eastAsia" w:ascii="宋体" w:hAnsi="宋体" w:eastAsia="宋体" w:cs="宋体"/>
          <w:color w:val="auto"/>
          <w:sz w:val="24"/>
          <w:szCs w:val="24"/>
          <w:highlight w:val="none"/>
        </w:rPr>
        <w:t>甲方有权解除本合同，并要求乙方支付服务费暂定总额的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％作为违约金以及承担因此给甲方造成的所有损失。</w:t>
      </w:r>
    </w:p>
    <w:p w14:paraId="7C8F182A">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4.甲方</w:t>
      </w:r>
      <w:r>
        <w:rPr>
          <w:rFonts w:hint="eastAsia" w:ascii="宋体" w:hAnsi="宋体" w:eastAsia="宋体" w:cs="宋体"/>
          <w:color w:val="auto"/>
          <w:sz w:val="24"/>
          <w:szCs w:val="24"/>
          <w:highlight w:val="none"/>
        </w:rPr>
        <w:t>需要</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到现场处理的或协商的理赔业务，</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应在1个小时内到达</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逾期未响应或未到场的，视为乙方违约，</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应向</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支付违约金人民币2000元</w:t>
      </w:r>
      <w:r>
        <w:rPr>
          <w:rFonts w:hint="eastAsia" w:ascii="宋体" w:hAnsi="宋体" w:eastAsia="宋体" w:cs="宋体"/>
          <w:color w:val="auto"/>
          <w:sz w:val="24"/>
          <w:szCs w:val="24"/>
          <w:highlight w:val="none"/>
          <w:lang w:val="en-US" w:eastAsia="zh-CN"/>
        </w:rPr>
        <w:t>/次，超过3次（不含）的，</w:t>
      </w:r>
      <w:r>
        <w:rPr>
          <w:rFonts w:hint="eastAsia" w:ascii="宋体" w:hAnsi="宋体" w:eastAsia="宋体" w:cs="宋体"/>
          <w:color w:val="auto"/>
          <w:sz w:val="24"/>
          <w:szCs w:val="24"/>
          <w:highlight w:val="none"/>
        </w:rPr>
        <w:t>甲方有权解除本合同，并要求乙方支付服务费暂定总额的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％作为违约金以及承担因此给甲方造成的所有损失。</w:t>
      </w:r>
    </w:p>
    <w:p w14:paraId="0068E14F">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乙方应严格按照合同约定对</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的雇员开展理赔业务相应的程序，理赔范围、技巧及法规培训，每年不少于1次，乙方无正当理由不开展培训活动</w:t>
      </w:r>
      <w:r>
        <w:rPr>
          <w:rFonts w:hint="eastAsia" w:ascii="宋体" w:hAnsi="宋体" w:eastAsia="宋体" w:cs="宋体"/>
          <w:color w:val="auto"/>
          <w:sz w:val="24"/>
          <w:szCs w:val="24"/>
          <w:highlight w:val="none"/>
          <w:lang w:val="en-US" w:eastAsia="zh-CN"/>
        </w:rPr>
        <w:t>或培训内容不满足甲方要求</w:t>
      </w:r>
      <w:r>
        <w:rPr>
          <w:rFonts w:hint="eastAsia" w:ascii="宋体" w:hAnsi="宋体" w:eastAsia="宋体" w:cs="宋体"/>
          <w:color w:val="auto"/>
          <w:sz w:val="24"/>
          <w:szCs w:val="24"/>
          <w:highlight w:val="none"/>
        </w:rPr>
        <w:t>的，甲方有权要求乙方限期改正，未按甲方要求进行整改的，甲方有权解除合同，同时甲方有权要求乙方按本项目合同总价（含税）的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%向甲方支付违约金。</w:t>
      </w:r>
    </w:p>
    <w:p w14:paraId="42C1E144">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6.乙方</w:t>
      </w:r>
      <w:r>
        <w:rPr>
          <w:rFonts w:hint="eastAsia" w:ascii="宋体" w:hAnsi="宋体" w:eastAsia="宋体" w:cs="宋体"/>
          <w:color w:val="auto"/>
          <w:sz w:val="24"/>
          <w:szCs w:val="24"/>
          <w:highlight w:val="none"/>
        </w:rPr>
        <w:t>每月</w:t>
      </w:r>
      <w:r>
        <w:rPr>
          <w:rFonts w:hint="eastAsia" w:ascii="宋体" w:hAnsi="宋体" w:eastAsia="宋体" w:cs="宋体"/>
          <w:color w:val="auto"/>
          <w:sz w:val="24"/>
          <w:szCs w:val="24"/>
          <w:highlight w:val="none"/>
          <w:lang w:val="en-US" w:eastAsia="zh-CN"/>
        </w:rPr>
        <w:t>10日前</w:t>
      </w:r>
      <w:r>
        <w:rPr>
          <w:rFonts w:hint="eastAsia" w:ascii="宋体" w:hAnsi="宋体" w:eastAsia="宋体" w:cs="宋体"/>
          <w:color w:val="auto"/>
          <w:sz w:val="24"/>
          <w:szCs w:val="24"/>
          <w:highlight w:val="none"/>
          <w:lang w:eastAsia="zh-CN"/>
        </w:rPr>
        <w:t>需</w:t>
      </w:r>
      <w:r>
        <w:rPr>
          <w:rFonts w:hint="eastAsia" w:ascii="宋体" w:hAnsi="宋体" w:eastAsia="宋体" w:cs="宋体"/>
          <w:color w:val="auto"/>
          <w:sz w:val="24"/>
          <w:szCs w:val="24"/>
          <w:highlight w:val="none"/>
        </w:rPr>
        <w:t>将</w:t>
      </w:r>
      <w:r>
        <w:rPr>
          <w:rFonts w:hint="eastAsia" w:ascii="宋体" w:hAnsi="宋体" w:eastAsia="宋体" w:cs="宋体"/>
          <w:color w:val="auto"/>
          <w:sz w:val="24"/>
          <w:szCs w:val="24"/>
          <w:highlight w:val="none"/>
          <w:lang w:val="en-US" w:eastAsia="zh-CN"/>
        </w:rPr>
        <w:t>上月的</w:t>
      </w:r>
      <w:r>
        <w:rPr>
          <w:rFonts w:hint="eastAsia" w:ascii="宋体" w:hAnsi="宋体" w:eastAsia="宋体" w:cs="宋体"/>
          <w:color w:val="auto"/>
          <w:sz w:val="24"/>
          <w:szCs w:val="24"/>
          <w:highlight w:val="none"/>
        </w:rPr>
        <w:t>理赔情况反馈至</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逾期未</w:t>
      </w:r>
      <w:r>
        <w:rPr>
          <w:rFonts w:hint="eastAsia" w:ascii="宋体" w:hAnsi="宋体" w:eastAsia="宋体" w:cs="宋体"/>
          <w:color w:val="auto"/>
          <w:sz w:val="24"/>
          <w:szCs w:val="24"/>
          <w:highlight w:val="none"/>
          <w:lang w:val="en-US" w:eastAsia="zh-CN"/>
        </w:rPr>
        <w:t>反馈</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应向</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人支付违约金人民币2000元</w:t>
      </w:r>
      <w:r>
        <w:rPr>
          <w:rFonts w:hint="eastAsia" w:ascii="宋体" w:hAnsi="宋体" w:eastAsia="宋体" w:cs="宋体"/>
          <w:color w:val="auto"/>
          <w:sz w:val="24"/>
          <w:szCs w:val="24"/>
          <w:highlight w:val="none"/>
          <w:lang w:val="en-US" w:eastAsia="zh-CN"/>
        </w:rPr>
        <w:t>/次，超过3次（不含）的，</w:t>
      </w:r>
      <w:r>
        <w:rPr>
          <w:rFonts w:hint="eastAsia" w:ascii="宋体" w:hAnsi="宋体" w:eastAsia="宋体" w:cs="宋体"/>
          <w:color w:val="auto"/>
          <w:sz w:val="24"/>
          <w:szCs w:val="24"/>
          <w:highlight w:val="none"/>
        </w:rPr>
        <w:t>甲方有权解除本合同，并要求乙方支付服务费暂定总额的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％作为违约金以及承担因此给甲方造成的所有损失。</w:t>
      </w:r>
    </w:p>
    <w:p w14:paraId="28AC770B">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7.乙方</w:t>
      </w:r>
      <w:r>
        <w:rPr>
          <w:rFonts w:hint="eastAsia" w:ascii="宋体" w:hAnsi="宋体" w:eastAsia="宋体" w:cs="宋体"/>
          <w:color w:val="auto"/>
          <w:sz w:val="24"/>
          <w:szCs w:val="24"/>
          <w:highlight w:val="none"/>
        </w:rPr>
        <w:t>在收到</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完整理赔资料后，应在</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个工作日内完成审核并作出赔付决定；对属于保险责任的，应在作出决定后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个工作日内支付赔款。若保险人无正当理由拖延审核或赔付，每逾期 1 日，按应赔付金额的0.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5%向甲方支付违约金，逾期超过15日，甲方有权</w:t>
      </w:r>
      <w:r>
        <w:rPr>
          <w:rFonts w:hint="eastAsia" w:ascii="宋体" w:hAnsi="宋体" w:eastAsia="宋体" w:cs="宋体"/>
          <w:color w:val="auto"/>
          <w:sz w:val="24"/>
          <w:szCs w:val="24"/>
          <w:highlight w:val="none"/>
          <w:lang w:val="en-US" w:eastAsia="zh-CN"/>
        </w:rPr>
        <w:t>在乙方完成赔付后</w:t>
      </w:r>
      <w:r>
        <w:rPr>
          <w:rFonts w:hint="eastAsia" w:ascii="宋体" w:hAnsi="宋体" w:eastAsia="宋体" w:cs="宋体"/>
          <w:color w:val="auto"/>
          <w:sz w:val="24"/>
          <w:szCs w:val="24"/>
          <w:highlight w:val="none"/>
        </w:rPr>
        <w:t>解除部分或全部保险合同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要求保险人退还相应的保费，</w:t>
      </w:r>
      <w:r>
        <w:rPr>
          <w:rFonts w:hint="eastAsia" w:ascii="宋体" w:hAnsi="宋体" w:eastAsia="宋体" w:cs="宋体"/>
          <w:color w:val="auto"/>
          <w:sz w:val="24"/>
          <w:szCs w:val="24"/>
          <w:highlight w:val="none"/>
        </w:rPr>
        <w:t>并要求保险人承担本项目合同总价（含税）</w:t>
      </w:r>
      <w:r>
        <w:rPr>
          <w:rFonts w:hint="eastAsia" w:ascii="宋体" w:hAnsi="宋体" w:eastAsia="宋体" w:cs="宋体"/>
          <w:color w:val="auto"/>
          <w:sz w:val="24"/>
          <w:szCs w:val="24"/>
          <w:highlight w:val="none"/>
          <w:lang w:val="en-US" w:eastAsia="zh-CN"/>
        </w:rPr>
        <w:t>5%的违约金及赔偿甲方</w:t>
      </w:r>
      <w:r>
        <w:rPr>
          <w:rFonts w:hint="eastAsia" w:ascii="宋体" w:hAnsi="宋体" w:eastAsia="宋体" w:cs="宋体"/>
          <w:color w:val="auto"/>
          <w:sz w:val="24"/>
          <w:szCs w:val="24"/>
          <w:highlight w:val="none"/>
        </w:rPr>
        <w:t>由此造成的损失。</w:t>
      </w:r>
    </w:p>
    <w:p w14:paraId="3FA2B21A">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合同生效后，乙方单方擅自终止或解除合同的，应按本</w:t>
      </w:r>
      <w:r>
        <w:rPr>
          <w:rFonts w:hint="eastAsia" w:ascii="宋体" w:hAnsi="宋体" w:eastAsia="宋体" w:cs="宋体"/>
          <w:color w:val="auto"/>
          <w:sz w:val="24"/>
          <w:szCs w:val="24"/>
          <w:highlight w:val="none"/>
          <w:lang w:val="en-US" w:eastAsia="zh-CN"/>
        </w:rPr>
        <w:t>项目合同总价（含税）</w:t>
      </w:r>
      <w:r>
        <w:rPr>
          <w:rFonts w:hint="eastAsia" w:ascii="宋体" w:hAnsi="宋体" w:eastAsia="宋体" w:cs="宋体"/>
          <w:color w:val="auto"/>
          <w:sz w:val="24"/>
          <w:szCs w:val="24"/>
          <w:highlight w:val="none"/>
        </w:rPr>
        <w:t>的的</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%向甲方支付违约金，并承担甲方由此遭受的全部损失。</w:t>
      </w:r>
    </w:p>
    <w:p w14:paraId="15A78D84">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乙方不得将合同项下工作转包或未经甲方书面同意分包给第三人，否则，甲方有权取消乙方服务资格、单方面解除合同，同时甲方有权要求乙方赔偿甲方损失（包括但不限于律师费、诉讼费、保全费、执行费、差旅费、赔偿金等），在一年内禁止其参与甲方招投标、采购活动；涉嫌犯罪的，移交司法机关依法追究刑事责任，且乙方应按本</w:t>
      </w:r>
      <w:r>
        <w:rPr>
          <w:rFonts w:hint="eastAsia" w:ascii="宋体" w:hAnsi="宋体" w:eastAsia="宋体" w:cs="宋体"/>
          <w:color w:val="auto"/>
          <w:sz w:val="24"/>
          <w:szCs w:val="24"/>
          <w:highlight w:val="none"/>
          <w:lang w:val="en-US" w:eastAsia="zh-CN"/>
        </w:rPr>
        <w:t>项目合同总价（含税）</w:t>
      </w:r>
      <w:r>
        <w:rPr>
          <w:rFonts w:hint="eastAsia" w:ascii="宋体" w:hAnsi="宋体" w:eastAsia="宋体" w:cs="宋体"/>
          <w:color w:val="auto"/>
          <w:sz w:val="24"/>
          <w:szCs w:val="24"/>
          <w:highlight w:val="none"/>
        </w:rPr>
        <w:t>的5%向甲方支付违约金。</w:t>
      </w:r>
    </w:p>
    <w:p w14:paraId="7EB9C024">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鉴定费、评估费、赔偿金等</w:t>
      </w:r>
      <w:r>
        <w:rPr>
          <w:rFonts w:hint="eastAsia" w:ascii="宋体" w:hAnsi="宋体" w:eastAsia="宋体" w:cs="宋体"/>
          <w:color w:val="auto"/>
          <w:sz w:val="24"/>
          <w:szCs w:val="24"/>
          <w:highlight w:val="none"/>
          <w:lang w:eastAsia="zh-CN"/>
        </w:rPr>
        <w:t>。</w:t>
      </w:r>
    </w:p>
    <w:p w14:paraId="3ADAA57D">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在本合同履行过程中，如乙方存在违约行为的，本合同项下甲方（包括甲方 1、甲方 2、甲方 3、甲方 4、甲方5、甲方6、甲方7）皆有权按合同之约定（包括但不限于以本</w:t>
      </w:r>
      <w:r>
        <w:rPr>
          <w:rFonts w:hint="eastAsia" w:ascii="宋体" w:hAnsi="宋体" w:eastAsia="宋体" w:cs="宋体"/>
          <w:color w:val="auto"/>
          <w:sz w:val="24"/>
          <w:szCs w:val="24"/>
          <w:highlight w:val="none"/>
          <w:lang w:val="en-US" w:eastAsia="zh-CN"/>
        </w:rPr>
        <w:t>项目合同总价（含税）</w:t>
      </w:r>
      <w:r>
        <w:rPr>
          <w:rFonts w:hint="eastAsia" w:ascii="宋体" w:hAnsi="宋体" w:eastAsia="宋体" w:cs="宋体"/>
          <w:color w:val="auto"/>
          <w:sz w:val="24"/>
          <w:szCs w:val="24"/>
          <w:highlight w:val="none"/>
        </w:rPr>
        <w:t>作为违约金的计算基数）向乙方追究违约责任；乙方对此同意且没有异议。</w:t>
      </w:r>
    </w:p>
    <w:p w14:paraId="7D425F49">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因乙方违反本合同约定产生的违约金、赔偿金等，甲方有权在未付合同价款中直接扣除，如造成甲方损失，且实际损失高于违约金的，甲方有权另行追偿。</w:t>
      </w:r>
    </w:p>
    <w:p w14:paraId="627F17F5">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乙方在履行本合同过程中存在违约行为的，甲方可要求乙方补偿甲方的全部经济损失（包括应承担甲方实现债权的费用，如律师费、诉讼费、保全保险费、差旅费、鉴定费、评估费、执行费、赔偿金等）。</w:t>
      </w:r>
    </w:p>
    <w:p w14:paraId="5B75075A">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要求乙方按本</w:t>
      </w:r>
      <w:r>
        <w:rPr>
          <w:rFonts w:hint="eastAsia" w:ascii="宋体" w:hAnsi="宋体" w:eastAsia="宋体" w:cs="宋体"/>
          <w:color w:val="auto"/>
          <w:sz w:val="24"/>
          <w:szCs w:val="24"/>
          <w:highlight w:val="none"/>
          <w:lang w:val="en-US" w:eastAsia="zh-CN"/>
        </w:rPr>
        <w:t>项目合同总价（含税）</w:t>
      </w:r>
      <w:r>
        <w:rPr>
          <w:rFonts w:hint="eastAsia" w:ascii="宋体" w:hAnsi="宋体" w:eastAsia="宋体" w:cs="宋体"/>
          <w:color w:val="auto"/>
          <w:sz w:val="24"/>
          <w:szCs w:val="24"/>
          <w:highlight w:val="none"/>
        </w:rPr>
        <w:t>的10%向甲方支付违约金。</w:t>
      </w:r>
    </w:p>
    <w:p w14:paraId="2460E591">
      <w:pPr>
        <w:numPr>
          <w:ilvl w:val="0"/>
          <w:numId w:val="0"/>
        </w:num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因乙方原因，导致发生法律纠纷案件，甲方被列为承担责任的诉讼当事人，或造成社会负面影响的，视为乙方违约，甲方即有权对乙方处以20000元的违约金；如造成甲方经济损失的（包括但不限于律师费、诉讼费、保全费、执行费、差旅费、鉴定费、评估费、赔偿金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CCC056F">
      <w:pPr>
        <w:numPr>
          <w:ilvl w:val="0"/>
          <w:numId w:val="0"/>
        </w:numPr>
        <w:adjustRightInd w:val="0"/>
        <w:snapToGrid w:val="0"/>
        <w:spacing w:line="560" w:lineRule="exact"/>
        <w:ind w:firstLine="480" w:firstLineChars="200"/>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乙方履行的合同义务不符合合同要求的，如本合同已约定相关违约责任，则应从其约定。合同中无约定的，甲方有权要求乙方在甲方规定的限期内整改完毕，如乙方未能在限期时间内予以改正的，甲方有权要求甲方支付2000元/次的违约金。</w:t>
      </w:r>
    </w:p>
    <w:p w14:paraId="554EC31A">
      <w:pPr>
        <w:numPr>
          <w:ilvl w:val="0"/>
          <w:numId w:val="0"/>
        </w:numPr>
        <w:adjustRightInd w:val="0"/>
        <w:snapToGrid w:val="0"/>
        <w:spacing w:line="560" w:lineRule="exact"/>
        <w:outlineLvl w:val="9"/>
        <w:rPr>
          <w:rFonts w:hint="eastAsia" w:ascii="宋体" w:hAnsi="宋体" w:eastAsia="宋体" w:cs="宋体"/>
          <w:color w:val="auto"/>
          <w:sz w:val="24"/>
          <w:szCs w:val="24"/>
          <w:highlight w:val="none"/>
        </w:rPr>
      </w:pPr>
      <w:bookmarkStart w:id="514" w:name="_Toc1481"/>
      <w:r>
        <w:rPr>
          <w:rFonts w:hint="eastAsia" w:ascii="宋体" w:hAnsi="宋体" w:eastAsia="宋体" w:cs="宋体"/>
          <w:b/>
          <w:bCs/>
          <w:color w:val="auto"/>
          <w:sz w:val="24"/>
          <w:szCs w:val="24"/>
          <w:highlight w:val="none"/>
          <w:lang w:val="en-US" w:eastAsia="zh-CN"/>
        </w:rPr>
        <w:t>十七、</w:t>
      </w:r>
      <w:r>
        <w:rPr>
          <w:rFonts w:hint="eastAsia" w:ascii="宋体" w:hAnsi="宋体" w:eastAsia="宋体" w:cs="宋体"/>
          <w:b/>
          <w:bCs/>
          <w:color w:val="auto"/>
          <w:sz w:val="24"/>
          <w:szCs w:val="24"/>
          <w:highlight w:val="none"/>
        </w:rPr>
        <w:t>合同效力</w:t>
      </w:r>
      <w:bookmarkEnd w:id="514"/>
    </w:p>
    <w:p w14:paraId="5CE1A7A3">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本合同和与之相联系的保险单、保险条款构成完整的规定双方权利与义务关系的书面法律文件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附加条款、特别约定</w:t>
      </w:r>
      <w:r>
        <w:rPr>
          <w:rFonts w:hint="eastAsia" w:ascii="宋体" w:hAnsi="宋体" w:eastAsia="宋体" w:cs="宋体"/>
          <w:color w:val="auto"/>
          <w:sz w:val="24"/>
          <w:szCs w:val="24"/>
          <w:highlight w:val="none"/>
        </w:rPr>
        <w:t>内容以保单内容为准。如果与之相联系的保险单、保险条款有与本合同相冲突的地方，</w:t>
      </w:r>
      <w:r>
        <w:rPr>
          <w:rFonts w:hint="eastAsia" w:ascii="宋体" w:hAnsi="宋体" w:eastAsia="宋体" w:cs="宋体"/>
          <w:color w:val="auto"/>
          <w:sz w:val="24"/>
          <w:szCs w:val="24"/>
          <w:highlight w:val="none"/>
          <w:lang w:val="en-US" w:eastAsia="zh-CN"/>
        </w:rPr>
        <w:t>以</w:t>
      </w:r>
      <w:r>
        <w:rPr>
          <w:rFonts w:hint="eastAsia" w:ascii="宋体" w:hAnsi="宋体" w:eastAsia="宋体" w:cs="宋体"/>
          <w:color w:val="auto"/>
          <w:sz w:val="24"/>
          <w:szCs w:val="24"/>
          <w:highlight w:val="none"/>
        </w:rPr>
        <w:t>有利于被保险人的内容</w:t>
      </w:r>
      <w:r>
        <w:rPr>
          <w:rFonts w:hint="eastAsia" w:ascii="宋体" w:hAnsi="宋体" w:eastAsia="宋体" w:cs="宋体"/>
          <w:color w:val="auto"/>
          <w:sz w:val="24"/>
          <w:szCs w:val="24"/>
          <w:highlight w:val="none"/>
          <w:lang w:val="en-US" w:eastAsia="zh-CN"/>
        </w:rPr>
        <w:t>为准</w:t>
      </w:r>
      <w:r>
        <w:rPr>
          <w:rFonts w:hint="eastAsia" w:ascii="宋体" w:hAnsi="宋体" w:eastAsia="宋体" w:cs="宋体"/>
          <w:color w:val="auto"/>
          <w:sz w:val="24"/>
          <w:szCs w:val="24"/>
          <w:highlight w:val="none"/>
        </w:rPr>
        <w:t>。</w:t>
      </w:r>
    </w:p>
    <w:p w14:paraId="02254BF3">
      <w:pPr>
        <w:numPr>
          <w:ilvl w:val="0"/>
          <w:numId w:val="0"/>
        </w:numPr>
        <w:adjustRightInd w:val="0"/>
        <w:snapToGrid w:val="0"/>
        <w:spacing w:line="560" w:lineRule="exact"/>
        <w:outlineLvl w:val="9"/>
        <w:rPr>
          <w:rFonts w:hint="eastAsia" w:ascii="宋体" w:hAnsi="宋体" w:eastAsia="宋体" w:cs="宋体"/>
          <w:color w:val="auto"/>
          <w:sz w:val="24"/>
          <w:szCs w:val="24"/>
          <w:highlight w:val="none"/>
        </w:rPr>
      </w:pPr>
      <w:bookmarkStart w:id="515" w:name="_Toc10429"/>
      <w:r>
        <w:rPr>
          <w:rFonts w:hint="eastAsia" w:ascii="宋体" w:hAnsi="宋体" w:eastAsia="宋体" w:cs="宋体"/>
          <w:b/>
          <w:bCs/>
          <w:color w:val="auto"/>
          <w:sz w:val="24"/>
          <w:szCs w:val="24"/>
          <w:highlight w:val="none"/>
          <w:lang w:val="en-US" w:eastAsia="zh-CN"/>
        </w:rPr>
        <w:t>十八、</w:t>
      </w:r>
      <w:r>
        <w:rPr>
          <w:rFonts w:hint="eastAsia" w:ascii="宋体" w:hAnsi="宋体" w:eastAsia="宋体" w:cs="宋体"/>
          <w:b/>
          <w:bCs/>
          <w:color w:val="auto"/>
          <w:sz w:val="24"/>
          <w:szCs w:val="24"/>
          <w:highlight w:val="none"/>
        </w:rPr>
        <w:t>保密条款</w:t>
      </w:r>
      <w:bookmarkEnd w:id="515"/>
    </w:p>
    <w:p w14:paraId="4F87BAFC">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1.双方同意，对属于任一方或虽属于本合同外第三方但本合同一方需承担保密义务的或根据性质判断明显需要保密的信息给予保密。</w:t>
      </w:r>
      <w:r>
        <w:rPr>
          <w:rFonts w:hint="eastAsia" w:ascii="宋体" w:hAnsi="宋体" w:eastAsia="宋体" w:cs="宋体"/>
          <w:color w:val="auto"/>
          <w:sz w:val="24"/>
          <w:szCs w:val="24"/>
          <w:highlight w:val="none"/>
          <w:lang w:val="en-GB"/>
        </w:rPr>
        <w:t>未经其他方事先明示的书面允许，任一方不得使用或向任何人、公司或实体披露其他方的任何保密信息，但根据本合同向需要知晓的本方雇员、分包商或代理人、关联公司披露的除外。</w:t>
      </w:r>
    </w:p>
    <w:p w14:paraId="209B9CD7">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GB"/>
        </w:rPr>
        <w:t>2.接受保密信息的一方应保证其雇员、分包商或代理人、关联公司等按照本合同约定承担保密义务。</w:t>
      </w:r>
    </w:p>
    <w:p w14:paraId="6B520CF0">
      <w:pPr>
        <w:adjustRightInd w:val="0"/>
        <w:snapToGrid w:val="0"/>
        <w:spacing w:line="560" w:lineRule="exact"/>
        <w:ind w:firstLine="480" w:firstLineChars="200"/>
        <w:outlineLvl w:val="9"/>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3.任一方</w:t>
      </w:r>
      <w:r>
        <w:rPr>
          <w:rFonts w:hint="eastAsia" w:ascii="宋体" w:hAnsi="宋体" w:eastAsia="宋体" w:cs="宋体"/>
          <w:color w:val="auto"/>
          <w:sz w:val="24"/>
          <w:szCs w:val="24"/>
          <w:highlight w:val="none"/>
          <w:lang w:val="en-GB"/>
        </w:rPr>
        <w:t>保证从对方获取的信息资料的使用范围限于本合同范围以内，不得用于其他用处。有权接触信息的人员仅限</w:t>
      </w:r>
      <w:r>
        <w:rPr>
          <w:rFonts w:hint="eastAsia" w:ascii="宋体" w:hAnsi="宋体" w:eastAsia="宋体" w:cs="宋体"/>
          <w:color w:val="auto"/>
          <w:sz w:val="24"/>
          <w:szCs w:val="24"/>
          <w:highlight w:val="none"/>
        </w:rPr>
        <w:t>于开展本合同合作确有必要知晓的</w:t>
      </w:r>
      <w:r>
        <w:rPr>
          <w:rFonts w:hint="eastAsia" w:ascii="宋体" w:hAnsi="宋体" w:eastAsia="宋体" w:cs="宋体"/>
          <w:color w:val="auto"/>
          <w:sz w:val="24"/>
          <w:szCs w:val="24"/>
          <w:highlight w:val="none"/>
          <w:lang w:val="en-GB"/>
        </w:rPr>
        <w:t>人员，</w:t>
      </w:r>
      <w:r>
        <w:rPr>
          <w:rFonts w:hint="eastAsia" w:ascii="宋体" w:hAnsi="宋体" w:eastAsia="宋体" w:cs="宋体"/>
          <w:color w:val="auto"/>
          <w:sz w:val="24"/>
          <w:szCs w:val="24"/>
          <w:highlight w:val="none"/>
        </w:rPr>
        <w:t>任一方</w:t>
      </w:r>
      <w:r>
        <w:rPr>
          <w:rFonts w:hint="eastAsia" w:ascii="宋体" w:hAnsi="宋体" w:eastAsia="宋体" w:cs="宋体"/>
          <w:color w:val="auto"/>
          <w:sz w:val="24"/>
          <w:szCs w:val="24"/>
          <w:highlight w:val="none"/>
          <w:lang w:val="en-GB"/>
        </w:rPr>
        <w:t>应保证参与项目的人员严格履行本合同规定的保密义务。</w:t>
      </w:r>
    </w:p>
    <w:p w14:paraId="79EA4263">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GB"/>
        </w:rPr>
        <w:t>4.</w:t>
      </w:r>
      <w:r>
        <w:rPr>
          <w:rFonts w:hint="eastAsia" w:ascii="宋体" w:hAnsi="宋体" w:eastAsia="宋体" w:cs="宋体"/>
          <w:color w:val="auto"/>
          <w:sz w:val="24"/>
          <w:szCs w:val="24"/>
          <w:highlight w:val="none"/>
        </w:rPr>
        <w:t>“保密信息”，包括但不仅限于（1）与项目有关的任何/所有合同、往来传真或邮件；（2）客户资料、产品、商业计划、行销信息、投资信息、财务状况、图纸、技术决窍、计算机程序、研究及其他资料；（3）属于第三方但披露方承担保密义务的信息；（4）其他尽到审慎义务的人判断应予保密的信息。</w:t>
      </w:r>
    </w:p>
    <w:p w14:paraId="259097CA">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GB"/>
        </w:rPr>
        <w:t>本合同项下保密义务的期限截至保密信息进入公知领域。</w:t>
      </w:r>
    </w:p>
    <w:p w14:paraId="755A35F6">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rPr>
      </w:pPr>
      <w:bookmarkStart w:id="516" w:name="_Toc14024"/>
      <w:r>
        <w:rPr>
          <w:rFonts w:hint="eastAsia" w:ascii="宋体" w:hAnsi="宋体" w:eastAsia="宋体" w:cs="宋体"/>
          <w:b/>
          <w:bCs/>
          <w:color w:val="auto"/>
          <w:sz w:val="24"/>
          <w:szCs w:val="24"/>
          <w:highlight w:val="none"/>
          <w:lang w:val="en-US" w:eastAsia="zh-CN"/>
        </w:rPr>
        <w:t>十九、</w:t>
      </w:r>
      <w:r>
        <w:rPr>
          <w:rFonts w:hint="eastAsia" w:ascii="宋体" w:hAnsi="宋体" w:eastAsia="宋体" w:cs="宋体"/>
          <w:b/>
          <w:bCs/>
          <w:color w:val="auto"/>
          <w:sz w:val="24"/>
          <w:szCs w:val="24"/>
          <w:highlight w:val="none"/>
        </w:rPr>
        <w:t>争议处理</w:t>
      </w:r>
      <w:bookmarkEnd w:id="516"/>
    </w:p>
    <w:p w14:paraId="5270FFB3">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双方在履行本合同时发生争议的，应先通过友好协商解决。若经协商仍不能解决的，任何一方均有权向甲方</w:t>
      </w:r>
      <w:r>
        <w:rPr>
          <w:rFonts w:hint="eastAsia" w:ascii="宋体" w:hAnsi="宋体" w:eastAsia="宋体" w:cs="宋体"/>
          <w:color w:val="auto"/>
          <w:sz w:val="24"/>
          <w:szCs w:val="24"/>
          <w:highlight w:val="none"/>
          <w:lang w:val="en-US" w:eastAsia="zh-CN"/>
        </w:rPr>
        <w:t>任意一方</w:t>
      </w:r>
      <w:r>
        <w:rPr>
          <w:rFonts w:hint="eastAsia" w:ascii="宋体" w:hAnsi="宋体" w:eastAsia="宋体" w:cs="宋体"/>
          <w:color w:val="auto"/>
          <w:sz w:val="24"/>
          <w:szCs w:val="24"/>
          <w:highlight w:val="none"/>
        </w:rPr>
        <w:t>所在地有管辖权的人民法院提起诉讼解决。</w:t>
      </w:r>
    </w:p>
    <w:p w14:paraId="460E4098">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因乙方违约导致甲方由此产生诉讼的，甲方由此诉讼支付的律师费、鉴定费、财产保全担保费、诉讼费等应由乙方承担。</w:t>
      </w:r>
    </w:p>
    <w:p w14:paraId="038C85EF">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lang w:val="en-US" w:eastAsia="zh-CN"/>
        </w:rPr>
      </w:pPr>
      <w:bookmarkStart w:id="517" w:name="_Toc4383"/>
      <w:r>
        <w:rPr>
          <w:rFonts w:hint="eastAsia" w:ascii="宋体" w:hAnsi="宋体" w:eastAsia="宋体" w:cs="宋体"/>
          <w:b/>
          <w:bCs/>
          <w:color w:val="auto"/>
          <w:sz w:val="24"/>
          <w:szCs w:val="24"/>
          <w:highlight w:val="none"/>
          <w:lang w:val="en-US" w:eastAsia="zh-CN"/>
        </w:rPr>
        <w:t>二十、送达</w:t>
      </w:r>
      <w:bookmarkEnd w:id="517"/>
    </w:p>
    <w:p w14:paraId="4BE1494E">
      <w:pPr>
        <w:numPr>
          <w:ilvl w:val="0"/>
          <w:numId w:val="0"/>
        </w:numPr>
        <w:adjustRightInd w:val="0"/>
        <w:snapToGrid w:val="0"/>
        <w:spacing w:line="560" w:lineRule="exact"/>
        <w:ind w:firstLine="480" w:firstLineChars="200"/>
        <w:outlineLvl w:val="9"/>
        <w:rPr>
          <w:rFonts w:hint="default" w:ascii="宋体" w:hAnsi="宋体" w:eastAsia="宋体" w:cs="宋体"/>
          <w:b w:val="0"/>
          <w:bCs w:val="0"/>
          <w:color w:val="auto"/>
          <w:sz w:val="24"/>
          <w:szCs w:val="24"/>
          <w:highlight w:val="none"/>
        </w:rPr>
      </w:pPr>
      <w:bookmarkStart w:id="518" w:name="_Toc31016"/>
      <w:r>
        <w:rPr>
          <w:rFonts w:hint="default" w:ascii="宋体" w:hAnsi="宋体" w:eastAsia="宋体" w:cs="宋体"/>
          <w:b w:val="0"/>
          <w:bCs w:val="0"/>
          <w:color w:val="auto"/>
          <w:sz w:val="24"/>
          <w:szCs w:val="24"/>
          <w:highlight w:val="none"/>
        </w:rPr>
        <w:t>1、甲乙双方就本合同中涉及各类通知、协议等文件以及就合同发生纠纷时相关文件和法律文书送达时的送达地址及法律后果作如下约定：</w:t>
      </w:r>
      <w:bookmarkEnd w:id="518"/>
      <w:r>
        <w:rPr>
          <w:rFonts w:hint="default" w:ascii="宋体" w:hAnsi="宋体" w:eastAsia="宋体" w:cs="宋体"/>
          <w:b w:val="0"/>
          <w:bCs w:val="0"/>
          <w:color w:val="auto"/>
          <w:sz w:val="24"/>
          <w:szCs w:val="24"/>
          <w:highlight w:val="none"/>
        </w:rPr>
        <w:t xml:space="preserve"> </w:t>
      </w:r>
    </w:p>
    <w:p w14:paraId="4A796E16">
      <w:pPr>
        <w:numPr>
          <w:ilvl w:val="0"/>
          <w:numId w:val="0"/>
        </w:numPr>
        <w:adjustRightInd w:val="0"/>
        <w:snapToGrid w:val="0"/>
        <w:spacing w:line="560" w:lineRule="exact"/>
        <w:ind w:firstLine="480" w:firstLineChars="200"/>
        <w:outlineLvl w:val="9"/>
        <w:rPr>
          <w:rFonts w:hint="default" w:ascii="宋体" w:hAnsi="宋体" w:eastAsia="宋体" w:cs="宋体"/>
          <w:b w:val="0"/>
          <w:bCs w:val="0"/>
          <w:color w:val="auto"/>
          <w:sz w:val="24"/>
          <w:szCs w:val="24"/>
          <w:highlight w:val="none"/>
        </w:rPr>
      </w:pPr>
      <w:bookmarkStart w:id="519" w:name="_Toc3734"/>
      <w:r>
        <w:rPr>
          <w:rFonts w:hint="default" w:ascii="宋体" w:hAnsi="宋体" w:eastAsia="宋体" w:cs="宋体"/>
          <w:b w:val="0"/>
          <w:bCs w:val="0"/>
          <w:color w:val="auto"/>
          <w:sz w:val="24"/>
          <w:szCs w:val="24"/>
          <w:highlight w:val="none"/>
        </w:rPr>
        <w:t>甲方确认其有效的送达地址为【 】；联系人：【 】；联系电话【 】；电子邮箱【 】。</w:t>
      </w:r>
      <w:bookmarkEnd w:id="519"/>
      <w:r>
        <w:rPr>
          <w:rFonts w:hint="default" w:ascii="宋体" w:hAnsi="宋体" w:eastAsia="宋体" w:cs="宋体"/>
          <w:b w:val="0"/>
          <w:bCs w:val="0"/>
          <w:color w:val="auto"/>
          <w:sz w:val="24"/>
          <w:szCs w:val="24"/>
          <w:highlight w:val="none"/>
        </w:rPr>
        <w:t xml:space="preserve"> </w:t>
      </w:r>
    </w:p>
    <w:p w14:paraId="58E17B2B">
      <w:pPr>
        <w:numPr>
          <w:ilvl w:val="0"/>
          <w:numId w:val="0"/>
        </w:numPr>
        <w:adjustRightInd w:val="0"/>
        <w:snapToGrid w:val="0"/>
        <w:spacing w:line="560" w:lineRule="exact"/>
        <w:ind w:firstLine="480" w:firstLineChars="200"/>
        <w:outlineLvl w:val="9"/>
        <w:rPr>
          <w:rFonts w:hint="default" w:ascii="宋体" w:hAnsi="宋体" w:eastAsia="宋体" w:cs="宋体"/>
          <w:b w:val="0"/>
          <w:bCs w:val="0"/>
          <w:color w:val="auto"/>
          <w:sz w:val="24"/>
          <w:szCs w:val="24"/>
          <w:highlight w:val="none"/>
        </w:rPr>
      </w:pPr>
      <w:bookmarkStart w:id="520" w:name="_Toc3487"/>
      <w:r>
        <w:rPr>
          <w:rFonts w:hint="default" w:ascii="宋体" w:hAnsi="宋体" w:eastAsia="宋体" w:cs="宋体"/>
          <w:b w:val="0"/>
          <w:bCs w:val="0"/>
          <w:color w:val="auto"/>
          <w:sz w:val="24"/>
          <w:szCs w:val="24"/>
          <w:highlight w:val="none"/>
        </w:rPr>
        <w:t>乙方确认其有效的送达地址为【 】；联系人：【 】；联系电话【 】；电子邮箱【 】。</w:t>
      </w:r>
      <w:bookmarkEnd w:id="520"/>
    </w:p>
    <w:p w14:paraId="1A547B97">
      <w:pPr>
        <w:numPr>
          <w:ilvl w:val="0"/>
          <w:numId w:val="0"/>
        </w:numPr>
        <w:adjustRightInd w:val="0"/>
        <w:snapToGrid w:val="0"/>
        <w:spacing w:line="560" w:lineRule="exact"/>
        <w:ind w:firstLine="480" w:firstLineChars="200"/>
        <w:outlineLvl w:val="9"/>
        <w:rPr>
          <w:rFonts w:hint="default" w:ascii="宋体" w:hAnsi="宋体" w:eastAsia="宋体" w:cs="宋体"/>
          <w:b w:val="0"/>
          <w:bCs w:val="0"/>
          <w:color w:val="auto"/>
          <w:sz w:val="24"/>
          <w:szCs w:val="24"/>
          <w:highlight w:val="none"/>
        </w:rPr>
      </w:pPr>
      <w:bookmarkStart w:id="521" w:name="_Toc6838"/>
      <w:r>
        <w:rPr>
          <w:rFonts w:hint="default" w:ascii="宋体" w:hAnsi="宋体" w:eastAsia="宋体" w:cs="宋体"/>
          <w:b w:val="0"/>
          <w:bCs w:val="0"/>
          <w:color w:val="auto"/>
          <w:sz w:val="24"/>
          <w:szCs w:val="24"/>
          <w:highlight w:val="none"/>
        </w:rPr>
        <w:t>2、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bookmarkEnd w:id="521"/>
    </w:p>
    <w:p w14:paraId="09EC5BEE">
      <w:pPr>
        <w:numPr>
          <w:ilvl w:val="0"/>
          <w:numId w:val="0"/>
        </w:numPr>
        <w:adjustRightInd w:val="0"/>
        <w:snapToGrid w:val="0"/>
        <w:spacing w:line="560" w:lineRule="exact"/>
        <w:ind w:firstLine="480" w:firstLineChars="200"/>
        <w:outlineLvl w:val="9"/>
        <w:rPr>
          <w:rFonts w:hint="default" w:ascii="宋体" w:hAnsi="宋体" w:eastAsia="宋体" w:cs="宋体"/>
          <w:b w:val="0"/>
          <w:bCs w:val="0"/>
          <w:color w:val="auto"/>
          <w:sz w:val="24"/>
          <w:szCs w:val="24"/>
          <w:highlight w:val="none"/>
        </w:rPr>
      </w:pPr>
      <w:bookmarkStart w:id="522" w:name="_Toc15432"/>
      <w:r>
        <w:rPr>
          <w:rFonts w:hint="default" w:ascii="宋体" w:hAnsi="宋体" w:eastAsia="宋体" w:cs="宋体"/>
          <w:b w:val="0"/>
          <w:bCs w:val="0"/>
          <w:color w:val="auto"/>
          <w:sz w:val="24"/>
          <w:szCs w:val="24"/>
          <w:highlight w:val="none"/>
        </w:rPr>
        <w:t>3、甲乙双方上述确认送达地址适用范围包括但不限于：双方非诉时各类通知、协议等文件以及就合同发生纠纷时相关文件和法律文书的送达，同时包括在争议进入仲裁、民事诉讼程序后的一审、二审、再审和执行程序。</w:t>
      </w:r>
      <w:bookmarkEnd w:id="522"/>
      <w:r>
        <w:rPr>
          <w:rFonts w:hint="default" w:ascii="宋体" w:hAnsi="宋体" w:eastAsia="宋体" w:cs="宋体"/>
          <w:b w:val="0"/>
          <w:bCs w:val="0"/>
          <w:color w:val="auto"/>
          <w:sz w:val="24"/>
          <w:szCs w:val="24"/>
          <w:highlight w:val="none"/>
        </w:rPr>
        <w:t xml:space="preserve"> </w:t>
      </w:r>
    </w:p>
    <w:p w14:paraId="545C2B4E">
      <w:pPr>
        <w:numPr>
          <w:ilvl w:val="0"/>
          <w:numId w:val="0"/>
        </w:numPr>
        <w:adjustRightInd w:val="0"/>
        <w:snapToGrid w:val="0"/>
        <w:spacing w:line="560" w:lineRule="exact"/>
        <w:ind w:firstLine="480" w:firstLineChars="200"/>
        <w:outlineLvl w:val="9"/>
        <w:rPr>
          <w:rFonts w:hint="default" w:ascii="宋体" w:hAnsi="宋体" w:eastAsia="宋体" w:cs="宋体"/>
          <w:b w:val="0"/>
          <w:bCs w:val="0"/>
          <w:color w:val="auto"/>
          <w:sz w:val="24"/>
          <w:szCs w:val="24"/>
          <w:highlight w:val="none"/>
        </w:rPr>
      </w:pPr>
      <w:bookmarkStart w:id="523" w:name="_Toc1727"/>
      <w:r>
        <w:rPr>
          <w:rFonts w:hint="default" w:ascii="宋体" w:hAnsi="宋体" w:eastAsia="宋体" w:cs="宋体"/>
          <w:b w:val="0"/>
          <w:bCs w:val="0"/>
          <w:color w:val="auto"/>
          <w:sz w:val="24"/>
          <w:szCs w:val="24"/>
          <w:highlight w:val="none"/>
        </w:rPr>
        <w:t>4、甲方的送达地址需要变更时应当履行及时通知的义务，应提前【五】个工作日通过【书面或电子】 的方式向乙方进行通知；乙方的送达地址需要变更时应当履行及时通知的义务，应提前【五】个工作日通过【书面】的方式向甲方进行通知。</w:t>
      </w:r>
      <w:bookmarkEnd w:id="523"/>
    </w:p>
    <w:p w14:paraId="7F337A8A">
      <w:pPr>
        <w:numPr>
          <w:ilvl w:val="0"/>
          <w:numId w:val="0"/>
        </w:numPr>
        <w:adjustRightInd w:val="0"/>
        <w:snapToGrid w:val="0"/>
        <w:spacing w:line="560" w:lineRule="exact"/>
        <w:ind w:firstLine="480" w:firstLineChars="200"/>
        <w:outlineLvl w:val="9"/>
        <w:rPr>
          <w:rFonts w:hint="default" w:ascii="宋体" w:hAnsi="宋体" w:eastAsia="宋体" w:cs="宋体"/>
          <w:b w:val="0"/>
          <w:bCs w:val="0"/>
          <w:color w:val="auto"/>
          <w:sz w:val="24"/>
          <w:szCs w:val="24"/>
          <w:highlight w:val="none"/>
          <w:lang w:val="en-US" w:eastAsia="zh-CN"/>
        </w:rPr>
      </w:pPr>
      <w:bookmarkStart w:id="524" w:name="_Toc15557"/>
      <w:r>
        <w:rPr>
          <w:rFonts w:hint="default" w:ascii="宋体" w:hAnsi="宋体" w:eastAsia="宋体" w:cs="宋体"/>
          <w:b w:val="0"/>
          <w:bCs w:val="0"/>
          <w:color w:val="auto"/>
          <w:sz w:val="24"/>
          <w:szCs w:val="24"/>
          <w:highlight w:val="none"/>
        </w:rPr>
        <w:t>5、本条款具有独立法律效力，不因合同其他条款的无效而无效。</w:t>
      </w:r>
      <w:bookmarkEnd w:id="524"/>
    </w:p>
    <w:p w14:paraId="4AE517BD">
      <w:pPr>
        <w:numPr>
          <w:ilvl w:val="0"/>
          <w:numId w:val="0"/>
        </w:numPr>
        <w:adjustRightInd w:val="0"/>
        <w:snapToGrid w:val="0"/>
        <w:spacing w:line="560" w:lineRule="exact"/>
        <w:outlineLvl w:val="9"/>
        <w:rPr>
          <w:rFonts w:hint="eastAsia" w:ascii="宋体" w:hAnsi="宋体" w:eastAsia="宋体" w:cs="宋体"/>
          <w:b/>
          <w:bCs/>
          <w:color w:val="auto"/>
          <w:sz w:val="24"/>
          <w:szCs w:val="24"/>
          <w:highlight w:val="none"/>
        </w:rPr>
      </w:pPr>
      <w:bookmarkStart w:id="525" w:name="_Toc12704"/>
      <w:r>
        <w:rPr>
          <w:rFonts w:hint="eastAsia" w:ascii="宋体" w:hAnsi="宋体" w:eastAsia="宋体" w:cs="宋体"/>
          <w:b/>
          <w:bCs/>
          <w:color w:val="auto"/>
          <w:sz w:val="24"/>
          <w:szCs w:val="24"/>
          <w:highlight w:val="none"/>
          <w:lang w:val="en-US" w:eastAsia="zh-CN"/>
        </w:rPr>
        <w:t>二十一、</w:t>
      </w:r>
      <w:r>
        <w:rPr>
          <w:rFonts w:hint="eastAsia" w:ascii="宋体" w:hAnsi="宋体" w:eastAsia="宋体" w:cs="宋体"/>
          <w:b/>
          <w:bCs/>
          <w:color w:val="auto"/>
          <w:sz w:val="24"/>
          <w:szCs w:val="24"/>
          <w:highlight w:val="none"/>
        </w:rPr>
        <w:t>其他事项</w:t>
      </w:r>
      <w:bookmarkEnd w:id="525"/>
    </w:p>
    <w:p w14:paraId="620DBAFC">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1.本合同与保险条款相抵触之处，</w:t>
      </w:r>
      <w:r>
        <w:rPr>
          <w:rFonts w:hint="eastAsia" w:ascii="宋体" w:hAnsi="宋体" w:eastAsia="宋体" w:cs="宋体"/>
          <w:color w:val="auto"/>
          <w:sz w:val="24"/>
          <w:szCs w:val="24"/>
          <w:highlight w:val="none"/>
          <w:lang w:val="en-US" w:eastAsia="zh-CN"/>
        </w:rPr>
        <w:t>以</w:t>
      </w:r>
      <w:r>
        <w:rPr>
          <w:rFonts w:hint="eastAsia" w:ascii="宋体" w:hAnsi="宋体" w:eastAsia="宋体" w:cs="宋体"/>
          <w:color w:val="auto"/>
          <w:sz w:val="24"/>
          <w:szCs w:val="24"/>
          <w:highlight w:val="none"/>
        </w:rPr>
        <w:t>有利于被保险人的内容</w:t>
      </w:r>
      <w:r>
        <w:rPr>
          <w:rFonts w:hint="eastAsia" w:ascii="宋体" w:hAnsi="宋体" w:eastAsia="宋体" w:cs="宋体"/>
          <w:color w:val="auto"/>
          <w:sz w:val="24"/>
          <w:szCs w:val="24"/>
          <w:highlight w:val="none"/>
          <w:lang w:val="en-US" w:eastAsia="zh-CN"/>
        </w:rPr>
        <w:t>为准</w:t>
      </w:r>
      <w:r>
        <w:rPr>
          <w:rFonts w:hint="eastAsia" w:ascii="宋体" w:hAnsi="宋体" w:eastAsia="宋体" w:cs="宋体"/>
          <w:color w:val="auto"/>
          <w:sz w:val="24"/>
          <w:szCs w:val="24"/>
          <w:highlight w:val="none"/>
        </w:rPr>
        <w:t>；未涉及事项，按照保险条款执行。</w:t>
      </w:r>
    </w:p>
    <w:p w14:paraId="049ED722">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2.本合同履行地为东莞市。</w:t>
      </w:r>
    </w:p>
    <w:p w14:paraId="09EE6DF4">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伍</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叁</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贰</w:t>
      </w:r>
      <w:r>
        <w:rPr>
          <w:rFonts w:hint="eastAsia" w:ascii="宋体" w:hAnsi="宋体" w:eastAsia="宋体" w:cs="宋体"/>
          <w:color w:val="auto"/>
          <w:sz w:val="24"/>
          <w:szCs w:val="24"/>
          <w:highlight w:val="none"/>
        </w:rPr>
        <w:t>份，具有同等法律效力。自双方法定代表人或负责人或授权代表人签字或签章并加盖公章之日起生效，至双方均完成应履行之合约义务后终止。</w:t>
      </w:r>
    </w:p>
    <w:p w14:paraId="722DE804">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.本合同附件是本合同不可分割内容，与本合同同时生效，同具法律效力。</w:t>
      </w:r>
    </w:p>
    <w:p w14:paraId="2AADEBBC">
      <w:pPr>
        <w:pStyle w:val="18"/>
        <w:outlineLvl w:val="9"/>
        <w:rPr>
          <w:rFonts w:hint="eastAsia" w:ascii="宋体" w:hAnsi="宋体" w:eastAsia="宋体" w:cs="宋体"/>
          <w:color w:val="auto"/>
          <w:sz w:val="24"/>
          <w:szCs w:val="24"/>
          <w:highlight w:val="none"/>
        </w:rPr>
      </w:pPr>
    </w:p>
    <w:p w14:paraId="0AAEE1BB">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526" w:name="_Toc18620"/>
      <w:r>
        <w:rPr>
          <w:rFonts w:hint="eastAsia" w:ascii="宋体" w:hAnsi="宋体" w:eastAsia="宋体" w:cs="宋体"/>
          <w:color w:val="auto"/>
          <w:sz w:val="24"/>
          <w:szCs w:val="24"/>
          <w:highlight w:val="none"/>
        </w:rPr>
        <w:t>附件1：报价表</w:t>
      </w:r>
      <w:bookmarkEnd w:id="526"/>
    </w:p>
    <w:p w14:paraId="2E686A72">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527" w:name="_Toc13074"/>
      <w:r>
        <w:rPr>
          <w:rFonts w:hint="eastAsia" w:ascii="宋体" w:hAnsi="宋体" w:eastAsia="宋体" w:cs="宋体"/>
          <w:color w:val="auto"/>
          <w:sz w:val="24"/>
          <w:szCs w:val="24"/>
          <w:highlight w:val="none"/>
        </w:rPr>
        <w:t>附件2：承诺书</w:t>
      </w:r>
      <w:bookmarkEnd w:id="527"/>
    </w:p>
    <w:p w14:paraId="76AA5659">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528" w:name="_Toc29439"/>
      <w:r>
        <w:rPr>
          <w:rFonts w:hint="eastAsia" w:ascii="宋体" w:hAnsi="宋体" w:eastAsia="宋体" w:cs="宋体"/>
          <w:color w:val="auto"/>
          <w:sz w:val="24"/>
          <w:szCs w:val="24"/>
          <w:highlight w:val="none"/>
        </w:rPr>
        <w:t>附件3：用户需求书</w:t>
      </w:r>
      <w:bookmarkEnd w:id="528"/>
    </w:p>
    <w:p w14:paraId="2F8867D3">
      <w:pPr>
        <w:adjustRightInd w:val="0"/>
        <w:snapToGrid w:val="0"/>
        <w:spacing w:line="560" w:lineRule="exact"/>
        <w:ind w:firstLine="480" w:firstLineChars="200"/>
        <w:outlineLvl w:val="9"/>
        <w:rPr>
          <w:rFonts w:hint="eastAsia" w:ascii="宋体" w:hAnsi="宋体" w:eastAsia="宋体" w:cs="宋体"/>
          <w:color w:val="auto"/>
          <w:sz w:val="24"/>
          <w:szCs w:val="24"/>
          <w:highlight w:val="none"/>
        </w:rPr>
      </w:pPr>
      <w:bookmarkStart w:id="529" w:name="_Toc19610"/>
      <w:r>
        <w:rPr>
          <w:rFonts w:hint="eastAsia" w:ascii="宋体" w:hAnsi="宋体" w:eastAsia="宋体" w:cs="宋体"/>
          <w:color w:val="auto"/>
          <w:sz w:val="24"/>
          <w:szCs w:val="24"/>
          <w:highlight w:val="none"/>
        </w:rPr>
        <w:t>附件4：公众责任险条款（含</w:t>
      </w:r>
      <w:r>
        <w:rPr>
          <w:rFonts w:hint="eastAsia" w:ascii="宋体" w:hAnsi="宋体" w:eastAsia="宋体" w:cs="宋体"/>
          <w:color w:val="auto"/>
          <w:sz w:val="24"/>
          <w:szCs w:val="24"/>
          <w:highlight w:val="none"/>
          <w:lang w:val="en-US" w:eastAsia="zh-CN"/>
        </w:rPr>
        <w:t>附加条款、特别约定</w:t>
      </w:r>
      <w:r>
        <w:rPr>
          <w:rFonts w:hint="eastAsia" w:ascii="宋体" w:hAnsi="宋体" w:eastAsia="宋体" w:cs="宋体"/>
          <w:color w:val="auto"/>
          <w:sz w:val="24"/>
          <w:szCs w:val="24"/>
          <w:highlight w:val="none"/>
        </w:rPr>
        <w:t>）</w:t>
      </w:r>
      <w:bookmarkEnd w:id="529"/>
    </w:p>
    <w:p w14:paraId="7B5E18A4">
      <w:pPr>
        <w:adjustRightInd w:val="0"/>
        <w:snapToGrid w:val="0"/>
        <w:spacing w:line="560" w:lineRule="exact"/>
        <w:ind w:firstLine="480" w:firstLineChars="200"/>
        <w:outlineLvl w:val="9"/>
        <w:rPr>
          <w:rFonts w:hint="default" w:ascii="宋体" w:hAnsi="宋体" w:eastAsia="等线" w:cs="宋体"/>
          <w:color w:val="auto"/>
          <w:sz w:val="24"/>
          <w:szCs w:val="24"/>
          <w:highlight w:val="none"/>
          <w:lang w:val="en-US" w:eastAsia="zh-CN"/>
        </w:rPr>
      </w:pPr>
      <w:bookmarkStart w:id="530" w:name="_Toc28949"/>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廉洁协议书</w:t>
      </w:r>
      <w:bookmarkEnd w:id="530"/>
    </w:p>
    <w:p w14:paraId="6CD54949">
      <w:pPr>
        <w:pStyle w:val="19"/>
        <w:ind w:firstLine="0" w:firstLineChars="0"/>
        <w:outlineLvl w:val="9"/>
        <w:rPr>
          <w:rFonts w:hint="eastAsia" w:ascii="宋体" w:hAnsi="宋体" w:eastAsia="宋体" w:cs="宋体"/>
          <w:color w:val="auto"/>
          <w:sz w:val="24"/>
          <w:szCs w:val="24"/>
          <w:highlight w:val="none"/>
        </w:rPr>
      </w:pPr>
    </w:p>
    <w:p w14:paraId="48E16C8A">
      <w:pPr>
        <w:pStyle w:val="19"/>
        <w:ind w:firstLine="0" w:firstLineChars="0"/>
        <w:outlineLvl w:val="9"/>
        <w:rPr>
          <w:rFonts w:hint="eastAsia" w:ascii="宋体" w:hAnsi="宋体" w:eastAsia="宋体" w:cs="宋体"/>
          <w:color w:val="auto"/>
          <w:sz w:val="24"/>
          <w:szCs w:val="24"/>
          <w:highlight w:val="none"/>
        </w:rPr>
      </w:pPr>
    </w:p>
    <w:p w14:paraId="2B6770C9">
      <w:pPr>
        <w:pStyle w:val="19"/>
        <w:ind w:firstLine="0" w:firstLineChars="0"/>
        <w:outlineLvl w:val="9"/>
        <w:rPr>
          <w:rFonts w:hint="eastAsia" w:ascii="宋体" w:hAnsi="宋体" w:eastAsia="宋体" w:cs="宋体"/>
          <w:color w:val="auto"/>
          <w:sz w:val="24"/>
          <w:szCs w:val="24"/>
          <w:highlight w:val="none"/>
        </w:rPr>
      </w:pPr>
    </w:p>
    <w:p w14:paraId="768E4E23">
      <w:pPr>
        <w:pStyle w:val="19"/>
        <w:ind w:firstLine="0" w:firstLineChars="0"/>
        <w:outlineLvl w:val="9"/>
        <w:rPr>
          <w:rFonts w:hint="eastAsia" w:ascii="宋体" w:hAnsi="宋体" w:eastAsia="宋体" w:cs="宋体"/>
          <w:color w:val="auto"/>
          <w:sz w:val="24"/>
          <w:szCs w:val="24"/>
          <w:highlight w:val="none"/>
        </w:rPr>
      </w:pPr>
    </w:p>
    <w:p w14:paraId="1F9827CE">
      <w:pPr>
        <w:pStyle w:val="19"/>
        <w:ind w:firstLine="0" w:firstLineChars="0"/>
        <w:outlineLvl w:val="9"/>
        <w:rPr>
          <w:rFonts w:hint="eastAsia" w:ascii="宋体" w:hAnsi="宋体" w:eastAsia="宋体" w:cs="宋体"/>
          <w:color w:val="auto"/>
          <w:sz w:val="24"/>
          <w:szCs w:val="24"/>
          <w:highlight w:val="none"/>
        </w:rPr>
      </w:pPr>
    </w:p>
    <w:p w14:paraId="39348632">
      <w:pPr>
        <w:adjustRightInd w:val="0"/>
        <w:snapToGrid w:val="0"/>
        <w:spacing w:line="5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甲方1：                       甲方2：</w:t>
      </w:r>
    </w:p>
    <w:p w14:paraId="5DF63BC3">
      <w:pPr>
        <w:adjustRightInd w:val="0"/>
        <w:snapToGrid w:val="0"/>
        <w:spacing w:line="5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         法定代表人或授权代表：</w:t>
      </w:r>
    </w:p>
    <w:p w14:paraId="42229CCE">
      <w:pPr>
        <w:adjustRightInd w:val="0"/>
        <w:snapToGrid w:val="0"/>
        <w:spacing w:line="5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签订日期：    年   月   日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签订日期：    年   月   日</w:t>
      </w:r>
    </w:p>
    <w:p w14:paraId="5834ACD9">
      <w:pPr>
        <w:pStyle w:val="19"/>
        <w:outlineLvl w:val="9"/>
        <w:rPr>
          <w:rFonts w:hint="eastAsia" w:ascii="宋体" w:hAnsi="宋体" w:eastAsia="宋体" w:cs="宋体"/>
          <w:color w:val="auto"/>
          <w:sz w:val="24"/>
          <w:szCs w:val="24"/>
          <w:highlight w:val="none"/>
        </w:rPr>
      </w:pPr>
    </w:p>
    <w:p w14:paraId="2861CCAC">
      <w:pPr>
        <w:pStyle w:val="19"/>
        <w:ind w:left="0" w:leftChars="0" w:firstLine="0" w:firstLineChars="0"/>
        <w:outlineLvl w:val="9"/>
        <w:rPr>
          <w:rFonts w:hint="eastAsia" w:ascii="宋体" w:hAnsi="宋体" w:eastAsia="宋体" w:cs="宋体"/>
          <w:color w:val="auto"/>
          <w:sz w:val="24"/>
          <w:szCs w:val="24"/>
          <w:highlight w:val="none"/>
        </w:rPr>
      </w:pPr>
    </w:p>
    <w:p w14:paraId="3079BD4A">
      <w:pPr>
        <w:adjustRightInd w:val="0"/>
        <w:snapToGrid w:val="0"/>
        <w:spacing w:line="5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甲方3：                       甲方4：</w:t>
      </w:r>
    </w:p>
    <w:p w14:paraId="02CB6C8E">
      <w:pPr>
        <w:adjustRightInd w:val="0"/>
        <w:snapToGrid w:val="0"/>
        <w:spacing w:line="5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       法定代表人或授权代表：</w:t>
      </w:r>
    </w:p>
    <w:p w14:paraId="6A909AD2">
      <w:pPr>
        <w:adjustRightInd w:val="0"/>
        <w:snapToGrid w:val="0"/>
        <w:spacing w:line="5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签订日期：    年   月   日   签订日期：    年   月   日</w:t>
      </w:r>
    </w:p>
    <w:p w14:paraId="352A9DF5">
      <w:pPr>
        <w:pStyle w:val="19"/>
        <w:outlineLvl w:val="9"/>
        <w:rPr>
          <w:rFonts w:hint="eastAsia" w:ascii="宋体" w:hAnsi="宋体" w:eastAsia="宋体" w:cs="宋体"/>
          <w:color w:val="auto"/>
          <w:sz w:val="24"/>
          <w:szCs w:val="24"/>
          <w:highlight w:val="none"/>
        </w:rPr>
      </w:pPr>
    </w:p>
    <w:p w14:paraId="12B4BDF3">
      <w:pPr>
        <w:pStyle w:val="19"/>
        <w:ind w:left="0" w:leftChars="0" w:firstLine="0" w:firstLineChars="0"/>
        <w:outlineLvl w:val="9"/>
        <w:rPr>
          <w:rFonts w:hint="eastAsia" w:ascii="宋体" w:hAnsi="宋体" w:eastAsia="宋体" w:cs="宋体"/>
          <w:color w:val="auto"/>
          <w:sz w:val="24"/>
          <w:szCs w:val="24"/>
          <w:highlight w:val="none"/>
        </w:rPr>
      </w:pPr>
    </w:p>
    <w:p w14:paraId="4F4DE57C">
      <w:pPr>
        <w:adjustRightInd w:val="0"/>
        <w:snapToGrid w:val="0"/>
        <w:spacing w:line="5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甲方5：                       甲方6：</w:t>
      </w:r>
    </w:p>
    <w:p w14:paraId="779B5374">
      <w:pPr>
        <w:adjustRightInd w:val="0"/>
        <w:snapToGrid w:val="0"/>
        <w:spacing w:line="5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        法定代表人或授权代表：</w:t>
      </w:r>
    </w:p>
    <w:p w14:paraId="2B97676E">
      <w:pPr>
        <w:adjustRightInd w:val="0"/>
        <w:snapToGrid w:val="0"/>
        <w:spacing w:line="5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签订日期：    年   月   日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签订日期：    年   月   日</w:t>
      </w:r>
    </w:p>
    <w:p w14:paraId="3F52BD99">
      <w:pPr>
        <w:adjustRightInd w:val="0"/>
        <w:snapToGrid w:val="0"/>
        <w:spacing w:line="560" w:lineRule="exact"/>
        <w:outlineLvl w:val="9"/>
        <w:rPr>
          <w:rFonts w:hint="eastAsia" w:ascii="宋体" w:hAnsi="宋体" w:eastAsia="宋体" w:cs="宋体"/>
          <w:color w:val="auto"/>
          <w:sz w:val="24"/>
          <w:szCs w:val="24"/>
          <w:highlight w:val="none"/>
        </w:rPr>
      </w:pPr>
    </w:p>
    <w:p w14:paraId="22D30378">
      <w:pPr>
        <w:adjustRightInd w:val="0"/>
        <w:snapToGrid w:val="0"/>
        <w:spacing w:line="560" w:lineRule="exact"/>
        <w:outlineLvl w:val="9"/>
        <w:rPr>
          <w:rFonts w:hint="eastAsia" w:ascii="宋体" w:hAnsi="宋体" w:eastAsia="宋体" w:cs="宋体"/>
          <w:color w:val="auto"/>
          <w:sz w:val="24"/>
          <w:szCs w:val="24"/>
          <w:highlight w:val="none"/>
        </w:rPr>
      </w:pPr>
    </w:p>
    <w:p w14:paraId="0F3F6667">
      <w:pPr>
        <w:adjustRightInd w:val="0"/>
        <w:snapToGrid w:val="0"/>
        <w:spacing w:line="5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甲方7：                       乙方：</w:t>
      </w:r>
    </w:p>
    <w:p w14:paraId="2C7664B0">
      <w:pPr>
        <w:adjustRightInd w:val="0"/>
        <w:snapToGrid w:val="0"/>
        <w:spacing w:line="56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法定代表人或授权代表：        </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人或授权代表：</w:t>
      </w:r>
    </w:p>
    <w:p w14:paraId="2042CC6E">
      <w:pPr>
        <w:adjustRightInd w:val="0"/>
        <w:snapToGrid w:val="0"/>
        <w:spacing w:line="56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签订日期：    年   月   日 </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  签订日期：   年   月   日</w:t>
      </w:r>
    </w:p>
    <w:p w14:paraId="3599BBF7">
      <w:pPr>
        <w:adjustRightInd w:val="0"/>
        <w:snapToGrid w:val="0"/>
        <w:spacing w:line="560" w:lineRule="exact"/>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br w:type="page"/>
      </w:r>
      <w:r>
        <w:rPr>
          <w:rFonts w:hint="eastAsia" w:ascii="宋体" w:hAnsi="宋体" w:eastAsia="宋体" w:cs="宋体"/>
          <w:b/>
          <w:bCs/>
          <w:color w:val="auto"/>
          <w:sz w:val="28"/>
          <w:szCs w:val="28"/>
          <w:highlight w:val="none"/>
        </w:rPr>
        <w:t>附件1：报价表</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此处附上报价单扫描件</w:t>
      </w:r>
      <w:r>
        <w:rPr>
          <w:rFonts w:hint="eastAsia" w:ascii="宋体" w:hAnsi="宋体" w:eastAsia="宋体" w:cs="宋体"/>
          <w:b/>
          <w:bCs/>
          <w:color w:val="auto"/>
          <w:sz w:val="28"/>
          <w:szCs w:val="28"/>
          <w:highlight w:val="none"/>
          <w:lang w:eastAsia="zh-CN"/>
        </w:rPr>
        <w:t>）</w:t>
      </w:r>
    </w:p>
    <w:p w14:paraId="6A397735">
      <w:pPr>
        <w:spacing w:line="360" w:lineRule="auto"/>
        <w:jc w:val="left"/>
        <w:outlineLvl w:val="9"/>
        <w:rPr>
          <w:rFonts w:hint="eastAsia" w:ascii="宋体" w:hAnsi="宋体" w:eastAsia="宋体" w:cs="宋体"/>
          <w:color w:val="auto"/>
          <w:szCs w:val="21"/>
          <w:highlight w:val="none"/>
          <w:lang w:eastAsia="zh-CN"/>
        </w:rPr>
      </w:pPr>
    </w:p>
    <w:p w14:paraId="1DFBD6D3">
      <w:pPr>
        <w:spacing w:line="360" w:lineRule="auto"/>
        <w:jc w:val="left"/>
        <w:outlineLvl w:val="9"/>
        <w:rPr>
          <w:rFonts w:hint="eastAsia" w:ascii="宋体" w:hAnsi="宋体" w:eastAsia="宋体" w:cs="宋体"/>
          <w:color w:val="auto"/>
          <w:szCs w:val="21"/>
          <w:highlight w:val="none"/>
          <w:lang w:eastAsia="zh-CN"/>
        </w:rPr>
      </w:pPr>
    </w:p>
    <w:p w14:paraId="6A029840">
      <w:pPr>
        <w:spacing w:line="360" w:lineRule="auto"/>
        <w:jc w:val="left"/>
        <w:outlineLvl w:val="9"/>
        <w:rPr>
          <w:rFonts w:hint="eastAsia" w:ascii="宋体" w:hAnsi="宋体" w:eastAsia="宋体" w:cs="宋体"/>
          <w:color w:val="auto"/>
          <w:szCs w:val="21"/>
          <w:highlight w:val="none"/>
          <w:lang w:eastAsia="zh-CN"/>
        </w:rPr>
      </w:pPr>
    </w:p>
    <w:p w14:paraId="25D157B7">
      <w:pPr>
        <w:spacing w:line="360" w:lineRule="auto"/>
        <w:jc w:val="left"/>
        <w:outlineLvl w:val="9"/>
        <w:rPr>
          <w:rFonts w:hint="eastAsia" w:ascii="宋体" w:hAnsi="宋体" w:eastAsia="宋体" w:cs="宋体"/>
          <w:color w:val="auto"/>
          <w:szCs w:val="21"/>
          <w:highlight w:val="none"/>
          <w:lang w:eastAsia="zh-CN"/>
        </w:rPr>
      </w:pPr>
    </w:p>
    <w:p w14:paraId="32077CAD">
      <w:pPr>
        <w:spacing w:line="360" w:lineRule="auto"/>
        <w:jc w:val="left"/>
        <w:outlineLvl w:val="9"/>
        <w:rPr>
          <w:rFonts w:hint="eastAsia" w:ascii="宋体" w:hAnsi="宋体" w:eastAsia="宋体" w:cs="宋体"/>
          <w:color w:val="auto"/>
          <w:szCs w:val="21"/>
          <w:highlight w:val="none"/>
          <w:lang w:eastAsia="zh-CN"/>
        </w:rPr>
      </w:pPr>
    </w:p>
    <w:p w14:paraId="264304E2">
      <w:pPr>
        <w:spacing w:line="360" w:lineRule="auto"/>
        <w:jc w:val="left"/>
        <w:outlineLvl w:val="9"/>
        <w:rPr>
          <w:rFonts w:hint="eastAsia" w:ascii="宋体" w:hAnsi="宋体" w:eastAsia="宋体" w:cs="宋体"/>
          <w:color w:val="auto"/>
          <w:szCs w:val="21"/>
          <w:highlight w:val="none"/>
          <w:lang w:eastAsia="zh-CN"/>
        </w:rPr>
      </w:pPr>
    </w:p>
    <w:p w14:paraId="0B05ADC5">
      <w:pPr>
        <w:spacing w:line="360" w:lineRule="auto"/>
        <w:jc w:val="left"/>
        <w:outlineLvl w:val="9"/>
        <w:rPr>
          <w:rFonts w:hint="eastAsia" w:ascii="宋体" w:hAnsi="宋体" w:eastAsia="宋体" w:cs="宋体"/>
          <w:color w:val="auto"/>
          <w:szCs w:val="21"/>
          <w:highlight w:val="none"/>
          <w:lang w:eastAsia="zh-CN"/>
        </w:rPr>
      </w:pPr>
    </w:p>
    <w:p w14:paraId="3BE17BAF">
      <w:pPr>
        <w:spacing w:line="360" w:lineRule="auto"/>
        <w:jc w:val="left"/>
        <w:outlineLvl w:val="9"/>
        <w:rPr>
          <w:rFonts w:hint="eastAsia" w:ascii="宋体" w:hAnsi="宋体" w:eastAsia="宋体" w:cs="宋体"/>
          <w:color w:val="auto"/>
          <w:szCs w:val="21"/>
          <w:highlight w:val="none"/>
          <w:lang w:eastAsia="zh-CN"/>
        </w:rPr>
      </w:pPr>
    </w:p>
    <w:p w14:paraId="77FA62CA">
      <w:pPr>
        <w:spacing w:line="360" w:lineRule="auto"/>
        <w:jc w:val="left"/>
        <w:outlineLvl w:val="9"/>
        <w:rPr>
          <w:rFonts w:hint="eastAsia" w:ascii="宋体" w:hAnsi="宋体" w:eastAsia="宋体" w:cs="宋体"/>
          <w:color w:val="auto"/>
          <w:szCs w:val="21"/>
          <w:highlight w:val="none"/>
          <w:lang w:eastAsia="zh-CN"/>
        </w:rPr>
      </w:pPr>
    </w:p>
    <w:p w14:paraId="1B8CF75D">
      <w:pPr>
        <w:spacing w:line="360" w:lineRule="auto"/>
        <w:jc w:val="left"/>
        <w:outlineLvl w:val="9"/>
        <w:rPr>
          <w:rFonts w:hint="eastAsia" w:ascii="宋体" w:hAnsi="宋体" w:eastAsia="宋体" w:cs="宋体"/>
          <w:color w:val="auto"/>
          <w:szCs w:val="21"/>
          <w:highlight w:val="none"/>
          <w:lang w:eastAsia="zh-CN"/>
        </w:rPr>
      </w:pPr>
    </w:p>
    <w:p w14:paraId="534CF316">
      <w:pPr>
        <w:spacing w:line="360" w:lineRule="auto"/>
        <w:jc w:val="left"/>
        <w:outlineLvl w:val="9"/>
        <w:rPr>
          <w:rFonts w:hint="eastAsia" w:ascii="宋体" w:hAnsi="宋体" w:eastAsia="宋体" w:cs="宋体"/>
          <w:color w:val="auto"/>
          <w:szCs w:val="21"/>
          <w:highlight w:val="none"/>
          <w:lang w:eastAsia="zh-CN"/>
        </w:rPr>
      </w:pPr>
    </w:p>
    <w:p w14:paraId="658C1165">
      <w:pPr>
        <w:spacing w:line="360" w:lineRule="auto"/>
        <w:jc w:val="left"/>
        <w:outlineLvl w:val="9"/>
        <w:rPr>
          <w:rFonts w:hint="eastAsia" w:ascii="宋体" w:hAnsi="宋体" w:eastAsia="宋体" w:cs="宋体"/>
          <w:color w:val="auto"/>
          <w:szCs w:val="21"/>
          <w:highlight w:val="none"/>
          <w:lang w:eastAsia="zh-CN"/>
        </w:rPr>
      </w:pPr>
    </w:p>
    <w:p w14:paraId="16D631EB">
      <w:pPr>
        <w:spacing w:line="360" w:lineRule="auto"/>
        <w:jc w:val="left"/>
        <w:outlineLvl w:val="9"/>
        <w:rPr>
          <w:rFonts w:hint="eastAsia" w:ascii="宋体" w:hAnsi="宋体" w:eastAsia="宋体" w:cs="宋体"/>
          <w:color w:val="auto"/>
          <w:szCs w:val="21"/>
          <w:highlight w:val="none"/>
          <w:lang w:eastAsia="zh-CN"/>
        </w:rPr>
      </w:pPr>
    </w:p>
    <w:p w14:paraId="265281D3">
      <w:pPr>
        <w:spacing w:line="360" w:lineRule="auto"/>
        <w:jc w:val="left"/>
        <w:outlineLvl w:val="9"/>
        <w:rPr>
          <w:rFonts w:hint="eastAsia" w:ascii="宋体" w:hAnsi="宋体" w:eastAsia="宋体" w:cs="宋体"/>
          <w:color w:val="auto"/>
          <w:szCs w:val="21"/>
          <w:highlight w:val="none"/>
          <w:lang w:eastAsia="zh-CN"/>
        </w:rPr>
      </w:pPr>
    </w:p>
    <w:p w14:paraId="2D61C997">
      <w:pPr>
        <w:spacing w:line="360" w:lineRule="auto"/>
        <w:jc w:val="left"/>
        <w:outlineLvl w:val="9"/>
        <w:rPr>
          <w:rFonts w:hint="eastAsia" w:ascii="宋体" w:hAnsi="宋体" w:eastAsia="宋体" w:cs="宋体"/>
          <w:color w:val="auto"/>
          <w:szCs w:val="21"/>
          <w:highlight w:val="none"/>
          <w:lang w:eastAsia="zh-CN"/>
        </w:rPr>
      </w:pPr>
    </w:p>
    <w:p w14:paraId="5841AF39">
      <w:pPr>
        <w:spacing w:line="360" w:lineRule="auto"/>
        <w:jc w:val="left"/>
        <w:outlineLvl w:val="9"/>
        <w:rPr>
          <w:rFonts w:hint="eastAsia" w:ascii="宋体" w:hAnsi="宋体" w:eastAsia="宋体" w:cs="宋体"/>
          <w:color w:val="auto"/>
          <w:szCs w:val="21"/>
          <w:highlight w:val="none"/>
          <w:lang w:eastAsia="zh-CN"/>
        </w:rPr>
      </w:pPr>
    </w:p>
    <w:p w14:paraId="236BDC7C">
      <w:pPr>
        <w:spacing w:line="360" w:lineRule="auto"/>
        <w:jc w:val="left"/>
        <w:outlineLvl w:val="9"/>
        <w:rPr>
          <w:rFonts w:hint="eastAsia" w:ascii="宋体" w:hAnsi="宋体" w:eastAsia="宋体" w:cs="宋体"/>
          <w:color w:val="auto"/>
          <w:szCs w:val="21"/>
          <w:highlight w:val="none"/>
          <w:lang w:eastAsia="zh-CN"/>
        </w:rPr>
      </w:pPr>
    </w:p>
    <w:p w14:paraId="35EE258B">
      <w:pPr>
        <w:spacing w:line="360" w:lineRule="auto"/>
        <w:jc w:val="left"/>
        <w:outlineLvl w:val="9"/>
        <w:rPr>
          <w:rFonts w:hint="eastAsia" w:ascii="宋体" w:hAnsi="宋体" w:eastAsia="宋体" w:cs="宋体"/>
          <w:color w:val="auto"/>
          <w:szCs w:val="21"/>
          <w:highlight w:val="none"/>
          <w:lang w:eastAsia="zh-CN"/>
        </w:rPr>
      </w:pPr>
    </w:p>
    <w:p w14:paraId="164F53A4">
      <w:pPr>
        <w:spacing w:line="360" w:lineRule="auto"/>
        <w:jc w:val="left"/>
        <w:outlineLvl w:val="9"/>
        <w:rPr>
          <w:rFonts w:hint="eastAsia" w:ascii="宋体" w:hAnsi="宋体" w:eastAsia="宋体" w:cs="宋体"/>
          <w:color w:val="auto"/>
          <w:szCs w:val="21"/>
          <w:highlight w:val="none"/>
          <w:lang w:eastAsia="zh-CN"/>
        </w:rPr>
      </w:pPr>
    </w:p>
    <w:p w14:paraId="04983330">
      <w:pPr>
        <w:spacing w:line="360" w:lineRule="auto"/>
        <w:jc w:val="left"/>
        <w:outlineLvl w:val="9"/>
        <w:rPr>
          <w:rFonts w:hint="eastAsia" w:ascii="宋体" w:hAnsi="宋体" w:eastAsia="宋体" w:cs="宋体"/>
          <w:color w:val="auto"/>
          <w:szCs w:val="21"/>
          <w:highlight w:val="none"/>
          <w:lang w:eastAsia="zh-CN"/>
        </w:rPr>
      </w:pPr>
    </w:p>
    <w:p w14:paraId="6F00CFBC">
      <w:pPr>
        <w:spacing w:line="360" w:lineRule="auto"/>
        <w:jc w:val="left"/>
        <w:outlineLvl w:val="9"/>
        <w:rPr>
          <w:rFonts w:hint="eastAsia" w:ascii="宋体" w:hAnsi="宋体" w:eastAsia="宋体" w:cs="宋体"/>
          <w:color w:val="auto"/>
          <w:szCs w:val="21"/>
          <w:highlight w:val="none"/>
          <w:lang w:eastAsia="zh-CN"/>
        </w:rPr>
      </w:pPr>
    </w:p>
    <w:p w14:paraId="46241C4A">
      <w:pPr>
        <w:spacing w:line="360" w:lineRule="auto"/>
        <w:jc w:val="left"/>
        <w:outlineLvl w:val="9"/>
        <w:rPr>
          <w:rFonts w:hint="eastAsia" w:ascii="宋体" w:hAnsi="宋体" w:eastAsia="宋体" w:cs="宋体"/>
          <w:color w:val="auto"/>
          <w:szCs w:val="21"/>
          <w:highlight w:val="none"/>
          <w:lang w:eastAsia="zh-CN"/>
        </w:rPr>
      </w:pPr>
    </w:p>
    <w:p w14:paraId="14DD966B">
      <w:pPr>
        <w:spacing w:line="360" w:lineRule="auto"/>
        <w:jc w:val="left"/>
        <w:outlineLvl w:val="9"/>
        <w:rPr>
          <w:rFonts w:hint="eastAsia" w:ascii="宋体" w:hAnsi="宋体" w:eastAsia="宋体" w:cs="宋体"/>
          <w:color w:val="auto"/>
          <w:szCs w:val="21"/>
          <w:highlight w:val="none"/>
          <w:lang w:eastAsia="zh-CN"/>
        </w:rPr>
      </w:pPr>
    </w:p>
    <w:p w14:paraId="66DA80B6">
      <w:pPr>
        <w:spacing w:line="360" w:lineRule="auto"/>
        <w:jc w:val="left"/>
        <w:outlineLvl w:val="9"/>
        <w:rPr>
          <w:rFonts w:hint="eastAsia" w:ascii="宋体" w:hAnsi="宋体" w:eastAsia="宋体" w:cs="宋体"/>
          <w:color w:val="auto"/>
          <w:szCs w:val="21"/>
          <w:highlight w:val="none"/>
          <w:lang w:eastAsia="zh-CN"/>
        </w:rPr>
      </w:pPr>
    </w:p>
    <w:p w14:paraId="05268F8D">
      <w:pPr>
        <w:spacing w:line="360" w:lineRule="auto"/>
        <w:jc w:val="left"/>
        <w:outlineLvl w:val="9"/>
        <w:rPr>
          <w:rFonts w:hint="eastAsia" w:ascii="宋体" w:hAnsi="宋体" w:eastAsia="宋体" w:cs="宋体"/>
          <w:color w:val="auto"/>
          <w:szCs w:val="21"/>
          <w:highlight w:val="none"/>
          <w:lang w:eastAsia="zh-CN"/>
        </w:rPr>
      </w:pPr>
    </w:p>
    <w:p w14:paraId="0098E007">
      <w:pPr>
        <w:spacing w:line="360" w:lineRule="auto"/>
        <w:jc w:val="left"/>
        <w:outlineLvl w:val="9"/>
        <w:rPr>
          <w:rFonts w:hint="eastAsia" w:ascii="宋体" w:hAnsi="宋体" w:eastAsia="宋体" w:cs="宋体"/>
          <w:color w:val="auto"/>
          <w:szCs w:val="21"/>
          <w:highlight w:val="none"/>
          <w:lang w:eastAsia="zh-CN"/>
        </w:rPr>
      </w:pPr>
    </w:p>
    <w:p w14:paraId="190E5A8D">
      <w:pPr>
        <w:spacing w:line="360" w:lineRule="auto"/>
        <w:jc w:val="left"/>
        <w:outlineLvl w:val="9"/>
        <w:rPr>
          <w:rFonts w:hint="eastAsia" w:ascii="宋体" w:hAnsi="宋体" w:eastAsia="宋体" w:cs="宋体"/>
          <w:color w:val="auto"/>
          <w:szCs w:val="21"/>
          <w:highlight w:val="none"/>
          <w:lang w:eastAsia="zh-CN"/>
        </w:rPr>
      </w:pPr>
    </w:p>
    <w:p w14:paraId="430320ED">
      <w:pPr>
        <w:spacing w:line="360" w:lineRule="auto"/>
        <w:jc w:val="left"/>
        <w:outlineLvl w:val="9"/>
        <w:rPr>
          <w:rFonts w:hint="eastAsia" w:ascii="宋体" w:hAnsi="宋体" w:eastAsia="宋体" w:cs="宋体"/>
          <w:color w:val="auto"/>
          <w:szCs w:val="21"/>
          <w:highlight w:val="none"/>
          <w:lang w:eastAsia="zh-CN"/>
        </w:rPr>
      </w:pPr>
    </w:p>
    <w:p w14:paraId="33C30236">
      <w:pP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36D7D6EE">
      <w:pPr>
        <w:spacing w:line="360" w:lineRule="auto"/>
        <w:jc w:val="left"/>
        <w:outlineLvl w:val="9"/>
        <w:rPr>
          <w:rFonts w:hint="eastAsia" w:ascii="宋体" w:hAnsi="宋体" w:eastAsia="宋体" w:cs="宋体"/>
          <w:b/>
          <w:bCs/>
          <w:color w:val="auto"/>
          <w:sz w:val="28"/>
          <w:szCs w:val="28"/>
          <w:highlight w:val="none"/>
        </w:rPr>
      </w:pPr>
      <w:bookmarkStart w:id="531" w:name="_Toc14186"/>
      <w:r>
        <w:rPr>
          <w:rFonts w:hint="eastAsia" w:ascii="宋体" w:hAnsi="宋体" w:eastAsia="宋体" w:cs="宋体"/>
          <w:b/>
          <w:bCs/>
          <w:color w:val="auto"/>
          <w:sz w:val="28"/>
          <w:szCs w:val="28"/>
          <w:highlight w:val="none"/>
        </w:rPr>
        <w:t>附件2：承诺书</w:t>
      </w:r>
      <w:bookmarkEnd w:id="531"/>
    </w:p>
    <w:p w14:paraId="2EF50751">
      <w:pPr>
        <w:spacing w:line="360" w:lineRule="auto"/>
        <w:jc w:val="center"/>
        <w:outlineLvl w:val="9"/>
        <w:rPr>
          <w:rFonts w:hint="eastAsia" w:ascii="宋体" w:hAnsi="宋体" w:eastAsia="宋体" w:cs="宋体"/>
          <w:color w:val="auto"/>
          <w:sz w:val="28"/>
          <w:szCs w:val="28"/>
          <w:highlight w:val="none"/>
          <w:u w:val="single"/>
        </w:rPr>
      </w:pPr>
      <w:r>
        <w:rPr>
          <w:rFonts w:hint="eastAsia" w:ascii="宋体" w:hAnsi="宋体" w:eastAsia="宋体" w:cs="宋体"/>
          <w:b/>
          <w:bCs/>
          <w:color w:val="auto"/>
          <w:sz w:val="44"/>
          <w:szCs w:val="44"/>
          <w:highlight w:val="none"/>
        </w:rPr>
        <w:t>承诺书</w:t>
      </w:r>
    </w:p>
    <w:p w14:paraId="361B9413">
      <w:pPr>
        <w:widowControl/>
        <w:spacing w:line="360" w:lineRule="auto"/>
        <w:ind w:firstLine="480" w:firstLineChars="200"/>
        <w:jc w:val="lef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东莞市水务环境投资控股集团管网有限公司</w:t>
      </w:r>
      <w:r>
        <w:rPr>
          <w:rFonts w:hint="eastAsia" w:ascii="宋体" w:hAnsi="宋体" w:eastAsia="宋体" w:cs="宋体"/>
          <w:color w:val="auto"/>
          <w:sz w:val="24"/>
          <w:szCs w:val="24"/>
          <w:highlight w:val="none"/>
          <w:u w:val="single"/>
        </w:rPr>
        <w:t>、东莞市莞泽水环境投资有限公司、东莞市东信水环境投资有限公司、东莞市东泽水环境投资有限公司、东莞市清泽水环境投资有限公司、东莞市莞清水环境投资有限公司、东莞市东江水环境投资有限公司：</w:t>
      </w:r>
    </w:p>
    <w:p w14:paraId="46C1BE3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我司根据《公众责任险保险服务</w:t>
      </w:r>
      <w:r>
        <w:rPr>
          <w:rFonts w:hint="eastAsia" w:ascii="宋体" w:hAnsi="宋体" w:eastAsia="宋体" w:cs="宋体"/>
          <w:color w:val="auto"/>
          <w:sz w:val="24"/>
          <w:szCs w:val="24"/>
          <w:highlight w:val="none"/>
          <w:lang w:val="zh-CN"/>
        </w:rPr>
        <w:t>采购项目</w:t>
      </w:r>
      <w:r>
        <w:rPr>
          <w:rFonts w:hint="eastAsia" w:ascii="宋体" w:hAnsi="宋体" w:eastAsia="宋体" w:cs="宋体"/>
          <w:color w:val="auto"/>
          <w:sz w:val="24"/>
          <w:szCs w:val="24"/>
          <w:highlight w:val="none"/>
        </w:rPr>
        <w:t>合同》相关条款全力配合贵公司工作，并自愿做出如下承诺：</w:t>
      </w:r>
    </w:p>
    <w:p w14:paraId="2F9AB86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26BBD74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19DBA9E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（三）如我司有违反本项目管理及合同约定等行为，我司将同意并接受贵公司根据相关约定对我司进行处罚；</w:t>
      </w:r>
    </w:p>
    <w:p w14:paraId="07CB913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（四）如我司有违反本项目管理及合同约定等行为，贵公司有权将我司列入贵公司母公司东莞市水务</w:t>
      </w:r>
      <w:r>
        <w:rPr>
          <w:rFonts w:hint="eastAsia" w:ascii="宋体" w:hAnsi="宋体" w:eastAsia="宋体" w:cs="宋体"/>
          <w:color w:val="auto"/>
          <w:sz w:val="24"/>
          <w:szCs w:val="24"/>
          <w:highlight w:val="none"/>
          <w:lang w:val="en-US" w:eastAsia="zh-CN"/>
        </w:rPr>
        <w:t>环境投资控股</w:t>
      </w:r>
      <w:r>
        <w:rPr>
          <w:rFonts w:hint="eastAsia" w:ascii="宋体" w:hAnsi="宋体" w:eastAsia="宋体" w:cs="宋体"/>
          <w:color w:val="auto"/>
          <w:sz w:val="24"/>
          <w:szCs w:val="24"/>
          <w:highlight w:val="none"/>
        </w:rPr>
        <w:t>集团有限公司“黑名单”，我公司清楚并接受后续因此无法承接贵公司及贵公司母公司相关项目的后果；且我司将同意并接受贵公司向东莞阳光网、东莞日报等媒体公开我司失信行为，并上报</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部门要求取消我司参加东莞市公开招标项目的投标资格等，并愿按相关规定接受处理，由此产生的影响将由我司承担。</w:t>
      </w:r>
    </w:p>
    <w:p w14:paraId="747898BF">
      <w:pPr>
        <w:spacing w:line="360" w:lineRule="auto"/>
        <w:ind w:firstLine="480" w:firstLineChars="200"/>
        <w:outlineLvl w:val="9"/>
        <w:rPr>
          <w:rFonts w:hint="eastAsia" w:ascii="宋体" w:hAnsi="宋体" w:eastAsia="宋体" w:cs="宋体"/>
          <w:color w:val="auto"/>
          <w:sz w:val="24"/>
          <w:szCs w:val="24"/>
          <w:highlight w:val="none"/>
        </w:rPr>
      </w:pPr>
    </w:p>
    <w:p w14:paraId="542B3109">
      <w:pPr>
        <w:spacing w:line="360" w:lineRule="auto"/>
        <w:ind w:firstLine="480" w:firstLineChars="200"/>
        <w:outlineLvl w:val="9"/>
        <w:rPr>
          <w:rFonts w:hint="eastAsia" w:ascii="宋体" w:hAnsi="宋体" w:eastAsia="宋体" w:cs="宋体"/>
          <w:color w:val="auto"/>
          <w:sz w:val="24"/>
          <w:szCs w:val="24"/>
          <w:highlight w:val="none"/>
        </w:rPr>
      </w:pPr>
    </w:p>
    <w:p w14:paraId="57BC9F18">
      <w:pPr>
        <w:spacing w:line="360" w:lineRule="auto"/>
        <w:ind w:right="1004" w:firstLine="1764" w:firstLineChars="700"/>
        <w:outlineLvl w:val="9"/>
        <w:rPr>
          <w:rFonts w:hint="eastAsia" w:ascii="宋体" w:hAnsi="宋体" w:eastAsia="宋体" w:cs="宋体"/>
          <w:color w:val="auto"/>
          <w:w w:val="105"/>
          <w:sz w:val="24"/>
          <w:szCs w:val="24"/>
          <w:highlight w:val="none"/>
        </w:rPr>
      </w:pPr>
      <w:r>
        <w:rPr>
          <w:rFonts w:hint="eastAsia" w:ascii="宋体" w:hAnsi="宋体" w:eastAsia="宋体" w:cs="宋体"/>
          <w:color w:val="auto"/>
          <w:w w:val="105"/>
          <w:sz w:val="24"/>
          <w:szCs w:val="24"/>
          <w:highlight w:val="none"/>
        </w:rPr>
        <w:t>承诺单位（盖章）：</w:t>
      </w:r>
    </w:p>
    <w:p w14:paraId="33F57D99">
      <w:pPr>
        <w:spacing w:line="360" w:lineRule="auto"/>
        <w:ind w:right="96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人或授权代表签名（或盖私章）：</w:t>
      </w:r>
    </w:p>
    <w:p w14:paraId="0F89D99C">
      <w:pPr>
        <w:adjustRightInd/>
        <w:snapToGrid/>
        <w:spacing w:line="360" w:lineRule="auto"/>
        <w:ind w:right="96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1FAF44C">
      <w:pPr>
        <w:adjustRightInd w:val="0"/>
        <w:snapToGrid w:val="0"/>
        <w:spacing w:line="560" w:lineRule="exact"/>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532" w:name="_Toc12811"/>
      <w:r>
        <w:rPr>
          <w:rFonts w:hint="eastAsia" w:ascii="宋体" w:hAnsi="宋体" w:eastAsia="宋体" w:cs="宋体"/>
          <w:b/>
          <w:bCs/>
          <w:color w:val="auto"/>
          <w:sz w:val="28"/>
          <w:szCs w:val="28"/>
          <w:highlight w:val="none"/>
        </w:rPr>
        <w:t>附件3：用户需求书</w:t>
      </w:r>
      <w:bookmarkEnd w:id="532"/>
    </w:p>
    <w:p w14:paraId="4BF9D487">
      <w:pPr>
        <w:pStyle w:val="37"/>
        <w:keepNext w:val="0"/>
        <w:keepLines w:val="0"/>
        <w:pageBreakBefore w:val="0"/>
        <w:widowControl w:val="0"/>
        <w:kinsoku/>
        <w:wordWrap/>
        <w:overflowPunct/>
        <w:topLinePunct w:val="0"/>
        <w:bidi w:val="0"/>
        <w:snapToGrid/>
        <w:spacing w:before="0" w:beforeLines="0" w:after="0" w:afterLines="0" w:line="600" w:lineRule="exact"/>
        <w:textAlignment w:val="auto"/>
        <w:outlineLvl w:val="9"/>
        <w:rPr>
          <w:rFonts w:hint="eastAsia" w:ascii="宋体" w:hAnsi="宋体" w:eastAsia="宋体" w:cs="宋体"/>
          <w:b w:val="0"/>
          <w:bCs w:val="0"/>
          <w:color w:val="auto"/>
          <w:sz w:val="36"/>
          <w:szCs w:val="36"/>
          <w:highlight w:val="none"/>
          <w:lang w:val="en-US" w:eastAsia="zh-CN"/>
        </w:rPr>
      </w:pPr>
    </w:p>
    <w:p w14:paraId="7784D09A">
      <w:pPr>
        <w:widowControl/>
        <w:outlineLvl w:val="9"/>
        <w:rPr>
          <w:rFonts w:hint="eastAsia" w:ascii="宋体" w:hAnsi="宋体" w:eastAsia="宋体" w:cs="宋体"/>
          <w:b/>
          <w:bCs/>
          <w:color w:val="auto"/>
          <w:kern w:val="44"/>
          <w:sz w:val="32"/>
          <w:szCs w:val="32"/>
          <w:highlight w:val="none"/>
        </w:rPr>
      </w:pPr>
    </w:p>
    <w:p w14:paraId="7FB6F813">
      <w:pPr>
        <w:widowControl/>
        <w:outlineLvl w:val="9"/>
        <w:rPr>
          <w:rFonts w:hint="eastAsia" w:ascii="宋体" w:hAnsi="宋体" w:eastAsia="宋体" w:cs="宋体"/>
          <w:b/>
          <w:bCs/>
          <w:color w:val="auto"/>
          <w:kern w:val="44"/>
          <w:sz w:val="32"/>
          <w:szCs w:val="32"/>
          <w:highlight w:val="none"/>
        </w:rPr>
      </w:pPr>
    </w:p>
    <w:p w14:paraId="433D3D88">
      <w:pPr>
        <w:widowControl/>
        <w:outlineLvl w:val="9"/>
        <w:rPr>
          <w:rFonts w:hint="eastAsia" w:ascii="宋体" w:hAnsi="宋体" w:eastAsia="宋体" w:cs="宋体"/>
          <w:b/>
          <w:bCs/>
          <w:color w:val="auto"/>
          <w:kern w:val="44"/>
          <w:sz w:val="32"/>
          <w:szCs w:val="32"/>
          <w:highlight w:val="none"/>
        </w:rPr>
      </w:pPr>
    </w:p>
    <w:p w14:paraId="51DB934B">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r>
        <w:rPr>
          <w:rFonts w:hint="eastAsia" w:ascii="宋体" w:hAnsi="宋体" w:eastAsia="宋体" w:cs="宋体"/>
          <w:b/>
          <w:bCs/>
          <w:color w:val="auto"/>
          <w:sz w:val="28"/>
          <w:szCs w:val="28"/>
          <w:highlight w:val="none"/>
          <w:lang w:val="en-US" w:eastAsia="zh-CN"/>
        </w:rPr>
        <w:t xml:space="preserve">附件4：公众责任险条款（含附加条款、特别约定） </w:t>
      </w:r>
    </w:p>
    <w:p w14:paraId="24539E9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5007C4F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1007A832">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107DF6A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5A96D90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0216C17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20D04AC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1A3AFB3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24341A8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12A5915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6786705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2F5CDC1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670CCD6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46AFF76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3506BF6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63A5EE8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6FD6808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24F1236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62325FD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15522298">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368B13C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4F24E92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3E58BAD0">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outlineLvl w:val="9"/>
        <w:rPr>
          <w:rFonts w:hint="eastAsia" w:ascii="宋体" w:hAnsi="宋体" w:eastAsia="宋体" w:cs="宋体"/>
          <w:b/>
          <w:bCs/>
          <w:color w:val="auto"/>
          <w:sz w:val="28"/>
          <w:szCs w:val="28"/>
          <w:highlight w:val="none"/>
        </w:rPr>
      </w:pPr>
    </w:p>
    <w:p w14:paraId="621EE552">
      <w:pP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：廉洁协议书</w:t>
      </w:r>
    </w:p>
    <w:p w14:paraId="369E5031">
      <w:pPr>
        <w:widowControl/>
        <w:spacing w:line="240" w:lineRule="auto"/>
        <w:ind w:right="0" w:rightChars="0"/>
        <w:jc w:val="center"/>
        <w:outlineLvl w:val="9"/>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廉洁协议书</w:t>
      </w:r>
    </w:p>
    <w:p w14:paraId="0E15E4FE">
      <w:pPr>
        <w:spacing w:line="600" w:lineRule="exact"/>
        <w:ind w:right="31" w:rightChars="15"/>
        <w:jc w:val="center"/>
        <w:outlineLvl w:val="9"/>
        <w:rPr>
          <w:rFonts w:hint="eastAsia" w:ascii="宋体" w:hAnsi="宋体" w:eastAsia="宋体" w:cs="宋体"/>
          <w:b/>
          <w:color w:val="auto"/>
          <w:sz w:val="44"/>
          <w:szCs w:val="44"/>
          <w:highlight w:val="none"/>
        </w:rPr>
      </w:pPr>
    </w:p>
    <w:p w14:paraId="6103E96D">
      <w:pPr>
        <w:spacing w:line="560" w:lineRule="exact"/>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项目名称：</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3E1A552">
      <w:pPr>
        <w:spacing w:line="560" w:lineRule="exac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甲方（业主单位）：</w:t>
      </w:r>
    </w:p>
    <w:p w14:paraId="69AD3189">
      <w:pPr>
        <w:spacing w:line="560" w:lineRule="exac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乙方：</w:t>
      </w:r>
    </w:p>
    <w:p w14:paraId="6B6DFA96">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D60604E">
      <w:pPr>
        <w:spacing w:beforeLines="0" w:afterLines="0" w:line="56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甲乙双方的权利和义务</w:t>
      </w:r>
    </w:p>
    <w:p w14:paraId="0C369181">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（一）严格遵守党和国家有关法律法规等有关廉洁从业规定。</w:t>
      </w:r>
    </w:p>
    <w:p w14:paraId="40113D7C">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（二）严格执行本项目的合同文件，自觉按合同办事。</w:t>
      </w:r>
    </w:p>
    <w:p w14:paraId="24B83F7F">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（三）双方的业务活动坚持公开、公正、诚信、透明的原则（除法律认定的商业秘密和合同文件另有规定之外）不得损害国家和集体利益，违反工程建设管理及其他法律法规规章制度。</w:t>
      </w:r>
    </w:p>
    <w:p w14:paraId="06E4D7D5">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（四）建立健全廉洁制度，开展廉洁教育，设立廉洁监督</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示牌，公布举报电话，监督并认真查处违法违纪行为。</w:t>
      </w:r>
    </w:p>
    <w:p w14:paraId="751B1BCB">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（五）发现对方在业务活动中有违反廉洁规定的行为，有及时提醒对方纠正的权利和义务。</w:t>
      </w:r>
    </w:p>
    <w:p w14:paraId="52C700D8">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（六）发现对方严重违反本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义务条款的行为，有向其上级有关部门举报、建议给予处理并要求告知处理结果的权利。</w:t>
      </w:r>
    </w:p>
    <w:p w14:paraId="40080B45">
      <w:pPr>
        <w:spacing w:beforeLines="0" w:afterLines="0" w:line="56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甲方的义务</w:t>
      </w:r>
    </w:p>
    <w:p w14:paraId="6CD1D74E">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（一）甲方及其工作人员不得索要或接受乙方的礼金、有价证券和贵重物品，不得在乙方报销任何应由甲方或个人支付的费用。</w:t>
      </w:r>
    </w:p>
    <w:p w14:paraId="78476BE9">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（二）甲方工作人员不得参加乙方安排的高消费宴请和娱乐活动；不得接受乙方提供的通讯工具、交通工具和高档办公用品。</w:t>
      </w:r>
    </w:p>
    <w:p w14:paraId="69142744">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（三）甲方及其工作人员不得要求或者接受乙方为其住房装修、婚丧嫁娶活动、家属或亲友的工作安排以及出国出境、旅游等提供方便。</w:t>
      </w:r>
    </w:p>
    <w:p w14:paraId="5B0270D2">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（四）甲方工作人员不得向乙方介绍其家属或者亲友（包括家属或亲友开办的公司企业）从事于本项目涉及的经济业务活动。</w:t>
      </w:r>
    </w:p>
    <w:p w14:paraId="0A601954">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（五）甲方及其工作人员不得以任何理由向乙方推荐分包单位，不得要求乙方购买合同规定外的材料和设备。</w:t>
      </w:r>
    </w:p>
    <w:p w14:paraId="1C679381">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（六）甲方及其工作人员不得进行违反廉洁规定的其他活动。</w:t>
      </w:r>
    </w:p>
    <w:p w14:paraId="5D4A64BB">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6EE99227">
      <w:pPr>
        <w:spacing w:beforeLines="0" w:afterLines="0" w:line="56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乙方义务</w:t>
      </w:r>
    </w:p>
    <w:p w14:paraId="3AD57A14">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（一）乙方不得以任何理由向甲方及其工作人员馈赠礼金、有价证券、贵重礼品，或报销应由甲方单位或个人支付的任何费用。</w:t>
      </w:r>
    </w:p>
    <w:p w14:paraId="3A12247C">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（二）乙方及其工作人员不得以考察、参观、洽谈业务、签订合同等的借口邀请甲方及其工作人员参加高消费的宴请、娱乐和健身等活动。</w:t>
      </w:r>
    </w:p>
    <w:p w14:paraId="6D8E3D32">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（三）乙方不得为甲方单位和个人购置或提供通讯工具、交通工具和高档办公用品等。</w:t>
      </w:r>
    </w:p>
    <w:p w14:paraId="39B6BBEC">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（四）乙方及其工作人员不得为甲方工作人员购买、装修、维修私人住房、汽车等。</w:t>
      </w:r>
    </w:p>
    <w:p w14:paraId="54E0D4DA">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（五）乙方及其工作人员不得为甲方工作人员的婚丧嫁娶、家属或亲友的工作安排，及出国出境提供方便以及报销任何私人消费的费用。</w:t>
      </w:r>
    </w:p>
    <w:p w14:paraId="073FA975">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（六）乙方及其工作人员不得进行影响甲方及其工作人员公正执行合同和履行职务的其他活动。</w:t>
      </w:r>
    </w:p>
    <w:p w14:paraId="7BCA3A7A">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A7BE59C">
      <w:pPr>
        <w:spacing w:beforeLines="0" w:afterLines="0" w:line="56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违约责任</w:t>
      </w:r>
    </w:p>
    <w:p w14:paraId="0D21B433">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（一）甲方违反本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第一、第二条给乙方单位造成经济损失的，应予以赔偿。</w:t>
      </w:r>
    </w:p>
    <w:p w14:paraId="55F281E3">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（二）乙方违反本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第一、第三条给甲方单位造成经济损失的，应予以赔偿。</w:t>
      </w:r>
    </w:p>
    <w:p w14:paraId="60832E77">
      <w:pPr>
        <w:spacing w:beforeLines="0" w:afterLines="0" w:line="56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第五条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监督检查</w:t>
      </w:r>
    </w:p>
    <w:p w14:paraId="5F307936">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甲乙双方的廉洁从业行为由双方或双方上级单位的纪检、监察</w:t>
      </w:r>
      <w:r>
        <w:rPr>
          <w:rFonts w:hint="eastAsia" w:ascii="宋体" w:hAnsi="宋体" w:eastAsia="宋体" w:cs="宋体"/>
          <w:color w:val="auto"/>
          <w:sz w:val="24"/>
          <w:szCs w:val="24"/>
          <w:highlight w:val="none"/>
          <w:lang w:val="en-US" w:eastAsia="zh-CN"/>
        </w:rPr>
        <w:t>部门</w:t>
      </w:r>
      <w:r>
        <w:rPr>
          <w:rFonts w:hint="eastAsia" w:ascii="宋体" w:hAnsi="宋体" w:eastAsia="宋体" w:cs="宋体"/>
          <w:color w:val="auto"/>
          <w:sz w:val="24"/>
          <w:szCs w:val="24"/>
          <w:highlight w:val="none"/>
        </w:rPr>
        <w:t>负责监督，对本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履行情况进行检查。</w:t>
      </w:r>
    </w:p>
    <w:p w14:paraId="27D365A8">
      <w:pPr>
        <w:numPr>
          <w:ilvl w:val="0"/>
          <w:numId w:val="0"/>
        </w:numPr>
        <w:spacing w:beforeLines="0" w:afterLines="0" w:line="560" w:lineRule="exact"/>
        <w:ind w:firstLine="482" w:firstLineChars="200"/>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第六条 举报信访受理</w:t>
      </w:r>
    </w:p>
    <w:p w14:paraId="7268C33E">
      <w:pPr>
        <w:numPr>
          <w:ilvl w:val="0"/>
          <w:numId w:val="0"/>
        </w:numPr>
        <w:spacing w:beforeLines="0" w:afterLines="0" w:line="560" w:lineRule="exact"/>
        <w:ind w:firstLine="56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（一）举报受理部门：东莞市水务环境投资控股集团有限公司纪检监察部。</w:t>
      </w:r>
    </w:p>
    <w:p w14:paraId="1423EF36">
      <w:pPr>
        <w:numPr>
          <w:ilvl w:val="0"/>
          <w:numId w:val="0"/>
        </w:numPr>
        <w:spacing w:beforeLines="0" w:afterLines="0" w:line="560" w:lineRule="exact"/>
        <w:ind w:firstLine="56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（二）举报电话：（0769）23076092。</w:t>
      </w:r>
    </w:p>
    <w:p w14:paraId="4077AD09">
      <w:pPr>
        <w:numPr>
          <w:ilvl w:val="0"/>
          <w:numId w:val="0"/>
        </w:numPr>
        <w:spacing w:beforeLines="0" w:afterLines="0" w:line="560" w:lineRule="exact"/>
        <w:ind w:firstLine="56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（三）举报邮箱：</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"mailto:jcsj@dgswjt.cn。" </w:instrText>
      </w:r>
      <w:r>
        <w:rPr>
          <w:rFonts w:hint="eastAsia" w:ascii="宋体" w:hAnsi="宋体" w:eastAsia="宋体" w:cs="宋体"/>
          <w:color w:val="auto"/>
          <w:sz w:val="24"/>
          <w:szCs w:val="24"/>
          <w:highlight w:val="none"/>
          <w:lang w:val="en-US" w:eastAsia="zh-CN"/>
        </w:rPr>
        <w:fldChar w:fldCharType="separate"/>
      </w:r>
      <w:r>
        <w:rPr>
          <w:rStyle w:val="45"/>
          <w:rFonts w:hint="eastAsia" w:ascii="宋体" w:hAnsi="宋体" w:eastAsia="宋体" w:cs="宋体"/>
          <w:color w:val="auto"/>
          <w:sz w:val="24"/>
          <w:szCs w:val="24"/>
          <w:highlight w:val="none"/>
          <w:lang w:val="en-US" w:eastAsia="zh-CN"/>
        </w:rPr>
        <w:t>jcsj@dgswjt.cn。</w:t>
      </w:r>
      <w:r>
        <w:rPr>
          <w:rFonts w:hint="eastAsia" w:ascii="宋体" w:hAnsi="宋体" w:eastAsia="宋体" w:cs="宋体"/>
          <w:color w:val="auto"/>
          <w:sz w:val="24"/>
          <w:szCs w:val="24"/>
          <w:highlight w:val="none"/>
          <w:lang w:val="en-US" w:eastAsia="zh-CN"/>
        </w:rPr>
        <w:fldChar w:fldCharType="end"/>
      </w:r>
    </w:p>
    <w:p w14:paraId="471E63A0">
      <w:pPr>
        <w:numPr>
          <w:ilvl w:val="0"/>
          <w:numId w:val="0"/>
        </w:numPr>
        <w:spacing w:beforeLines="0" w:afterLines="0" w:line="560" w:lineRule="exact"/>
        <w:ind w:firstLine="56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（四）信访地址：广东省东莞市东城街道育华路1号。</w:t>
      </w:r>
    </w:p>
    <w:p w14:paraId="08EA4223">
      <w:pPr>
        <w:numPr>
          <w:ilvl w:val="0"/>
          <w:numId w:val="0"/>
        </w:numPr>
        <w:spacing w:beforeLines="0" w:afterLines="0" w:line="560" w:lineRule="exact"/>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第七条</w:t>
      </w:r>
      <w:r>
        <w:rPr>
          <w:rFonts w:hint="eastAsia" w:ascii="宋体" w:hAnsi="宋体" w:eastAsia="宋体" w:cs="宋体"/>
          <w:b/>
          <w:bCs/>
          <w:color w:val="auto"/>
          <w:sz w:val="24"/>
          <w:szCs w:val="24"/>
          <w:highlight w:val="none"/>
        </w:rPr>
        <w:t xml:space="preserve"> 其他</w:t>
      </w:r>
    </w:p>
    <w:p w14:paraId="5FD6EF92">
      <w:pPr>
        <w:spacing w:beforeLines="0" w:afterLines="0"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有效期为甲乙双方签字并加盖公章之日起至该工程/采购项目竣工验收完毕，质保期/服务期满后止。本</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份，甲、乙双方各执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份，甲、乙双方上级主管部门各执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0C87F925">
      <w:pPr>
        <w:spacing w:line="560" w:lineRule="exact"/>
        <w:ind w:firstLine="480" w:firstLineChars="200"/>
        <w:outlineLvl w:val="9"/>
        <w:rPr>
          <w:rFonts w:hint="eastAsia" w:ascii="宋体" w:hAnsi="宋体" w:eastAsia="宋体" w:cs="宋体"/>
          <w:color w:val="auto"/>
          <w:sz w:val="24"/>
          <w:szCs w:val="24"/>
          <w:highlight w:val="none"/>
        </w:rPr>
      </w:pPr>
    </w:p>
    <w:p w14:paraId="1FAA1ABA">
      <w:pPr>
        <w:spacing w:line="560" w:lineRule="exact"/>
        <w:outlineLvl w:val="9"/>
        <w:rPr>
          <w:rFonts w:hint="eastAsia" w:ascii="宋体" w:hAnsi="宋体" w:eastAsia="宋体" w:cs="宋体"/>
          <w:color w:val="auto"/>
          <w:sz w:val="24"/>
          <w:szCs w:val="24"/>
          <w:highlight w:val="none"/>
        </w:rPr>
      </w:pPr>
    </w:p>
    <w:p w14:paraId="0FFF6550">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                乙方（盖章）： </w:t>
      </w:r>
    </w:p>
    <w:p w14:paraId="07C8779A">
      <w:pPr>
        <w:spacing w:line="560" w:lineRule="exact"/>
        <w:ind w:firstLine="480" w:firstLineChars="200"/>
        <w:outlineLvl w:val="9"/>
        <w:rPr>
          <w:rFonts w:hint="eastAsia" w:ascii="宋体" w:hAnsi="宋体" w:eastAsia="宋体" w:cs="宋体"/>
          <w:color w:val="auto"/>
          <w:sz w:val="24"/>
          <w:szCs w:val="24"/>
          <w:highlight w:val="none"/>
        </w:rPr>
      </w:pPr>
    </w:p>
    <w:p w14:paraId="0E19CE45">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51D8F6B4">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                   乙方代表：</w:t>
      </w:r>
    </w:p>
    <w:p w14:paraId="5BF8B571">
      <w:pPr>
        <w:spacing w:line="560" w:lineRule="exact"/>
        <w:outlineLvl w:val="9"/>
        <w:rPr>
          <w:rFonts w:hint="eastAsia" w:ascii="宋体" w:hAnsi="宋体" w:eastAsia="宋体" w:cs="宋体"/>
          <w:color w:val="auto"/>
          <w:sz w:val="24"/>
          <w:szCs w:val="24"/>
          <w:highlight w:val="none"/>
        </w:rPr>
      </w:pPr>
    </w:p>
    <w:p w14:paraId="3D48DFDD">
      <w:pPr>
        <w:spacing w:line="56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年  月  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764A2785">
      <w:pPr>
        <w:widowControl/>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p w14:paraId="6D30F4A9">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bookmarkStart w:id="533" w:name="_Toc24427_WPSOffice_Level1"/>
      <w:bookmarkStart w:id="534" w:name="_Toc4192"/>
      <w:bookmarkStart w:id="535" w:name="_Toc447044603"/>
      <w:bookmarkStart w:id="536" w:name="_Toc142508360"/>
      <w:bookmarkStart w:id="537" w:name="_Toc30025"/>
      <w:bookmarkStart w:id="538" w:name="_Toc447045090"/>
      <w:bookmarkStart w:id="539" w:name="_Toc25808"/>
      <w:bookmarkStart w:id="540" w:name="_Toc24186"/>
      <w:bookmarkStart w:id="541" w:name="_Toc512353083"/>
      <w:bookmarkStart w:id="542" w:name="_Toc25564"/>
      <w:bookmarkStart w:id="543" w:name="_Toc447044479"/>
      <w:r>
        <w:rPr>
          <w:rFonts w:hint="eastAsia" w:ascii="宋体" w:hAnsi="宋体" w:eastAsia="宋体" w:cs="宋体"/>
          <w:b/>
          <w:bCs/>
          <w:color w:val="auto"/>
          <w:sz w:val="32"/>
          <w:szCs w:val="32"/>
          <w:highlight w:val="none"/>
          <w:lang w:val="zh-CN"/>
        </w:rPr>
        <w:t>第五篇 相关保函格式</w:t>
      </w:r>
      <w:bookmarkEnd w:id="533"/>
      <w:bookmarkEnd w:id="534"/>
      <w:bookmarkEnd w:id="535"/>
      <w:bookmarkEnd w:id="536"/>
      <w:bookmarkEnd w:id="537"/>
      <w:bookmarkEnd w:id="538"/>
      <w:bookmarkEnd w:id="539"/>
      <w:bookmarkEnd w:id="540"/>
      <w:bookmarkEnd w:id="541"/>
      <w:bookmarkEnd w:id="542"/>
      <w:bookmarkEnd w:id="543"/>
      <w:bookmarkStart w:id="544" w:name="_Toc447045091"/>
      <w:bookmarkStart w:id="545" w:name="_Toc447044480"/>
      <w:bookmarkStart w:id="546" w:name="_Toc447044604"/>
    </w:p>
    <w:p w14:paraId="5B9BA0F0">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bookmarkStart w:id="547" w:name="_Toc26521_WPSOffice_Level2"/>
      <w:r>
        <w:rPr>
          <w:rFonts w:hint="eastAsia" w:ascii="宋体" w:hAnsi="宋体" w:eastAsia="宋体" w:cs="宋体"/>
          <w:b/>
          <w:color w:val="auto"/>
          <w:kern w:val="0"/>
          <w:sz w:val="28"/>
          <w:szCs w:val="28"/>
          <w:highlight w:val="none"/>
        </w:rPr>
        <w:t>一、不可撤销银行履约保函格式</w:t>
      </w:r>
      <w:bookmarkEnd w:id="544"/>
      <w:bookmarkEnd w:id="545"/>
      <w:bookmarkEnd w:id="546"/>
      <w:bookmarkEnd w:id="547"/>
    </w:p>
    <w:p w14:paraId="62D428B7">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1A92D4C2">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1E22D636">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0C7A6485">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EA68109">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1263CC2C">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04431B68">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49FBB8A6">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46EC142E">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DC2F2FE">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本保函应自合同签订之日起至合同期限届满并履行完毕相关服务义务且结算完毕之后二十八（28）日内保持有效。</w:t>
      </w:r>
    </w:p>
    <w:p w14:paraId="22EB1D84">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5CE95B3B">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7C87EA3C">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791CB21B">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770DB8DE">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1E3F0D1F">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6F8C8C4">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4A0D12CB">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50248386">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67FE641F">
      <w:pPr>
        <w:numPr>
          <w:ilvl w:val="0"/>
          <w:numId w:val="0"/>
        </w:numPr>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77059F5B">
      <w:pPr>
        <w:autoSpaceDE w:val="0"/>
        <w:autoSpaceDN w:val="0"/>
        <w:adjustRightInd w:val="0"/>
        <w:jc w:val="center"/>
        <w:rPr>
          <w:rFonts w:hint="eastAsia" w:ascii="宋体" w:hAnsi="宋体" w:eastAsia="宋体" w:cs="宋体"/>
          <w:b/>
          <w:color w:val="auto"/>
          <w:kern w:val="0"/>
          <w:sz w:val="30"/>
          <w:szCs w:val="30"/>
          <w:highlight w:val="none"/>
          <w:lang w:val="en-US" w:eastAsia="zh-CN"/>
        </w:rPr>
      </w:pPr>
    </w:p>
    <w:p w14:paraId="5D2890C5">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1D938270">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E9DF3EE">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343DAD84">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23E7E882">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075439B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1F8C110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287A7C8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38A0714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715B76C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3E226E2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09D14A4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45F5D45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0EED2B7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3E54D712">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3597498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应自合同签订之日起至合同期限届满并履行完毕相关服务义务且结算完毕之后二十八（28）日内保持有效。</w:t>
      </w:r>
    </w:p>
    <w:p w14:paraId="31272535">
      <w:pPr>
        <w:pStyle w:val="4"/>
        <w:numPr>
          <w:ilvl w:val="0"/>
          <w:numId w:val="0"/>
        </w:numPr>
        <w:rPr>
          <w:rFonts w:hint="eastAsia" w:ascii="宋体" w:hAnsi="宋体" w:eastAsia="宋体" w:cs="宋体"/>
          <w:color w:val="auto"/>
          <w:highlight w:val="none"/>
          <w:lang w:val="en-US" w:eastAsia="zh-CN"/>
        </w:rPr>
      </w:pPr>
    </w:p>
    <w:p w14:paraId="0B00E19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243CE749">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77C51569">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3D2F757B">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544FD766">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3BBBCE5A">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6B200DF1">
      <w:pPr>
        <w:autoSpaceDE w:val="0"/>
        <w:autoSpaceDN w:val="0"/>
        <w:adjustRightInd w:val="0"/>
        <w:spacing w:after="12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181BE78E">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5A1D2847">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C9D97C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35C01AD9">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47A9905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7106A92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2A7C0C8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本保函应自合同签订之日起至合同期限届满并履行完毕相关服务义务且结算完毕之后二十八（28）日内保持有效。</w:t>
      </w:r>
    </w:p>
    <w:p w14:paraId="6C36974A">
      <w:pPr>
        <w:autoSpaceDE w:val="0"/>
        <w:autoSpaceDN w:val="0"/>
        <w:adjustRightInd w:val="0"/>
        <w:spacing w:line="360" w:lineRule="auto"/>
        <w:jc w:val="left"/>
        <w:rPr>
          <w:rFonts w:hint="eastAsia" w:ascii="宋体" w:hAnsi="宋体" w:eastAsia="宋体" w:cs="宋体"/>
          <w:color w:val="auto"/>
          <w:kern w:val="0"/>
          <w:szCs w:val="21"/>
          <w:highlight w:val="none"/>
        </w:rPr>
      </w:pPr>
    </w:p>
    <w:p w14:paraId="0926BD57">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21E7DEB2">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761F069A">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1FD97B24">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3D100241">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BDEEC31">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2526CF5B">
      <w:pPr>
        <w:autoSpaceDE w:val="0"/>
        <w:autoSpaceDN w:val="0"/>
        <w:adjustRightInd w:val="0"/>
        <w:spacing w:line="360" w:lineRule="auto"/>
        <w:jc w:val="left"/>
        <w:rPr>
          <w:rFonts w:hint="eastAsia" w:ascii="宋体" w:hAnsi="宋体" w:eastAsia="宋体" w:cs="宋体"/>
          <w:color w:val="auto"/>
          <w:kern w:val="0"/>
          <w:szCs w:val="21"/>
          <w:highlight w:val="none"/>
        </w:rPr>
      </w:pPr>
    </w:p>
    <w:p w14:paraId="5099F4E7">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51DE89BF">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157EEBDF">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59BE4600">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2B67408C">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7D8F4EDF">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6E44E9E3">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492910F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4376F053">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rPr>
      </w:pPr>
      <w:bookmarkStart w:id="548" w:name="_Toc21236"/>
      <w:bookmarkStart w:id="549" w:name="_Toc3718"/>
      <w:bookmarkStart w:id="550" w:name="_Toc450662895"/>
      <w:bookmarkStart w:id="551" w:name="_Toc15817"/>
      <w:bookmarkStart w:id="552" w:name="_Toc32761_WPSOffice_Level1"/>
      <w:bookmarkStart w:id="553" w:name="_Toc486167708"/>
      <w:bookmarkStart w:id="554" w:name="_Toc9840"/>
      <w:bookmarkStart w:id="555" w:name="_Toc142508361"/>
      <w:bookmarkStart w:id="556" w:name="_Toc13481"/>
      <w:r>
        <w:rPr>
          <w:rFonts w:hint="eastAsia" w:ascii="宋体" w:hAnsi="宋体" w:eastAsia="宋体" w:cs="宋体"/>
          <w:b/>
          <w:bCs/>
          <w:color w:val="auto"/>
          <w:kern w:val="44"/>
          <w:sz w:val="32"/>
          <w:szCs w:val="32"/>
          <w:highlight w:val="none"/>
          <w:lang w:val="zh-CN"/>
        </w:rPr>
        <w:t>第六篇 投标文件格式</w:t>
      </w:r>
      <w:bookmarkEnd w:id="548"/>
      <w:bookmarkEnd w:id="549"/>
      <w:bookmarkEnd w:id="550"/>
      <w:bookmarkEnd w:id="551"/>
      <w:bookmarkEnd w:id="552"/>
      <w:bookmarkEnd w:id="553"/>
      <w:bookmarkEnd w:id="554"/>
      <w:bookmarkEnd w:id="555"/>
      <w:bookmarkEnd w:id="556"/>
    </w:p>
    <w:p w14:paraId="3035C040">
      <w:pPr>
        <w:rPr>
          <w:rFonts w:hint="eastAsia" w:ascii="宋体" w:hAnsi="宋体" w:eastAsia="宋体" w:cs="宋体"/>
          <w:color w:val="auto"/>
          <w:sz w:val="84"/>
          <w:highlight w:val="none"/>
        </w:rPr>
      </w:pPr>
      <w:bookmarkStart w:id="557" w:name="_Toc102860067"/>
      <w:bookmarkStart w:id="558" w:name="_Toc94107202"/>
      <w:bookmarkStart w:id="559" w:name="_Toc1977721"/>
      <w:bookmarkStart w:id="560" w:name="_Toc140596921"/>
      <w:bookmarkStart w:id="561" w:name="_Toc486167709"/>
      <w:bookmarkStart w:id="562" w:name="_Toc142508362"/>
      <w:bookmarkStart w:id="563" w:name="_Toc533708121"/>
      <w:bookmarkStart w:id="564" w:name="_Toc21133_WPSOffice_Level2"/>
      <w:bookmarkStart w:id="565" w:name="_Toc104991868"/>
      <w:bookmarkStart w:id="566" w:name="_Toc102860411"/>
      <w:r>
        <w:rPr>
          <w:rFonts w:hint="eastAsia" w:ascii="宋体" w:hAnsi="宋体" w:eastAsia="宋体" w:cs="宋体"/>
          <w:b/>
          <w:color w:val="auto"/>
          <w:kern w:val="0"/>
          <w:sz w:val="32"/>
          <w:szCs w:val="32"/>
          <w:highlight w:val="none"/>
        </w:rPr>
        <w:br w:type="page"/>
      </w:r>
    </w:p>
    <w:p w14:paraId="23FDB5E1">
      <w:pPr>
        <w:pStyle w:val="20"/>
        <w:spacing w:line="360" w:lineRule="auto"/>
        <w:jc w:val="center"/>
        <w:outlineLvl w:val="9"/>
        <w:rPr>
          <w:rFonts w:hint="eastAsia" w:ascii="宋体" w:hAnsi="宋体" w:eastAsia="宋体" w:cs="宋体"/>
          <w:color w:val="auto"/>
          <w:sz w:val="84"/>
          <w:highlight w:val="none"/>
        </w:rPr>
      </w:pPr>
    </w:p>
    <w:p w14:paraId="2FCAE0FF">
      <w:pPr>
        <w:pStyle w:val="20"/>
        <w:spacing w:line="360" w:lineRule="auto"/>
        <w:jc w:val="center"/>
        <w:outlineLvl w:val="9"/>
        <w:rPr>
          <w:rFonts w:hint="eastAsia" w:ascii="宋体" w:hAnsi="宋体" w:eastAsia="宋体" w:cs="宋体"/>
          <w:color w:val="auto"/>
          <w:sz w:val="84"/>
          <w:highlight w:val="none"/>
        </w:rPr>
      </w:pPr>
    </w:p>
    <w:p w14:paraId="7BDF1590">
      <w:pPr>
        <w:pStyle w:val="20"/>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15576DC">
      <w:pPr>
        <w:pStyle w:val="20"/>
        <w:spacing w:line="360" w:lineRule="auto"/>
        <w:outlineLvl w:val="9"/>
        <w:rPr>
          <w:rFonts w:hint="eastAsia" w:ascii="宋体" w:hAnsi="宋体" w:eastAsia="宋体" w:cs="宋体"/>
          <w:color w:val="auto"/>
          <w:highlight w:val="none"/>
        </w:rPr>
      </w:pPr>
    </w:p>
    <w:p w14:paraId="75630913">
      <w:pPr>
        <w:pStyle w:val="20"/>
        <w:spacing w:line="360" w:lineRule="auto"/>
        <w:outlineLvl w:val="9"/>
        <w:rPr>
          <w:rFonts w:hint="eastAsia" w:ascii="宋体" w:hAnsi="宋体" w:eastAsia="宋体" w:cs="宋体"/>
          <w:color w:val="auto"/>
          <w:highlight w:val="none"/>
        </w:rPr>
      </w:pPr>
    </w:p>
    <w:p w14:paraId="29CC0FAC">
      <w:pPr>
        <w:pStyle w:val="20"/>
        <w:spacing w:line="360" w:lineRule="auto"/>
        <w:outlineLvl w:val="9"/>
        <w:rPr>
          <w:rFonts w:hint="eastAsia" w:ascii="宋体" w:hAnsi="宋体" w:eastAsia="宋体" w:cs="宋体"/>
          <w:color w:val="auto"/>
          <w:highlight w:val="none"/>
        </w:rPr>
      </w:pPr>
    </w:p>
    <w:p w14:paraId="0F5881B6">
      <w:pPr>
        <w:pStyle w:val="20"/>
        <w:spacing w:line="360" w:lineRule="auto"/>
        <w:outlineLvl w:val="9"/>
        <w:rPr>
          <w:rFonts w:hint="eastAsia" w:ascii="宋体" w:hAnsi="宋体" w:eastAsia="宋体" w:cs="宋体"/>
          <w:color w:val="auto"/>
          <w:highlight w:val="none"/>
        </w:rPr>
      </w:pPr>
    </w:p>
    <w:p w14:paraId="21989A10">
      <w:pPr>
        <w:pStyle w:val="20"/>
        <w:spacing w:line="360" w:lineRule="auto"/>
        <w:outlineLvl w:val="9"/>
        <w:rPr>
          <w:rFonts w:hint="eastAsia" w:ascii="宋体" w:hAnsi="宋体" w:eastAsia="宋体" w:cs="宋体"/>
          <w:color w:val="auto"/>
          <w:highlight w:val="none"/>
        </w:rPr>
      </w:pPr>
    </w:p>
    <w:p w14:paraId="5AD79084">
      <w:pPr>
        <w:pStyle w:val="20"/>
        <w:spacing w:line="360" w:lineRule="auto"/>
        <w:outlineLvl w:val="9"/>
        <w:rPr>
          <w:rFonts w:hint="eastAsia" w:ascii="宋体" w:hAnsi="宋体" w:eastAsia="宋体" w:cs="宋体"/>
          <w:color w:val="auto"/>
          <w:highlight w:val="none"/>
        </w:rPr>
      </w:pPr>
    </w:p>
    <w:p w14:paraId="370B56A7">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284ECE8">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6E32CEF1">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249068A4">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A15D693">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EAF093D">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8AB3D9A">
      <w:pPr>
        <w:pStyle w:val="20"/>
        <w:spacing w:line="360" w:lineRule="auto"/>
        <w:outlineLvl w:val="9"/>
        <w:rPr>
          <w:rFonts w:hint="eastAsia" w:ascii="宋体" w:hAnsi="宋体" w:eastAsia="宋体" w:cs="宋体"/>
          <w:color w:val="auto"/>
          <w:highlight w:val="none"/>
        </w:rPr>
      </w:pPr>
    </w:p>
    <w:p w14:paraId="40D0AA39">
      <w:pPr>
        <w:pStyle w:val="2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378E1A2">
      <w:pPr>
        <w:pStyle w:val="20"/>
        <w:spacing w:line="360" w:lineRule="auto"/>
        <w:outlineLvl w:val="9"/>
        <w:rPr>
          <w:rFonts w:hint="eastAsia" w:ascii="宋体" w:hAnsi="宋体" w:eastAsia="宋体" w:cs="宋体"/>
          <w:color w:val="auto"/>
          <w:highlight w:val="none"/>
        </w:rPr>
      </w:pPr>
    </w:p>
    <w:p w14:paraId="6E02C6E4">
      <w:pPr>
        <w:pBdr>
          <w:top w:val="none" w:color="auto" w:sz="0" w:space="0"/>
          <w:left w:val="none" w:color="auto" w:sz="0" w:space="0"/>
          <w:bottom w:val="none" w:color="auto" w:sz="0" w:space="0"/>
          <w:right w:val="none" w:color="auto" w:sz="0" w:space="0"/>
          <w:between w:val="none" w:color="auto" w:sz="0" w:space="0"/>
        </w:pBdr>
        <w:spacing w:line="480" w:lineRule="auto"/>
        <w:ind w:firstLine="720" w:firstLineChars="224"/>
        <w:jc w:val="center"/>
        <w:outlineLvl w:val="9"/>
        <w:rPr>
          <w:rFonts w:hint="eastAsia" w:ascii="宋体" w:hAnsi="宋体" w:eastAsia="宋体" w:cs="宋体"/>
          <w:b/>
          <w:bCs/>
          <w:color w:val="auto"/>
          <w:sz w:val="32"/>
          <w:szCs w:val="32"/>
          <w:highlight w:val="none"/>
          <w:u w:val="none"/>
        </w:rPr>
      </w:pPr>
      <w:r>
        <w:rPr>
          <w:rFonts w:hint="eastAsia" w:ascii="宋体" w:hAnsi="宋体" w:eastAsia="宋体" w:cs="宋体"/>
          <w:b/>
          <w:bCs/>
          <w:color w:val="auto"/>
          <w:sz w:val="32"/>
          <w:szCs w:val="32"/>
          <w:highlight w:val="none"/>
          <w:u w:val="none"/>
        </w:rPr>
        <w:t>投标文件商务评审部分索引表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740"/>
        <w:gridCol w:w="3503"/>
        <w:gridCol w:w="5125"/>
      </w:tblGrid>
      <w:tr w14:paraId="1D727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839" w:type="pct"/>
            <w:vAlign w:val="center"/>
          </w:tcPr>
          <w:p w14:paraId="63C77238">
            <w:pPr>
              <w:adjustRightInd w:val="0"/>
              <w:snapToGrid w:val="0"/>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689" w:type="pct"/>
            <w:vAlign w:val="center"/>
          </w:tcPr>
          <w:p w14:paraId="7D6ECE71">
            <w:pPr>
              <w:adjustRightInd w:val="0"/>
              <w:snapToGrid w:val="0"/>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w:t>
            </w:r>
            <w:r>
              <w:rPr>
                <w:rFonts w:hint="eastAsia" w:ascii="宋体" w:hAnsi="宋体" w:eastAsia="宋体" w:cs="宋体"/>
                <w:bCs/>
                <w:color w:val="auto"/>
                <w:sz w:val="24"/>
                <w:szCs w:val="24"/>
                <w:highlight w:val="none"/>
                <w:lang w:val="en-US" w:eastAsia="zh-CN"/>
              </w:rPr>
              <w:t>审</w:t>
            </w:r>
            <w:r>
              <w:rPr>
                <w:rFonts w:hint="eastAsia" w:ascii="宋体" w:hAnsi="宋体" w:eastAsia="宋体" w:cs="宋体"/>
                <w:bCs/>
                <w:color w:val="auto"/>
                <w:sz w:val="24"/>
                <w:szCs w:val="24"/>
                <w:highlight w:val="none"/>
              </w:rPr>
              <w:t>项目</w:t>
            </w:r>
          </w:p>
        </w:tc>
        <w:tc>
          <w:tcPr>
            <w:tcW w:w="2471" w:type="pct"/>
            <w:tcBorders>
              <w:left w:val="single" w:color="auto" w:sz="4" w:space="0"/>
            </w:tcBorders>
            <w:vAlign w:val="center"/>
          </w:tcPr>
          <w:p w14:paraId="340F9E42">
            <w:pPr>
              <w:adjustRightInd w:val="0"/>
              <w:snapToGrid w:val="0"/>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页码索引</w:t>
            </w:r>
          </w:p>
        </w:tc>
      </w:tr>
      <w:tr w14:paraId="748BEC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839" w:type="pct"/>
            <w:vAlign w:val="center"/>
          </w:tcPr>
          <w:p w14:paraId="1DD1F266">
            <w:pPr>
              <w:adjustRightInd w:val="0"/>
              <w:snapToGrid w:val="0"/>
              <w:spacing w:line="360" w:lineRule="auto"/>
              <w:jc w:val="center"/>
              <w:outlineLvl w:val="9"/>
              <w:rPr>
                <w:rFonts w:hint="eastAsia" w:ascii="宋体" w:hAnsi="宋体" w:eastAsia="宋体" w:cs="宋体"/>
                <w:bCs/>
                <w:color w:val="auto"/>
                <w:szCs w:val="21"/>
                <w:highlight w:val="none"/>
              </w:rPr>
            </w:pPr>
          </w:p>
        </w:tc>
        <w:tc>
          <w:tcPr>
            <w:tcW w:w="1689" w:type="pct"/>
            <w:vAlign w:val="center"/>
          </w:tcPr>
          <w:p w14:paraId="282F5516">
            <w:pPr>
              <w:adjustRightInd w:val="0"/>
              <w:snapToGrid w:val="0"/>
              <w:spacing w:line="360" w:lineRule="auto"/>
              <w:jc w:val="center"/>
              <w:outlineLvl w:val="9"/>
              <w:rPr>
                <w:rFonts w:hint="eastAsia" w:ascii="宋体" w:hAnsi="宋体" w:eastAsia="宋体" w:cs="宋体"/>
                <w:bCs/>
                <w:color w:val="auto"/>
                <w:szCs w:val="21"/>
                <w:highlight w:val="none"/>
              </w:rPr>
            </w:pPr>
          </w:p>
        </w:tc>
        <w:tc>
          <w:tcPr>
            <w:tcW w:w="2471" w:type="pct"/>
            <w:tcBorders>
              <w:left w:val="single" w:color="auto" w:sz="4" w:space="0"/>
            </w:tcBorders>
            <w:vAlign w:val="center"/>
          </w:tcPr>
          <w:p w14:paraId="48AA1F5D">
            <w:pPr>
              <w:adjustRightInd w:val="0"/>
              <w:snapToGrid w:val="0"/>
              <w:spacing w:line="360" w:lineRule="auto"/>
              <w:outlineLvl w:val="9"/>
              <w:rPr>
                <w:rFonts w:hint="eastAsia" w:ascii="宋体" w:hAnsi="宋体" w:eastAsia="宋体" w:cs="宋体"/>
                <w:bCs/>
                <w:color w:val="auto"/>
                <w:szCs w:val="21"/>
                <w:highlight w:val="none"/>
              </w:rPr>
            </w:pPr>
          </w:p>
        </w:tc>
      </w:tr>
      <w:tr w14:paraId="7449B5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839" w:type="pct"/>
            <w:vAlign w:val="center"/>
          </w:tcPr>
          <w:p w14:paraId="0D82E3CA">
            <w:pPr>
              <w:outlineLvl w:val="9"/>
              <w:rPr>
                <w:rFonts w:hint="eastAsia" w:ascii="宋体" w:hAnsi="宋体" w:eastAsia="宋体" w:cs="宋体"/>
                <w:bCs/>
                <w:color w:val="auto"/>
                <w:szCs w:val="21"/>
                <w:highlight w:val="none"/>
              </w:rPr>
            </w:pPr>
          </w:p>
        </w:tc>
        <w:tc>
          <w:tcPr>
            <w:tcW w:w="1689" w:type="pct"/>
            <w:vAlign w:val="center"/>
          </w:tcPr>
          <w:p w14:paraId="65995B38">
            <w:pPr>
              <w:outlineLvl w:val="9"/>
              <w:rPr>
                <w:rFonts w:hint="eastAsia" w:ascii="宋体" w:hAnsi="宋体" w:eastAsia="宋体" w:cs="宋体"/>
                <w:bCs/>
                <w:color w:val="auto"/>
                <w:szCs w:val="21"/>
                <w:highlight w:val="none"/>
              </w:rPr>
            </w:pPr>
          </w:p>
        </w:tc>
        <w:tc>
          <w:tcPr>
            <w:tcW w:w="2471" w:type="pct"/>
            <w:tcBorders>
              <w:left w:val="single" w:color="auto" w:sz="4" w:space="0"/>
            </w:tcBorders>
            <w:vAlign w:val="center"/>
          </w:tcPr>
          <w:p w14:paraId="36842F71">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0B5B61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839" w:type="pct"/>
            <w:vAlign w:val="center"/>
          </w:tcPr>
          <w:p w14:paraId="42AD5D3C">
            <w:pPr>
              <w:adjustRightInd w:val="0"/>
              <w:snapToGrid w:val="0"/>
              <w:spacing w:line="360" w:lineRule="auto"/>
              <w:jc w:val="center"/>
              <w:outlineLvl w:val="9"/>
              <w:rPr>
                <w:rFonts w:hint="eastAsia" w:ascii="宋体" w:hAnsi="宋体" w:eastAsia="宋体" w:cs="宋体"/>
                <w:bCs/>
                <w:color w:val="auto"/>
                <w:szCs w:val="21"/>
                <w:highlight w:val="none"/>
              </w:rPr>
            </w:pPr>
          </w:p>
        </w:tc>
        <w:tc>
          <w:tcPr>
            <w:tcW w:w="1689" w:type="pct"/>
            <w:vAlign w:val="center"/>
          </w:tcPr>
          <w:p w14:paraId="0D23FCE3">
            <w:pPr>
              <w:adjustRightInd w:val="0"/>
              <w:snapToGrid w:val="0"/>
              <w:spacing w:line="360" w:lineRule="auto"/>
              <w:outlineLvl w:val="9"/>
              <w:rPr>
                <w:rFonts w:hint="eastAsia" w:ascii="宋体" w:hAnsi="宋体" w:eastAsia="宋体" w:cs="宋体"/>
                <w:bCs/>
                <w:color w:val="auto"/>
                <w:szCs w:val="21"/>
                <w:highlight w:val="none"/>
              </w:rPr>
            </w:pPr>
          </w:p>
        </w:tc>
        <w:tc>
          <w:tcPr>
            <w:tcW w:w="2471" w:type="pct"/>
            <w:tcBorders>
              <w:left w:val="single" w:color="auto" w:sz="4" w:space="0"/>
            </w:tcBorders>
            <w:vAlign w:val="center"/>
          </w:tcPr>
          <w:p w14:paraId="3B85A022">
            <w:pPr>
              <w:spacing w:line="360" w:lineRule="auto"/>
              <w:ind w:firstLine="8" w:firstLineChars="4"/>
              <w:outlineLvl w:val="9"/>
              <w:rPr>
                <w:rFonts w:hint="eastAsia" w:ascii="宋体" w:hAnsi="宋体" w:eastAsia="宋体" w:cs="宋体"/>
                <w:bCs/>
                <w:color w:val="auto"/>
                <w:szCs w:val="21"/>
                <w:highlight w:val="none"/>
              </w:rPr>
            </w:pPr>
          </w:p>
        </w:tc>
      </w:tr>
      <w:tr w14:paraId="57E2DC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839" w:type="pct"/>
            <w:tcBorders>
              <w:top w:val="single" w:color="auto" w:sz="6" w:space="0"/>
              <w:left w:val="single" w:color="auto" w:sz="4" w:space="0"/>
              <w:bottom w:val="outset" w:color="808080" w:sz="6" w:space="0"/>
              <w:right w:val="single" w:color="auto" w:sz="6" w:space="0"/>
            </w:tcBorders>
            <w:vAlign w:val="center"/>
          </w:tcPr>
          <w:p w14:paraId="06FC87C9">
            <w:pPr>
              <w:adjustRightInd w:val="0"/>
              <w:snapToGrid w:val="0"/>
              <w:spacing w:line="360" w:lineRule="auto"/>
              <w:jc w:val="center"/>
              <w:outlineLvl w:val="9"/>
              <w:rPr>
                <w:rFonts w:hint="eastAsia" w:ascii="宋体" w:hAnsi="宋体" w:eastAsia="宋体" w:cs="宋体"/>
                <w:bCs/>
                <w:color w:val="auto"/>
                <w:szCs w:val="21"/>
                <w:highlight w:val="none"/>
              </w:rPr>
            </w:pPr>
          </w:p>
        </w:tc>
        <w:tc>
          <w:tcPr>
            <w:tcW w:w="1689" w:type="pct"/>
            <w:tcBorders>
              <w:top w:val="single" w:color="auto" w:sz="6" w:space="0"/>
              <w:left w:val="single" w:color="auto" w:sz="6" w:space="0"/>
              <w:bottom w:val="outset" w:color="808080" w:sz="6" w:space="0"/>
              <w:right w:val="single" w:color="auto" w:sz="6" w:space="0"/>
            </w:tcBorders>
            <w:vAlign w:val="center"/>
          </w:tcPr>
          <w:p w14:paraId="42EEE48F">
            <w:pPr>
              <w:adjustRightInd w:val="0"/>
              <w:snapToGrid w:val="0"/>
              <w:spacing w:line="360" w:lineRule="auto"/>
              <w:outlineLvl w:val="9"/>
              <w:rPr>
                <w:rFonts w:hint="eastAsia" w:ascii="宋体" w:hAnsi="宋体" w:eastAsia="宋体" w:cs="宋体"/>
                <w:bCs/>
                <w:color w:val="auto"/>
                <w:szCs w:val="21"/>
                <w:highlight w:val="none"/>
              </w:rPr>
            </w:pPr>
          </w:p>
        </w:tc>
        <w:tc>
          <w:tcPr>
            <w:tcW w:w="2471" w:type="pct"/>
            <w:tcBorders>
              <w:top w:val="single" w:color="auto" w:sz="6" w:space="0"/>
              <w:left w:val="single" w:color="auto" w:sz="4" w:space="0"/>
              <w:bottom w:val="outset" w:color="808080" w:sz="6" w:space="0"/>
              <w:right w:val="single" w:color="auto" w:sz="6" w:space="0"/>
            </w:tcBorders>
            <w:vAlign w:val="center"/>
          </w:tcPr>
          <w:p w14:paraId="74E8BD35">
            <w:pPr>
              <w:adjustRightInd w:val="0"/>
              <w:snapToGrid w:val="0"/>
              <w:spacing w:line="360" w:lineRule="auto"/>
              <w:outlineLvl w:val="9"/>
              <w:rPr>
                <w:rFonts w:hint="eastAsia" w:ascii="宋体" w:hAnsi="宋体" w:eastAsia="宋体" w:cs="宋体"/>
                <w:bCs/>
                <w:color w:val="auto"/>
                <w:szCs w:val="21"/>
                <w:highlight w:val="none"/>
              </w:rPr>
            </w:pPr>
          </w:p>
        </w:tc>
      </w:tr>
    </w:tbl>
    <w:p w14:paraId="526CFB20">
      <w:pPr>
        <w:outlineLvl w:val="9"/>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77ADD6B4">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567" w:name="_Toc13281"/>
      <w:bookmarkStart w:id="568" w:name="_Toc27679"/>
      <w:bookmarkStart w:id="569" w:name="_Toc23782"/>
      <w:r>
        <w:rPr>
          <w:rFonts w:hint="eastAsia" w:ascii="宋体" w:hAnsi="宋体" w:eastAsia="宋体" w:cs="宋体"/>
          <w:b/>
          <w:color w:val="auto"/>
          <w:kern w:val="0"/>
          <w:sz w:val="32"/>
          <w:szCs w:val="32"/>
          <w:highlight w:val="none"/>
        </w:rPr>
        <w:t>一、投标函格式</w:t>
      </w:r>
      <w:bookmarkEnd w:id="557"/>
      <w:bookmarkEnd w:id="558"/>
      <w:bookmarkEnd w:id="559"/>
      <w:bookmarkEnd w:id="560"/>
      <w:bookmarkEnd w:id="561"/>
      <w:bookmarkEnd w:id="562"/>
      <w:bookmarkEnd w:id="563"/>
      <w:bookmarkEnd w:id="564"/>
      <w:bookmarkEnd w:id="565"/>
      <w:bookmarkEnd w:id="566"/>
      <w:bookmarkEnd w:id="567"/>
      <w:bookmarkEnd w:id="568"/>
      <w:bookmarkEnd w:id="569"/>
    </w:p>
    <w:p w14:paraId="52D697BC">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570" w:name="_Toc16695_WPSOffice_Level3"/>
      <w:r>
        <w:rPr>
          <w:rFonts w:hint="eastAsia" w:ascii="宋体" w:hAnsi="宋体" w:eastAsia="宋体" w:cs="宋体"/>
          <w:b/>
          <w:bCs/>
          <w:color w:val="auto"/>
          <w:sz w:val="30"/>
          <w:szCs w:val="30"/>
          <w:highlight w:val="none"/>
          <w:lang w:val="zh-CN"/>
        </w:rPr>
        <w:t>投 标 函</w:t>
      </w:r>
      <w:bookmarkEnd w:id="570"/>
    </w:p>
    <w:p w14:paraId="41DEC6A6">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36EC155F">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东莞市水务环境投资控股集团管网有限公司</w:t>
      </w:r>
    </w:p>
    <w:p w14:paraId="358F7881">
      <w:pPr>
        <w:autoSpaceDE w:val="0"/>
        <w:autoSpaceDN w:val="0"/>
        <w:adjustRightInd w:val="0"/>
        <w:spacing w:line="360" w:lineRule="auto"/>
        <w:outlineLvl w:val="9"/>
        <w:rPr>
          <w:rFonts w:hint="eastAsia" w:ascii="宋体" w:hAnsi="宋体" w:eastAsia="宋体" w:cs="宋体"/>
          <w:color w:val="auto"/>
          <w:szCs w:val="21"/>
          <w:highlight w:val="none"/>
        </w:rPr>
      </w:pPr>
    </w:p>
    <w:p w14:paraId="204E84A4">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根据贵方为东莞市水务环境投资控股集团管网有限公司2026至2028年度公众责任险采购项目(招标编号：YDZB25DGQY0094)的投标邀请，我方（投标人名称）作为投标人正式授权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4C633D29">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7F6BF0E7">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2F005F62">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3603900C">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FA8B021">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（—）我方决定参加招标编号为YDZB25DGQY0094的投标；</w:t>
      </w:r>
    </w:p>
    <w:p w14:paraId="52C28CE2">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2FE5EC9">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78451CBB">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E5DA80E">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3BDCD185">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391D2ADC">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61520F6D">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DEBA5A5">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B2D8CAB">
      <w:pPr>
        <w:autoSpaceDE w:val="0"/>
        <w:autoSpaceDN w:val="0"/>
        <w:adjustRightInd w:val="0"/>
        <w:spacing w:line="360" w:lineRule="auto"/>
        <w:ind w:left="0" w:leftChars="0"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53D5558">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1D2B15C6">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0755A822">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21331F17">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6F7A988">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7373F1D1">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682F9ED6">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7D865107">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1DBB278">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00C5978">
      <w:pPr>
        <w:autoSpaceDE w:val="0"/>
        <w:autoSpaceDN w:val="0"/>
        <w:adjustRightInd w:val="0"/>
        <w:spacing w:line="360" w:lineRule="auto"/>
        <w:ind w:firstLine="4960" w:firstLineChars="236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0F3694AA">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71" w:name="_Toc1977722"/>
      <w:bookmarkStart w:id="572" w:name="_Toc102860412"/>
      <w:bookmarkStart w:id="573" w:name="_Toc28613_WPSOffice_Level2"/>
      <w:bookmarkStart w:id="574" w:name="_Toc533708122"/>
      <w:bookmarkStart w:id="575" w:name="_Toc486167710"/>
      <w:bookmarkStart w:id="576" w:name="_Toc3104"/>
      <w:bookmarkStart w:id="577" w:name="_Toc104991869"/>
      <w:bookmarkStart w:id="578" w:name="_Toc102860068"/>
      <w:bookmarkStart w:id="579" w:name="_Toc12417"/>
      <w:bookmarkStart w:id="580" w:name="_Toc30995"/>
      <w:bookmarkStart w:id="581" w:name="_Toc140596922"/>
      <w:bookmarkStart w:id="582" w:name="_Toc94107203"/>
      <w:bookmarkStart w:id="583" w:name="_Toc142508363"/>
      <w:r>
        <w:rPr>
          <w:rFonts w:hint="eastAsia" w:ascii="宋体" w:hAnsi="宋体" w:eastAsia="宋体" w:cs="宋体"/>
          <w:b/>
          <w:color w:val="auto"/>
          <w:kern w:val="0"/>
          <w:sz w:val="32"/>
          <w:szCs w:val="32"/>
          <w:highlight w:val="none"/>
        </w:rPr>
        <w:t>二、投标承诺书格式</w:t>
      </w:r>
      <w:bookmarkEnd w:id="571"/>
      <w:bookmarkEnd w:id="572"/>
      <w:bookmarkEnd w:id="573"/>
      <w:bookmarkEnd w:id="574"/>
      <w:bookmarkEnd w:id="575"/>
      <w:bookmarkEnd w:id="576"/>
      <w:bookmarkEnd w:id="577"/>
      <w:bookmarkEnd w:id="578"/>
      <w:bookmarkEnd w:id="579"/>
      <w:bookmarkEnd w:id="580"/>
      <w:bookmarkEnd w:id="581"/>
      <w:bookmarkEnd w:id="582"/>
      <w:bookmarkEnd w:id="583"/>
    </w:p>
    <w:p w14:paraId="7FE24D82">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730F96E6">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5230FB2B">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szCs w:val="21"/>
          <w:highlight w:val="none"/>
          <w:lang w:val="zh-CN"/>
        </w:rPr>
        <w:t>东莞市水务环境投资控股集团管网有限公司2026至2028年度公众责任险采购项目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YDZB25DGQY0094</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5E6E2397">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环境投资控股集团有限公司相关招标采购活动的，由我方自行承担全部后果。</w:t>
      </w:r>
    </w:p>
    <w:p w14:paraId="7E8A6A5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37F71F6E">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121C6864">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63796331">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1988AE6D">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0DFB35D0">
      <w:pPr>
        <w:autoSpaceDE w:val="0"/>
        <w:autoSpaceDN w:val="0"/>
        <w:adjustRightInd w:val="0"/>
        <w:spacing w:line="360" w:lineRule="auto"/>
        <w:ind w:firstLine="5040"/>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2D294392">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665C9B86">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6818BBEF">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584" w:name="_Toc316896755"/>
      <w:bookmarkStart w:id="585" w:name="_Toc326768876"/>
      <w:bookmarkStart w:id="586" w:name="_Toc311032584"/>
    </w:p>
    <w:p w14:paraId="050A384D">
      <w:pPr>
        <w:pageBreakBefore/>
        <w:autoSpaceDE w:val="0"/>
        <w:autoSpaceDN w:val="0"/>
        <w:adjustRightInd w:val="0"/>
        <w:spacing w:line="360" w:lineRule="auto"/>
        <w:jc w:val="left"/>
        <w:outlineLvl w:val="9"/>
        <w:rPr>
          <w:rFonts w:hint="eastAsia" w:ascii="宋体" w:hAnsi="宋体" w:eastAsia="宋体" w:cs="宋体"/>
          <w:b/>
          <w:color w:val="auto"/>
          <w:kern w:val="44"/>
          <w:sz w:val="32"/>
          <w:szCs w:val="32"/>
          <w:highlight w:val="none"/>
        </w:rPr>
      </w:pPr>
      <w:bookmarkStart w:id="587" w:name="_Toc142508364"/>
      <w:bookmarkStart w:id="588" w:name="_Toc29910"/>
      <w:bookmarkStart w:id="589" w:name="_Toc94107204"/>
      <w:bookmarkStart w:id="590" w:name="_Toc82182546"/>
      <w:bookmarkStart w:id="591" w:name="_Toc102860413"/>
      <w:bookmarkStart w:id="592" w:name="_Toc104991870"/>
      <w:bookmarkStart w:id="593" w:name="_Toc5075"/>
      <w:bookmarkStart w:id="594" w:name="_Toc140596923"/>
      <w:bookmarkStart w:id="595" w:name="_Toc102860069"/>
      <w:bookmarkStart w:id="596" w:name="_Toc86764083"/>
      <w:bookmarkStart w:id="597" w:name="_Toc24336"/>
      <w:bookmarkStart w:id="598" w:name="_Toc533708123"/>
      <w:bookmarkStart w:id="599" w:name="_Toc7024_WPSOffice_Level2"/>
      <w:bookmarkStart w:id="600" w:name="_Toc486167711"/>
      <w:bookmarkStart w:id="601" w:name="_Toc1977723"/>
      <w:r>
        <w:rPr>
          <w:rFonts w:hint="eastAsia" w:ascii="宋体" w:hAnsi="宋体" w:eastAsia="宋体" w:cs="宋体"/>
          <w:b/>
          <w:color w:val="auto"/>
          <w:kern w:val="44"/>
          <w:sz w:val="32"/>
          <w:szCs w:val="32"/>
          <w:highlight w:val="none"/>
        </w:rPr>
        <w:t>三、供货及/或提供服务过程承诺函格式</w:t>
      </w:r>
      <w:bookmarkEnd w:id="587"/>
      <w:bookmarkEnd w:id="588"/>
      <w:bookmarkEnd w:id="589"/>
      <w:bookmarkEnd w:id="590"/>
      <w:bookmarkEnd w:id="591"/>
      <w:bookmarkEnd w:id="592"/>
      <w:bookmarkEnd w:id="593"/>
      <w:bookmarkEnd w:id="594"/>
      <w:bookmarkEnd w:id="595"/>
      <w:bookmarkEnd w:id="596"/>
      <w:bookmarkEnd w:id="597"/>
    </w:p>
    <w:p w14:paraId="22DFBC39">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3D23091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szCs w:val="21"/>
          <w:highlight w:val="none"/>
          <w:lang w:val="zh-CN"/>
        </w:rPr>
        <w:t>东莞市水务环境投资控股集团管网有限公司</w:t>
      </w:r>
      <w:r>
        <w:rPr>
          <w:rFonts w:hint="eastAsia" w:ascii="宋体" w:hAnsi="宋体" w:eastAsia="宋体" w:cs="宋体"/>
          <w:color w:val="auto"/>
          <w:kern w:val="0"/>
          <w:szCs w:val="21"/>
          <w:highlight w:val="none"/>
        </w:rPr>
        <w:t>：</w:t>
      </w:r>
    </w:p>
    <w:p w14:paraId="7AFC947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szCs w:val="21"/>
          <w:highlight w:val="none"/>
          <w:lang w:val="zh-CN"/>
        </w:rPr>
        <w:t>东莞市水务环境投资控股集团管网有限公司2026至2028年度公众责任险采购项目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YDZB25DGQY0094</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9FECFC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1B6710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7CD5A4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976BC0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6123C30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92010F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A739B5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47417C8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396F16D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82F556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57C4B9B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2DA78A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43CE3F1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69404F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6CEE2CF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24461E8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5D6F308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0EBC659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47F3468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0C8434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0396DD8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6245DC13">
      <w:pPr>
        <w:autoSpaceDE w:val="0"/>
        <w:autoSpaceDN w:val="0"/>
        <w:adjustRightInd w:val="0"/>
        <w:spacing w:line="360" w:lineRule="auto"/>
        <w:ind w:firstLine="504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6C491A40">
      <w:pPr>
        <w:autoSpaceDE w:val="0"/>
        <w:autoSpaceDN w:val="0"/>
        <w:adjustRightInd w:val="0"/>
        <w:spacing w:line="360" w:lineRule="auto"/>
        <w:ind w:firstLine="504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02F472F3">
      <w:pPr>
        <w:autoSpaceDE w:val="0"/>
        <w:autoSpaceDN w:val="0"/>
        <w:adjustRightInd w:val="0"/>
        <w:spacing w:line="360" w:lineRule="auto"/>
        <w:ind w:firstLine="504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25B8A720">
      <w:pPr>
        <w:autoSpaceDE w:val="0"/>
        <w:autoSpaceDN w:val="0"/>
        <w:adjustRightInd w:val="0"/>
        <w:spacing w:line="360" w:lineRule="auto"/>
        <w:ind w:right="420" w:firstLine="5040" w:firstLineChars="24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0F871278">
      <w:pPr>
        <w:pageBreakBefore/>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bookmarkStart w:id="602" w:name="_Toc140596925"/>
      <w:bookmarkStart w:id="603" w:name="_Toc104991872"/>
      <w:bookmarkStart w:id="604" w:name="_Toc13416"/>
      <w:bookmarkStart w:id="605" w:name="_Toc142508366"/>
      <w:bookmarkStart w:id="606" w:name="_Toc18346"/>
      <w:bookmarkStart w:id="607" w:name="_Toc1140"/>
      <w:bookmarkStart w:id="608" w:name="_Toc94107206"/>
      <w:bookmarkStart w:id="609" w:name="_Toc102860071"/>
      <w:bookmarkStart w:id="610" w:name="_Toc102860415"/>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598"/>
      <w:bookmarkEnd w:id="599"/>
      <w:bookmarkEnd w:id="600"/>
      <w:bookmarkEnd w:id="601"/>
      <w:bookmarkEnd w:id="602"/>
      <w:bookmarkEnd w:id="603"/>
      <w:bookmarkEnd w:id="604"/>
      <w:bookmarkEnd w:id="605"/>
      <w:bookmarkEnd w:id="606"/>
      <w:bookmarkEnd w:id="607"/>
      <w:bookmarkEnd w:id="608"/>
      <w:bookmarkEnd w:id="609"/>
      <w:bookmarkEnd w:id="610"/>
    </w:p>
    <w:p w14:paraId="746C5491">
      <w:pPr>
        <w:tabs>
          <w:tab w:val="left" w:pos="567"/>
        </w:tabs>
        <w:autoSpaceDE w:val="0"/>
        <w:autoSpaceDN w:val="0"/>
        <w:adjustRightInd w:val="0"/>
        <w:spacing w:line="360" w:lineRule="auto"/>
        <w:ind w:left="711" w:hanging="711" w:hangingChars="236"/>
        <w:jc w:val="left"/>
        <w:outlineLvl w:val="9"/>
        <w:rPr>
          <w:rFonts w:hint="eastAsia" w:ascii="宋体" w:hAnsi="宋体" w:eastAsia="宋体" w:cs="宋体"/>
          <w:b/>
          <w:color w:val="auto"/>
          <w:kern w:val="0"/>
          <w:sz w:val="30"/>
          <w:szCs w:val="30"/>
          <w:highlight w:val="none"/>
        </w:rPr>
      </w:pPr>
      <w:bookmarkStart w:id="611" w:name="_Toc102860072"/>
      <w:bookmarkStart w:id="612" w:name="_Toc102860416"/>
      <w:bookmarkStart w:id="613" w:name="_Toc140596926"/>
      <w:bookmarkStart w:id="614" w:name="_Toc142508367"/>
      <w:bookmarkStart w:id="615" w:name="_Toc94107207"/>
      <w:bookmarkStart w:id="616" w:name="_Toc2395_WPSOffice_Level3"/>
      <w:bookmarkStart w:id="617" w:name="_Toc15425"/>
      <w:bookmarkStart w:id="618" w:name="_Toc104991873"/>
      <w:bookmarkStart w:id="619" w:name="_Toc24175"/>
      <w:bookmarkStart w:id="620" w:name="_Toc1294"/>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投标报价表</w:t>
      </w:r>
      <w:bookmarkEnd w:id="611"/>
      <w:bookmarkEnd w:id="612"/>
      <w:bookmarkEnd w:id="613"/>
      <w:bookmarkEnd w:id="614"/>
      <w:bookmarkEnd w:id="615"/>
      <w:bookmarkEnd w:id="616"/>
      <w:bookmarkEnd w:id="617"/>
      <w:bookmarkEnd w:id="618"/>
      <w:bookmarkEnd w:id="619"/>
      <w:bookmarkEnd w:id="620"/>
    </w:p>
    <w:p w14:paraId="47172CB5">
      <w:pPr>
        <w:spacing w:line="360" w:lineRule="auto"/>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242FAF57">
      <w:pPr>
        <w:spacing w:line="360" w:lineRule="auto"/>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szCs w:val="21"/>
          <w:highlight w:val="none"/>
          <w:lang w:val="zh-CN"/>
        </w:rPr>
        <w:t>东莞市水务环境投资控股集团管网有限公司2026至2028年度公众责任险采购项目</w:t>
      </w:r>
    </w:p>
    <w:p w14:paraId="1D6C08B0">
      <w:pPr>
        <w:spacing w:line="360" w:lineRule="auto"/>
        <w:outlineLvl w:val="9"/>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lang w:val="zh-CN"/>
        </w:rPr>
        <w:t>YDZB25DGQY0094</w:t>
      </w:r>
    </w:p>
    <w:tbl>
      <w:tblPr>
        <w:tblStyle w:val="39"/>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84"/>
        <w:gridCol w:w="3773"/>
        <w:gridCol w:w="1031"/>
        <w:gridCol w:w="3767"/>
        <w:gridCol w:w="1013"/>
      </w:tblGrid>
      <w:tr w14:paraId="22209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78" w:type="pct"/>
            <w:tcBorders>
              <w:top w:val="single" w:color="auto" w:sz="4" w:space="0"/>
              <w:left w:val="single" w:color="auto" w:sz="4" w:space="0"/>
              <w:bottom w:val="single" w:color="auto" w:sz="4" w:space="0"/>
              <w:right w:val="single" w:color="auto" w:sz="4" w:space="0"/>
            </w:tcBorders>
            <w:vAlign w:val="center"/>
          </w:tcPr>
          <w:p w14:paraId="7B9AB61C">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819" w:type="pct"/>
            <w:tcBorders>
              <w:top w:val="single" w:color="auto" w:sz="4" w:space="0"/>
              <w:left w:val="single" w:color="auto" w:sz="4" w:space="0"/>
              <w:bottom w:val="single" w:color="auto" w:sz="4" w:space="0"/>
              <w:right w:val="single" w:color="auto" w:sz="4" w:space="0"/>
            </w:tcBorders>
            <w:vAlign w:val="center"/>
          </w:tcPr>
          <w:p w14:paraId="32A31A9D">
            <w:pPr>
              <w:autoSpaceDE w:val="0"/>
              <w:autoSpaceDN w:val="0"/>
              <w:spacing w:before="164" w:beforeLines="50" w:line="360" w:lineRule="auto"/>
              <w:jc w:val="center"/>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投标单价报价</w:t>
            </w:r>
          </w:p>
          <w:p w14:paraId="0F9C72C2">
            <w:pPr>
              <w:autoSpaceDE w:val="0"/>
              <w:autoSpaceDN w:val="0"/>
              <w:spacing w:line="360" w:lineRule="auto"/>
              <w:jc w:val="center"/>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（不含销项税，元</w:t>
            </w:r>
            <w:r>
              <w:rPr>
                <w:rFonts w:hint="eastAsia" w:ascii="宋体" w:hAnsi="宋体" w:eastAsia="宋体" w:cs="宋体"/>
                <w:b/>
                <w:color w:val="auto"/>
                <w:kern w:val="0"/>
                <w:szCs w:val="21"/>
                <w:highlight w:val="none"/>
                <w:lang w:val="en-US" w:eastAsia="zh-CN"/>
              </w:rPr>
              <w:t>/年</w:t>
            </w:r>
            <w:r>
              <w:rPr>
                <w:rFonts w:hint="eastAsia" w:ascii="宋体" w:hAnsi="宋体" w:eastAsia="宋体" w:cs="宋体"/>
                <w:b/>
                <w:color w:val="auto"/>
                <w:kern w:val="0"/>
                <w:szCs w:val="21"/>
                <w:highlight w:val="none"/>
              </w:rPr>
              <w:t>）</w:t>
            </w:r>
          </w:p>
        </w:tc>
        <w:tc>
          <w:tcPr>
            <w:tcW w:w="497" w:type="pct"/>
            <w:tcBorders>
              <w:top w:val="single" w:color="auto" w:sz="4" w:space="0"/>
              <w:left w:val="single" w:color="auto" w:sz="4" w:space="0"/>
              <w:bottom w:val="single" w:color="auto" w:sz="4" w:space="0"/>
              <w:right w:val="single" w:color="auto" w:sz="4" w:space="0"/>
            </w:tcBorders>
            <w:vAlign w:val="center"/>
          </w:tcPr>
          <w:p w14:paraId="4364473E">
            <w:pPr>
              <w:autoSpaceDE w:val="0"/>
              <w:autoSpaceDN w:val="0"/>
              <w:spacing w:line="360" w:lineRule="auto"/>
              <w:jc w:val="center"/>
              <w:outlineLvl w:val="9"/>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服务期</w:t>
            </w:r>
          </w:p>
        </w:tc>
        <w:tc>
          <w:tcPr>
            <w:tcW w:w="1816" w:type="pct"/>
            <w:tcBorders>
              <w:top w:val="single" w:color="auto" w:sz="4" w:space="0"/>
              <w:left w:val="single" w:color="auto" w:sz="4" w:space="0"/>
              <w:bottom w:val="single" w:color="auto" w:sz="4" w:space="0"/>
              <w:right w:val="single" w:color="auto" w:sz="4" w:space="0"/>
            </w:tcBorders>
            <w:vAlign w:val="center"/>
          </w:tcPr>
          <w:p w14:paraId="6C6C8936">
            <w:pPr>
              <w:autoSpaceDE w:val="0"/>
              <w:autoSpaceDN w:val="0"/>
              <w:spacing w:before="164" w:beforeLines="50"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投标报价</w:t>
            </w:r>
          </w:p>
          <w:p w14:paraId="18D6E2F6">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（不含销项税，元）</w:t>
            </w:r>
          </w:p>
        </w:tc>
        <w:tc>
          <w:tcPr>
            <w:tcW w:w="488" w:type="pct"/>
            <w:tcBorders>
              <w:top w:val="single" w:color="auto" w:sz="4" w:space="0"/>
              <w:left w:val="single" w:color="auto" w:sz="4" w:space="0"/>
              <w:bottom w:val="single" w:color="auto" w:sz="4" w:space="0"/>
              <w:right w:val="single" w:color="auto" w:sz="4" w:space="0"/>
            </w:tcBorders>
            <w:vAlign w:val="center"/>
          </w:tcPr>
          <w:p w14:paraId="51699BBF">
            <w:pPr>
              <w:autoSpaceDE w:val="0"/>
              <w:autoSpaceDN w:val="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2C4E5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78" w:type="pct"/>
            <w:tcBorders>
              <w:top w:val="single" w:color="auto" w:sz="4" w:space="0"/>
              <w:left w:val="single" w:color="auto" w:sz="4" w:space="0"/>
              <w:right w:val="single" w:color="auto" w:sz="4" w:space="0"/>
            </w:tcBorders>
            <w:vAlign w:val="center"/>
          </w:tcPr>
          <w:p w14:paraId="108EEC85">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819" w:type="pct"/>
            <w:tcBorders>
              <w:top w:val="single" w:color="auto" w:sz="4" w:space="0"/>
              <w:left w:val="single" w:color="auto" w:sz="4" w:space="0"/>
              <w:right w:val="single" w:color="auto" w:sz="4" w:space="0"/>
            </w:tcBorders>
            <w:vAlign w:val="center"/>
          </w:tcPr>
          <w:p w14:paraId="15AD9864">
            <w:pPr>
              <w:tabs>
                <w:tab w:val="left" w:pos="8610"/>
              </w:tabs>
              <w:spacing w:line="360" w:lineRule="auto"/>
              <w:outlineLvl w:val="9"/>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小写（人民币）：</w:t>
            </w:r>
            <w:r>
              <w:rPr>
                <w:rFonts w:hint="eastAsia" w:ascii="宋体" w:hAnsi="宋体" w:eastAsia="宋体" w:cs="宋体"/>
                <w:color w:val="auto"/>
                <w:kern w:val="0"/>
                <w:szCs w:val="21"/>
                <w:highlight w:val="none"/>
                <w:u w:val="single"/>
                <w:lang w:val="en-US" w:eastAsia="zh-CN"/>
              </w:rPr>
              <w:t xml:space="preserve">           </w:t>
            </w:r>
          </w:p>
          <w:p w14:paraId="467D1951">
            <w:pPr>
              <w:autoSpaceDE w:val="0"/>
              <w:autoSpaceDN w:val="0"/>
              <w:spacing w:line="360" w:lineRule="auto"/>
              <w:jc w:val="both"/>
              <w:outlineLvl w:val="9"/>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大写（人民币）：</w:t>
            </w:r>
            <w:r>
              <w:rPr>
                <w:rFonts w:hint="eastAsia" w:ascii="宋体" w:hAnsi="宋体" w:eastAsia="宋体" w:cs="宋体"/>
                <w:color w:val="auto"/>
                <w:kern w:val="0"/>
                <w:szCs w:val="21"/>
                <w:highlight w:val="none"/>
                <w:u w:val="single"/>
                <w:lang w:val="en-US" w:eastAsia="zh-CN"/>
              </w:rPr>
              <w:t xml:space="preserve">           </w:t>
            </w:r>
          </w:p>
        </w:tc>
        <w:tc>
          <w:tcPr>
            <w:tcW w:w="497" w:type="pct"/>
            <w:tcBorders>
              <w:top w:val="single" w:color="auto" w:sz="4" w:space="0"/>
              <w:left w:val="single" w:color="auto" w:sz="4" w:space="0"/>
              <w:right w:val="single" w:color="auto" w:sz="4" w:space="0"/>
            </w:tcBorders>
            <w:vAlign w:val="center"/>
          </w:tcPr>
          <w:p w14:paraId="001DEE6C">
            <w:pPr>
              <w:tabs>
                <w:tab w:val="left" w:pos="8610"/>
              </w:tabs>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3年</w:t>
            </w:r>
          </w:p>
        </w:tc>
        <w:tc>
          <w:tcPr>
            <w:tcW w:w="1816" w:type="pct"/>
            <w:tcBorders>
              <w:top w:val="single" w:color="auto" w:sz="4" w:space="0"/>
              <w:left w:val="single" w:color="auto" w:sz="4" w:space="0"/>
              <w:right w:val="single" w:color="auto" w:sz="4" w:space="0"/>
            </w:tcBorders>
            <w:vAlign w:val="center"/>
          </w:tcPr>
          <w:p w14:paraId="65A50D41">
            <w:pPr>
              <w:tabs>
                <w:tab w:val="left" w:pos="8610"/>
              </w:tabs>
              <w:spacing w:line="360" w:lineRule="auto"/>
              <w:outlineLvl w:val="9"/>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小写（人民币）：</w:t>
            </w:r>
            <w:r>
              <w:rPr>
                <w:rFonts w:hint="eastAsia" w:ascii="宋体" w:hAnsi="宋体" w:eastAsia="宋体" w:cs="宋体"/>
                <w:color w:val="auto"/>
                <w:kern w:val="0"/>
                <w:szCs w:val="21"/>
                <w:highlight w:val="none"/>
                <w:u w:val="single"/>
                <w:lang w:val="en-US" w:eastAsia="zh-CN"/>
              </w:rPr>
              <w:t xml:space="preserve">           </w:t>
            </w:r>
          </w:p>
          <w:p w14:paraId="0FCDAF6F">
            <w:pPr>
              <w:tabs>
                <w:tab w:val="left" w:pos="8610"/>
              </w:tabs>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大写（人民币）：</w:t>
            </w:r>
            <w:r>
              <w:rPr>
                <w:rFonts w:hint="eastAsia" w:ascii="宋体" w:hAnsi="宋体" w:eastAsia="宋体" w:cs="宋体"/>
                <w:color w:val="auto"/>
                <w:kern w:val="0"/>
                <w:szCs w:val="21"/>
                <w:highlight w:val="none"/>
                <w:u w:val="single"/>
                <w:lang w:val="en-US" w:eastAsia="zh-CN"/>
              </w:rPr>
              <w:t xml:space="preserve">           </w:t>
            </w:r>
          </w:p>
        </w:tc>
        <w:tc>
          <w:tcPr>
            <w:tcW w:w="488" w:type="pct"/>
            <w:tcBorders>
              <w:top w:val="single" w:color="auto" w:sz="4" w:space="0"/>
              <w:left w:val="single" w:color="auto" w:sz="4" w:space="0"/>
              <w:right w:val="single" w:color="auto" w:sz="4" w:space="0"/>
            </w:tcBorders>
            <w:vAlign w:val="center"/>
          </w:tcPr>
          <w:p w14:paraId="5F015A41">
            <w:pPr>
              <w:tabs>
                <w:tab w:val="left" w:pos="8610"/>
              </w:tabs>
              <w:spacing w:line="360" w:lineRule="auto"/>
              <w:jc w:val="center"/>
              <w:outlineLvl w:val="9"/>
              <w:rPr>
                <w:rFonts w:hint="eastAsia" w:ascii="宋体" w:hAnsi="宋体" w:eastAsia="宋体" w:cs="宋体"/>
                <w:color w:val="auto"/>
                <w:kern w:val="0"/>
                <w:szCs w:val="21"/>
                <w:highlight w:val="none"/>
              </w:rPr>
            </w:pPr>
          </w:p>
        </w:tc>
      </w:tr>
    </w:tbl>
    <w:p w14:paraId="37150041">
      <w:pPr>
        <w:outlineLvl w:val="9"/>
        <w:rPr>
          <w:rFonts w:hint="eastAsia" w:ascii="宋体" w:hAnsi="宋体" w:eastAsia="宋体" w:cs="宋体"/>
          <w:color w:val="auto"/>
          <w:kern w:val="0"/>
          <w:sz w:val="20"/>
          <w:szCs w:val="21"/>
          <w:highlight w:val="none"/>
        </w:rPr>
      </w:pPr>
    </w:p>
    <w:p w14:paraId="3B60FF53">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1A2167F">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color w:val="auto"/>
          <w:kern w:val="0"/>
          <w:szCs w:val="21"/>
          <w:highlight w:val="none"/>
          <w:u w:val="single"/>
        </w:rPr>
        <w:t>本项目投标报价为不含税价，即为《中华人民共和国增值税暂行条例》（国务院令第691号修订版）规定的销售额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14:paraId="0EBC4295">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（2）本表的总价报价应包括完成本合同服务所需的全部费用，包括但不限于人工费、通讯费、交通费、设备使用费、管理费、本项目所发生的投标人销项税额以外的税费、利润、</w:t>
      </w:r>
      <w:r>
        <w:rPr>
          <w:rFonts w:hint="eastAsia" w:ascii="宋体" w:hAnsi="宋体" w:eastAsia="宋体" w:cs="宋体"/>
          <w:b/>
          <w:bCs/>
          <w:color w:val="auto"/>
          <w:kern w:val="0"/>
          <w:szCs w:val="21"/>
          <w:highlight w:val="none"/>
          <w:lang w:val="en-US" w:eastAsia="zh-CN"/>
        </w:rPr>
        <w:t>中标服务费</w:t>
      </w:r>
      <w:r>
        <w:rPr>
          <w:rFonts w:hint="eastAsia" w:ascii="宋体" w:hAnsi="宋体" w:eastAsia="宋体" w:cs="宋体"/>
          <w:b/>
          <w:bCs/>
          <w:color w:val="auto"/>
          <w:kern w:val="0"/>
          <w:szCs w:val="21"/>
          <w:highlight w:val="none"/>
        </w:rPr>
        <w:t>、现场勘查费、救援费、调查费、售后服务费等一切相关费用及合同实施过程中的不可预见费用等全部费用。</w:t>
      </w:r>
    </w:p>
    <w:p w14:paraId="790F4996">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投标人的投标报价高于</w:t>
      </w:r>
      <w:r>
        <w:rPr>
          <w:rFonts w:hint="eastAsia" w:ascii="宋体" w:hAnsi="宋体" w:eastAsia="宋体" w:cs="宋体"/>
          <w:b/>
          <w:color w:val="auto"/>
          <w:szCs w:val="21"/>
          <w:highlight w:val="none"/>
          <w:u w:val="single"/>
          <w:lang w:val="zh-CN"/>
        </w:rPr>
        <w:t>不含税</w:t>
      </w:r>
      <w:r>
        <w:rPr>
          <w:rFonts w:hint="eastAsia" w:ascii="宋体" w:hAnsi="宋体" w:eastAsia="宋体" w:cs="宋体"/>
          <w:b/>
          <w:bCs/>
          <w:color w:val="auto"/>
          <w:kern w:val="0"/>
          <w:szCs w:val="24"/>
          <w:highlight w:val="none"/>
          <w:u w:val="none"/>
        </w:rPr>
        <w:t>最高</w:t>
      </w:r>
      <w:r>
        <w:rPr>
          <w:rFonts w:hint="eastAsia" w:ascii="宋体" w:hAnsi="宋体" w:eastAsia="宋体" w:cs="宋体"/>
          <w:b/>
          <w:bCs/>
          <w:color w:val="auto"/>
          <w:kern w:val="0"/>
          <w:szCs w:val="24"/>
          <w:highlight w:val="none"/>
          <w:u w:val="none"/>
          <w:lang w:val="en-US" w:eastAsia="zh-CN"/>
        </w:rPr>
        <w:t>投标</w:t>
      </w:r>
      <w:r>
        <w:rPr>
          <w:rFonts w:hint="eastAsia" w:ascii="宋体" w:hAnsi="宋体" w:eastAsia="宋体" w:cs="宋体"/>
          <w:b/>
          <w:bCs/>
          <w:color w:val="auto"/>
          <w:kern w:val="0"/>
          <w:szCs w:val="24"/>
          <w:highlight w:val="none"/>
          <w:u w:val="none"/>
        </w:rPr>
        <w:t>限价</w:t>
      </w:r>
      <w:r>
        <w:rPr>
          <w:rFonts w:hint="eastAsia" w:ascii="宋体" w:hAnsi="宋体" w:eastAsia="宋体" w:cs="宋体"/>
          <w:b/>
          <w:bCs/>
          <w:color w:val="auto"/>
          <w:kern w:val="0"/>
          <w:szCs w:val="24"/>
          <w:highlight w:val="none"/>
          <w:u w:val="none"/>
          <w:lang w:val="en-US" w:eastAsia="zh-CN"/>
        </w:rPr>
        <w:t>或</w:t>
      </w:r>
      <w:r>
        <w:rPr>
          <w:rFonts w:hint="eastAsia" w:ascii="宋体" w:hAnsi="宋体" w:eastAsia="宋体" w:cs="宋体"/>
          <w:b/>
          <w:color w:val="auto"/>
          <w:kern w:val="0"/>
          <w:szCs w:val="21"/>
          <w:highlight w:val="none"/>
          <w:lang w:val="en-US" w:eastAsia="zh-CN"/>
        </w:rPr>
        <w:t>投标单价报价</w:t>
      </w:r>
      <w:r>
        <w:rPr>
          <w:rFonts w:hint="eastAsia" w:ascii="宋体" w:hAnsi="宋体" w:eastAsia="宋体" w:cs="宋体"/>
          <w:b/>
          <w:bCs/>
          <w:color w:val="auto"/>
          <w:kern w:val="0"/>
          <w:szCs w:val="21"/>
          <w:highlight w:val="none"/>
        </w:rPr>
        <w:t>高于</w:t>
      </w:r>
      <w:r>
        <w:rPr>
          <w:rFonts w:hint="eastAsia" w:ascii="宋体" w:hAnsi="宋体" w:eastAsia="宋体" w:cs="宋体"/>
          <w:b/>
          <w:color w:val="auto"/>
          <w:szCs w:val="21"/>
          <w:highlight w:val="none"/>
          <w:u w:val="single"/>
          <w:lang w:val="zh-CN"/>
        </w:rPr>
        <w:t>不含税</w:t>
      </w:r>
      <w:r>
        <w:rPr>
          <w:rFonts w:hint="eastAsia" w:ascii="宋体" w:hAnsi="宋体" w:eastAsia="宋体" w:cs="宋体"/>
          <w:b/>
          <w:bCs/>
          <w:color w:val="auto"/>
          <w:kern w:val="0"/>
          <w:szCs w:val="24"/>
          <w:highlight w:val="none"/>
          <w:u w:val="none"/>
        </w:rPr>
        <w:t>最高</w:t>
      </w:r>
      <w:r>
        <w:rPr>
          <w:rFonts w:hint="eastAsia" w:ascii="宋体" w:hAnsi="宋体" w:eastAsia="宋体" w:cs="宋体"/>
          <w:b/>
          <w:bCs/>
          <w:color w:val="auto"/>
          <w:kern w:val="0"/>
          <w:szCs w:val="24"/>
          <w:highlight w:val="none"/>
          <w:u w:val="none"/>
          <w:lang w:val="en-US" w:eastAsia="zh-CN"/>
        </w:rPr>
        <w:t>投标单价</w:t>
      </w:r>
      <w:r>
        <w:rPr>
          <w:rFonts w:hint="eastAsia" w:ascii="宋体" w:hAnsi="宋体" w:eastAsia="宋体" w:cs="宋体"/>
          <w:b/>
          <w:bCs/>
          <w:color w:val="auto"/>
          <w:kern w:val="0"/>
          <w:szCs w:val="24"/>
          <w:highlight w:val="none"/>
          <w:u w:val="none"/>
        </w:rPr>
        <w:t>限价</w:t>
      </w:r>
      <w:r>
        <w:rPr>
          <w:rFonts w:hint="eastAsia" w:ascii="宋体" w:hAnsi="宋体" w:eastAsia="宋体" w:cs="宋体"/>
          <w:b/>
          <w:bCs/>
          <w:color w:val="auto"/>
          <w:kern w:val="0"/>
          <w:szCs w:val="21"/>
          <w:highlight w:val="none"/>
        </w:rPr>
        <w:t>的，该投标人的投标文件将被视为无效投标。</w:t>
      </w:r>
    </w:p>
    <w:p w14:paraId="1FCBAAD6">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6276C438">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5</w:t>
      </w:r>
      <w:r>
        <w:rPr>
          <w:rFonts w:hint="eastAsia" w:ascii="宋体" w:hAnsi="宋体" w:eastAsia="宋体" w:cs="宋体"/>
          <w:bCs/>
          <w:color w:val="auto"/>
          <w:kern w:val="0"/>
          <w:szCs w:val="21"/>
          <w:highlight w:val="none"/>
          <w:lang w:val="zh-CN"/>
        </w:rPr>
        <w:t>）</w:t>
      </w:r>
      <w:r>
        <w:rPr>
          <w:rFonts w:hint="eastAsia" w:ascii="宋体" w:hAnsi="宋体" w:eastAsia="宋体" w:cs="宋体"/>
          <w:color w:val="auto"/>
          <w:kern w:val="0"/>
          <w:szCs w:val="21"/>
          <w:highlight w:val="none"/>
        </w:rPr>
        <w:t>报价保留小数点后两位。</w:t>
      </w:r>
    </w:p>
    <w:p w14:paraId="53730BD6">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564B7128">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6E582AB">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CF9BC55">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21" w:name="_Toc23083"/>
      <w:bookmarkStart w:id="622" w:name="_Toc102860074"/>
      <w:bookmarkStart w:id="623" w:name="_Toc6190"/>
      <w:bookmarkStart w:id="624" w:name="_Toc102860418"/>
      <w:bookmarkStart w:id="625" w:name="_Toc1977725"/>
      <w:bookmarkStart w:id="626" w:name="_Toc140596928"/>
      <w:bookmarkStart w:id="627" w:name="_Toc26516"/>
      <w:bookmarkStart w:id="628" w:name="_Toc104991875"/>
      <w:bookmarkStart w:id="629" w:name="_Toc94107209"/>
      <w:bookmarkStart w:id="630" w:name="_Toc142508369"/>
      <w:bookmarkStart w:id="631" w:name="_Toc533708124"/>
      <w:bookmarkStart w:id="632" w:name="_Toc486167712"/>
      <w:bookmarkStart w:id="633" w:name="_Toc20759_WPSOffice_Level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621"/>
      <w:bookmarkEnd w:id="622"/>
      <w:bookmarkEnd w:id="623"/>
      <w:bookmarkEnd w:id="624"/>
      <w:bookmarkEnd w:id="625"/>
      <w:bookmarkEnd w:id="626"/>
      <w:bookmarkEnd w:id="627"/>
      <w:bookmarkEnd w:id="628"/>
      <w:bookmarkEnd w:id="629"/>
      <w:bookmarkEnd w:id="630"/>
    </w:p>
    <w:p w14:paraId="72CC79AA">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eastAsia="zh-CN"/>
        </w:rPr>
      </w:pPr>
      <w:bookmarkStart w:id="634" w:name="_Toc29874"/>
      <w:bookmarkStart w:id="635" w:name="_Toc102860419"/>
      <w:bookmarkStart w:id="636" w:name="_Toc94107210"/>
      <w:bookmarkStart w:id="637" w:name="_Toc17358"/>
      <w:bookmarkStart w:id="638" w:name="_Toc142508370"/>
      <w:bookmarkStart w:id="639" w:name="_Toc102860075"/>
      <w:bookmarkStart w:id="640" w:name="_Toc140596929"/>
      <w:bookmarkStart w:id="641" w:name="_Toc104991876"/>
      <w:bookmarkStart w:id="642" w:name="_Toc25267"/>
      <w:bookmarkStart w:id="643"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634"/>
      <w:bookmarkEnd w:id="635"/>
      <w:bookmarkEnd w:id="636"/>
      <w:bookmarkEnd w:id="637"/>
      <w:bookmarkEnd w:id="638"/>
      <w:bookmarkEnd w:id="639"/>
      <w:bookmarkEnd w:id="640"/>
      <w:bookmarkEnd w:id="641"/>
      <w:bookmarkEnd w:id="642"/>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rPr>
        <w:t>若投标人为非独立法人（即由合法法人依法建立的分公司/中心支公司/营销服务部等分支机构），还必须同时提供</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rPr>
        <w:t>总公司的多证合一营业执照（或事业单位法人证书）</w:t>
      </w:r>
      <w:r>
        <w:rPr>
          <w:rFonts w:hint="eastAsia" w:ascii="宋体" w:hAnsi="宋体" w:eastAsia="宋体" w:cs="宋体"/>
          <w:b/>
          <w:color w:val="auto"/>
          <w:kern w:val="0"/>
          <w:sz w:val="30"/>
          <w:szCs w:val="30"/>
          <w:highlight w:val="none"/>
          <w:lang w:val="en-US" w:eastAsia="zh-CN"/>
        </w:rPr>
        <w:t>复印件</w:t>
      </w:r>
      <w:r>
        <w:rPr>
          <w:rFonts w:hint="eastAsia" w:ascii="宋体" w:hAnsi="宋体" w:eastAsia="宋体" w:cs="宋体"/>
          <w:b/>
          <w:color w:val="auto"/>
          <w:kern w:val="0"/>
          <w:sz w:val="30"/>
          <w:szCs w:val="30"/>
          <w:highlight w:val="none"/>
        </w:rPr>
        <w:t>、保险许可证</w:t>
      </w:r>
      <w:r>
        <w:rPr>
          <w:rFonts w:hint="eastAsia" w:ascii="宋体" w:hAnsi="宋体" w:eastAsia="宋体" w:cs="宋体"/>
          <w:b/>
          <w:color w:val="auto"/>
          <w:kern w:val="0"/>
          <w:sz w:val="30"/>
          <w:szCs w:val="30"/>
          <w:highlight w:val="none"/>
          <w:lang w:val="en-US" w:eastAsia="zh-CN"/>
        </w:rPr>
        <w:t>复印件</w:t>
      </w:r>
      <w:r>
        <w:rPr>
          <w:rFonts w:hint="eastAsia" w:ascii="宋体" w:hAnsi="宋体" w:eastAsia="宋体" w:cs="宋体"/>
          <w:b/>
          <w:color w:val="auto"/>
          <w:kern w:val="0"/>
          <w:sz w:val="30"/>
          <w:szCs w:val="30"/>
          <w:highlight w:val="none"/>
        </w:rPr>
        <w:t>；</w:t>
      </w:r>
    </w:p>
    <w:p w14:paraId="392EDBF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67E966D">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163FC8AE">
      <w:pPr>
        <w:widowControl/>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644" w:name="_Toc140596930"/>
      <w:bookmarkStart w:id="645" w:name="_Toc102860076"/>
      <w:bookmarkStart w:id="646" w:name="_Toc7756"/>
      <w:bookmarkStart w:id="647" w:name="_Toc102860420"/>
      <w:bookmarkStart w:id="648" w:name="_Toc104991877"/>
      <w:bookmarkStart w:id="649" w:name="_Toc25013"/>
      <w:bookmarkStart w:id="650" w:name="_Toc27861"/>
      <w:bookmarkStart w:id="651" w:name="_Toc142508371"/>
      <w:bookmarkStart w:id="652" w:name="_Toc94107211"/>
      <w:r>
        <w:rPr>
          <w:rFonts w:hint="eastAsia" w:ascii="宋体" w:hAnsi="宋体" w:eastAsia="宋体" w:cs="宋体"/>
          <w:b/>
          <w:color w:val="auto"/>
          <w:kern w:val="0"/>
          <w:sz w:val="30"/>
          <w:szCs w:val="30"/>
          <w:highlight w:val="none"/>
          <w:lang w:val="en-US" w:eastAsia="zh-CN"/>
        </w:rPr>
        <w:t xml:space="preserve">5.2 </w:t>
      </w:r>
      <w:r>
        <w:rPr>
          <w:rFonts w:hint="eastAsia" w:ascii="宋体" w:hAnsi="宋体" w:eastAsia="宋体" w:cs="宋体"/>
          <w:b/>
          <w:color w:val="auto"/>
          <w:kern w:val="0"/>
          <w:sz w:val="30"/>
          <w:szCs w:val="30"/>
          <w:highlight w:val="none"/>
        </w:rPr>
        <w:t>总公司对分公司/中心支公司/营销服务部等出具的独家授权其参加本次投标的授权书，同一总公司只能授权一家分支机构参加本项目投标（授权一家以上分支机构参与投标的，将同时作无效投标处理）；授权书必须写明授权投标及处理投标相关事宜的权限，授权书需加盖总公司公章</w:t>
      </w:r>
      <w:r>
        <w:rPr>
          <w:rFonts w:hint="eastAsia" w:ascii="宋体" w:hAnsi="宋体" w:eastAsia="宋体" w:cs="宋体"/>
          <w:b/>
          <w:color w:val="auto"/>
          <w:kern w:val="0"/>
          <w:sz w:val="30"/>
          <w:szCs w:val="30"/>
          <w:highlight w:val="none"/>
          <w:lang w:eastAsia="zh-CN"/>
        </w:rPr>
        <w:t>；</w:t>
      </w:r>
    </w:p>
    <w:p w14:paraId="337A18B2">
      <w:pPr>
        <w:widowControl/>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129913A">
      <w:pPr>
        <w:pageBreakBefore/>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 xml:space="preserve">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44"/>
      <w:bookmarkEnd w:id="645"/>
      <w:bookmarkEnd w:id="646"/>
      <w:bookmarkEnd w:id="647"/>
      <w:bookmarkEnd w:id="648"/>
      <w:bookmarkEnd w:id="649"/>
      <w:bookmarkEnd w:id="650"/>
      <w:bookmarkEnd w:id="651"/>
      <w:bookmarkEnd w:id="652"/>
      <w:r>
        <w:rPr>
          <w:rFonts w:hint="eastAsia" w:ascii="宋体" w:hAnsi="宋体" w:eastAsia="宋体" w:cs="宋体"/>
          <w:b/>
          <w:color w:val="auto"/>
          <w:kern w:val="0"/>
          <w:sz w:val="30"/>
          <w:szCs w:val="30"/>
          <w:highlight w:val="none"/>
          <w:lang w:eastAsia="zh-CN"/>
        </w:rPr>
        <w:t>；</w:t>
      </w:r>
    </w:p>
    <w:p w14:paraId="2385AC13">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653" w:name="_Toc140596931"/>
      <w:bookmarkStart w:id="654" w:name="_Toc102860421"/>
      <w:bookmarkStart w:id="655" w:name="_Toc104991878"/>
      <w:bookmarkStart w:id="656" w:name="_Toc94107212"/>
      <w:bookmarkStart w:id="657" w:name="_Toc17499"/>
      <w:bookmarkStart w:id="658" w:name="_Toc102860077"/>
      <w:bookmarkStart w:id="659" w:name="_Toc7441"/>
      <w:bookmarkStart w:id="660" w:name="_Toc9132"/>
      <w:bookmarkStart w:id="661" w:name="_Toc142508372"/>
    </w:p>
    <w:p w14:paraId="11BB1279">
      <w:pPr>
        <w:autoSpaceDE/>
        <w:autoSpaceDN/>
        <w:adjustRightInd/>
        <w:spacing w:line="240" w:lineRule="auto"/>
        <w:jc w:val="left"/>
        <w:outlineLvl w:val="9"/>
        <w:rPr>
          <w:rFonts w:hint="eastAsia" w:ascii="宋体" w:hAnsi="宋体" w:eastAsia="宋体" w:cs="宋体"/>
          <w:b/>
          <w:color w:val="auto"/>
          <w:kern w:val="0"/>
          <w:sz w:val="30"/>
          <w:szCs w:val="30"/>
          <w:highlight w:val="none"/>
        </w:rPr>
      </w:pPr>
    </w:p>
    <w:p w14:paraId="298241E2">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14DBFFB">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5.4 保险监督管理部门颁发的《保险许可证》复印件；</w:t>
      </w:r>
    </w:p>
    <w:p w14:paraId="39DB5DC4">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F971BA9">
      <w:pPr>
        <w:tabs>
          <w:tab w:val="left" w:pos="567"/>
        </w:tabs>
        <w:autoSpaceDE w:val="0"/>
        <w:autoSpaceDN w:val="0"/>
        <w:adjustRightInd w:val="0"/>
        <w:spacing w:line="360" w:lineRule="auto"/>
        <w:jc w:val="left"/>
        <w:outlineLvl w:val="9"/>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法定代表人（或法定负责人）身份证明书原件、法定代表人（或法定负责人）授权书原件格式</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rPr>
        <w:t>法定代表人（或法定负责人）投标时只需提供法定代表人（或法定负责人）身份证明书，委托他人为投标代表时同时提供法定代表人（或法定负责人）授权书</w:t>
      </w:r>
      <w:bookmarkEnd w:id="653"/>
      <w:bookmarkEnd w:id="654"/>
      <w:bookmarkEnd w:id="655"/>
      <w:bookmarkEnd w:id="656"/>
      <w:bookmarkEnd w:id="657"/>
      <w:bookmarkEnd w:id="658"/>
      <w:bookmarkEnd w:id="659"/>
      <w:bookmarkEnd w:id="660"/>
      <w:bookmarkEnd w:id="661"/>
      <w:r>
        <w:rPr>
          <w:rFonts w:hint="eastAsia" w:ascii="宋体" w:hAnsi="宋体" w:eastAsia="宋体" w:cs="宋体"/>
          <w:b/>
          <w:color w:val="auto"/>
          <w:kern w:val="0"/>
          <w:sz w:val="30"/>
          <w:szCs w:val="30"/>
          <w:highlight w:val="none"/>
          <w:lang w:eastAsia="zh-CN"/>
        </w:rPr>
        <w:t>】</w:t>
      </w:r>
    </w:p>
    <w:p w14:paraId="71E9005A">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31"/>
      <w:bookmarkEnd w:id="632"/>
      <w:bookmarkEnd w:id="633"/>
      <w:bookmarkEnd w:id="643"/>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lang w:val="en-US" w:eastAsia="zh-CN"/>
        </w:rPr>
        <w:t>以总公司名义参与投标时提供</w:t>
      </w:r>
      <w:r>
        <w:rPr>
          <w:rFonts w:hint="eastAsia" w:ascii="宋体" w:hAnsi="宋体" w:eastAsia="宋体" w:cs="宋体"/>
          <w:b/>
          <w:color w:val="auto"/>
          <w:szCs w:val="24"/>
          <w:highlight w:val="none"/>
          <w:lang w:eastAsia="zh-CN"/>
        </w:rPr>
        <w:t>）</w:t>
      </w:r>
    </w:p>
    <w:p w14:paraId="13FAE97E">
      <w:pPr>
        <w:spacing w:before="120" w:after="120" w:line="360" w:lineRule="auto"/>
        <w:ind w:firstLine="608" w:firstLineChars="202"/>
        <w:jc w:val="center"/>
        <w:outlineLvl w:val="9"/>
        <w:rPr>
          <w:rFonts w:hint="eastAsia" w:ascii="宋体" w:hAnsi="宋体" w:eastAsia="宋体" w:cs="宋体"/>
          <w:b/>
          <w:color w:val="auto"/>
          <w:sz w:val="30"/>
          <w:szCs w:val="30"/>
          <w:highlight w:val="none"/>
        </w:rPr>
      </w:pPr>
    </w:p>
    <w:p w14:paraId="3F66D9A5">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662" w:name="_Toc11033_WPSOffice_Level3"/>
      <w:r>
        <w:rPr>
          <w:rFonts w:hint="eastAsia" w:ascii="宋体" w:hAnsi="宋体" w:eastAsia="宋体" w:cs="宋体"/>
          <w:b/>
          <w:color w:val="auto"/>
          <w:sz w:val="30"/>
          <w:szCs w:val="30"/>
          <w:highlight w:val="none"/>
        </w:rPr>
        <w:t>法定代</w:t>
      </w:r>
      <w:bookmarkStart w:id="663" w:name="_Toc36971359"/>
      <w:bookmarkStart w:id="664" w:name="_Toc45995270"/>
      <w:r>
        <w:rPr>
          <w:rFonts w:hint="eastAsia" w:ascii="宋体" w:hAnsi="宋体" w:eastAsia="宋体" w:cs="宋体"/>
          <w:b/>
          <w:color w:val="auto"/>
          <w:sz w:val="30"/>
          <w:szCs w:val="30"/>
          <w:highlight w:val="none"/>
        </w:rPr>
        <w:t>表人身份证明书</w:t>
      </w:r>
      <w:bookmarkEnd w:id="662"/>
    </w:p>
    <w:bookmarkEnd w:id="663"/>
    <w:bookmarkEnd w:id="664"/>
    <w:p w14:paraId="7F4775C6">
      <w:pPr>
        <w:spacing w:before="120" w:after="120" w:line="360" w:lineRule="auto"/>
        <w:ind w:firstLine="42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310E7680">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031EE9C4">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78B70E2B">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经济性质：</w:t>
      </w:r>
      <w:r>
        <w:rPr>
          <w:rFonts w:hint="eastAsia" w:ascii="宋体" w:hAnsi="宋体" w:eastAsia="宋体" w:cs="宋体"/>
          <w:color w:val="auto"/>
          <w:szCs w:val="24"/>
          <w:highlight w:val="none"/>
          <w:u w:val="single"/>
        </w:rPr>
        <w:t xml:space="preserve">           </w:t>
      </w:r>
    </w:p>
    <w:p w14:paraId="36300508">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58CA03B8">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02EB3672">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6CB10B00">
      <w:pPr>
        <w:spacing w:before="120" w:after="120" w:line="360" w:lineRule="auto"/>
        <w:ind w:left="340" w:leftChars="162" w:firstLine="474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691B9CFB">
      <w:pPr>
        <w:autoSpaceDE w:val="0"/>
        <w:autoSpaceDN w:val="0"/>
        <w:adjustRightInd w:val="0"/>
        <w:spacing w:line="360" w:lineRule="auto"/>
        <w:ind w:right="1010" w:rightChars="481" w:firstLine="6090" w:firstLineChars="2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35360101">
      <w:pPr>
        <w:autoSpaceDE w:val="0"/>
        <w:autoSpaceDN w:val="0"/>
        <w:adjustRightInd w:val="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47D5B8D"/>
                          <w:p w14:paraId="4608F75B"/>
                          <w:p w14:paraId="6615377A"/>
                          <w:p w14:paraId="1BE8ED5B"/>
                          <w:p w14:paraId="350A9F2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247D5B8D"/>
                    <w:p w14:paraId="4608F75B"/>
                    <w:p w14:paraId="6615377A"/>
                    <w:p w14:paraId="1BE8ED5B"/>
                    <w:p w14:paraId="350A9F20">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8CCA62E"/>
                          <w:p w14:paraId="3F2BC671"/>
                          <w:p w14:paraId="7DEF3C2F"/>
                          <w:p w14:paraId="7F7D8094"/>
                          <w:p w14:paraId="378E16E6">
                            <w:pPr>
                              <w:jc w:val="center"/>
                              <w:rPr>
                                <w:szCs w:val="21"/>
                              </w:rPr>
                            </w:pPr>
                            <w:r>
                              <w:rPr>
                                <w:rFonts w:hint="eastAsia"/>
                                <w:szCs w:val="21"/>
                              </w:rPr>
                              <w:t>法定代表人身份证反面</w:t>
                            </w:r>
                          </w:p>
                          <w:p w14:paraId="53BC8F3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8CCA62E"/>
                    <w:p w14:paraId="3F2BC671"/>
                    <w:p w14:paraId="7DEF3C2F"/>
                    <w:p w14:paraId="7F7D8094"/>
                    <w:p w14:paraId="378E16E6">
                      <w:pPr>
                        <w:jc w:val="center"/>
                        <w:rPr>
                          <w:szCs w:val="21"/>
                        </w:rPr>
                      </w:pPr>
                      <w:r>
                        <w:rPr>
                          <w:rFonts w:hint="eastAsia"/>
                          <w:szCs w:val="21"/>
                        </w:rPr>
                        <w:t>法定代表人身份证反面</w:t>
                      </w:r>
                    </w:p>
                    <w:p w14:paraId="53BC8F3E">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C35AD83"/>
                          <w:p w14:paraId="1667576F"/>
                          <w:p w14:paraId="724F2C62"/>
                          <w:p w14:paraId="5A01FF8C"/>
                          <w:p w14:paraId="14B17069">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C35AD83"/>
                    <w:p w14:paraId="1667576F"/>
                    <w:p w14:paraId="724F2C62"/>
                    <w:p w14:paraId="5A01FF8C"/>
                    <w:p w14:paraId="14B17069">
                      <w:pPr>
                        <w:jc w:val="center"/>
                      </w:pPr>
                      <w:r>
                        <w:rPr>
                          <w:rFonts w:hint="eastAsia"/>
                        </w:rPr>
                        <w:t>身份证正面</w:t>
                      </w:r>
                    </w:p>
                  </w:txbxContent>
                </v:textbox>
              </v:shape>
            </w:pict>
          </mc:Fallback>
        </mc:AlternateContent>
      </w:r>
    </w:p>
    <w:p w14:paraId="6BCC2BDF">
      <w:pPr>
        <w:autoSpaceDE w:val="0"/>
        <w:autoSpaceDN w:val="0"/>
        <w:adjustRightInd w:val="0"/>
        <w:jc w:val="left"/>
        <w:outlineLvl w:val="9"/>
        <w:rPr>
          <w:rFonts w:hint="eastAsia" w:ascii="宋体" w:hAnsi="宋体" w:eastAsia="宋体" w:cs="宋体"/>
          <w:color w:val="auto"/>
          <w:kern w:val="0"/>
          <w:sz w:val="24"/>
          <w:szCs w:val="24"/>
          <w:highlight w:val="none"/>
        </w:rPr>
      </w:pPr>
    </w:p>
    <w:p w14:paraId="4524F40E">
      <w:pPr>
        <w:autoSpaceDE w:val="0"/>
        <w:autoSpaceDN w:val="0"/>
        <w:adjustRightInd w:val="0"/>
        <w:jc w:val="left"/>
        <w:outlineLvl w:val="9"/>
        <w:rPr>
          <w:rFonts w:hint="eastAsia" w:ascii="宋体" w:hAnsi="宋体" w:eastAsia="宋体" w:cs="宋体"/>
          <w:color w:val="auto"/>
          <w:kern w:val="0"/>
          <w:sz w:val="24"/>
          <w:szCs w:val="24"/>
          <w:highlight w:val="none"/>
        </w:rPr>
      </w:pPr>
    </w:p>
    <w:p w14:paraId="44797D38">
      <w:pPr>
        <w:autoSpaceDE w:val="0"/>
        <w:autoSpaceDN w:val="0"/>
        <w:adjustRightInd w:val="0"/>
        <w:jc w:val="left"/>
        <w:outlineLvl w:val="9"/>
        <w:rPr>
          <w:rFonts w:hint="eastAsia" w:ascii="宋体" w:hAnsi="宋体" w:eastAsia="宋体" w:cs="宋体"/>
          <w:color w:val="auto"/>
          <w:kern w:val="0"/>
          <w:sz w:val="24"/>
          <w:szCs w:val="24"/>
          <w:highlight w:val="none"/>
        </w:rPr>
      </w:pPr>
    </w:p>
    <w:p w14:paraId="764740EA">
      <w:pPr>
        <w:autoSpaceDE w:val="0"/>
        <w:autoSpaceDN w:val="0"/>
        <w:adjustRightInd w:val="0"/>
        <w:jc w:val="left"/>
        <w:outlineLvl w:val="9"/>
        <w:rPr>
          <w:rFonts w:hint="eastAsia" w:ascii="宋体" w:hAnsi="宋体" w:eastAsia="宋体" w:cs="宋体"/>
          <w:color w:val="auto"/>
          <w:kern w:val="0"/>
          <w:sz w:val="24"/>
          <w:szCs w:val="24"/>
          <w:highlight w:val="none"/>
        </w:rPr>
      </w:pPr>
    </w:p>
    <w:p w14:paraId="4DF9E671">
      <w:pPr>
        <w:autoSpaceDE w:val="0"/>
        <w:autoSpaceDN w:val="0"/>
        <w:adjustRightInd w:val="0"/>
        <w:jc w:val="left"/>
        <w:outlineLvl w:val="9"/>
        <w:rPr>
          <w:rFonts w:hint="eastAsia" w:ascii="宋体" w:hAnsi="宋体" w:eastAsia="宋体" w:cs="宋体"/>
          <w:color w:val="auto"/>
          <w:kern w:val="0"/>
          <w:sz w:val="24"/>
          <w:szCs w:val="24"/>
          <w:highlight w:val="none"/>
        </w:rPr>
      </w:pPr>
    </w:p>
    <w:p w14:paraId="6BDC160F">
      <w:pPr>
        <w:autoSpaceDE w:val="0"/>
        <w:autoSpaceDN w:val="0"/>
        <w:adjustRightInd w:val="0"/>
        <w:jc w:val="left"/>
        <w:outlineLvl w:val="9"/>
        <w:rPr>
          <w:rFonts w:hint="eastAsia" w:ascii="宋体" w:hAnsi="宋体" w:eastAsia="宋体" w:cs="宋体"/>
          <w:color w:val="auto"/>
          <w:kern w:val="0"/>
          <w:sz w:val="24"/>
          <w:szCs w:val="24"/>
          <w:highlight w:val="none"/>
        </w:rPr>
      </w:pPr>
    </w:p>
    <w:p w14:paraId="246C9AEA">
      <w:pPr>
        <w:autoSpaceDE w:val="0"/>
        <w:autoSpaceDN w:val="0"/>
        <w:adjustRightInd w:val="0"/>
        <w:jc w:val="left"/>
        <w:outlineLvl w:val="9"/>
        <w:rPr>
          <w:rFonts w:hint="eastAsia" w:ascii="宋体" w:hAnsi="宋体" w:eastAsia="宋体" w:cs="宋体"/>
          <w:color w:val="auto"/>
          <w:kern w:val="0"/>
          <w:sz w:val="24"/>
          <w:szCs w:val="24"/>
          <w:highlight w:val="none"/>
        </w:rPr>
      </w:pPr>
    </w:p>
    <w:p w14:paraId="13C680BE">
      <w:pPr>
        <w:autoSpaceDE w:val="0"/>
        <w:autoSpaceDN w:val="0"/>
        <w:adjustRightInd w:val="0"/>
        <w:jc w:val="left"/>
        <w:outlineLvl w:val="9"/>
        <w:rPr>
          <w:rFonts w:hint="eastAsia" w:ascii="宋体" w:hAnsi="宋体" w:eastAsia="宋体" w:cs="宋体"/>
          <w:color w:val="auto"/>
          <w:kern w:val="0"/>
          <w:sz w:val="24"/>
          <w:szCs w:val="24"/>
          <w:highlight w:val="none"/>
        </w:rPr>
      </w:pPr>
    </w:p>
    <w:p w14:paraId="716692F2">
      <w:pPr>
        <w:autoSpaceDE w:val="0"/>
        <w:autoSpaceDN w:val="0"/>
        <w:adjustRightInd w:val="0"/>
        <w:jc w:val="left"/>
        <w:outlineLvl w:val="9"/>
        <w:rPr>
          <w:rFonts w:hint="eastAsia" w:ascii="宋体" w:hAnsi="宋体" w:eastAsia="宋体" w:cs="宋体"/>
          <w:color w:val="auto"/>
          <w:kern w:val="0"/>
          <w:sz w:val="24"/>
          <w:szCs w:val="24"/>
          <w:highlight w:val="none"/>
        </w:rPr>
      </w:pPr>
    </w:p>
    <w:p w14:paraId="43E7676C">
      <w:pPr>
        <w:autoSpaceDE w:val="0"/>
        <w:autoSpaceDN w:val="0"/>
        <w:adjustRightInd w:val="0"/>
        <w:jc w:val="left"/>
        <w:outlineLvl w:val="9"/>
        <w:rPr>
          <w:rFonts w:hint="eastAsia" w:ascii="宋体" w:hAnsi="宋体" w:eastAsia="宋体" w:cs="宋体"/>
          <w:b/>
          <w:color w:val="auto"/>
          <w:kern w:val="0"/>
          <w:szCs w:val="21"/>
          <w:highlight w:val="none"/>
        </w:rPr>
      </w:pPr>
    </w:p>
    <w:p w14:paraId="6C0C6721">
      <w:pPr>
        <w:autoSpaceDE w:val="0"/>
        <w:autoSpaceDN w:val="0"/>
        <w:adjustRightInd w:val="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2EB3AE9A">
      <w:pPr>
        <w:autoSpaceDE w:val="0"/>
        <w:autoSpaceDN w:val="0"/>
        <w:adjustRightInd w:val="0"/>
        <w:jc w:val="left"/>
        <w:outlineLvl w:val="9"/>
        <w:rPr>
          <w:rFonts w:hint="eastAsia" w:ascii="宋体" w:hAnsi="宋体" w:eastAsia="宋体" w:cs="宋体"/>
          <w:color w:val="auto"/>
          <w:kern w:val="0"/>
          <w:szCs w:val="21"/>
          <w:highlight w:val="none"/>
        </w:rPr>
      </w:pPr>
    </w:p>
    <w:p w14:paraId="7EC4D7ED">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84"/>
      <w:bookmarkEnd w:id="585"/>
      <w:bookmarkEnd w:id="586"/>
      <w:bookmarkStart w:id="665" w:name="_Toc486167713"/>
      <w:bookmarkStart w:id="666" w:name="_Toc533708125"/>
      <w:bookmarkStart w:id="667" w:name="_Toc6240_WPSOffice_Level2"/>
      <w:bookmarkStart w:id="668" w:name="_Toc1977727"/>
      <w:r>
        <w:rPr>
          <w:rFonts w:hint="eastAsia" w:ascii="宋体" w:hAnsi="宋体" w:eastAsia="宋体" w:cs="宋体"/>
          <w:b/>
          <w:color w:val="auto"/>
          <w:szCs w:val="24"/>
          <w:highlight w:val="none"/>
        </w:rPr>
        <w:t>（2）法定代表人授权书格式</w:t>
      </w:r>
      <w:bookmarkEnd w:id="665"/>
      <w:bookmarkEnd w:id="666"/>
      <w:bookmarkEnd w:id="667"/>
      <w:bookmarkEnd w:id="668"/>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lang w:val="en-US" w:eastAsia="zh-CN"/>
        </w:rPr>
        <w:t>以总公司名义参与投标时提供</w:t>
      </w:r>
      <w:r>
        <w:rPr>
          <w:rFonts w:hint="eastAsia" w:ascii="宋体" w:hAnsi="宋体" w:eastAsia="宋体" w:cs="宋体"/>
          <w:b/>
          <w:color w:val="auto"/>
          <w:szCs w:val="24"/>
          <w:highlight w:val="none"/>
          <w:lang w:eastAsia="zh-CN"/>
        </w:rPr>
        <w:t>）</w:t>
      </w:r>
    </w:p>
    <w:p w14:paraId="2E069534">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45F5CA3A">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669" w:name="_Toc29146_WPSOffice_Level3"/>
      <w:r>
        <w:rPr>
          <w:rFonts w:hint="eastAsia" w:ascii="宋体" w:hAnsi="宋体" w:eastAsia="宋体" w:cs="宋体"/>
          <w:b/>
          <w:bCs/>
          <w:color w:val="auto"/>
          <w:sz w:val="30"/>
          <w:szCs w:val="30"/>
          <w:highlight w:val="none"/>
          <w:lang w:val="zh-CN"/>
        </w:rPr>
        <w:t>法定代表人授权书</w:t>
      </w:r>
      <w:bookmarkEnd w:id="669"/>
    </w:p>
    <w:p w14:paraId="0D000C0B">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0DD9326C">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ascii="宋体" w:hAnsi="宋体" w:eastAsia="宋体" w:cs="宋体"/>
          <w:color w:val="auto"/>
          <w:szCs w:val="21"/>
          <w:highlight w:val="none"/>
          <w:lang w:val="zh-CN"/>
        </w:rPr>
        <w:t>东莞市水务环境投资控股集团管网有限公司</w:t>
      </w:r>
    </w:p>
    <w:p w14:paraId="04F6CC31">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lang w:val="zh-CN"/>
        </w:rPr>
        <w:t>东莞市水务环境投资控股集团管网有限公司2026至2028年度公众责任险采购项目（招标编号：YDZB25DGQY0094）的投标文件，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3463C672">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37F4ED08">
      <w:pPr>
        <w:spacing w:before="120" w:after="120" w:line="360" w:lineRule="auto"/>
        <w:ind w:left="348" w:leftChars="136" w:hanging="62"/>
        <w:outlineLvl w:val="9"/>
        <w:rPr>
          <w:rFonts w:hint="eastAsia" w:ascii="宋体" w:hAnsi="宋体" w:eastAsia="宋体" w:cs="宋体"/>
          <w:color w:val="auto"/>
          <w:szCs w:val="24"/>
          <w:highlight w:val="none"/>
        </w:rPr>
      </w:pPr>
    </w:p>
    <w:p w14:paraId="747B88DE">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105B65A9">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1BB06644">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6726E261">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8295A06">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724314C6">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6001CE0">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B92F859">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0150106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554E56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C131733"/>
                          <w:p w14:paraId="5BC73D11"/>
                          <w:p w14:paraId="7D40CA0F"/>
                          <w:p w14:paraId="5DB0AA29"/>
                          <w:p w14:paraId="305BB91A">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7C131733"/>
                    <w:p w14:paraId="5BC73D11"/>
                    <w:p w14:paraId="7D40CA0F"/>
                    <w:p w14:paraId="5DB0AA29"/>
                    <w:p w14:paraId="305BB91A">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333057F"/>
                          <w:p w14:paraId="22C46E28"/>
                          <w:p w14:paraId="534FC867"/>
                          <w:p w14:paraId="0E37D4B4"/>
                          <w:p w14:paraId="11BF1436">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4333057F"/>
                    <w:p w14:paraId="22C46E28"/>
                    <w:p w14:paraId="534FC867"/>
                    <w:p w14:paraId="0E37D4B4"/>
                    <w:p w14:paraId="11BF1436">
                      <w:pPr>
                        <w:jc w:val="center"/>
                        <w:rPr>
                          <w:rFonts w:hAnsi="宋体"/>
                        </w:rPr>
                      </w:pPr>
                      <w:r>
                        <w:rPr>
                          <w:rFonts w:hint="eastAsia" w:hAnsi="宋体"/>
                        </w:rPr>
                        <w:t>法定代表人身份证正面</w:t>
                      </w:r>
                    </w:p>
                  </w:txbxContent>
                </v:textbox>
              </v:shape>
            </w:pict>
          </mc:Fallback>
        </mc:AlternateContent>
      </w:r>
    </w:p>
    <w:p w14:paraId="758495C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FE071C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CECD140">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85109D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819183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C8C00A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8257A8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D378DE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E532D8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0E85B77"/>
                          <w:p w14:paraId="2C4C54E1">
                            <w:pPr>
                              <w:jc w:val="center"/>
                              <w:rPr>
                                <w:rFonts w:hAnsi="宋体"/>
                                <w:color w:val="FF0000"/>
                              </w:rPr>
                            </w:pPr>
                          </w:p>
                          <w:p w14:paraId="6736D4B1">
                            <w:pPr>
                              <w:jc w:val="center"/>
                              <w:rPr>
                                <w:rFonts w:hAnsi="宋体"/>
                                <w:color w:val="FF0000"/>
                              </w:rPr>
                            </w:pPr>
                          </w:p>
                          <w:p w14:paraId="000DDE6E">
                            <w:pPr>
                              <w:jc w:val="center"/>
                              <w:rPr>
                                <w:rFonts w:hAnsi="宋体"/>
                                <w:color w:val="FF0000"/>
                              </w:rPr>
                            </w:pPr>
                          </w:p>
                          <w:p w14:paraId="457BC339">
                            <w:pPr>
                              <w:jc w:val="center"/>
                            </w:pPr>
                            <w:r>
                              <w:rPr>
                                <w:rFonts w:hint="eastAsia" w:hAnsi="宋体"/>
                              </w:rPr>
                              <w:t>被授权人身份证反面</w:t>
                            </w:r>
                          </w:p>
                          <w:p w14:paraId="28F2140B"/>
                          <w:p w14:paraId="3906605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40E85B77"/>
                    <w:p w14:paraId="2C4C54E1">
                      <w:pPr>
                        <w:jc w:val="center"/>
                        <w:rPr>
                          <w:rFonts w:hAnsi="宋体"/>
                          <w:color w:val="FF0000"/>
                        </w:rPr>
                      </w:pPr>
                    </w:p>
                    <w:p w14:paraId="6736D4B1">
                      <w:pPr>
                        <w:jc w:val="center"/>
                        <w:rPr>
                          <w:rFonts w:hAnsi="宋体"/>
                          <w:color w:val="FF0000"/>
                        </w:rPr>
                      </w:pPr>
                    </w:p>
                    <w:p w14:paraId="000DDE6E">
                      <w:pPr>
                        <w:jc w:val="center"/>
                        <w:rPr>
                          <w:rFonts w:hAnsi="宋体"/>
                          <w:color w:val="FF0000"/>
                        </w:rPr>
                      </w:pPr>
                    </w:p>
                    <w:p w14:paraId="457BC339">
                      <w:pPr>
                        <w:jc w:val="center"/>
                      </w:pPr>
                      <w:r>
                        <w:rPr>
                          <w:rFonts w:hint="eastAsia" w:hAnsi="宋体"/>
                        </w:rPr>
                        <w:t>被授权人身份证反面</w:t>
                      </w:r>
                    </w:p>
                    <w:p w14:paraId="28F2140B"/>
                    <w:p w14:paraId="39066053"/>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2DCB211"/>
                          <w:p w14:paraId="3437CFC2">
                            <w:pPr>
                              <w:jc w:val="center"/>
                              <w:rPr>
                                <w:rFonts w:hAnsi="宋体"/>
                                <w:color w:val="FF0000"/>
                              </w:rPr>
                            </w:pPr>
                          </w:p>
                          <w:p w14:paraId="14E90F9B">
                            <w:pPr>
                              <w:jc w:val="center"/>
                              <w:rPr>
                                <w:rFonts w:hAnsi="宋体"/>
                                <w:color w:val="FF0000"/>
                              </w:rPr>
                            </w:pPr>
                          </w:p>
                          <w:p w14:paraId="53A9FD2C">
                            <w:pPr>
                              <w:jc w:val="center"/>
                              <w:rPr>
                                <w:rFonts w:hAnsi="宋体"/>
                                <w:color w:val="FF0000"/>
                              </w:rPr>
                            </w:pPr>
                          </w:p>
                          <w:p w14:paraId="2E003BB2">
                            <w:pPr>
                              <w:jc w:val="center"/>
                            </w:pPr>
                            <w:r>
                              <w:rPr>
                                <w:rFonts w:hint="eastAsia" w:hAnsi="宋体"/>
                              </w:rPr>
                              <w:t>被授权人身份证正面</w:t>
                            </w:r>
                          </w:p>
                          <w:p w14:paraId="13D6B105"/>
                          <w:p w14:paraId="25F558E6"/>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22DCB211"/>
                    <w:p w14:paraId="3437CFC2">
                      <w:pPr>
                        <w:jc w:val="center"/>
                        <w:rPr>
                          <w:rFonts w:hAnsi="宋体"/>
                          <w:color w:val="FF0000"/>
                        </w:rPr>
                      </w:pPr>
                    </w:p>
                    <w:p w14:paraId="14E90F9B">
                      <w:pPr>
                        <w:jc w:val="center"/>
                        <w:rPr>
                          <w:rFonts w:hAnsi="宋体"/>
                          <w:color w:val="FF0000"/>
                        </w:rPr>
                      </w:pPr>
                    </w:p>
                    <w:p w14:paraId="53A9FD2C">
                      <w:pPr>
                        <w:jc w:val="center"/>
                        <w:rPr>
                          <w:rFonts w:hAnsi="宋体"/>
                          <w:color w:val="FF0000"/>
                        </w:rPr>
                      </w:pPr>
                    </w:p>
                    <w:p w14:paraId="2E003BB2">
                      <w:pPr>
                        <w:jc w:val="center"/>
                      </w:pPr>
                      <w:r>
                        <w:rPr>
                          <w:rFonts w:hint="eastAsia" w:hAnsi="宋体"/>
                        </w:rPr>
                        <w:t>被授权人身份证正面</w:t>
                      </w:r>
                    </w:p>
                    <w:p w14:paraId="13D6B105"/>
                    <w:p w14:paraId="25F558E6"/>
                  </w:txbxContent>
                </v:textbox>
              </v:shape>
            </w:pict>
          </mc:Fallback>
        </mc:AlternateContent>
      </w:r>
    </w:p>
    <w:p w14:paraId="07A331D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AD5CC3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9CACA8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6685CB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B9FF45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6160AB4">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991B6F4">
      <w:pPr>
        <w:widowControl/>
        <w:autoSpaceDE/>
        <w:autoSpaceDN/>
        <w:spacing w:before="120" w:after="120" w:line="360" w:lineRule="auto"/>
        <w:ind w:right="0" w:rightChars="0" w:firstLine="426" w:firstLineChars="202"/>
        <w:textAlignment w:val="auto"/>
        <w:outlineLvl w:val="9"/>
        <w:rPr>
          <w:rFonts w:hint="eastAsia" w:ascii="宋体" w:hAnsi="宋体" w:eastAsia="宋体" w:cs="宋体"/>
          <w:b/>
          <w:color w:val="auto"/>
          <w:szCs w:val="24"/>
          <w:highlight w:val="none"/>
          <w:lang w:eastAsia="zh-CN"/>
        </w:rPr>
      </w:pPr>
      <w:bookmarkStart w:id="670" w:name="_Toc12400"/>
      <w:bookmarkStart w:id="671" w:name="_Toc32328"/>
      <w:bookmarkStart w:id="672" w:name="_Toc15716"/>
      <w:bookmarkStart w:id="673" w:name="_Toc140596933"/>
      <w:bookmarkStart w:id="674" w:name="_Toc104991880"/>
      <w:bookmarkStart w:id="675" w:name="_Toc1977730"/>
      <w:bookmarkStart w:id="676" w:name="_Toc142508373"/>
      <w:bookmarkStart w:id="677" w:name="_Toc94107214"/>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val="en-US" w:eastAsia="zh-CN"/>
        </w:rPr>
        <w:t>3</w:t>
      </w:r>
      <w:r>
        <w:rPr>
          <w:rFonts w:hint="eastAsia" w:ascii="宋体" w:hAnsi="宋体" w:eastAsia="宋体" w:cs="宋体"/>
          <w:b/>
          <w:color w:val="auto"/>
          <w:szCs w:val="24"/>
          <w:highlight w:val="none"/>
        </w:rPr>
        <w:t>）法定</w:t>
      </w:r>
      <w:r>
        <w:rPr>
          <w:rFonts w:hint="eastAsia" w:ascii="宋体" w:hAnsi="宋体" w:eastAsia="宋体" w:cs="宋体"/>
          <w:b/>
          <w:color w:val="auto"/>
          <w:szCs w:val="24"/>
          <w:highlight w:val="none"/>
          <w:lang w:val="en-US" w:eastAsia="zh-CN"/>
        </w:rPr>
        <w:t>负责人身份证明书</w:t>
      </w:r>
      <w:r>
        <w:rPr>
          <w:rFonts w:hint="eastAsia" w:ascii="宋体" w:hAnsi="宋体" w:eastAsia="宋体" w:cs="宋体"/>
          <w:b/>
          <w:color w:val="auto"/>
          <w:szCs w:val="24"/>
          <w:highlight w:val="none"/>
        </w:rPr>
        <w:t>格式</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lang w:val="en-US" w:eastAsia="zh-CN"/>
        </w:rPr>
        <w:t>以分支机构名义参与投标时提供</w:t>
      </w:r>
      <w:r>
        <w:rPr>
          <w:rFonts w:hint="eastAsia" w:ascii="宋体" w:hAnsi="宋体" w:eastAsia="宋体" w:cs="宋体"/>
          <w:b/>
          <w:color w:val="auto"/>
          <w:szCs w:val="24"/>
          <w:highlight w:val="none"/>
          <w:lang w:eastAsia="zh-CN"/>
        </w:rPr>
        <w:t>）</w:t>
      </w:r>
    </w:p>
    <w:p w14:paraId="43F8C540">
      <w:pPr>
        <w:spacing w:line="360" w:lineRule="auto"/>
        <w:jc w:val="center"/>
        <w:outlineLvl w:val="9"/>
        <w:rPr>
          <w:rFonts w:hint="eastAsia"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法定负责人身份证明书</w:t>
      </w:r>
    </w:p>
    <w:p w14:paraId="4024A7B1">
      <w:pPr>
        <w:spacing w:line="360" w:lineRule="auto"/>
        <w:outlineLvl w:val="9"/>
        <w:rPr>
          <w:rFonts w:hint="eastAsia" w:ascii="宋体" w:hAnsi="宋体" w:eastAsia="宋体" w:cs="宋体"/>
          <w:color w:val="auto"/>
          <w:sz w:val="21"/>
          <w:szCs w:val="21"/>
          <w:highlight w:val="none"/>
          <w:u w:val="single"/>
        </w:rPr>
      </w:pPr>
    </w:p>
    <w:p w14:paraId="2461CF0F">
      <w:pPr>
        <w:autoSpaceDE/>
        <w:autoSpaceDN/>
        <w:adjustRightInd/>
        <w:spacing w:before="120" w:after="120" w:line="360" w:lineRule="auto"/>
        <w:ind w:firstLine="420" w:firstLineChars="200"/>
        <w:jc w:val="both"/>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先生／女士：现任我单位</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职务，为法定负责人，特此证明。</w:t>
      </w:r>
    </w:p>
    <w:p w14:paraId="52895A06">
      <w:pPr>
        <w:autoSpaceDE/>
        <w:autoSpaceDN/>
        <w:adjustRightInd/>
        <w:spacing w:before="120" w:after="120" w:line="360" w:lineRule="auto"/>
        <w:ind w:firstLine="424" w:firstLineChars="202"/>
        <w:jc w:val="both"/>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有效日期：</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签发日期：</w:t>
      </w:r>
      <w:r>
        <w:rPr>
          <w:rFonts w:hint="eastAsia" w:ascii="宋体" w:hAnsi="宋体" w:eastAsia="宋体" w:cs="宋体"/>
          <w:color w:val="auto"/>
          <w:kern w:val="2"/>
          <w:sz w:val="21"/>
          <w:highlight w:val="none"/>
          <w:u w:val="single"/>
        </w:rPr>
        <w:t xml:space="preserve">           </w:t>
      </w:r>
    </w:p>
    <w:p w14:paraId="01E595B2">
      <w:pPr>
        <w:autoSpaceDE/>
        <w:autoSpaceDN/>
        <w:adjustRightInd/>
        <w:spacing w:before="120" w:after="120" w:line="360" w:lineRule="auto"/>
        <w:ind w:firstLine="424" w:firstLineChars="202"/>
        <w:jc w:val="both"/>
        <w:outlineLvl w:val="9"/>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附：负责人性别：</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 年龄：</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身份证号码：</w:t>
      </w:r>
      <w:r>
        <w:rPr>
          <w:rFonts w:hint="eastAsia" w:ascii="宋体" w:hAnsi="宋体" w:eastAsia="宋体" w:cs="宋体"/>
          <w:color w:val="auto"/>
          <w:kern w:val="2"/>
          <w:sz w:val="21"/>
          <w:highlight w:val="none"/>
          <w:u w:val="single"/>
        </w:rPr>
        <w:t xml:space="preserve">            </w:t>
      </w:r>
    </w:p>
    <w:p w14:paraId="2E2B077E">
      <w:pPr>
        <w:autoSpaceDE/>
        <w:autoSpaceDN/>
        <w:adjustRightInd/>
        <w:spacing w:before="120" w:after="120" w:line="360" w:lineRule="auto"/>
        <w:ind w:firstLine="424" w:firstLineChars="202"/>
        <w:jc w:val="both"/>
        <w:outlineLvl w:val="9"/>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营业执照号码：</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经济性质： </w:t>
      </w:r>
    </w:p>
    <w:p w14:paraId="6DC147E8">
      <w:pPr>
        <w:autoSpaceDE/>
        <w:autoSpaceDN/>
        <w:adjustRightInd/>
        <w:spacing w:before="120" w:after="120" w:line="360" w:lineRule="auto"/>
        <w:ind w:firstLine="424" w:firstLineChars="202"/>
        <w:jc w:val="both"/>
        <w:outlineLvl w:val="9"/>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主营（产）：</w:t>
      </w:r>
    </w:p>
    <w:p w14:paraId="5A60DF51">
      <w:pPr>
        <w:autoSpaceDE/>
        <w:autoSpaceDN/>
        <w:adjustRightInd/>
        <w:spacing w:before="120" w:after="120" w:line="360" w:lineRule="auto"/>
        <w:ind w:firstLine="424" w:firstLineChars="202"/>
        <w:jc w:val="both"/>
        <w:outlineLvl w:val="9"/>
        <w:rPr>
          <w:rFonts w:hint="eastAsia" w:ascii="宋体" w:hAnsi="宋体" w:eastAsia="宋体" w:cs="宋体"/>
          <w:b/>
          <w:bCs/>
          <w:color w:val="auto"/>
          <w:kern w:val="2"/>
          <w:sz w:val="22"/>
          <w:szCs w:val="24"/>
          <w:highlight w:val="none"/>
          <w:u w:val="single"/>
        </w:rPr>
      </w:pPr>
      <w:r>
        <w:rPr>
          <w:rFonts w:hint="eastAsia" w:ascii="宋体" w:hAnsi="宋体" w:eastAsia="宋体" w:cs="宋体"/>
          <w:color w:val="auto"/>
          <w:kern w:val="2"/>
          <w:sz w:val="21"/>
          <w:highlight w:val="none"/>
        </w:rPr>
        <w:t>兼营（产）：</w:t>
      </w:r>
    </w:p>
    <w:p w14:paraId="46F9F91D">
      <w:pPr>
        <w:spacing w:line="360" w:lineRule="auto"/>
        <w:ind w:firstLine="4859" w:firstLineChars="2200"/>
        <w:outlineLvl w:val="9"/>
        <w:rPr>
          <w:rFonts w:hint="eastAsia" w:ascii="宋体" w:hAnsi="宋体" w:eastAsia="宋体" w:cs="宋体"/>
          <w:b/>
          <w:bCs/>
          <w:color w:val="auto"/>
          <w:kern w:val="2"/>
          <w:sz w:val="22"/>
          <w:szCs w:val="24"/>
          <w:highlight w:val="none"/>
        </w:rPr>
      </w:pPr>
      <w:r>
        <w:rPr>
          <w:rFonts w:hint="eastAsia" w:ascii="宋体" w:hAnsi="宋体" w:eastAsia="宋体" w:cs="宋体"/>
          <w:b/>
          <w:bCs/>
          <w:color w:val="auto"/>
          <w:kern w:val="2"/>
          <w:sz w:val="22"/>
          <w:szCs w:val="24"/>
          <w:highlight w:val="none"/>
          <w:lang w:val="zh-CN"/>
        </w:rPr>
        <w:t>投标人：（加盖投标人公章）</w:t>
      </w:r>
    </w:p>
    <w:p w14:paraId="6111F2B8">
      <w:pPr>
        <w:spacing w:line="360" w:lineRule="auto"/>
        <w:ind w:firstLine="4859" w:firstLineChars="2200"/>
        <w:outlineLvl w:val="9"/>
        <w:rPr>
          <w:rFonts w:hint="eastAsia" w:ascii="宋体" w:hAnsi="宋体" w:eastAsia="宋体" w:cs="宋体"/>
          <w:b/>
          <w:bCs/>
          <w:color w:val="auto"/>
          <w:kern w:val="2"/>
          <w:sz w:val="22"/>
          <w:szCs w:val="24"/>
          <w:highlight w:val="none"/>
          <w:lang w:val="zh-CN"/>
        </w:rPr>
      </w:pPr>
      <w:r>
        <w:rPr>
          <w:rFonts w:hint="eastAsia" w:ascii="宋体" w:hAnsi="宋体" w:eastAsia="宋体" w:cs="宋体"/>
          <w:b/>
          <w:bCs/>
          <w:color w:val="auto"/>
          <w:kern w:val="2"/>
          <w:sz w:val="22"/>
          <w:szCs w:val="24"/>
          <w:highlight w:val="none"/>
          <w:lang w:val="zh-CN"/>
        </w:rPr>
        <w:t>日期：   年   月   日</w:t>
      </w:r>
      <w:r>
        <w:rPr>
          <w:rFonts w:hint="eastAsia" w:ascii="宋体" w:hAnsi="宋体" w:eastAsia="宋体" w:cs="宋体"/>
          <w:b/>
          <w:bCs/>
          <w:color w:val="auto"/>
          <w:kern w:val="2"/>
          <w:sz w:val="32"/>
          <w:szCs w:val="32"/>
          <w:highlight w:val="none"/>
          <w:lang w:val="zh-CN"/>
        </w:rPr>
        <w:t xml:space="preserve"> </w:t>
      </w:r>
    </w:p>
    <w:p w14:paraId="6BA268E2">
      <w:pPr>
        <w:autoSpaceDE/>
        <w:autoSpaceDN/>
        <w:adjustRightInd/>
        <w:spacing w:before="120" w:after="120" w:line="360" w:lineRule="auto"/>
        <w:ind w:firstLine="424" w:firstLineChars="202"/>
        <w:jc w:val="both"/>
        <w:outlineLvl w:val="9"/>
        <w:rPr>
          <w:rFonts w:hint="eastAsia" w:ascii="宋体" w:hAnsi="宋体" w:eastAsia="宋体" w:cs="宋体"/>
          <w:color w:val="auto"/>
          <w:kern w:val="2"/>
          <w:sz w:val="21"/>
          <w:highlight w:val="none"/>
        </w:rPr>
      </w:pPr>
    </w:p>
    <w:p w14:paraId="373BA27D">
      <w:pPr>
        <w:autoSpaceDE/>
        <w:autoSpaceDN/>
        <w:adjustRightInd/>
        <w:spacing w:before="120" w:after="120" w:line="360" w:lineRule="auto"/>
        <w:ind w:firstLine="424" w:firstLineChars="202"/>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rPr>
        <w:t xml:space="preserve">附 法定负责人身份证复印件 </w:t>
      </w:r>
    </w:p>
    <w:p w14:paraId="2DA0CD7C">
      <w:pPr>
        <w:spacing w:line="360" w:lineRule="auto"/>
        <w:ind w:firstLine="420" w:firstLineChars="200"/>
        <w:outlineLvl w:val="9"/>
        <w:rPr>
          <w:rFonts w:hint="eastAsia" w:ascii="宋体" w:hAnsi="宋体" w:eastAsia="宋体" w:cs="宋体"/>
          <w:color w:val="auto"/>
          <w:sz w:val="21"/>
          <w:szCs w:val="21"/>
          <w:highlight w:val="none"/>
        </w:rPr>
      </w:pPr>
    </w:p>
    <w:p w14:paraId="267ECE78">
      <w:pPr>
        <w:outlineLvl w:val="9"/>
        <w:rPr>
          <w:rFonts w:hint="eastAsia" w:ascii="宋体" w:hAnsi="宋体" w:eastAsia="宋体" w:cs="宋体"/>
          <w:color w:val="auto"/>
          <w:kern w:val="2"/>
          <w:sz w:val="21"/>
          <w:highlight w:val="none"/>
          <w:lang w:val="zh-CN"/>
        </w:rPr>
      </w:pPr>
      <w:r>
        <w:rPr>
          <w:rFonts w:hint="eastAsia" w:ascii="宋体" w:hAnsi="宋体" w:eastAsia="宋体" w:cs="宋体"/>
          <w:b/>
          <w:color w:val="auto"/>
          <w:sz w:val="21"/>
          <w:szCs w:val="21"/>
          <w:highlight w:val="none"/>
        </w:rPr>
        <w:t>注：法定负责人身份证须在有效期限内。</w:t>
      </w:r>
    </w:p>
    <w:p w14:paraId="5819AA29">
      <w:pPr>
        <w:outlineLvl w:val="9"/>
        <w:rPr>
          <w:rFonts w:hint="eastAsia" w:ascii="宋体" w:hAnsi="宋体" w:eastAsia="宋体" w:cs="宋体"/>
          <w:color w:val="auto"/>
          <w:highlight w:val="none"/>
        </w:rPr>
      </w:pPr>
      <w:r>
        <w:rPr>
          <w:rFonts w:hint="eastAsia" w:ascii="宋体" w:hAnsi="宋体" w:eastAsia="宋体" w:cs="宋体"/>
          <w:color w:val="auto"/>
          <w:highlight w:val="none"/>
        </w:rPr>
        <w:drawing>
          <wp:anchor distT="0" distB="0" distL="114300" distR="114300" simplePos="0" relativeHeight="251667456" behindDoc="0" locked="0" layoutInCell="1" allowOverlap="1">
            <wp:simplePos x="0" y="0"/>
            <wp:positionH relativeFrom="column">
              <wp:posOffset>2901950</wp:posOffset>
            </wp:positionH>
            <wp:positionV relativeFrom="paragraph">
              <wp:posOffset>256540</wp:posOffset>
            </wp:positionV>
            <wp:extent cx="2962275" cy="2095500"/>
            <wp:effectExtent l="0" t="0" r="9525" b="0"/>
            <wp:wrapSquare wrapText="bothSides"/>
            <wp:docPr id="12"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0"/>
                    <pic:cNvPicPr>
                      <a:picLocks noChangeAspect="1"/>
                    </pic:cNvPicPr>
                  </pic:nvPicPr>
                  <pic:blipFill>
                    <a:blip r:embed="rId9"/>
                    <a:stretch>
                      <a:fillRect/>
                    </a:stretch>
                  </pic:blipFill>
                  <pic:spPr>
                    <a:xfrm>
                      <a:off x="0" y="0"/>
                      <a:ext cx="2962275" cy="2095500"/>
                    </a:xfrm>
                    <a:prstGeom prst="rect">
                      <a:avLst/>
                    </a:prstGeom>
                    <a:noFill/>
                    <a:ln>
                      <a:noFill/>
                    </a:ln>
                  </pic:spPr>
                </pic:pic>
              </a:graphicData>
            </a:graphic>
          </wp:anchor>
        </w:drawing>
      </w:r>
      <w:r>
        <w:rPr>
          <w:rFonts w:hint="eastAsia" w:ascii="宋体" w:hAnsi="宋体" w:eastAsia="宋体" w:cs="宋体"/>
          <w:color w:val="auto"/>
          <w:highlight w:val="none"/>
        </w:rPr>
        <w:drawing>
          <wp:anchor distT="0" distB="0" distL="114300" distR="114300" simplePos="0" relativeHeight="251666432" behindDoc="0" locked="0" layoutInCell="1" allowOverlap="1">
            <wp:simplePos x="0" y="0"/>
            <wp:positionH relativeFrom="column">
              <wp:posOffset>-91440</wp:posOffset>
            </wp:positionH>
            <wp:positionV relativeFrom="paragraph">
              <wp:posOffset>198755</wp:posOffset>
            </wp:positionV>
            <wp:extent cx="2971800" cy="2152650"/>
            <wp:effectExtent l="0" t="0" r="0" b="0"/>
            <wp:wrapSquare wrapText="bothSides"/>
            <wp:docPr id="11"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9"/>
                    <pic:cNvPicPr>
                      <a:picLocks noChangeAspect="1"/>
                    </pic:cNvPicPr>
                  </pic:nvPicPr>
                  <pic:blipFill>
                    <a:blip r:embed="rId10"/>
                    <a:stretch>
                      <a:fillRect/>
                    </a:stretch>
                  </pic:blipFill>
                  <pic:spPr>
                    <a:xfrm>
                      <a:off x="0" y="0"/>
                      <a:ext cx="2971800" cy="2152650"/>
                    </a:xfrm>
                    <a:prstGeom prst="rect">
                      <a:avLst/>
                    </a:prstGeom>
                    <a:noFill/>
                    <a:ln>
                      <a:noFill/>
                    </a:ln>
                  </pic:spPr>
                </pic:pic>
              </a:graphicData>
            </a:graphic>
          </wp:anchor>
        </w:drawing>
      </w:r>
      <w:r>
        <w:rPr>
          <w:rFonts w:hint="eastAsia" w:ascii="宋体" w:hAnsi="宋体" w:eastAsia="宋体" w:cs="宋体"/>
          <w:color w:val="auto"/>
          <w:highlight w:val="none"/>
        </w:rPr>
        <w:br w:type="page"/>
      </w:r>
    </w:p>
    <w:p w14:paraId="77BF136A">
      <w:pPr>
        <w:spacing w:before="120" w:after="120" w:line="360" w:lineRule="auto"/>
        <w:ind w:firstLine="426" w:firstLineChars="202"/>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val="en-US" w:eastAsia="zh-CN"/>
        </w:rPr>
        <w:t>4</w:t>
      </w:r>
      <w:r>
        <w:rPr>
          <w:rFonts w:hint="eastAsia" w:ascii="宋体" w:hAnsi="宋体" w:eastAsia="宋体" w:cs="宋体"/>
          <w:b/>
          <w:color w:val="auto"/>
          <w:szCs w:val="24"/>
          <w:highlight w:val="none"/>
        </w:rPr>
        <w:t>）法定</w:t>
      </w:r>
      <w:r>
        <w:rPr>
          <w:rFonts w:hint="eastAsia" w:ascii="宋体" w:hAnsi="宋体" w:eastAsia="宋体" w:cs="宋体"/>
          <w:b/>
          <w:color w:val="auto"/>
          <w:szCs w:val="24"/>
          <w:highlight w:val="none"/>
          <w:lang w:val="en-US" w:eastAsia="zh-CN"/>
        </w:rPr>
        <w:t>负责人</w:t>
      </w:r>
      <w:r>
        <w:rPr>
          <w:rFonts w:hint="eastAsia" w:ascii="宋体" w:hAnsi="宋体" w:eastAsia="宋体" w:cs="宋体"/>
          <w:b/>
          <w:color w:val="auto"/>
          <w:szCs w:val="24"/>
          <w:highlight w:val="none"/>
        </w:rPr>
        <w:t>授权书格式</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lang w:val="en-US" w:eastAsia="zh-CN"/>
        </w:rPr>
        <w:t>以分支机构名义参与投标时提供</w:t>
      </w:r>
      <w:r>
        <w:rPr>
          <w:rFonts w:hint="eastAsia" w:ascii="宋体" w:hAnsi="宋体" w:eastAsia="宋体" w:cs="宋体"/>
          <w:b/>
          <w:color w:val="auto"/>
          <w:szCs w:val="24"/>
          <w:highlight w:val="none"/>
          <w:lang w:eastAsia="zh-CN"/>
        </w:rPr>
        <w:t>）</w:t>
      </w:r>
    </w:p>
    <w:p w14:paraId="68E9D412">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13AC3817">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法定</w:t>
      </w:r>
      <w:r>
        <w:rPr>
          <w:rFonts w:hint="eastAsia" w:ascii="宋体" w:hAnsi="宋体" w:eastAsia="宋体" w:cs="宋体"/>
          <w:b/>
          <w:bCs/>
          <w:color w:val="auto"/>
          <w:sz w:val="30"/>
          <w:szCs w:val="30"/>
          <w:highlight w:val="none"/>
          <w:lang w:val="en-US" w:eastAsia="zh-CN"/>
        </w:rPr>
        <w:t>负责人</w:t>
      </w:r>
      <w:r>
        <w:rPr>
          <w:rFonts w:hint="eastAsia" w:ascii="宋体" w:hAnsi="宋体" w:eastAsia="宋体" w:cs="宋体"/>
          <w:b/>
          <w:bCs/>
          <w:color w:val="auto"/>
          <w:sz w:val="30"/>
          <w:szCs w:val="30"/>
          <w:highlight w:val="none"/>
          <w:lang w:val="zh-CN"/>
        </w:rPr>
        <w:t>授权书</w:t>
      </w:r>
    </w:p>
    <w:p w14:paraId="5EF0851B">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3AD34D4F">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ascii="宋体" w:hAnsi="宋体" w:eastAsia="宋体" w:cs="宋体"/>
          <w:color w:val="auto"/>
          <w:szCs w:val="21"/>
          <w:highlight w:val="none"/>
          <w:lang w:val="zh-CN"/>
        </w:rPr>
        <w:t>东莞市水务环境投资控股集团管网有限公司</w:t>
      </w:r>
    </w:p>
    <w:p w14:paraId="6ED57836">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w:t>
      </w:r>
      <w:r>
        <w:rPr>
          <w:rFonts w:hint="eastAsia" w:ascii="宋体" w:hAnsi="宋体" w:eastAsia="宋体" w:cs="宋体"/>
          <w:color w:val="auto"/>
          <w:szCs w:val="24"/>
          <w:highlight w:val="none"/>
          <w:lang w:val="en-US" w:eastAsia="zh-CN"/>
        </w:rPr>
        <w:t>负责</w:t>
      </w:r>
      <w:r>
        <w:rPr>
          <w:rFonts w:hint="eastAsia" w:ascii="宋体" w:hAnsi="宋体" w:eastAsia="宋体" w:cs="宋体"/>
          <w:color w:val="auto"/>
          <w:szCs w:val="24"/>
          <w:highlight w:val="none"/>
          <w:lang w:val="zh-CN"/>
        </w:rPr>
        <w:t>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lang w:val="zh-CN"/>
        </w:rPr>
        <w:t>东莞市水务环境投资控股集团管网有限公司2026至2028年度公众责任险采购项目（招标编号：YDZB25DGQY0094）的投标文件，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0B0DC159">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683AEC1F">
      <w:pPr>
        <w:spacing w:before="120" w:after="120" w:line="360" w:lineRule="auto"/>
        <w:ind w:left="348" w:leftChars="136" w:hanging="62"/>
        <w:outlineLvl w:val="9"/>
        <w:rPr>
          <w:rFonts w:hint="eastAsia" w:ascii="宋体" w:hAnsi="宋体" w:eastAsia="宋体" w:cs="宋体"/>
          <w:color w:val="auto"/>
          <w:szCs w:val="24"/>
          <w:highlight w:val="none"/>
        </w:rPr>
      </w:pPr>
    </w:p>
    <w:p w14:paraId="7F39BCC7">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231E59E5">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03D08EDB">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w:t>
      </w:r>
      <w:r>
        <w:rPr>
          <w:rFonts w:hint="eastAsia" w:ascii="宋体" w:hAnsi="宋体" w:eastAsia="宋体" w:cs="宋体"/>
          <w:color w:val="auto"/>
          <w:szCs w:val="24"/>
          <w:highlight w:val="none"/>
          <w:lang w:val="en-US" w:eastAsia="zh-CN"/>
        </w:rPr>
        <w:t>负责</w:t>
      </w:r>
      <w:r>
        <w:rPr>
          <w:rFonts w:hint="eastAsia" w:ascii="宋体" w:hAnsi="宋体" w:eastAsia="宋体" w:cs="宋体"/>
          <w:color w:val="auto"/>
          <w:szCs w:val="24"/>
          <w:highlight w:val="none"/>
          <w:lang w:val="zh-CN"/>
        </w:rPr>
        <w:t>人（签名或盖私章）：</w:t>
      </w:r>
    </w:p>
    <w:p w14:paraId="27113769">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5FF9402">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64675770">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1BC6BD3">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D0496B1">
      <w:pPr>
        <w:spacing w:before="120" w:after="120" w:line="360" w:lineRule="auto"/>
        <w:ind w:left="4200" w:leftChars="2000" w:firstLine="42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703BC76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w:t>
      </w:r>
      <w:r>
        <w:rPr>
          <w:rFonts w:hint="eastAsia" w:ascii="宋体" w:hAnsi="宋体" w:eastAsia="宋体" w:cs="宋体"/>
          <w:color w:val="auto"/>
          <w:szCs w:val="24"/>
          <w:highlight w:val="none"/>
          <w:lang w:val="en-US" w:eastAsia="zh-CN"/>
        </w:rPr>
        <w:t>负责人</w:t>
      </w:r>
      <w:r>
        <w:rPr>
          <w:rFonts w:hint="eastAsia" w:ascii="宋体" w:hAnsi="宋体" w:eastAsia="宋体" w:cs="宋体"/>
          <w:color w:val="auto"/>
          <w:szCs w:val="24"/>
          <w:highlight w:val="none"/>
        </w:rPr>
        <w:t>、被授权人身份证复印件</w:t>
      </w:r>
    </w:p>
    <w:p w14:paraId="7D347228">
      <w:pPr>
        <w:pStyle w:val="21"/>
        <w:outlineLvl w:val="9"/>
        <w:rPr>
          <w:rFonts w:hint="eastAsia" w:ascii="宋体" w:hAnsi="宋体" w:eastAsia="宋体" w:cs="宋体"/>
          <w:color w:val="auto"/>
          <w:highlight w:val="none"/>
        </w:rPr>
      </w:pPr>
      <w:r>
        <w:rPr>
          <w:rFonts w:hint="eastAsia" w:ascii="宋体" w:hAnsi="宋体" w:eastAsia="宋体" w:cs="宋体"/>
          <w:color w:val="auto"/>
          <w:highlight w:val="none"/>
        </w:rPr>
        <w:drawing>
          <wp:anchor distT="0" distB="0" distL="114300" distR="114300" simplePos="0" relativeHeight="251669504" behindDoc="0" locked="0" layoutInCell="1" allowOverlap="1">
            <wp:simplePos x="0" y="0"/>
            <wp:positionH relativeFrom="column">
              <wp:posOffset>2926080</wp:posOffset>
            </wp:positionH>
            <wp:positionV relativeFrom="paragraph">
              <wp:posOffset>118110</wp:posOffset>
            </wp:positionV>
            <wp:extent cx="2962275" cy="2095500"/>
            <wp:effectExtent l="0" t="0" r="9525" b="0"/>
            <wp:wrapSquare wrapText="bothSides"/>
            <wp:docPr id="1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0"/>
                    <pic:cNvPicPr>
                      <a:picLocks noChangeAspect="1"/>
                    </pic:cNvPicPr>
                  </pic:nvPicPr>
                  <pic:blipFill>
                    <a:blip r:embed="rId9"/>
                    <a:stretch>
                      <a:fillRect/>
                    </a:stretch>
                  </pic:blipFill>
                  <pic:spPr>
                    <a:xfrm>
                      <a:off x="0" y="0"/>
                      <a:ext cx="2962275" cy="2095500"/>
                    </a:xfrm>
                    <a:prstGeom prst="rect">
                      <a:avLst/>
                    </a:prstGeom>
                    <a:noFill/>
                    <a:ln>
                      <a:noFill/>
                    </a:ln>
                  </pic:spPr>
                </pic:pic>
              </a:graphicData>
            </a:graphic>
          </wp:anchor>
        </w:drawing>
      </w:r>
      <w:r>
        <w:rPr>
          <w:rFonts w:hint="eastAsia" w:ascii="宋体" w:hAnsi="宋体" w:eastAsia="宋体" w:cs="宋体"/>
          <w:color w:val="auto"/>
          <w:highlight w:val="none"/>
        </w:rPr>
        <w:drawing>
          <wp:anchor distT="0" distB="0" distL="114300" distR="114300" simplePos="0" relativeHeight="251668480" behindDoc="0" locked="0" layoutInCell="1" allowOverlap="1">
            <wp:simplePos x="0" y="0"/>
            <wp:positionH relativeFrom="column">
              <wp:posOffset>-123190</wp:posOffset>
            </wp:positionH>
            <wp:positionV relativeFrom="paragraph">
              <wp:posOffset>50800</wp:posOffset>
            </wp:positionV>
            <wp:extent cx="2971800" cy="2152650"/>
            <wp:effectExtent l="0" t="0" r="0" b="0"/>
            <wp:wrapSquare wrapText="bothSides"/>
            <wp:docPr id="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9"/>
                    <pic:cNvPicPr>
                      <a:picLocks noChangeAspect="1"/>
                    </pic:cNvPicPr>
                  </pic:nvPicPr>
                  <pic:blipFill>
                    <a:blip r:embed="rId10"/>
                    <a:stretch>
                      <a:fillRect/>
                    </a:stretch>
                  </pic:blipFill>
                  <pic:spPr>
                    <a:xfrm>
                      <a:off x="0" y="0"/>
                      <a:ext cx="2971800" cy="2152650"/>
                    </a:xfrm>
                    <a:prstGeom prst="rect">
                      <a:avLst/>
                    </a:prstGeom>
                    <a:noFill/>
                    <a:ln>
                      <a:noFill/>
                    </a:ln>
                  </pic:spPr>
                </pic:pic>
              </a:graphicData>
            </a:graphic>
          </wp:anchor>
        </w:drawing>
      </w:r>
    </w:p>
    <w:p w14:paraId="589E0D98">
      <w:pPr>
        <w:pStyle w:val="21"/>
        <w:outlineLvl w:val="9"/>
        <w:rPr>
          <w:rFonts w:hint="eastAsia" w:ascii="宋体" w:hAnsi="宋体" w:eastAsia="宋体" w:cs="宋体"/>
          <w:color w:val="auto"/>
          <w:highlight w:val="none"/>
          <w:lang w:eastAsia="zh-CN"/>
        </w:rPr>
      </w:pPr>
    </w:p>
    <w:p w14:paraId="318024C5">
      <w:pPr>
        <w:outlineLvl w:val="9"/>
        <w:rPr>
          <w:rFonts w:hint="eastAsia" w:ascii="宋体" w:hAnsi="宋体" w:eastAsia="宋体" w:cs="宋体"/>
          <w:color w:val="auto"/>
          <w:highlight w:val="none"/>
          <w:lang w:eastAsia="zh-CN"/>
        </w:rPr>
      </w:pPr>
    </w:p>
    <w:p w14:paraId="15D7745F">
      <w:pPr>
        <w:pStyle w:val="21"/>
        <w:outlineLvl w:val="9"/>
        <w:rPr>
          <w:rFonts w:hint="eastAsia" w:ascii="宋体" w:hAnsi="宋体" w:eastAsia="宋体" w:cs="宋体"/>
          <w:color w:val="auto"/>
          <w:highlight w:val="none"/>
          <w:lang w:eastAsia="zh-CN"/>
        </w:rPr>
      </w:pPr>
      <w:r>
        <w:rPr>
          <w:rFonts w:hint="eastAsia" w:ascii="宋体" w:hAnsi="宋体" w:eastAsia="宋体" w:cs="宋体"/>
          <w:color w:val="auto"/>
          <w:sz w:val="21"/>
          <w:highlight w:val="none"/>
        </w:rPr>
        <mc:AlternateContent>
          <mc:Choice Requires="wps">
            <w:drawing>
              <wp:anchor distT="0" distB="0" distL="114300" distR="114300" simplePos="0" relativeHeight="251670528" behindDoc="0" locked="0" layoutInCell="1" allowOverlap="1">
                <wp:simplePos x="0" y="0"/>
                <wp:positionH relativeFrom="column">
                  <wp:posOffset>-64135</wp:posOffset>
                </wp:positionH>
                <wp:positionV relativeFrom="paragraph">
                  <wp:posOffset>136525</wp:posOffset>
                </wp:positionV>
                <wp:extent cx="2794000" cy="1936750"/>
                <wp:effectExtent l="5080" t="4445" r="20320" b="20955"/>
                <wp:wrapNone/>
                <wp:docPr id="19" name="文本框 19"/>
                <wp:cNvGraphicFramePr/>
                <a:graphic xmlns:a="http://schemas.openxmlformats.org/drawingml/2006/main">
                  <a:graphicData uri="http://schemas.microsoft.com/office/word/2010/wordprocessingShape">
                    <wps:wsp>
                      <wps:cNvSpPr txBox="1"/>
                      <wps:spPr>
                        <a:xfrm>
                          <a:off x="0" y="0"/>
                          <a:ext cx="2794000" cy="1936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FB01FBD"/>
                          <w:p w14:paraId="686F9D4C">
                            <w:pPr>
                              <w:jc w:val="center"/>
                              <w:rPr>
                                <w:rFonts w:hAnsi="宋体"/>
                                <w:color w:val="FF0000"/>
                              </w:rPr>
                            </w:pPr>
                          </w:p>
                          <w:p w14:paraId="11949C07">
                            <w:pPr>
                              <w:jc w:val="center"/>
                              <w:rPr>
                                <w:rFonts w:hAnsi="宋体"/>
                                <w:color w:val="FF0000"/>
                              </w:rPr>
                            </w:pPr>
                          </w:p>
                          <w:p w14:paraId="76871632">
                            <w:pPr>
                              <w:jc w:val="center"/>
                              <w:rPr>
                                <w:rFonts w:hAnsi="宋体"/>
                                <w:color w:val="FF0000"/>
                              </w:rPr>
                            </w:pPr>
                          </w:p>
                          <w:p w14:paraId="2E69A035">
                            <w:pPr>
                              <w:jc w:val="center"/>
                              <w:rPr>
                                <w:rFonts w:hint="eastAsia" w:hAnsi="宋体"/>
                              </w:rPr>
                            </w:pPr>
                            <w:r>
                              <w:rPr>
                                <w:rFonts w:hint="eastAsia" w:hAnsi="宋体"/>
                              </w:rPr>
                              <w:t>被授权人身份证正面</w:t>
                            </w:r>
                          </w:p>
                          <w:p w14:paraId="19FA24CD"/>
                          <w:p w14:paraId="069FE54F"/>
                          <w:p w14:paraId="31690AF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5pt;margin-top:10.75pt;height:152.5pt;width:220pt;z-index:251670528;mso-width-relative:page;mso-height-relative:page;" fillcolor="#FFFFFF [3201]" filled="t" stroked="t" coordsize="21600,21600" o:gfxdata="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xIrWrX&#10;AAAACgEAAA8AAAAAAAAAAQAgAAAAIgAAAGRycy9kb3ducmV2LnhtbFBLAQIUABQAAAAIAIdO4kAo&#10;lNqzWgIAALoEAAAOAAAAAAAAAAEAIAAAACYBAABkcnMvZTJvRG9jLnhtbFBLBQYAAAAABgAGAFkB&#10;AADyBQAAAAA=&#10;">
                <v:fill on="t" focussize="0,0"/>
                <v:stroke weight="0.5pt" color="#000000 [3204]" joinstyle="round"/>
                <v:imagedata o:title=""/>
                <o:lock v:ext="edit" aspectratio="f"/>
                <v:textbox>
                  <w:txbxContent>
                    <w:p w14:paraId="5FB01FBD"/>
                    <w:p w14:paraId="686F9D4C">
                      <w:pPr>
                        <w:jc w:val="center"/>
                        <w:rPr>
                          <w:rFonts w:hAnsi="宋体"/>
                          <w:color w:val="FF0000"/>
                        </w:rPr>
                      </w:pPr>
                    </w:p>
                    <w:p w14:paraId="11949C07">
                      <w:pPr>
                        <w:jc w:val="center"/>
                        <w:rPr>
                          <w:rFonts w:hAnsi="宋体"/>
                          <w:color w:val="FF0000"/>
                        </w:rPr>
                      </w:pPr>
                    </w:p>
                    <w:p w14:paraId="76871632">
                      <w:pPr>
                        <w:jc w:val="center"/>
                        <w:rPr>
                          <w:rFonts w:hAnsi="宋体"/>
                          <w:color w:val="FF0000"/>
                        </w:rPr>
                      </w:pPr>
                    </w:p>
                    <w:p w14:paraId="2E69A035">
                      <w:pPr>
                        <w:jc w:val="center"/>
                        <w:rPr>
                          <w:rFonts w:hint="eastAsia" w:hAnsi="宋体"/>
                        </w:rPr>
                      </w:pPr>
                      <w:r>
                        <w:rPr>
                          <w:rFonts w:hint="eastAsia" w:hAnsi="宋体"/>
                        </w:rPr>
                        <w:t>被授权人身份证正面</w:t>
                      </w:r>
                    </w:p>
                    <w:p w14:paraId="19FA24CD"/>
                    <w:p w14:paraId="069FE54F"/>
                    <w:p w14:paraId="31690AFF"/>
                  </w:txbxContent>
                </v:textbox>
              </v:shape>
            </w:pict>
          </mc:Fallback>
        </mc:AlternateContent>
      </w:r>
      <w:r>
        <w:rPr>
          <w:rFonts w:hint="eastAsia" w:ascii="宋体" w:hAnsi="宋体" w:eastAsia="宋体" w:cs="宋体"/>
          <w:color w:val="auto"/>
          <w:sz w:val="21"/>
          <w:highlight w:val="none"/>
        </w:rPr>
        <mc:AlternateContent>
          <mc:Choice Requires="wps">
            <w:drawing>
              <wp:anchor distT="0" distB="0" distL="114300" distR="114300" simplePos="0" relativeHeight="251671552" behindDoc="0" locked="0" layoutInCell="1" allowOverlap="1">
                <wp:simplePos x="0" y="0"/>
                <wp:positionH relativeFrom="column">
                  <wp:posOffset>3014980</wp:posOffset>
                </wp:positionH>
                <wp:positionV relativeFrom="paragraph">
                  <wp:posOffset>135255</wp:posOffset>
                </wp:positionV>
                <wp:extent cx="2804795" cy="1946910"/>
                <wp:effectExtent l="4445" t="4445" r="10160" b="10795"/>
                <wp:wrapNone/>
                <wp:docPr id="20" name="文本框 20"/>
                <wp:cNvGraphicFramePr/>
                <a:graphic xmlns:a="http://schemas.openxmlformats.org/drawingml/2006/main">
                  <a:graphicData uri="http://schemas.microsoft.com/office/word/2010/wordprocessingShape">
                    <wps:wsp>
                      <wps:cNvSpPr txBox="1"/>
                      <wps:spPr>
                        <a:xfrm>
                          <a:off x="0" y="0"/>
                          <a:ext cx="2804795" cy="1946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9B5F28"/>
                          <w:p w14:paraId="0C57C2CC">
                            <w:pPr>
                              <w:jc w:val="center"/>
                              <w:rPr>
                                <w:rFonts w:hAnsi="宋体"/>
                                <w:color w:val="FF0000"/>
                              </w:rPr>
                            </w:pPr>
                          </w:p>
                          <w:p w14:paraId="4C780309">
                            <w:pPr>
                              <w:jc w:val="center"/>
                              <w:rPr>
                                <w:rFonts w:hAnsi="宋体"/>
                                <w:color w:val="FF0000"/>
                              </w:rPr>
                            </w:pPr>
                          </w:p>
                          <w:p w14:paraId="0C1FA882">
                            <w:pPr>
                              <w:jc w:val="center"/>
                              <w:rPr>
                                <w:rFonts w:hAnsi="宋体"/>
                                <w:color w:val="FF0000"/>
                              </w:rPr>
                            </w:pPr>
                          </w:p>
                          <w:p w14:paraId="5265AD30">
                            <w:pPr>
                              <w:jc w:val="center"/>
                              <w:rPr>
                                <w:rFonts w:hint="eastAsia" w:hAnsi="宋体" w:eastAsiaTheme="minorEastAsia"/>
                                <w:lang w:eastAsia="zh-CN"/>
                              </w:rPr>
                            </w:pPr>
                            <w:r>
                              <w:rPr>
                                <w:rFonts w:hint="eastAsia" w:hAnsi="宋体"/>
                              </w:rPr>
                              <w:t>被授权人身份证</w:t>
                            </w:r>
                            <w:r>
                              <w:rPr>
                                <w:rFonts w:hint="eastAsia" w:hAnsi="宋体"/>
                                <w:lang w:val="en-US" w:eastAsia="zh-CN"/>
                              </w:rPr>
                              <w:t>反面</w:t>
                            </w:r>
                          </w:p>
                          <w:p w14:paraId="77453E32"/>
                          <w:p w14:paraId="2EE47ED1"/>
                          <w:p w14:paraId="6CB5462F"/>
                          <w:p w14:paraId="2E36149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7.4pt;margin-top:10.65pt;height:153.3pt;width:220.85pt;z-index:251671552;mso-width-relative:page;mso-height-relative:page;" fillcolor="#FFFFFF [3201]" filled="t" stroked="t" coordsize="21600,21600" o:gfxdata="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2E&#10;FlvYAAAACgEAAA8AAAAAAAAAAQAgAAAAIgAAAGRycy9kb3ducmV2LnhtbFBLAQIUABQAAAAIAIdO&#10;4kAYNXU5XAIAALoEAAAOAAAAAAAAAAEAIAAAACcBAABkcnMvZTJvRG9jLnhtbFBLBQYAAAAABgAG&#10;AFkBAAD1BQAAAAA=&#10;">
                <v:fill on="t" focussize="0,0"/>
                <v:stroke weight="0.5pt" color="#000000 [3204]" joinstyle="round"/>
                <v:imagedata o:title=""/>
                <o:lock v:ext="edit" aspectratio="f"/>
                <v:textbox>
                  <w:txbxContent>
                    <w:p w14:paraId="309B5F28"/>
                    <w:p w14:paraId="0C57C2CC">
                      <w:pPr>
                        <w:jc w:val="center"/>
                        <w:rPr>
                          <w:rFonts w:hAnsi="宋体"/>
                          <w:color w:val="FF0000"/>
                        </w:rPr>
                      </w:pPr>
                    </w:p>
                    <w:p w14:paraId="4C780309">
                      <w:pPr>
                        <w:jc w:val="center"/>
                        <w:rPr>
                          <w:rFonts w:hAnsi="宋体"/>
                          <w:color w:val="FF0000"/>
                        </w:rPr>
                      </w:pPr>
                    </w:p>
                    <w:p w14:paraId="0C1FA882">
                      <w:pPr>
                        <w:jc w:val="center"/>
                        <w:rPr>
                          <w:rFonts w:hAnsi="宋体"/>
                          <w:color w:val="FF0000"/>
                        </w:rPr>
                      </w:pPr>
                    </w:p>
                    <w:p w14:paraId="5265AD30">
                      <w:pPr>
                        <w:jc w:val="center"/>
                        <w:rPr>
                          <w:rFonts w:hint="eastAsia" w:hAnsi="宋体" w:eastAsiaTheme="minorEastAsia"/>
                          <w:lang w:eastAsia="zh-CN"/>
                        </w:rPr>
                      </w:pPr>
                      <w:r>
                        <w:rPr>
                          <w:rFonts w:hint="eastAsia" w:hAnsi="宋体"/>
                        </w:rPr>
                        <w:t>被授权人身份证</w:t>
                      </w:r>
                      <w:r>
                        <w:rPr>
                          <w:rFonts w:hint="eastAsia" w:hAnsi="宋体"/>
                          <w:lang w:val="en-US" w:eastAsia="zh-CN"/>
                        </w:rPr>
                        <w:t>反面</w:t>
                      </w:r>
                    </w:p>
                    <w:p w14:paraId="77453E32"/>
                    <w:p w14:paraId="2EE47ED1"/>
                    <w:p w14:paraId="6CB5462F"/>
                    <w:p w14:paraId="2E361499"/>
                  </w:txbxContent>
                </v:textbox>
              </v:shape>
            </w:pict>
          </mc:Fallback>
        </mc:AlternateContent>
      </w:r>
    </w:p>
    <w:p w14:paraId="3AE39482">
      <w:pPr>
        <w:outlineLvl w:val="9"/>
        <w:rPr>
          <w:rFonts w:hint="eastAsia" w:ascii="宋体" w:hAnsi="宋体" w:eastAsia="宋体" w:cs="宋体"/>
          <w:color w:val="auto"/>
          <w:highlight w:val="none"/>
          <w:lang w:eastAsia="zh-CN"/>
        </w:rPr>
      </w:pPr>
    </w:p>
    <w:p w14:paraId="56107CC7">
      <w:pPr>
        <w:outlineLvl w:val="9"/>
        <w:rPr>
          <w:rFonts w:hint="eastAsia" w:ascii="宋体" w:hAnsi="宋体" w:eastAsia="宋体" w:cs="宋体"/>
          <w:color w:val="auto"/>
          <w:highlight w:val="none"/>
          <w:lang w:eastAsia="zh-CN"/>
        </w:rPr>
      </w:pPr>
    </w:p>
    <w:p w14:paraId="39B38C0B">
      <w:pPr>
        <w:outlineLvl w:val="9"/>
        <w:rPr>
          <w:rFonts w:hint="eastAsia" w:ascii="宋体" w:hAnsi="宋体" w:eastAsia="宋体" w:cs="宋体"/>
          <w:color w:val="auto"/>
          <w:highlight w:val="none"/>
          <w:lang w:eastAsia="zh-CN"/>
        </w:rPr>
      </w:pPr>
    </w:p>
    <w:p w14:paraId="11D7B248">
      <w:pPr>
        <w:outlineLvl w:val="9"/>
        <w:rPr>
          <w:rFonts w:hint="eastAsia" w:ascii="宋体" w:hAnsi="宋体" w:eastAsia="宋体" w:cs="宋体"/>
          <w:color w:val="auto"/>
          <w:highlight w:val="none"/>
          <w:lang w:eastAsia="zh-CN"/>
        </w:rPr>
      </w:pPr>
    </w:p>
    <w:p w14:paraId="39AFD617">
      <w:pPr>
        <w:outlineLvl w:val="9"/>
        <w:rPr>
          <w:rFonts w:hint="eastAsia" w:ascii="宋体" w:hAnsi="宋体" w:eastAsia="宋体" w:cs="宋体"/>
          <w:color w:val="auto"/>
          <w:highlight w:val="none"/>
          <w:lang w:eastAsia="zh-CN"/>
        </w:rPr>
      </w:pPr>
    </w:p>
    <w:p w14:paraId="27EA876A">
      <w:pPr>
        <w:outlineLvl w:val="9"/>
        <w:rPr>
          <w:rFonts w:hint="eastAsia" w:ascii="宋体" w:hAnsi="宋体" w:eastAsia="宋体" w:cs="宋体"/>
          <w:color w:val="auto"/>
          <w:highlight w:val="none"/>
          <w:lang w:eastAsia="zh-CN"/>
        </w:rPr>
      </w:pPr>
    </w:p>
    <w:p w14:paraId="1BE6AC17">
      <w:pPr>
        <w:pStyle w:val="21"/>
        <w:outlineLvl w:val="9"/>
        <w:rPr>
          <w:rFonts w:hint="eastAsia" w:ascii="宋体" w:hAnsi="宋体" w:eastAsia="宋体" w:cs="宋体"/>
          <w:color w:val="auto"/>
          <w:highlight w:val="none"/>
          <w:lang w:eastAsia="zh-CN"/>
        </w:rPr>
      </w:pPr>
    </w:p>
    <w:p w14:paraId="01212558">
      <w:pPr>
        <w:outlineLvl w:val="9"/>
        <w:rPr>
          <w:rFonts w:hint="eastAsia" w:ascii="宋体" w:hAnsi="宋体" w:eastAsia="宋体" w:cs="宋体"/>
          <w:color w:val="auto"/>
          <w:highlight w:val="none"/>
          <w:lang w:eastAsia="zh-CN"/>
        </w:rPr>
      </w:pPr>
    </w:p>
    <w:p w14:paraId="5CE1A05C">
      <w:pPr>
        <w:outlineLvl w:val="9"/>
        <w:rPr>
          <w:rFonts w:hint="eastAsia" w:ascii="宋体" w:hAnsi="宋体" w:eastAsia="宋体" w:cs="宋体"/>
          <w:color w:val="auto"/>
          <w:highlight w:val="none"/>
          <w:lang w:eastAsia="zh-CN"/>
        </w:rPr>
      </w:pPr>
    </w:p>
    <w:p w14:paraId="2BBCC760">
      <w:pPr>
        <w:outlineLvl w:val="9"/>
        <w:rPr>
          <w:rFonts w:hint="eastAsia" w:ascii="宋体" w:hAnsi="宋体" w:eastAsia="宋体" w:cs="宋体"/>
          <w:color w:val="auto"/>
          <w:highlight w:val="none"/>
          <w:lang w:eastAsia="zh-CN"/>
        </w:rPr>
      </w:pPr>
    </w:p>
    <w:p w14:paraId="210A8C38">
      <w:pPr>
        <w:outlineLvl w:val="9"/>
        <w:rPr>
          <w:rFonts w:hint="eastAsia" w:ascii="宋体" w:hAnsi="宋体" w:eastAsia="宋体" w:cs="宋体"/>
          <w:color w:val="auto"/>
          <w:highlight w:val="none"/>
          <w:lang w:eastAsia="zh-CN"/>
        </w:rPr>
      </w:pPr>
    </w:p>
    <w:p w14:paraId="5AD99A68">
      <w:pPr>
        <w:outlineLvl w:val="9"/>
        <w:rPr>
          <w:rFonts w:hint="eastAsia" w:ascii="宋体" w:hAnsi="宋体" w:eastAsia="宋体" w:cs="宋体"/>
          <w:color w:val="auto"/>
          <w:highlight w:val="none"/>
          <w:lang w:eastAsia="zh-CN"/>
        </w:rPr>
      </w:pPr>
    </w:p>
    <w:p w14:paraId="4CFFEE99">
      <w:pPr>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注：上述所附身份证应在有效期限内。</w:t>
      </w:r>
    </w:p>
    <w:p w14:paraId="287D7D19">
      <w:pPr>
        <w:outlineLvl w:val="9"/>
        <w:rPr>
          <w:rFonts w:hint="eastAsia" w:ascii="宋体" w:hAnsi="宋体" w:eastAsia="宋体" w:cs="宋体"/>
          <w:color w:val="auto"/>
          <w:highlight w:val="none"/>
          <w:lang w:eastAsia="zh-CN"/>
        </w:rPr>
      </w:pPr>
      <w:r>
        <w:rPr>
          <w:rFonts w:hint="eastAsia" w:ascii="宋体" w:hAnsi="宋体" w:eastAsia="宋体" w:cs="宋体"/>
          <w:b/>
          <w:color w:val="auto"/>
          <w:szCs w:val="24"/>
          <w:highlight w:val="none"/>
        </w:rPr>
        <w:br w:type="page"/>
      </w:r>
    </w:p>
    <w:p w14:paraId="3C9C8A83">
      <w:pPr>
        <w:pageBreakBefore/>
        <w:spacing w:line="360" w:lineRule="auto"/>
        <w:outlineLvl w:val="9"/>
        <w:rPr>
          <w:rFonts w:hint="eastAsia" w:ascii="宋体" w:hAnsi="宋体" w:eastAsia="宋体" w:cs="宋体"/>
          <w:b/>
          <w:color w:val="auto"/>
          <w:sz w:val="30"/>
          <w:szCs w:val="30"/>
          <w:highlight w:val="none"/>
          <w:lang w:val="zh-CN" w:eastAsia="zh-CN"/>
        </w:rPr>
      </w:pPr>
      <w:r>
        <w:rPr>
          <w:rFonts w:hint="eastAsia" w:ascii="宋体" w:hAnsi="宋体" w:eastAsia="宋体" w:cs="宋体"/>
          <w:b/>
          <w:color w:val="auto"/>
          <w:kern w:val="0"/>
          <w:sz w:val="30"/>
          <w:szCs w:val="30"/>
          <w:highlight w:val="none"/>
          <w:lang w:val="en-US" w:eastAsia="zh-CN"/>
        </w:rPr>
        <w:t>5.6</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【提供一份</w:t>
      </w:r>
      <w:r>
        <w:rPr>
          <w:rFonts w:hint="eastAsia" w:ascii="宋体" w:hAnsi="宋体" w:eastAsia="宋体" w:cs="宋体"/>
          <w:b/>
          <w:bCs/>
          <w:color w:val="auto"/>
          <w:sz w:val="32"/>
          <w:szCs w:val="32"/>
          <w:highlight w:val="none"/>
          <w:lang w:val="en-US" w:eastAsia="zh-CN"/>
        </w:rPr>
        <w:t>2022</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日以来</w:t>
      </w:r>
      <w:r>
        <w:rPr>
          <w:rFonts w:hint="eastAsia" w:ascii="宋体" w:hAnsi="宋体" w:eastAsia="宋体" w:cs="宋体"/>
          <w:b/>
          <w:bCs/>
          <w:color w:val="auto"/>
          <w:sz w:val="32"/>
          <w:szCs w:val="32"/>
          <w:highlight w:val="none"/>
          <w:lang w:val="en-US" w:eastAsia="zh-CN"/>
        </w:rPr>
        <w:t>公众责任险服务</w:t>
      </w:r>
      <w:r>
        <w:rPr>
          <w:rFonts w:hint="eastAsia" w:ascii="宋体" w:hAnsi="宋体" w:eastAsia="宋体" w:cs="宋体"/>
          <w:b/>
          <w:bCs/>
          <w:color w:val="auto"/>
          <w:sz w:val="32"/>
          <w:szCs w:val="32"/>
          <w:highlight w:val="none"/>
        </w:rPr>
        <w:t>业绩（</w:t>
      </w:r>
      <w:r>
        <w:rPr>
          <w:rFonts w:hint="eastAsia" w:ascii="宋体" w:hAnsi="宋体" w:eastAsia="宋体" w:cs="宋体"/>
          <w:b/>
          <w:bCs/>
          <w:color w:val="auto"/>
          <w:sz w:val="32"/>
          <w:szCs w:val="32"/>
          <w:highlight w:val="none"/>
          <w:lang w:val="en-US" w:eastAsia="zh-CN"/>
        </w:rPr>
        <w:t>合同签订时间</w:t>
      </w:r>
      <w:r>
        <w:rPr>
          <w:rFonts w:hint="eastAsia" w:ascii="宋体" w:hAnsi="宋体" w:eastAsia="宋体" w:cs="宋体"/>
          <w:b/>
          <w:bCs/>
          <w:color w:val="auto"/>
          <w:sz w:val="32"/>
          <w:szCs w:val="32"/>
          <w:highlight w:val="none"/>
        </w:rPr>
        <w:t>为</w:t>
      </w:r>
      <w:r>
        <w:rPr>
          <w:rFonts w:hint="eastAsia" w:ascii="宋体" w:hAnsi="宋体" w:eastAsia="宋体" w:cs="宋体"/>
          <w:b/>
          <w:bCs/>
          <w:color w:val="auto"/>
          <w:sz w:val="32"/>
          <w:szCs w:val="32"/>
          <w:highlight w:val="none"/>
          <w:lang w:val="en-US" w:eastAsia="zh-CN"/>
        </w:rPr>
        <w:t>2022</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日或以后）</w:t>
      </w:r>
      <w:bookmarkEnd w:id="670"/>
      <w:bookmarkEnd w:id="671"/>
      <w:bookmarkEnd w:id="672"/>
      <w:r>
        <w:rPr>
          <w:rFonts w:hint="eastAsia" w:ascii="宋体" w:hAnsi="宋体" w:eastAsia="宋体" w:cs="宋体"/>
          <w:b/>
          <w:bCs/>
          <w:color w:val="auto"/>
          <w:sz w:val="32"/>
          <w:szCs w:val="32"/>
          <w:highlight w:val="none"/>
          <w:lang w:eastAsia="zh-CN"/>
        </w:rPr>
        <w:t>】</w:t>
      </w:r>
    </w:p>
    <w:p w14:paraId="34C7BDDA">
      <w:pPr>
        <w:spacing w:line="360" w:lineRule="auto"/>
        <w:outlineLvl w:val="9"/>
        <w:rPr>
          <w:rFonts w:hint="eastAsia" w:ascii="宋体" w:hAnsi="宋体" w:eastAsia="宋体" w:cs="宋体"/>
          <w:b/>
          <w:color w:val="auto"/>
          <w:szCs w:val="21"/>
          <w:highlight w:val="none"/>
          <w:lang w:val="zh-CN"/>
        </w:rPr>
      </w:pPr>
    </w:p>
    <w:tbl>
      <w:tblPr>
        <w:tblStyle w:val="3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0"/>
        <w:gridCol w:w="853"/>
        <w:gridCol w:w="853"/>
        <w:gridCol w:w="855"/>
        <w:gridCol w:w="855"/>
        <w:gridCol w:w="855"/>
        <w:gridCol w:w="995"/>
        <w:gridCol w:w="855"/>
        <w:gridCol w:w="855"/>
        <w:gridCol w:w="855"/>
        <w:gridCol w:w="703"/>
      </w:tblGrid>
      <w:tr w14:paraId="5270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27" w:hRule="exact"/>
          <w:jc w:val="center"/>
        </w:trPr>
        <w:tc>
          <w:tcPr>
            <w:tcW w:w="323" w:type="pct"/>
            <w:noWrap w:val="0"/>
            <w:vAlign w:val="center"/>
          </w:tcPr>
          <w:p w14:paraId="4FAAF40D">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14:paraId="52B625A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14:paraId="1E460F2F">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noWrap w:val="0"/>
            <w:vAlign w:val="center"/>
          </w:tcPr>
          <w:p w14:paraId="79E2EE07">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14:paraId="1E1E10A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14:paraId="56700360">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14:paraId="3B481E34">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14:paraId="6202294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14:paraId="3E3FC368">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14:paraId="145681E6">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14:paraId="748AB52B">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287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34318780">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67" w:type="pct"/>
            <w:noWrap w:val="0"/>
            <w:vAlign w:val="center"/>
          </w:tcPr>
          <w:p w14:paraId="45E9EDD4">
            <w:pPr>
              <w:jc w:val="center"/>
              <w:outlineLvl w:val="9"/>
              <w:rPr>
                <w:rFonts w:hint="eastAsia" w:ascii="宋体" w:hAnsi="宋体" w:eastAsia="宋体" w:cs="宋体"/>
                <w:color w:val="auto"/>
                <w:sz w:val="21"/>
                <w:szCs w:val="21"/>
                <w:highlight w:val="none"/>
              </w:rPr>
            </w:pPr>
          </w:p>
        </w:tc>
        <w:tc>
          <w:tcPr>
            <w:tcW w:w="467" w:type="pct"/>
            <w:noWrap w:val="0"/>
            <w:vAlign w:val="center"/>
          </w:tcPr>
          <w:p w14:paraId="42338543">
            <w:pPr>
              <w:jc w:val="center"/>
              <w:outlineLvl w:val="9"/>
              <w:rPr>
                <w:rFonts w:hint="eastAsia" w:ascii="宋体" w:hAnsi="宋体" w:eastAsia="宋体" w:cs="宋体"/>
                <w:color w:val="auto"/>
                <w:sz w:val="21"/>
                <w:szCs w:val="21"/>
                <w:highlight w:val="none"/>
              </w:rPr>
            </w:pPr>
          </w:p>
        </w:tc>
        <w:tc>
          <w:tcPr>
            <w:tcW w:w="468" w:type="pct"/>
            <w:noWrap w:val="0"/>
            <w:vAlign w:val="center"/>
          </w:tcPr>
          <w:p w14:paraId="729550F1">
            <w:pPr>
              <w:jc w:val="center"/>
              <w:outlineLvl w:val="9"/>
              <w:rPr>
                <w:rFonts w:hint="eastAsia" w:ascii="宋体" w:hAnsi="宋体" w:eastAsia="宋体" w:cs="宋体"/>
                <w:color w:val="auto"/>
                <w:sz w:val="21"/>
                <w:szCs w:val="21"/>
                <w:highlight w:val="none"/>
              </w:rPr>
            </w:pPr>
          </w:p>
        </w:tc>
        <w:tc>
          <w:tcPr>
            <w:tcW w:w="468" w:type="pct"/>
            <w:noWrap w:val="0"/>
            <w:vAlign w:val="center"/>
          </w:tcPr>
          <w:p w14:paraId="58ADEBE1">
            <w:pPr>
              <w:jc w:val="center"/>
              <w:outlineLvl w:val="9"/>
              <w:rPr>
                <w:rFonts w:hint="eastAsia" w:ascii="宋体" w:hAnsi="宋体" w:eastAsia="宋体" w:cs="宋体"/>
                <w:color w:val="auto"/>
                <w:sz w:val="21"/>
                <w:szCs w:val="21"/>
                <w:highlight w:val="none"/>
              </w:rPr>
            </w:pPr>
          </w:p>
        </w:tc>
        <w:tc>
          <w:tcPr>
            <w:tcW w:w="468" w:type="pct"/>
            <w:noWrap w:val="0"/>
            <w:vAlign w:val="center"/>
          </w:tcPr>
          <w:p w14:paraId="2C3D872B">
            <w:pPr>
              <w:jc w:val="center"/>
              <w:outlineLvl w:val="9"/>
              <w:rPr>
                <w:rFonts w:hint="eastAsia" w:ascii="宋体" w:hAnsi="宋体" w:eastAsia="宋体" w:cs="宋体"/>
                <w:color w:val="auto"/>
                <w:sz w:val="21"/>
                <w:szCs w:val="21"/>
                <w:highlight w:val="none"/>
              </w:rPr>
            </w:pPr>
          </w:p>
        </w:tc>
        <w:tc>
          <w:tcPr>
            <w:tcW w:w="545" w:type="pct"/>
            <w:noWrap w:val="0"/>
            <w:vAlign w:val="center"/>
          </w:tcPr>
          <w:p w14:paraId="54410551">
            <w:pPr>
              <w:jc w:val="center"/>
              <w:outlineLvl w:val="9"/>
              <w:rPr>
                <w:rFonts w:hint="eastAsia" w:ascii="宋体" w:hAnsi="宋体" w:eastAsia="宋体" w:cs="宋体"/>
                <w:color w:val="auto"/>
                <w:sz w:val="21"/>
                <w:szCs w:val="21"/>
                <w:highlight w:val="none"/>
              </w:rPr>
            </w:pPr>
          </w:p>
        </w:tc>
        <w:tc>
          <w:tcPr>
            <w:tcW w:w="468" w:type="pct"/>
            <w:noWrap w:val="0"/>
            <w:vAlign w:val="top"/>
          </w:tcPr>
          <w:p w14:paraId="31EF690F">
            <w:pPr>
              <w:jc w:val="center"/>
              <w:outlineLvl w:val="9"/>
              <w:rPr>
                <w:rFonts w:hint="eastAsia" w:ascii="宋体" w:hAnsi="宋体" w:eastAsia="宋体" w:cs="宋体"/>
                <w:color w:val="auto"/>
                <w:sz w:val="21"/>
                <w:szCs w:val="21"/>
                <w:highlight w:val="none"/>
              </w:rPr>
            </w:pPr>
          </w:p>
        </w:tc>
        <w:tc>
          <w:tcPr>
            <w:tcW w:w="468" w:type="pct"/>
            <w:noWrap w:val="0"/>
            <w:vAlign w:val="center"/>
          </w:tcPr>
          <w:p w14:paraId="77B87DC9">
            <w:pPr>
              <w:jc w:val="center"/>
              <w:outlineLvl w:val="9"/>
              <w:rPr>
                <w:rFonts w:hint="eastAsia" w:ascii="宋体" w:hAnsi="宋体" w:eastAsia="宋体" w:cs="宋体"/>
                <w:color w:val="auto"/>
                <w:sz w:val="21"/>
                <w:szCs w:val="21"/>
                <w:highlight w:val="none"/>
              </w:rPr>
            </w:pPr>
          </w:p>
        </w:tc>
        <w:tc>
          <w:tcPr>
            <w:tcW w:w="468" w:type="pct"/>
            <w:noWrap w:val="0"/>
            <w:vAlign w:val="center"/>
          </w:tcPr>
          <w:p w14:paraId="4A44FA89">
            <w:pPr>
              <w:jc w:val="center"/>
              <w:outlineLvl w:val="9"/>
              <w:rPr>
                <w:rFonts w:hint="eastAsia" w:ascii="宋体" w:hAnsi="宋体" w:eastAsia="宋体" w:cs="宋体"/>
                <w:color w:val="auto"/>
                <w:sz w:val="21"/>
                <w:szCs w:val="21"/>
                <w:highlight w:val="none"/>
              </w:rPr>
            </w:pPr>
          </w:p>
        </w:tc>
        <w:tc>
          <w:tcPr>
            <w:tcW w:w="385" w:type="pct"/>
            <w:noWrap w:val="0"/>
            <w:vAlign w:val="center"/>
          </w:tcPr>
          <w:p w14:paraId="3E413A77">
            <w:pPr>
              <w:jc w:val="center"/>
              <w:outlineLvl w:val="9"/>
              <w:rPr>
                <w:rFonts w:hint="eastAsia" w:ascii="宋体" w:hAnsi="宋体" w:eastAsia="宋体" w:cs="宋体"/>
                <w:color w:val="auto"/>
                <w:sz w:val="21"/>
                <w:szCs w:val="21"/>
                <w:highlight w:val="none"/>
              </w:rPr>
            </w:pPr>
          </w:p>
        </w:tc>
      </w:tr>
      <w:tr w14:paraId="3B61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2B77A0CF">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67" w:type="pct"/>
            <w:noWrap w:val="0"/>
            <w:vAlign w:val="center"/>
          </w:tcPr>
          <w:p w14:paraId="4FCC3763">
            <w:pPr>
              <w:jc w:val="center"/>
              <w:outlineLvl w:val="9"/>
              <w:rPr>
                <w:rFonts w:hint="eastAsia" w:ascii="宋体" w:hAnsi="宋体" w:eastAsia="宋体" w:cs="宋体"/>
                <w:color w:val="auto"/>
                <w:sz w:val="21"/>
                <w:szCs w:val="21"/>
                <w:highlight w:val="none"/>
              </w:rPr>
            </w:pPr>
          </w:p>
        </w:tc>
        <w:tc>
          <w:tcPr>
            <w:tcW w:w="467" w:type="pct"/>
            <w:noWrap w:val="0"/>
            <w:vAlign w:val="center"/>
          </w:tcPr>
          <w:p w14:paraId="3F76C2DE">
            <w:pPr>
              <w:jc w:val="center"/>
              <w:outlineLvl w:val="9"/>
              <w:rPr>
                <w:rFonts w:hint="eastAsia" w:ascii="宋体" w:hAnsi="宋体" w:eastAsia="宋体" w:cs="宋体"/>
                <w:color w:val="auto"/>
                <w:sz w:val="21"/>
                <w:szCs w:val="21"/>
                <w:highlight w:val="none"/>
              </w:rPr>
            </w:pPr>
          </w:p>
        </w:tc>
        <w:tc>
          <w:tcPr>
            <w:tcW w:w="468" w:type="pct"/>
            <w:noWrap w:val="0"/>
            <w:vAlign w:val="center"/>
          </w:tcPr>
          <w:p w14:paraId="4398A827">
            <w:pPr>
              <w:jc w:val="center"/>
              <w:outlineLvl w:val="9"/>
              <w:rPr>
                <w:rFonts w:hint="eastAsia" w:ascii="宋体" w:hAnsi="宋体" w:eastAsia="宋体" w:cs="宋体"/>
                <w:color w:val="auto"/>
                <w:sz w:val="21"/>
                <w:szCs w:val="21"/>
                <w:highlight w:val="none"/>
              </w:rPr>
            </w:pPr>
          </w:p>
        </w:tc>
        <w:tc>
          <w:tcPr>
            <w:tcW w:w="468" w:type="pct"/>
            <w:noWrap w:val="0"/>
            <w:vAlign w:val="center"/>
          </w:tcPr>
          <w:p w14:paraId="454090D0">
            <w:pPr>
              <w:jc w:val="center"/>
              <w:outlineLvl w:val="9"/>
              <w:rPr>
                <w:rFonts w:hint="eastAsia" w:ascii="宋体" w:hAnsi="宋体" w:eastAsia="宋体" w:cs="宋体"/>
                <w:color w:val="auto"/>
                <w:sz w:val="21"/>
                <w:szCs w:val="21"/>
                <w:highlight w:val="none"/>
              </w:rPr>
            </w:pPr>
          </w:p>
        </w:tc>
        <w:tc>
          <w:tcPr>
            <w:tcW w:w="468" w:type="pct"/>
            <w:noWrap w:val="0"/>
            <w:vAlign w:val="center"/>
          </w:tcPr>
          <w:p w14:paraId="7BAC4D0F">
            <w:pPr>
              <w:jc w:val="center"/>
              <w:outlineLvl w:val="9"/>
              <w:rPr>
                <w:rFonts w:hint="eastAsia" w:ascii="宋体" w:hAnsi="宋体" w:eastAsia="宋体" w:cs="宋体"/>
                <w:color w:val="auto"/>
                <w:sz w:val="21"/>
                <w:szCs w:val="21"/>
                <w:highlight w:val="none"/>
              </w:rPr>
            </w:pPr>
          </w:p>
        </w:tc>
        <w:tc>
          <w:tcPr>
            <w:tcW w:w="545" w:type="pct"/>
            <w:noWrap w:val="0"/>
            <w:vAlign w:val="center"/>
          </w:tcPr>
          <w:p w14:paraId="1F87B456">
            <w:pPr>
              <w:jc w:val="center"/>
              <w:outlineLvl w:val="9"/>
              <w:rPr>
                <w:rFonts w:hint="eastAsia" w:ascii="宋体" w:hAnsi="宋体" w:eastAsia="宋体" w:cs="宋体"/>
                <w:color w:val="auto"/>
                <w:sz w:val="21"/>
                <w:szCs w:val="21"/>
                <w:highlight w:val="none"/>
              </w:rPr>
            </w:pPr>
          </w:p>
        </w:tc>
        <w:tc>
          <w:tcPr>
            <w:tcW w:w="468" w:type="pct"/>
            <w:noWrap w:val="0"/>
            <w:vAlign w:val="top"/>
          </w:tcPr>
          <w:p w14:paraId="0DDA6755">
            <w:pPr>
              <w:jc w:val="center"/>
              <w:outlineLvl w:val="9"/>
              <w:rPr>
                <w:rFonts w:hint="eastAsia" w:ascii="宋体" w:hAnsi="宋体" w:eastAsia="宋体" w:cs="宋体"/>
                <w:color w:val="auto"/>
                <w:sz w:val="21"/>
                <w:szCs w:val="21"/>
                <w:highlight w:val="none"/>
              </w:rPr>
            </w:pPr>
          </w:p>
        </w:tc>
        <w:tc>
          <w:tcPr>
            <w:tcW w:w="468" w:type="pct"/>
            <w:noWrap w:val="0"/>
            <w:vAlign w:val="center"/>
          </w:tcPr>
          <w:p w14:paraId="57AF2BE8">
            <w:pPr>
              <w:jc w:val="center"/>
              <w:outlineLvl w:val="9"/>
              <w:rPr>
                <w:rFonts w:hint="eastAsia" w:ascii="宋体" w:hAnsi="宋体" w:eastAsia="宋体" w:cs="宋体"/>
                <w:color w:val="auto"/>
                <w:sz w:val="21"/>
                <w:szCs w:val="21"/>
                <w:highlight w:val="none"/>
              </w:rPr>
            </w:pPr>
          </w:p>
        </w:tc>
        <w:tc>
          <w:tcPr>
            <w:tcW w:w="468" w:type="pct"/>
            <w:noWrap w:val="0"/>
            <w:vAlign w:val="center"/>
          </w:tcPr>
          <w:p w14:paraId="6436BA41">
            <w:pPr>
              <w:jc w:val="center"/>
              <w:outlineLvl w:val="9"/>
              <w:rPr>
                <w:rFonts w:hint="eastAsia" w:ascii="宋体" w:hAnsi="宋体" w:eastAsia="宋体" w:cs="宋体"/>
                <w:color w:val="auto"/>
                <w:sz w:val="21"/>
                <w:szCs w:val="21"/>
                <w:highlight w:val="none"/>
              </w:rPr>
            </w:pPr>
          </w:p>
        </w:tc>
        <w:tc>
          <w:tcPr>
            <w:tcW w:w="385" w:type="pct"/>
            <w:noWrap w:val="0"/>
            <w:vAlign w:val="center"/>
          </w:tcPr>
          <w:p w14:paraId="463EE309">
            <w:pPr>
              <w:jc w:val="center"/>
              <w:outlineLvl w:val="9"/>
              <w:rPr>
                <w:rFonts w:hint="eastAsia" w:ascii="宋体" w:hAnsi="宋体" w:eastAsia="宋体" w:cs="宋体"/>
                <w:color w:val="auto"/>
                <w:sz w:val="21"/>
                <w:szCs w:val="21"/>
                <w:highlight w:val="none"/>
              </w:rPr>
            </w:pPr>
          </w:p>
        </w:tc>
      </w:tr>
      <w:tr w14:paraId="7B74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76136C08">
            <w:pPr>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67" w:type="pct"/>
            <w:noWrap w:val="0"/>
            <w:vAlign w:val="center"/>
          </w:tcPr>
          <w:p w14:paraId="4622B5D2">
            <w:pPr>
              <w:jc w:val="center"/>
              <w:outlineLvl w:val="9"/>
              <w:rPr>
                <w:rFonts w:hint="eastAsia" w:ascii="宋体" w:hAnsi="宋体" w:eastAsia="宋体" w:cs="宋体"/>
                <w:color w:val="auto"/>
                <w:sz w:val="21"/>
                <w:szCs w:val="21"/>
                <w:highlight w:val="none"/>
              </w:rPr>
            </w:pPr>
          </w:p>
        </w:tc>
        <w:tc>
          <w:tcPr>
            <w:tcW w:w="467" w:type="pct"/>
            <w:noWrap w:val="0"/>
            <w:vAlign w:val="center"/>
          </w:tcPr>
          <w:p w14:paraId="7032FC2A">
            <w:pPr>
              <w:jc w:val="center"/>
              <w:outlineLvl w:val="9"/>
              <w:rPr>
                <w:rFonts w:hint="eastAsia" w:ascii="宋体" w:hAnsi="宋体" w:eastAsia="宋体" w:cs="宋体"/>
                <w:color w:val="auto"/>
                <w:sz w:val="21"/>
                <w:szCs w:val="21"/>
                <w:highlight w:val="none"/>
              </w:rPr>
            </w:pPr>
          </w:p>
        </w:tc>
        <w:tc>
          <w:tcPr>
            <w:tcW w:w="468" w:type="pct"/>
            <w:noWrap w:val="0"/>
            <w:vAlign w:val="center"/>
          </w:tcPr>
          <w:p w14:paraId="05E81F41">
            <w:pPr>
              <w:jc w:val="center"/>
              <w:outlineLvl w:val="9"/>
              <w:rPr>
                <w:rFonts w:hint="eastAsia" w:ascii="宋体" w:hAnsi="宋体" w:eastAsia="宋体" w:cs="宋体"/>
                <w:color w:val="auto"/>
                <w:sz w:val="21"/>
                <w:szCs w:val="21"/>
                <w:highlight w:val="none"/>
              </w:rPr>
            </w:pPr>
          </w:p>
        </w:tc>
        <w:tc>
          <w:tcPr>
            <w:tcW w:w="468" w:type="pct"/>
            <w:noWrap w:val="0"/>
            <w:vAlign w:val="center"/>
          </w:tcPr>
          <w:p w14:paraId="52721C6A">
            <w:pPr>
              <w:jc w:val="center"/>
              <w:outlineLvl w:val="9"/>
              <w:rPr>
                <w:rFonts w:hint="eastAsia" w:ascii="宋体" w:hAnsi="宋体" w:eastAsia="宋体" w:cs="宋体"/>
                <w:color w:val="auto"/>
                <w:sz w:val="21"/>
                <w:szCs w:val="21"/>
                <w:highlight w:val="none"/>
              </w:rPr>
            </w:pPr>
          </w:p>
        </w:tc>
        <w:tc>
          <w:tcPr>
            <w:tcW w:w="468" w:type="pct"/>
            <w:noWrap w:val="0"/>
            <w:vAlign w:val="center"/>
          </w:tcPr>
          <w:p w14:paraId="12412D99">
            <w:pPr>
              <w:jc w:val="center"/>
              <w:outlineLvl w:val="9"/>
              <w:rPr>
                <w:rFonts w:hint="eastAsia" w:ascii="宋体" w:hAnsi="宋体" w:eastAsia="宋体" w:cs="宋体"/>
                <w:color w:val="auto"/>
                <w:sz w:val="21"/>
                <w:szCs w:val="21"/>
                <w:highlight w:val="none"/>
              </w:rPr>
            </w:pPr>
          </w:p>
        </w:tc>
        <w:tc>
          <w:tcPr>
            <w:tcW w:w="545" w:type="pct"/>
            <w:noWrap w:val="0"/>
            <w:vAlign w:val="center"/>
          </w:tcPr>
          <w:p w14:paraId="321092F6">
            <w:pPr>
              <w:jc w:val="center"/>
              <w:outlineLvl w:val="9"/>
              <w:rPr>
                <w:rFonts w:hint="eastAsia" w:ascii="宋体" w:hAnsi="宋体" w:eastAsia="宋体" w:cs="宋体"/>
                <w:color w:val="auto"/>
                <w:sz w:val="21"/>
                <w:szCs w:val="21"/>
                <w:highlight w:val="none"/>
              </w:rPr>
            </w:pPr>
          </w:p>
        </w:tc>
        <w:tc>
          <w:tcPr>
            <w:tcW w:w="468" w:type="pct"/>
            <w:noWrap w:val="0"/>
            <w:vAlign w:val="top"/>
          </w:tcPr>
          <w:p w14:paraId="72C8B9ED">
            <w:pPr>
              <w:jc w:val="center"/>
              <w:outlineLvl w:val="9"/>
              <w:rPr>
                <w:rFonts w:hint="eastAsia" w:ascii="宋体" w:hAnsi="宋体" w:eastAsia="宋体" w:cs="宋体"/>
                <w:color w:val="auto"/>
                <w:sz w:val="21"/>
                <w:szCs w:val="21"/>
                <w:highlight w:val="none"/>
              </w:rPr>
            </w:pPr>
          </w:p>
        </w:tc>
        <w:tc>
          <w:tcPr>
            <w:tcW w:w="468" w:type="pct"/>
            <w:noWrap w:val="0"/>
            <w:vAlign w:val="center"/>
          </w:tcPr>
          <w:p w14:paraId="5FC5775D">
            <w:pPr>
              <w:jc w:val="center"/>
              <w:outlineLvl w:val="9"/>
              <w:rPr>
                <w:rFonts w:hint="eastAsia" w:ascii="宋体" w:hAnsi="宋体" w:eastAsia="宋体" w:cs="宋体"/>
                <w:color w:val="auto"/>
                <w:sz w:val="21"/>
                <w:szCs w:val="21"/>
                <w:highlight w:val="none"/>
              </w:rPr>
            </w:pPr>
          </w:p>
        </w:tc>
        <w:tc>
          <w:tcPr>
            <w:tcW w:w="468" w:type="pct"/>
            <w:noWrap w:val="0"/>
            <w:vAlign w:val="center"/>
          </w:tcPr>
          <w:p w14:paraId="6DA10E7F">
            <w:pPr>
              <w:jc w:val="center"/>
              <w:outlineLvl w:val="9"/>
              <w:rPr>
                <w:rFonts w:hint="eastAsia" w:ascii="宋体" w:hAnsi="宋体" w:eastAsia="宋体" w:cs="宋体"/>
                <w:color w:val="auto"/>
                <w:sz w:val="21"/>
                <w:szCs w:val="21"/>
                <w:highlight w:val="none"/>
              </w:rPr>
            </w:pPr>
          </w:p>
        </w:tc>
        <w:tc>
          <w:tcPr>
            <w:tcW w:w="385" w:type="pct"/>
            <w:noWrap w:val="0"/>
            <w:vAlign w:val="center"/>
          </w:tcPr>
          <w:p w14:paraId="082A2852">
            <w:pPr>
              <w:jc w:val="center"/>
              <w:outlineLvl w:val="9"/>
              <w:rPr>
                <w:rFonts w:hint="eastAsia" w:ascii="宋体" w:hAnsi="宋体" w:eastAsia="宋体" w:cs="宋体"/>
                <w:color w:val="auto"/>
                <w:sz w:val="21"/>
                <w:szCs w:val="21"/>
                <w:highlight w:val="none"/>
              </w:rPr>
            </w:pPr>
          </w:p>
        </w:tc>
      </w:tr>
      <w:tr w14:paraId="03D0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39F3BD6A">
            <w:pPr>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rPr>
              <w:t>…</w:t>
            </w:r>
          </w:p>
        </w:tc>
        <w:tc>
          <w:tcPr>
            <w:tcW w:w="467" w:type="pct"/>
            <w:noWrap w:val="0"/>
            <w:vAlign w:val="center"/>
          </w:tcPr>
          <w:p w14:paraId="5F11FFC4">
            <w:pPr>
              <w:jc w:val="center"/>
              <w:outlineLvl w:val="9"/>
              <w:rPr>
                <w:rFonts w:hint="eastAsia" w:ascii="宋体" w:hAnsi="宋体" w:eastAsia="宋体" w:cs="宋体"/>
                <w:color w:val="auto"/>
                <w:sz w:val="21"/>
                <w:szCs w:val="21"/>
                <w:highlight w:val="none"/>
              </w:rPr>
            </w:pPr>
          </w:p>
        </w:tc>
        <w:tc>
          <w:tcPr>
            <w:tcW w:w="467" w:type="pct"/>
            <w:noWrap w:val="0"/>
            <w:vAlign w:val="center"/>
          </w:tcPr>
          <w:p w14:paraId="39EAC6C7">
            <w:pPr>
              <w:jc w:val="center"/>
              <w:outlineLvl w:val="9"/>
              <w:rPr>
                <w:rFonts w:hint="eastAsia" w:ascii="宋体" w:hAnsi="宋体" w:eastAsia="宋体" w:cs="宋体"/>
                <w:color w:val="auto"/>
                <w:sz w:val="21"/>
                <w:szCs w:val="21"/>
                <w:highlight w:val="none"/>
              </w:rPr>
            </w:pPr>
          </w:p>
        </w:tc>
        <w:tc>
          <w:tcPr>
            <w:tcW w:w="468" w:type="pct"/>
            <w:noWrap w:val="0"/>
            <w:vAlign w:val="center"/>
          </w:tcPr>
          <w:p w14:paraId="66DAEFF6">
            <w:pPr>
              <w:jc w:val="center"/>
              <w:outlineLvl w:val="9"/>
              <w:rPr>
                <w:rFonts w:hint="eastAsia" w:ascii="宋体" w:hAnsi="宋体" w:eastAsia="宋体" w:cs="宋体"/>
                <w:color w:val="auto"/>
                <w:sz w:val="21"/>
                <w:szCs w:val="21"/>
                <w:highlight w:val="none"/>
              </w:rPr>
            </w:pPr>
          </w:p>
        </w:tc>
        <w:tc>
          <w:tcPr>
            <w:tcW w:w="468" w:type="pct"/>
            <w:noWrap w:val="0"/>
            <w:vAlign w:val="center"/>
          </w:tcPr>
          <w:p w14:paraId="7A4FEC13">
            <w:pPr>
              <w:jc w:val="center"/>
              <w:outlineLvl w:val="9"/>
              <w:rPr>
                <w:rFonts w:hint="eastAsia" w:ascii="宋体" w:hAnsi="宋体" w:eastAsia="宋体" w:cs="宋体"/>
                <w:color w:val="auto"/>
                <w:sz w:val="21"/>
                <w:szCs w:val="21"/>
                <w:highlight w:val="none"/>
              </w:rPr>
            </w:pPr>
          </w:p>
        </w:tc>
        <w:tc>
          <w:tcPr>
            <w:tcW w:w="468" w:type="pct"/>
            <w:noWrap w:val="0"/>
            <w:vAlign w:val="center"/>
          </w:tcPr>
          <w:p w14:paraId="3E3352CB">
            <w:pPr>
              <w:jc w:val="center"/>
              <w:outlineLvl w:val="9"/>
              <w:rPr>
                <w:rFonts w:hint="eastAsia" w:ascii="宋体" w:hAnsi="宋体" w:eastAsia="宋体" w:cs="宋体"/>
                <w:color w:val="auto"/>
                <w:sz w:val="21"/>
                <w:szCs w:val="21"/>
                <w:highlight w:val="none"/>
              </w:rPr>
            </w:pPr>
          </w:p>
        </w:tc>
        <w:tc>
          <w:tcPr>
            <w:tcW w:w="545" w:type="pct"/>
            <w:noWrap w:val="0"/>
            <w:vAlign w:val="center"/>
          </w:tcPr>
          <w:p w14:paraId="3C88DA99">
            <w:pPr>
              <w:jc w:val="center"/>
              <w:outlineLvl w:val="9"/>
              <w:rPr>
                <w:rFonts w:hint="eastAsia" w:ascii="宋体" w:hAnsi="宋体" w:eastAsia="宋体" w:cs="宋体"/>
                <w:color w:val="auto"/>
                <w:sz w:val="21"/>
                <w:szCs w:val="21"/>
                <w:highlight w:val="none"/>
              </w:rPr>
            </w:pPr>
          </w:p>
        </w:tc>
        <w:tc>
          <w:tcPr>
            <w:tcW w:w="468" w:type="pct"/>
            <w:noWrap w:val="0"/>
            <w:vAlign w:val="top"/>
          </w:tcPr>
          <w:p w14:paraId="766DF33C">
            <w:pPr>
              <w:jc w:val="center"/>
              <w:outlineLvl w:val="9"/>
              <w:rPr>
                <w:rFonts w:hint="eastAsia" w:ascii="宋体" w:hAnsi="宋体" w:eastAsia="宋体" w:cs="宋体"/>
                <w:color w:val="auto"/>
                <w:sz w:val="21"/>
                <w:szCs w:val="21"/>
                <w:highlight w:val="none"/>
              </w:rPr>
            </w:pPr>
          </w:p>
        </w:tc>
        <w:tc>
          <w:tcPr>
            <w:tcW w:w="468" w:type="pct"/>
            <w:noWrap w:val="0"/>
            <w:vAlign w:val="center"/>
          </w:tcPr>
          <w:p w14:paraId="2DAD6B12">
            <w:pPr>
              <w:jc w:val="center"/>
              <w:outlineLvl w:val="9"/>
              <w:rPr>
                <w:rFonts w:hint="eastAsia" w:ascii="宋体" w:hAnsi="宋体" w:eastAsia="宋体" w:cs="宋体"/>
                <w:color w:val="auto"/>
                <w:sz w:val="21"/>
                <w:szCs w:val="21"/>
                <w:highlight w:val="none"/>
              </w:rPr>
            </w:pPr>
          </w:p>
        </w:tc>
        <w:tc>
          <w:tcPr>
            <w:tcW w:w="468" w:type="pct"/>
            <w:noWrap w:val="0"/>
            <w:vAlign w:val="center"/>
          </w:tcPr>
          <w:p w14:paraId="5E283B85">
            <w:pPr>
              <w:jc w:val="center"/>
              <w:outlineLvl w:val="9"/>
              <w:rPr>
                <w:rFonts w:hint="eastAsia" w:ascii="宋体" w:hAnsi="宋体" w:eastAsia="宋体" w:cs="宋体"/>
                <w:color w:val="auto"/>
                <w:sz w:val="21"/>
                <w:szCs w:val="21"/>
                <w:highlight w:val="none"/>
              </w:rPr>
            </w:pPr>
          </w:p>
        </w:tc>
        <w:tc>
          <w:tcPr>
            <w:tcW w:w="385" w:type="pct"/>
            <w:noWrap w:val="0"/>
            <w:vAlign w:val="center"/>
          </w:tcPr>
          <w:p w14:paraId="521AA7E9">
            <w:pPr>
              <w:jc w:val="center"/>
              <w:outlineLvl w:val="9"/>
              <w:rPr>
                <w:rFonts w:hint="eastAsia" w:ascii="宋体" w:hAnsi="宋体" w:eastAsia="宋体" w:cs="宋体"/>
                <w:color w:val="auto"/>
                <w:sz w:val="21"/>
                <w:szCs w:val="21"/>
                <w:highlight w:val="none"/>
              </w:rPr>
            </w:pPr>
          </w:p>
        </w:tc>
      </w:tr>
    </w:tbl>
    <w:p w14:paraId="4F5778E0">
      <w:pPr>
        <w:spacing w:line="360" w:lineRule="auto"/>
        <w:ind w:left="424" w:hanging="424" w:hangingChars="201"/>
        <w:outlineLvl w:val="9"/>
        <w:rPr>
          <w:rFonts w:hint="eastAsia" w:ascii="宋体" w:hAnsi="宋体" w:eastAsia="宋体" w:cs="宋体"/>
          <w:b/>
          <w:color w:val="auto"/>
          <w:szCs w:val="21"/>
          <w:highlight w:val="none"/>
          <w:lang w:val="zh-CN"/>
        </w:rPr>
      </w:pPr>
    </w:p>
    <w:p w14:paraId="41C5706B">
      <w:pPr>
        <w:spacing w:line="360" w:lineRule="auto"/>
        <w:ind w:left="424" w:hanging="424" w:hangingChars="201"/>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357A4BC2">
      <w:pPr>
        <w:spacing w:line="360" w:lineRule="auto"/>
        <w:ind w:left="422" w:hanging="424" w:hangingChars="201"/>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（1）作为投标人资格条件证明的业绩放置在此处；</w:t>
      </w:r>
    </w:p>
    <w:p w14:paraId="097510B7">
      <w:pPr>
        <w:spacing w:line="360" w:lineRule="auto"/>
        <w:ind w:left="422" w:hanging="424" w:hangingChars="201"/>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（2）业绩须附合同</w:t>
      </w:r>
      <w:r>
        <w:rPr>
          <w:rFonts w:hint="eastAsia" w:ascii="宋体" w:hAnsi="宋体" w:eastAsia="宋体" w:cs="宋体"/>
          <w:b/>
          <w:bCs/>
          <w:color w:val="auto"/>
          <w:szCs w:val="21"/>
          <w:highlight w:val="none"/>
          <w:lang w:val="en-US" w:eastAsia="zh-CN"/>
        </w:rPr>
        <w:t>复印件</w:t>
      </w:r>
      <w:r>
        <w:rPr>
          <w:rFonts w:hint="eastAsia" w:ascii="宋体" w:hAnsi="宋体" w:eastAsia="宋体" w:cs="宋体"/>
          <w:b/>
          <w:bCs/>
          <w:color w:val="auto"/>
          <w:szCs w:val="21"/>
          <w:highlight w:val="none"/>
          <w:lang w:val="zh-CN"/>
        </w:rPr>
        <w:t>加盖投标人公章；</w:t>
      </w:r>
    </w:p>
    <w:p w14:paraId="7B7816B8">
      <w:pPr>
        <w:tabs>
          <w:tab w:val="left" w:pos="420"/>
        </w:tabs>
        <w:autoSpaceDE w:val="0"/>
        <w:autoSpaceDN w:val="0"/>
        <w:adjustRightInd w:val="0"/>
        <w:spacing w:line="360" w:lineRule="auto"/>
        <w:ind w:left="422" w:hanging="422" w:hangingChars="200"/>
        <w:jc w:val="left"/>
        <w:outlineLvl w:val="9"/>
        <w:rPr>
          <w:rFonts w:hint="eastAsia" w:ascii="宋体" w:hAnsi="宋体" w:eastAsia="宋体" w:cs="宋体"/>
          <w:b/>
          <w:bCs/>
          <w:color w:val="auto"/>
          <w:szCs w:val="21"/>
          <w:highlight w:val="none"/>
          <w:lang w:val="zh-CN"/>
        </w:rPr>
      </w:pPr>
      <w:bookmarkStart w:id="678" w:name="_Toc12931"/>
      <w:bookmarkStart w:id="679" w:name="_Toc20010"/>
      <w:bookmarkStart w:id="680" w:name="_Toc24862"/>
      <w:r>
        <w:rPr>
          <w:rFonts w:hint="eastAsia" w:ascii="宋体" w:hAnsi="宋体" w:eastAsia="宋体" w:cs="宋体"/>
          <w:b/>
          <w:color w:val="auto"/>
          <w:szCs w:val="21"/>
          <w:highlight w:val="none"/>
          <w:lang w:val="zh-CN"/>
        </w:rPr>
        <w:t>（3）</w:t>
      </w:r>
      <w:bookmarkEnd w:id="678"/>
      <w:bookmarkEnd w:id="679"/>
      <w:bookmarkEnd w:id="680"/>
      <w:r>
        <w:rPr>
          <w:rFonts w:hint="eastAsia" w:ascii="宋体" w:hAnsi="宋体" w:eastAsia="宋体" w:cs="宋体"/>
          <w:b/>
          <w:bCs/>
          <w:color w:val="auto"/>
          <w:szCs w:val="21"/>
          <w:highlight w:val="none"/>
          <w:lang w:val="zh-CN"/>
        </w:rPr>
        <w:t>合同必须能反映资格要求条件（</w:t>
      </w:r>
      <w:r>
        <w:rPr>
          <w:rFonts w:hint="eastAsia" w:ascii="宋体" w:hAnsi="宋体" w:eastAsia="宋体" w:cs="宋体"/>
          <w:b/>
          <w:bCs/>
          <w:color w:val="auto"/>
          <w:szCs w:val="21"/>
          <w:highlight w:val="none"/>
          <w:lang w:val="zh-CN" w:eastAsia="zh-CN"/>
        </w:rPr>
        <w:t>合同签订时间</w:t>
      </w:r>
      <w:r>
        <w:rPr>
          <w:rFonts w:hint="eastAsia" w:ascii="宋体" w:hAnsi="宋体" w:eastAsia="宋体" w:cs="宋体"/>
          <w:b/>
          <w:bCs/>
          <w:color w:val="auto"/>
          <w:szCs w:val="21"/>
          <w:highlight w:val="none"/>
          <w:lang w:val="zh-CN"/>
        </w:rPr>
        <w:t>为202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val="zh-CN"/>
        </w:rPr>
        <w:t>年1月1日或以后，</w:t>
      </w:r>
      <w:r>
        <w:rPr>
          <w:rFonts w:hint="eastAsia" w:ascii="宋体" w:hAnsi="宋体" w:eastAsia="宋体" w:cs="宋体"/>
          <w:b/>
          <w:bCs/>
          <w:color w:val="auto"/>
          <w:szCs w:val="21"/>
          <w:highlight w:val="none"/>
          <w:lang w:val="en-US" w:eastAsia="zh-CN"/>
        </w:rPr>
        <w:t>保险险种</w:t>
      </w:r>
      <w:r>
        <w:rPr>
          <w:rFonts w:hint="eastAsia" w:ascii="宋体" w:hAnsi="宋体" w:eastAsia="宋体" w:cs="宋体"/>
          <w:b/>
          <w:bCs/>
          <w:color w:val="auto"/>
          <w:szCs w:val="21"/>
          <w:highlight w:val="none"/>
          <w:lang w:val="zh-CN"/>
        </w:rPr>
        <w:t>须包含</w:t>
      </w:r>
      <w:r>
        <w:rPr>
          <w:rFonts w:hint="eastAsia" w:ascii="宋体" w:hAnsi="宋体" w:eastAsia="宋体" w:cs="宋体"/>
          <w:b/>
          <w:bCs/>
          <w:color w:val="auto"/>
          <w:szCs w:val="21"/>
          <w:highlight w:val="none"/>
          <w:lang w:val="en-US" w:eastAsia="zh-CN"/>
        </w:rPr>
        <w:t>公众责任险</w:t>
      </w:r>
      <w:r>
        <w:rPr>
          <w:rFonts w:hint="eastAsia" w:ascii="宋体" w:hAnsi="宋体" w:eastAsia="宋体" w:cs="宋体"/>
          <w:b/>
          <w:bCs/>
          <w:color w:val="auto"/>
          <w:szCs w:val="21"/>
          <w:highlight w:val="none"/>
          <w:lang w:val="zh-CN"/>
        </w:rPr>
        <w:t>），否则，需同时提供合同买方出具的书面补充说明文件复印件作为辅助证明（需加盖合同买方公章，即复印件能显示合同买方公章）；</w:t>
      </w:r>
    </w:p>
    <w:p w14:paraId="6C50E9DB">
      <w:pPr>
        <w:tabs>
          <w:tab w:val="left" w:pos="420"/>
        </w:tabs>
        <w:autoSpaceDE w:val="0"/>
        <w:autoSpaceDN w:val="0"/>
        <w:adjustRightInd w:val="0"/>
        <w:spacing w:line="360" w:lineRule="auto"/>
        <w:ind w:left="422" w:hanging="422" w:hangingChars="200"/>
        <w:jc w:val="left"/>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val="zh-CN"/>
        </w:rPr>
        <w:t>）投标人若以分公司/中心支公司/营销服务部等分支机构名义投标</w:t>
      </w:r>
      <w:r>
        <w:rPr>
          <w:rFonts w:hint="eastAsia" w:ascii="宋体" w:hAnsi="宋体" w:eastAsia="宋体" w:cs="宋体"/>
          <w:b/>
          <w:bCs/>
          <w:color w:val="auto"/>
          <w:szCs w:val="21"/>
          <w:highlight w:val="none"/>
          <w:lang w:val="en-US" w:eastAsia="zh-CN"/>
        </w:rPr>
        <w:t>的</w:t>
      </w:r>
      <w:r>
        <w:rPr>
          <w:rFonts w:hint="eastAsia" w:ascii="宋体" w:hAnsi="宋体" w:eastAsia="宋体" w:cs="宋体"/>
          <w:b/>
          <w:bCs/>
          <w:color w:val="auto"/>
          <w:szCs w:val="21"/>
          <w:highlight w:val="none"/>
          <w:lang w:val="zh-CN"/>
        </w:rPr>
        <w:t>，其总公司及总公司下属分公司/中心支公司/营销服务部等分支机构的业绩</w:t>
      </w:r>
      <w:r>
        <w:rPr>
          <w:rFonts w:hint="eastAsia" w:ascii="宋体" w:hAnsi="宋体" w:eastAsia="宋体" w:cs="宋体"/>
          <w:b/>
          <w:bCs/>
          <w:color w:val="auto"/>
          <w:szCs w:val="21"/>
          <w:highlight w:val="none"/>
          <w:lang w:val="en-US" w:eastAsia="zh-CN"/>
        </w:rPr>
        <w:t>也可作为</w:t>
      </w:r>
      <w:r>
        <w:rPr>
          <w:rFonts w:hint="eastAsia" w:ascii="宋体" w:hAnsi="宋体" w:eastAsia="宋体" w:cs="宋体"/>
          <w:b/>
          <w:bCs/>
          <w:color w:val="auto"/>
          <w:szCs w:val="21"/>
          <w:highlight w:val="none"/>
          <w:lang w:val="zh-CN"/>
        </w:rPr>
        <w:t>资格业绩评审；若以总公司名义投标</w:t>
      </w:r>
      <w:r>
        <w:rPr>
          <w:rFonts w:hint="eastAsia" w:ascii="宋体" w:hAnsi="宋体" w:eastAsia="宋体" w:cs="宋体"/>
          <w:b/>
          <w:bCs/>
          <w:color w:val="auto"/>
          <w:szCs w:val="21"/>
          <w:highlight w:val="none"/>
          <w:lang w:val="en-US" w:eastAsia="zh-CN"/>
        </w:rPr>
        <w:t>的</w:t>
      </w:r>
      <w:r>
        <w:rPr>
          <w:rFonts w:hint="eastAsia" w:ascii="宋体" w:hAnsi="宋体" w:eastAsia="宋体" w:cs="宋体"/>
          <w:b/>
          <w:bCs/>
          <w:color w:val="auto"/>
          <w:szCs w:val="21"/>
          <w:highlight w:val="none"/>
          <w:lang w:val="zh-CN"/>
        </w:rPr>
        <w:t>，其下属分公司/中心支公司/营销服务部等分支机构的业绩</w:t>
      </w:r>
      <w:r>
        <w:rPr>
          <w:rFonts w:hint="eastAsia" w:ascii="宋体" w:hAnsi="宋体" w:eastAsia="宋体" w:cs="宋体"/>
          <w:b/>
          <w:bCs/>
          <w:color w:val="auto"/>
          <w:szCs w:val="21"/>
          <w:highlight w:val="none"/>
          <w:lang w:val="zh-CN" w:eastAsia="zh-CN"/>
        </w:rPr>
        <w:t>也可作为</w:t>
      </w:r>
      <w:r>
        <w:rPr>
          <w:rFonts w:hint="eastAsia" w:ascii="宋体" w:hAnsi="宋体" w:eastAsia="宋体" w:cs="宋体"/>
          <w:b/>
          <w:bCs/>
          <w:color w:val="auto"/>
          <w:szCs w:val="21"/>
          <w:highlight w:val="none"/>
          <w:lang w:val="zh-CN"/>
        </w:rPr>
        <w:t>资格业绩评审</w:t>
      </w:r>
      <w:r>
        <w:rPr>
          <w:rFonts w:hint="eastAsia" w:ascii="宋体" w:hAnsi="宋体" w:eastAsia="宋体" w:cs="宋体"/>
          <w:b/>
          <w:color w:val="auto"/>
          <w:szCs w:val="21"/>
          <w:highlight w:val="none"/>
          <w:lang w:val="zh-CN"/>
        </w:rPr>
        <w:t>。</w:t>
      </w:r>
    </w:p>
    <w:p w14:paraId="2F84AED7">
      <w:pPr>
        <w:tabs>
          <w:tab w:val="left" w:pos="420"/>
        </w:tabs>
        <w:autoSpaceDE w:val="0"/>
        <w:autoSpaceDN w:val="0"/>
        <w:adjustRightInd w:val="0"/>
        <w:spacing w:line="360" w:lineRule="auto"/>
        <w:ind w:left="422" w:hanging="422" w:hangingChars="200"/>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6E175239">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FF4CB83">
      <w:pPr>
        <w:tabs>
          <w:tab w:val="left" w:pos="567"/>
        </w:tabs>
        <w:autoSpaceDE w:val="0"/>
        <w:autoSpaceDN w:val="0"/>
        <w:adjustRightInd w:val="0"/>
        <w:spacing w:line="360" w:lineRule="auto"/>
        <w:jc w:val="left"/>
        <w:outlineLvl w:val="9"/>
        <w:rPr>
          <w:rFonts w:hint="eastAsia" w:ascii="宋体" w:hAnsi="宋体" w:eastAsia="宋体" w:cs="宋体"/>
          <w:b/>
          <w:bCs/>
          <w:color w:val="auto"/>
          <w:sz w:val="32"/>
          <w:szCs w:val="32"/>
          <w:highlight w:val="none"/>
          <w:lang w:val="zh-CN"/>
        </w:rPr>
      </w:pPr>
      <w:bookmarkStart w:id="681" w:name="_Toc21843"/>
      <w:bookmarkStart w:id="682" w:name="_Toc7508"/>
      <w:bookmarkStart w:id="683" w:name="_Toc8121"/>
      <w:r>
        <w:rPr>
          <w:rFonts w:hint="eastAsia" w:ascii="宋体" w:hAnsi="宋体" w:eastAsia="宋体" w:cs="宋体"/>
          <w:b/>
          <w:color w:val="auto"/>
          <w:kern w:val="0"/>
          <w:sz w:val="30"/>
          <w:szCs w:val="30"/>
          <w:highlight w:val="none"/>
          <w:lang w:val="en-US" w:eastAsia="zh-CN"/>
        </w:rPr>
        <w:t xml:space="preserve">5.7 </w:t>
      </w:r>
      <w:r>
        <w:rPr>
          <w:rFonts w:hint="eastAsia" w:ascii="宋体" w:hAnsi="宋体" w:eastAsia="宋体" w:cs="宋体"/>
          <w:b/>
          <w:color w:val="auto"/>
          <w:kern w:val="0"/>
          <w:sz w:val="30"/>
          <w:szCs w:val="30"/>
          <w:highlight w:val="none"/>
        </w:rPr>
        <w:t>最近3年投标人牵涉的其他（失信和违法）处罚说明格式</w:t>
      </w:r>
      <w:bookmarkEnd w:id="673"/>
      <w:bookmarkEnd w:id="674"/>
      <w:bookmarkEnd w:id="675"/>
      <w:bookmarkEnd w:id="676"/>
      <w:bookmarkEnd w:id="677"/>
      <w:bookmarkEnd w:id="681"/>
      <w:bookmarkEnd w:id="682"/>
      <w:bookmarkEnd w:id="683"/>
    </w:p>
    <w:p w14:paraId="515C565B">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57D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8142AB9">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09C1DA4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4193F2F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33EC4DA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F87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998F9C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0E17529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72CB7F4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1B55B47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74C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1CE194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27D6362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0407ED2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1C1F93D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068D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59DF456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5C34FAA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40CA71F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74732F9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0DDABB27">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40C8512A">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2B5034E1">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07C45DB8">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1A75D459">
      <w:pPr>
        <w:spacing w:line="360" w:lineRule="auto"/>
        <w:ind w:firstLine="494" w:firstLineChars="206"/>
        <w:outlineLvl w:val="9"/>
        <w:rPr>
          <w:rFonts w:hint="eastAsia" w:ascii="宋体" w:hAnsi="宋体" w:eastAsia="宋体" w:cs="宋体"/>
          <w:color w:val="auto"/>
          <w:kern w:val="0"/>
          <w:sz w:val="24"/>
          <w:szCs w:val="24"/>
          <w:highlight w:val="none"/>
        </w:rPr>
      </w:pPr>
    </w:p>
    <w:p w14:paraId="61DC4977">
      <w:pPr>
        <w:spacing w:line="360" w:lineRule="auto"/>
        <w:ind w:firstLine="494" w:firstLineChars="206"/>
        <w:outlineLvl w:val="9"/>
        <w:rPr>
          <w:rFonts w:hint="eastAsia" w:ascii="宋体" w:hAnsi="宋体" w:eastAsia="宋体" w:cs="宋体"/>
          <w:color w:val="auto"/>
          <w:kern w:val="0"/>
          <w:sz w:val="24"/>
          <w:szCs w:val="24"/>
          <w:highlight w:val="none"/>
        </w:rPr>
      </w:pPr>
    </w:p>
    <w:p w14:paraId="3EF62768">
      <w:pPr>
        <w:spacing w:line="360" w:lineRule="auto"/>
        <w:ind w:firstLine="494" w:firstLineChars="206"/>
        <w:outlineLvl w:val="9"/>
        <w:rPr>
          <w:rFonts w:hint="eastAsia" w:ascii="宋体" w:hAnsi="宋体" w:eastAsia="宋体" w:cs="宋体"/>
          <w:color w:val="auto"/>
          <w:kern w:val="0"/>
          <w:sz w:val="24"/>
          <w:szCs w:val="24"/>
          <w:highlight w:val="none"/>
        </w:rPr>
      </w:pPr>
    </w:p>
    <w:p w14:paraId="6A7C5C3D">
      <w:pPr>
        <w:spacing w:line="360" w:lineRule="auto"/>
        <w:ind w:right="368" w:rightChars="175" w:firstLine="5460" w:firstLineChars="26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0E3A52B9">
      <w:pPr>
        <w:autoSpaceDE w:val="0"/>
        <w:autoSpaceDN w:val="0"/>
        <w:adjustRightInd w:val="0"/>
        <w:spacing w:line="360" w:lineRule="auto"/>
        <w:ind w:right="781" w:rightChars="372" w:firstLine="2811" w:firstLineChars="1339"/>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27A6DF29">
      <w:pPr>
        <w:outlineLvl w:val="9"/>
        <w:rPr>
          <w:rFonts w:hint="eastAsia" w:ascii="宋体" w:hAnsi="宋体" w:eastAsia="宋体" w:cs="宋体"/>
          <w:color w:val="auto"/>
          <w:szCs w:val="24"/>
          <w:highlight w:val="none"/>
          <w:lang w:val="zh-CN"/>
        </w:rPr>
      </w:pPr>
      <w:bookmarkStart w:id="684" w:name="_Toc30939"/>
      <w:bookmarkStart w:id="685" w:name="_Toc102860423"/>
      <w:bookmarkStart w:id="686" w:name="_Toc142508374"/>
      <w:bookmarkStart w:id="687" w:name="_Toc1977731"/>
      <w:bookmarkStart w:id="688" w:name="_Toc6412"/>
      <w:bookmarkStart w:id="689" w:name="_Toc94107215"/>
      <w:bookmarkStart w:id="690" w:name="_Toc533708126"/>
      <w:bookmarkStart w:id="691" w:name="_Toc140596934"/>
      <w:bookmarkStart w:id="692" w:name="_Toc104991881"/>
      <w:bookmarkStart w:id="693" w:name="_Toc102860079"/>
      <w:bookmarkStart w:id="694" w:name="_Toc2031_WPSOffice_Level2"/>
      <w:bookmarkStart w:id="695" w:name="_Toc486167714"/>
      <w:r>
        <w:rPr>
          <w:rFonts w:hint="eastAsia" w:ascii="宋体" w:hAnsi="宋体" w:eastAsia="宋体" w:cs="宋体"/>
          <w:color w:val="auto"/>
          <w:szCs w:val="24"/>
          <w:highlight w:val="none"/>
          <w:lang w:val="zh-CN"/>
        </w:rPr>
        <w:br w:type="page"/>
      </w:r>
    </w:p>
    <w:p w14:paraId="40EB1FC2">
      <w:pPr>
        <w:tabs>
          <w:tab w:val="left" w:pos="567"/>
        </w:tabs>
        <w:autoSpaceDE w:val="0"/>
        <w:autoSpaceDN w:val="0"/>
        <w:adjustRightInd w:val="0"/>
        <w:spacing w:line="360" w:lineRule="auto"/>
        <w:jc w:val="left"/>
        <w:outlineLvl w:val="9"/>
        <w:rPr>
          <w:rFonts w:hint="eastAsia" w:ascii="宋体" w:hAnsi="宋体" w:eastAsia="宋体" w:cs="宋体"/>
          <w:color w:val="auto"/>
          <w:kern w:val="0"/>
          <w:szCs w:val="21"/>
          <w:highlight w:val="none"/>
          <w:u w:val="single"/>
        </w:rPr>
      </w:pPr>
      <w:bookmarkStart w:id="696" w:name="_Toc175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84"/>
      <w:bookmarkEnd w:id="685"/>
      <w:bookmarkEnd w:id="686"/>
      <w:bookmarkEnd w:id="687"/>
      <w:bookmarkEnd w:id="688"/>
      <w:bookmarkEnd w:id="689"/>
      <w:bookmarkEnd w:id="690"/>
      <w:bookmarkEnd w:id="691"/>
      <w:bookmarkEnd w:id="692"/>
      <w:bookmarkEnd w:id="693"/>
      <w:bookmarkEnd w:id="694"/>
      <w:bookmarkEnd w:id="695"/>
      <w:bookmarkEnd w:id="696"/>
    </w:p>
    <w:p w14:paraId="49837F46">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697" w:name="_Toc2773_WPSOffice_Level3"/>
      <w:r>
        <w:rPr>
          <w:rFonts w:hint="eastAsia" w:ascii="宋体" w:hAnsi="宋体" w:eastAsia="宋体" w:cs="宋体"/>
          <w:b/>
          <w:bCs/>
          <w:color w:val="auto"/>
          <w:sz w:val="30"/>
          <w:szCs w:val="30"/>
          <w:highlight w:val="none"/>
          <w:lang w:val="zh-CN"/>
        </w:rPr>
        <w:t>投标人基本情况一览表</w:t>
      </w:r>
      <w:bookmarkEnd w:id="697"/>
    </w:p>
    <w:p w14:paraId="3E5B09E8">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74428C50">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355557A0">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73166E16">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53FE510B">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25C2AE81">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7BBF0C4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75F249D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0E561888">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296ECED4">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3FDCE64F">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4BFD337C">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121F3866">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2581500D">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5C5B7D70">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6984A35E">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0966E886">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7D2A42BC">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02C926BE">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8AB4277">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6CA44DED">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3D4F6C98">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543BF292">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587F2DC">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4B6A077D">
      <w:pPr>
        <w:autoSpaceDE w:val="0"/>
        <w:autoSpaceDN w:val="0"/>
        <w:adjustRightInd w:val="0"/>
        <w:spacing w:line="360" w:lineRule="auto"/>
        <w:ind w:right="368" w:rightChars="175"/>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4B1C964">
      <w:pPr>
        <w:autoSpaceDE w:val="0"/>
        <w:autoSpaceDN w:val="0"/>
        <w:adjustRightInd w:val="0"/>
        <w:spacing w:line="360" w:lineRule="auto"/>
        <w:ind w:right="368" w:rightChars="175" w:firstLine="6237"/>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1DDCC90">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98" w:name="_Toc94107216"/>
      <w:bookmarkStart w:id="699" w:name="_Toc104991882"/>
      <w:bookmarkStart w:id="700" w:name="_Toc102860424"/>
      <w:bookmarkStart w:id="701" w:name="_Toc140596935"/>
      <w:bookmarkStart w:id="702" w:name="_Toc102860080"/>
      <w:bookmarkStart w:id="703" w:name="_Toc142508375"/>
      <w:bookmarkStart w:id="704" w:name="_Toc10443"/>
      <w:bookmarkStart w:id="705" w:name="_Toc29014"/>
      <w:bookmarkStart w:id="706" w:name="_Toc4023"/>
      <w:bookmarkStart w:id="707" w:name="_Toc1977733"/>
      <w:bookmarkStart w:id="708" w:name="_Toc533708128"/>
      <w:bookmarkStart w:id="709" w:name="_Toc9051_WPSOffice_Level2"/>
      <w:bookmarkStart w:id="710"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98"/>
      <w:bookmarkEnd w:id="699"/>
      <w:bookmarkEnd w:id="700"/>
      <w:bookmarkEnd w:id="701"/>
      <w:bookmarkEnd w:id="702"/>
      <w:bookmarkEnd w:id="703"/>
      <w:bookmarkEnd w:id="704"/>
      <w:bookmarkEnd w:id="705"/>
      <w:bookmarkEnd w:id="706"/>
    </w:p>
    <w:p w14:paraId="173F58BB">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57D4056B">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4D403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CA04E9A">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62122AE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6313C95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3B6377B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05E64AD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03189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CA551E4">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5D8E0FC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5A22061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30C11C4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04967B2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3771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B1850A0">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03DFBDA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367794E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4F7CCF9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9C8B69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A8BD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7A4184E">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14:paraId="749CFFA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3E06C9C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6712DEA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69FB4B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93AA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115BC5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4C454BF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6276015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654E2594">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078DECD">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34EC939B">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5076BEBB">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1F82B88D">
      <w:pPr>
        <w:autoSpaceDE w:val="0"/>
        <w:autoSpaceDN w:val="0"/>
        <w:adjustRightInd w:val="0"/>
        <w:spacing w:line="360" w:lineRule="auto"/>
        <w:ind w:firstLine="6249" w:firstLineChars="2976"/>
        <w:outlineLvl w:val="9"/>
        <w:rPr>
          <w:rFonts w:hint="eastAsia"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707"/>
    <w:bookmarkEnd w:id="708"/>
    <w:bookmarkEnd w:id="709"/>
    <w:bookmarkEnd w:id="710"/>
    <w:p w14:paraId="408F012D">
      <w:pPr>
        <w:tabs>
          <w:tab w:val="left" w:pos="567"/>
        </w:tabs>
        <w:autoSpaceDE w:val="0"/>
        <w:autoSpaceDN w:val="0"/>
        <w:adjustRightInd w:val="0"/>
        <w:spacing w:line="360" w:lineRule="auto"/>
        <w:ind w:left="421" w:hanging="421" w:hangingChars="131"/>
        <w:jc w:val="left"/>
        <w:outlineLvl w:val="9"/>
        <w:rPr>
          <w:rFonts w:hint="eastAsia" w:ascii="宋体" w:hAnsi="宋体" w:eastAsia="宋体" w:cs="宋体"/>
          <w:b/>
          <w:color w:val="auto"/>
          <w:kern w:val="0"/>
          <w:sz w:val="32"/>
          <w:szCs w:val="32"/>
          <w:highlight w:val="none"/>
          <w:lang w:val="zh-CN"/>
        </w:rPr>
      </w:pPr>
      <w:bookmarkStart w:id="711" w:name="_Toc486167716"/>
      <w:bookmarkStart w:id="712" w:name="_Toc533708130"/>
      <w:bookmarkStart w:id="713" w:name="_Toc102860425"/>
      <w:bookmarkStart w:id="714" w:name="_Toc17995"/>
      <w:bookmarkStart w:id="715" w:name="_Toc102860081"/>
      <w:bookmarkStart w:id="716" w:name="_Toc739_WPSOffice_Level2"/>
      <w:bookmarkStart w:id="717" w:name="_Toc104991883"/>
      <w:bookmarkStart w:id="718" w:name="_Toc142508376"/>
      <w:bookmarkStart w:id="719" w:name="_Toc140596936"/>
      <w:bookmarkStart w:id="720" w:name="_Toc333"/>
      <w:bookmarkStart w:id="721" w:name="_Toc94107217"/>
      <w:bookmarkStart w:id="722" w:name="_Toc1977736"/>
      <w:bookmarkStart w:id="723" w:name="_Toc26821"/>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711"/>
      <w:bookmarkEnd w:id="712"/>
      <w:bookmarkEnd w:id="713"/>
      <w:bookmarkEnd w:id="714"/>
      <w:bookmarkEnd w:id="715"/>
      <w:bookmarkEnd w:id="716"/>
      <w:bookmarkEnd w:id="717"/>
      <w:bookmarkEnd w:id="718"/>
      <w:bookmarkEnd w:id="719"/>
      <w:bookmarkEnd w:id="720"/>
      <w:bookmarkEnd w:id="721"/>
      <w:bookmarkEnd w:id="722"/>
      <w:bookmarkEnd w:id="723"/>
    </w:p>
    <w:p w14:paraId="224A497D">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724" w:name="_Toc26412_WPSOffice_Level3"/>
      <w:r>
        <w:rPr>
          <w:rFonts w:hint="eastAsia" w:ascii="宋体" w:hAnsi="宋体" w:eastAsia="宋体" w:cs="宋体"/>
          <w:b/>
          <w:bCs/>
          <w:color w:val="auto"/>
          <w:kern w:val="0"/>
          <w:sz w:val="28"/>
          <w:szCs w:val="30"/>
          <w:highlight w:val="none"/>
          <w:lang w:val="zh-CN"/>
        </w:rPr>
        <w:t>东莞市水务环境投资控股集团管网有限公司2026至2028年度公众责任险采购项目合同条款偏离表</w:t>
      </w:r>
      <w:bookmarkEnd w:id="724"/>
    </w:p>
    <w:tbl>
      <w:tblPr>
        <w:tblStyle w:val="3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298"/>
        <w:gridCol w:w="2788"/>
        <w:gridCol w:w="1226"/>
        <w:gridCol w:w="3214"/>
      </w:tblGrid>
      <w:tr w14:paraId="4F01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1" w:type="pct"/>
            <w:vMerge w:val="restart"/>
            <w:vAlign w:val="center"/>
          </w:tcPr>
          <w:p w14:paraId="2C2244E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0" w:type="pct"/>
            <w:gridSpan w:val="2"/>
            <w:vAlign w:val="center"/>
          </w:tcPr>
          <w:p w14:paraId="4E1D0FB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2347" w:type="pct"/>
            <w:gridSpan w:val="2"/>
            <w:vAlign w:val="center"/>
          </w:tcPr>
          <w:p w14:paraId="0E737F1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DF3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91" w:type="pct"/>
            <w:vMerge w:val="continue"/>
            <w:vAlign w:val="center"/>
          </w:tcPr>
          <w:p w14:paraId="422E840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686" w:type="pct"/>
            <w:vAlign w:val="center"/>
          </w:tcPr>
          <w:p w14:paraId="4208696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1473" w:type="pct"/>
            <w:vAlign w:val="center"/>
          </w:tcPr>
          <w:p w14:paraId="237545F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648" w:type="pct"/>
            <w:vAlign w:val="center"/>
          </w:tcPr>
          <w:p w14:paraId="386A36F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1699" w:type="pct"/>
            <w:vAlign w:val="center"/>
          </w:tcPr>
          <w:p w14:paraId="1C741CD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CF2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871844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6" w:type="pct"/>
            <w:vAlign w:val="center"/>
          </w:tcPr>
          <w:p w14:paraId="0F103DB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一、</w:t>
            </w:r>
          </w:p>
        </w:tc>
        <w:tc>
          <w:tcPr>
            <w:tcW w:w="1473" w:type="pct"/>
            <w:vAlign w:val="center"/>
          </w:tcPr>
          <w:p w14:paraId="00BB86C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sz w:val="21"/>
                <w:szCs w:val="21"/>
                <w:highlight w:val="none"/>
                <w:lang w:val="en-US" w:eastAsia="zh-CN"/>
              </w:rPr>
              <w:t>合同说明</w:t>
            </w:r>
          </w:p>
        </w:tc>
        <w:tc>
          <w:tcPr>
            <w:tcW w:w="648" w:type="pct"/>
            <w:vAlign w:val="center"/>
          </w:tcPr>
          <w:p w14:paraId="0CFD9C8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7511EEF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6B9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6EC043F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86" w:type="pct"/>
            <w:vAlign w:val="center"/>
          </w:tcPr>
          <w:p w14:paraId="1B06071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二、</w:t>
            </w:r>
          </w:p>
        </w:tc>
        <w:tc>
          <w:tcPr>
            <w:tcW w:w="1473" w:type="pct"/>
            <w:vAlign w:val="center"/>
          </w:tcPr>
          <w:p w14:paraId="579535D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b/>
                <w:bCs/>
                <w:color w:val="auto"/>
                <w:sz w:val="21"/>
                <w:szCs w:val="21"/>
                <w:highlight w:val="none"/>
                <w:lang w:val="en-US" w:eastAsia="zh-CN"/>
              </w:rPr>
              <w:t>投保方式</w:t>
            </w:r>
          </w:p>
        </w:tc>
        <w:tc>
          <w:tcPr>
            <w:tcW w:w="648" w:type="pct"/>
            <w:vAlign w:val="center"/>
          </w:tcPr>
          <w:p w14:paraId="405B629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4062167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D42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3CC9B4A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686" w:type="pct"/>
            <w:vAlign w:val="center"/>
          </w:tcPr>
          <w:p w14:paraId="2E6F6D4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w:t>
            </w:r>
          </w:p>
        </w:tc>
        <w:tc>
          <w:tcPr>
            <w:tcW w:w="1473" w:type="pct"/>
            <w:vAlign w:val="center"/>
          </w:tcPr>
          <w:p w14:paraId="443321E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sz w:val="21"/>
                <w:szCs w:val="21"/>
                <w:highlight w:val="none"/>
                <w:lang w:val="en-US" w:eastAsia="zh-CN"/>
              </w:rPr>
              <w:t>保险人与被保险人</w:t>
            </w:r>
          </w:p>
        </w:tc>
        <w:tc>
          <w:tcPr>
            <w:tcW w:w="648" w:type="pct"/>
            <w:vAlign w:val="center"/>
          </w:tcPr>
          <w:p w14:paraId="72858DE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659911D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F10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AD4E1B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686" w:type="pct"/>
            <w:vAlign w:val="center"/>
          </w:tcPr>
          <w:p w14:paraId="2EC42CB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四、</w:t>
            </w:r>
          </w:p>
        </w:tc>
        <w:tc>
          <w:tcPr>
            <w:tcW w:w="1473" w:type="pct"/>
            <w:vAlign w:val="center"/>
          </w:tcPr>
          <w:p w14:paraId="28950BB8">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b/>
                <w:color w:val="auto"/>
                <w:szCs w:val="21"/>
                <w:highlight w:val="none"/>
                <w:lang w:val="en-US" w:eastAsia="zh-CN"/>
              </w:rPr>
              <w:t>受益人</w:t>
            </w:r>
          </w:p>
        </w:tc>
        <w:tc>
          <w:tcPr>
            <w:tcW w:w="648" w:type="pct"/>
            <w:vAlign w:val="center"/>
          </w:tcPr>
          <w:p w14:paraId="2C3A900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1AA22BA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EC5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51B4F8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686" w:type="pct"/>
            <w:vAlign w:val="center"/>
          </w:tcPr>
          <w:p w14:paraId="3F6887C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五、</w:t>
            </w:r>
          </w:p>
        </w:tc>
        <w:tc>
          <w:tcPr>
            <w:tcW w:w="1473" w:type="pct"/>
            <w:vAlign w:val="center"/>
          </w:tcPr>
          <w:p w14:paraId="6BB7CED2">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b/>
                <w:bCs/>
                <w:color w:val="auto"/>
                <w:sz w:val="21"/>
                <w:szCs w:val="21"/>
                <w:highlight w:val="none"/>
                <w:lang w:val="en-US" w:eastAsia="zh-CN"/>
              </w:rPr>
              <w:t>保险计划</w:t>
            </w:r>
          </w:p>
        </w:tc>
        <w:tc>
          <w:tcPr>
            <w:tcW w:w="648" w:type="pct"/>
            <w:vAlign w:val="center"/>
          </w:tcPr>
          <w:p w14:paraId="53F9CCD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45F93E6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D40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D7FEBC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686" w:type="pct"/>
            <w:vAlign w:val="center"/>
          </w:tcPr>
          <w:p w14:paraId="12378AC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w:t>
            </w:r>
          </w:p>
        </w:tc>
        <w:tc>
          <w:tcPr>
            <w:tcW w:w="2788" w:type="dxa"/>
            <w:vAlign w:val="center"/>
          </w:tcPr>
          <w:p w14:paraId="7DC8B19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sz w:val="21"/>
                <w:szCs w:val="21"/>
                <w:highlight w:val="none"/>
                <w:lang w:val="en-US" w:eastAsia="zh-CN"/>
              </w:rPr>
              <w:t>保险条件</w:t>
            </w:r>
          </w:p>
        </w:tc>
        <w:tc>
          <w:tcPr>
            <w:tcW w:w="648" w:type="pct"/>
            <w:vAlign w:val="center"/>
          </w:tcPr>
          <w:p w14:paraId="1EA0685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089C074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72F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6074E24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686" w:type="pct"/>
            <w:vAlign w:val="center"/>
          </w:tcPr>
          <w:p w14:paraId="503EA8E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w:t>
            </w:r>
          </w:p>
        </w:tc>
        <w:tc>
          <w:tcPr>
            <w:tcW w:w="2788" w:type="dxa"/>
            <w:vAlign w:val="center"/>
          </w:tcPr>
          <w:p w14:paraId="4542FE1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sz w:val="21"/>
                <w:szCs w:val="21"/>
                <w:highlight w:val="none"/>
                <w:lang w:val="en-US" w:eastAsia="zh-CN"/>
              </w:rPr>
              <w:t>保险责任</w:t>
            </w:r>
          </w:p>
        </w:tc>
        <w:tc>
          <w:tcPr>
            <w:tcW w:w="648" w:type="pct"/>
            <w:vAlign w:val="center"/>
          </w:tcPr>
          <w:p w14:paraId="2A89149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3CC45C4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1F6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915E85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686" w:type="pct"/>
            <w:vAlign w:val="center"/>
          </w:tcPr>
          <w:p w14:paraId="030C011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w:t>
            </w:r>
          </w:p>
        </w:tc>
        <w:tc>
          <w:tcPr>
            <w:tcW w:w="2788" w:type="dxa"/>
            <w:vAlign w:val="center"/>
          </w:tcPr>
          <w:p w14:paraId="7642B60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保险服务要求</w:t>
            </w:r>
          </w:p>
        </w:tc>
        <w:tc>
          <w:tcPr>
            <w:tcW w:w="648" w:type="pct"/>
            <w:vAlign w:val="center"/>
          </w:tcPr>
          <w:p w14:paraId="5F31A5F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77935F2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956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2588F6E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686" w:type="pct"/>
            <w:vAlign w:val="center"/>
          </w:tcPr>
          <w:p w14:paraId="1A64DD3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w:t>
            </w:r>
          </w:p>
        </w:tc>
        <w:tc>
          <w:tcPr>
            <w:tcW w:w="2788" w:type="dxa"/>
            <w:vAlign w:val="center"/>
          </w:tcPr>
          <w:p w14:paraId="5184836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b/>
                <w:bCs/>
                <w:color w:val="auto"/>
                <w:sz w:val="21"/>
                <w:szCs w:val="21"/>
                <w:highlight w:val="none"/>
                <w:lang w:val="en-US"/>
              </w:rPr>
              <w:t>保险责任期间</w:t>
            </w:r>
          </w:p>
        </w:tc>
        <w:tc>
          <w:tcPr>
            <w:tcW w:w="648" w:type="pct"/>
            <w:vAlign w:val="center"/>
          </w:tcPr>
          <w:p w14:paraId="4DEA6A0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3E30491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CFD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78CF772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686" w:type="pct"/>
            <w:vAlign w:val="center"/>
          </w:tcPr>
          <w:p w14:paraId="298B676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w:t>
            </w:r>
          </w:p>
        </w:tc>
        <w:tc>
          <w:tcPr>
            <w:tcW w:w="2788" w:type="dxa"/>
            <w:vAlign w:val="center"/>
          </w:tcPr>
          <w:p w14:paraId="5F71B4E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b/>
                <w:color w:val="auto"/>
                <w:spacing w:val="0"/>
                <w:sz w:val="21"/>
                <w:szCs w:val="21"/>
                <w:highlight w:val="none"/>
                <w:lang w:val="en-US"/>
              </w:rPr>
              <w:t>附加险</w:t>
            </w:r>
          </w:p>
        </w:tc>
        <w:tc>
          <w:tcPr>
            <w:tcW w:w="648" w:type="pct"/>
            <w:vAlign w:val="center"/>
          </w:tcPr>
          <w:p w14:paraId="136BA80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0E212C3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E2D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3189BD7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686" w:type="pct"/>
            <w:vAlign w:val="center"/>
          </w:tcPr>
          <w:p w14:paraId="6216AFC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w:t>
            </w:r>
          </w:p>
        </w:tc>
        <w:tc>
          <w:tcPr>
            <w:tcW w:w="2788" w:type="dxa"/>
            <w:vAlign w:val="center"/>
          </w:tcPr>
          <w:p w14:paraId="0525D52A">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sz w:val="21"/>
                <w:szCs w:val="21"/>
                <w:highlight w:val="none"/>
                <w:lang w:val="en-US"/>
              </w:rPr>
              <w:t>履约担保</w:t>
            </w:r>
          </w:p>
        </w:tc>
        <w:tc>
          <w:tcPr>
            <w:tcW w:w="648" w:type="pct"/>
            <w:vAlign w:val="center"/>
          </w:tcPr>
          <w:p w14:paraId="2494FDC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55D5AB1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342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A332D9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686" w:type="pct"/>
            <w:vAlign w:val="center"/>
          </w:tcPr>
          <w:p w14:paraId="40EDA6E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w:t>
            </w:r>
          </w:p>
        </w:tc>
        <w:tc>
          <w:tcPr>
            <w:tcW w:w="2788" w:type="dxa"/>
            <w:vAlign w:val="center"/>
          </w:tcPr>
          <w:p w14:paraId="7DF112E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特别约定</w:t>
            </w:r>
          </w:p>
        </w:tc>
        <w:tc>
          <w:tcPr>
            <w:tcW w:w="648" w:type="pct"/>
            <w:vAlign w:val="center"/>
          </w:tcPr>
          <w:p w14:paraId="3D2A12E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0DECB02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8C5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EBAE78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686" w:type="pct"/>
            <w:vAlign w:val="center"/>
          </w:tcPr>
          <w:p w14:paraId="0311819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w:t>
            </w:r>
          </w:p>
        </w:tc>
        <w:tc>
          <w:tcPr>
            <w:tcW w:w="2788" w:type="dxa"/>
            <w:vAlign w:val="center"/>
          </w:tcPr>
          <w:p w14:paraId="30F454F9">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sz w:val="21"/>
                <w:szCs w:val="21"/>
                <w:highlight w:val="none"/>
                <w:lang w:val="en-US"/>
              </w:rPr>
              <w:t>保险费交纳</w:t>
            </w:r>
          </w:p>
        </w:tc>
        <w:tc>
          <w:tcPr>
            <w:tcW w:w="648" w:type="pct"/>
            <w:vAlign w:val="center"/>
          </w:tcPr>
          <w:p w14:paraId="158E035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7B7C472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064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55E7F3C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686" w:type="pct"/>
            <w:vAlign w:val="center"/>
          </w:tcPr>
          <w:p w14:paraId="3F16942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w:t>
            </w:r>
          </w:p>
        </w:tc>
        <w:tc>
          <w:tcPr>
            <w:tcW w:w="2788" w:type="dxa"/>
            <w:vAlign w:val="center"/>
          </w:tcPr>
          <w:p w14:paraId="16AC8DA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sz w:val="21"/>
                <w:szCs w:val="21"/>
                <w:highlight w:val="none"/>
                <w:lang w:val="en-US"/>
              </w:rPr>
              <w:t>赔偿处理</w:t>
            </w:r>
          </w:p>
        </w:tc>
        <w:tc>
          <w:tcPr>
            <w:tcW w:w="648" w:type="pct"/>
            <w:vAlign w:val="center"/>
          </w:tcPr>
          <w:p w14:paraId="4673A8B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59FB094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4B6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23DF9A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686" w:type="pct"/>
            <w:vAlign w:val="center"/>
          </w:tcPr>
          <w:p w14:paraId="293115D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color w:val="auto"/>
                <w:spacing w:val="0"/>
                <w:sz w:val="21"/>
                <w:szCs w:val="21"/>
                <w:highlight w:val="none"/>
              </w:rPr>
              <w:t>十</w:t>
            </w:r>
            <w:r>
              <w:rPr>
                <w:rFonts w:hint="eastAsia" w:ascii="宋体" w:hAnsi="宋体" w:eastAsia="宋体" w:cs="宋体"/>
                <w:b/>
                <w:color w:val="auto"/>
                <w:spacing w:val="0"/>
                <w:sz w:val="21"/>
                <w:szCs w:val="21"/>
                <w:highlight w:val="none"/>
                <w:lang w:val="en-US" w:eastAsia="zh-CN"/>
              </w:rPr>
              <w:t>五</w:t>
            </w:r>
            <w:r>
              <w:rPr>
                <w:rFonts w:hint="eastAsia" w:ascii="宋体" w:hAnsi="宋体" w:eastAsia="宋体" w:cs="宋体"/>
                <w:b/>
                <w:color w:val="auto"/>
                <w:spacing w:val="0"/>
                <w:sz w:val="21"/>
                <w:szCs w:val="21"/>
                <w:highlight w:val="none"/>
              </w:rPr>
              <w:t>、</w:t>
            </w:r>
          </w:p>
        </w:tc>
        <w:tc>
          <w:tcPr>
            <w:tcW w:w="2788" w:type="dxa"/>
            <w:vAlign w:val="center"/>
          </w:tcPr>
          <w:p w14:paraId="47B77D9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b/>
                <w:color w:val="auto"/>
                <w:spacing w:val="0"/>
                <w:sz w:val="21"/>
                <w:szCs w:val="21"/>
                <w:highlight w:val="none"/>
                <w:lang w:val="en-US"/>
              </w:rPr>
              <w:t>合同变更或终止</w:t>
            </w:r>
          </w:p>
        </w:tc>
        <w:tc>
          <w:tcPr>
            <w:tcW w:w="648" w:type="pct"/>
            <w:vAlign w:val="center"/>
          </w:tcPr>
          <w:p w14:paraId="0ADD9BD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505B056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F77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5E4F674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686" w:type="pct"/>
            <w:vAlign w:val="center"/>
          </w:tcPr>
          <w:p w14:paraId="64098046">
            <w:pPr>
              <w:autoSpaceDE w:val="0"/>
              <w:autoSpaceDN w:val="0"/>
              <w:adjustRightInd w:val="0"/>
              <w:spacing w:line="400" w:lineRule="exact"/>
              <w:jc w:val="center"/>
              <w:outlineLvl w:val="9"/>
              <w:rPr>
                <w:rFonts w:hint="eastAsia" w:ascii="宋体" w:hAnsi="宋体" w:eastAsia="宋体" w:cs="宋体"/>
                <w:b/>
                <w:color w:val="auto"/>
                <w:spacing w:val="0"/>
                <w:sz w:val="21"/>
                <w:szCs w:val="21"/>
                <w:highlight w:val="none"/>
                <w:lang w:val="en-US" w:eastAsia="zh-CN"/>
              </w:rPr>
            </w:pPr>
            <w:r>
              <w:rPr>
                <w:rFonts w:hint="eastAsia" w:ascii="宋体" w:hAnsi="宋体" w:eastAsia="宋体" w:cs="宋体"/>
                <w:b/>
                <w:color w:val="auto"/>
                <w:spacing w:val="0"/>
                <w:sz w:val="21"/>
                <w:szCs w:val="21"/>
                <w:highlight w:val="none"/>
                <w:lang w:val="en-US" w:eastAsia="zh-CN"/>
              </w:rPr>
              <w:t>十六、</w:t>
            </w:r>
          </w:p>
        </w:tc>
        <w:tc>
          <w:tcPr>
            <w:tcW w:w="2788" w:type="dxa"/>
            <w:vAlign w:val="center"/>
          </w:tcPr>
          <w:p w14:paraId="24D4A0CB">
            <w:pPr>
              <w:autoSpaceDE w:val="0"/>
              <w:autoSpaceDN w:val="0"/>
              <w:adjustRightInd w:val="0"/>
              <w:spacing w:line="400" w:lineRule="exact"/>
              <w:jc w:val="center"/>
              <w:outlineLvl w:val="9"/>
              <w:rPr>
                <w:rFonts w:hint="eastAsia" w:ascii="宋体" w:hAnsi="宋体" w:eastAsia="宋体" w:cs="宋体"/>
                <w:b/>
                <w:color w:val="auto"/>
                <w:spacing w:val="0"/>
                <w:sz w:val="21"/>
                <w:szCs w:val="21"/>
                <w:highlight w:val="none"/>
                <w:lang w:val="en-US" w:eastAsia="zh-CN"/>
              </w:rPr>
            </w:pPr>
            <w:r>
              <w:rPr>
                <w:rFonts w:hint="eastAsia" w:ascii="宋体" w:hAnsi="宋体" w:eastAsia="宋体" w:cs="宋体"/>
                <w:b/>
                <w:color w:val="auto"/>
                <w:spacing w:val="0"/>
                <w:sz w:val="21"/>
                <w:szCs w:val="21"/>
                <w:highlight w:val="none"/>
                <w:lang w:val="en-US" w:eastAsia="zh-CN"/>
              </w:rPr>
              <w:t>违约责任</w:t>
            </w:r>
          </w:p>
        </w:tc>
        <w:tc>
          <w:tcPr>
            <w:tcW w:w="648" w:type="pct"/>
            <w:vAlign w:val="center"/>
          </w:tcPr>
          <w:p w14:paraId="2A2D85A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12E1165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B1C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2823E257">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686" w:type="pct"/>
            <w:vAlign w:val="center"/>
          </w:tcPr>
          <w:p w14:paraId="5E6BD828">
            <w:pPr>
              <w:autoSpaceDE w:val="0"/>
              <w:autoSpaceDN w:val="0"/>
              <w:adjustRightInd w:val="0"/>
              <w:spacing w:line="400" w:lineRule="exact"/>
              <w:jc w:val="center"/>
              <w:outlineLvl w:val="9"/>
              <w:rPr>
                <w:rFonts w:hint="default" w:ascii="宋体" w:hAnsi="宋体" w:eastAsia="宋体" w:cs="宋体"/>
                <w:b/>
                <w:color w:val="auto"/>
                <w:spacing w:val="0"/>
                <w:sz w:val="21"/>
                <w:szCs w:val="21"/>
                <w:highlight w:val="none"/>
                <w:lang w:val="en-US" w:eastAsia="zh-CN"/>
              </w:rPr>
            </w:pPr>
            <w:r>
              <w:rPr>
                <w:rFonts w:hint="eastAsia" w:ascii="宋体" w:hAnsi="宋体" w:eastAsia="宋体" w:cs="宋体"/>
                <w:b/>
                <w:color w:val="auto"/>
                <w:spacing w:val="0"/>
                <w:sz w:val="21"/>
                <w:szCs w:val="21"/>
                <w:highlight w:val="none"/>
                <w:lang w:val="en-US" w:eastAsia="zh-CN"/>
              </w:rPr>
              <w:t>十七、</w:t>
            </w:r>
          </w:p>
        </w:tc>
        <w:tc>
          <w:tcPr>
            <w:tcW w:w="2788" w:type="dxa"/>
            <w:vAlign w:val="center"/>
          </w:tcPr>
          <w:p w14:paraId="6052769D">
            <w:pPr>
              <w:autoSpaceDE w:val="0"/>
              <w:autoSpaceDN w:val="0"/>
              <w:adjustRightInd w:val="0"/>
              <w:spacing w:line="400" w:lineRule="exact"/>
              <w:jc w:val="center"/>
              <w:outlineLvl w:val="9"/>
              <w:rPr>
                <w:rFonts w:hint="eastAsia" w:ascii="宋体" w:hAnsi="宋体" w:eastAsia="宋体" w:cs="宋体"/>
                <w:b/>
                <w:color w:val="auto"/>
                <w:spacing w:val="0"/>
                <w:sz w:val="21"/>
                <w:szCs w:val="21"/>
                <w:highlight w:val="none"/>
                <w:lang w:val="en-US" w:eastAsia="zh-CN"/>
              </w:rPr>
            </w:pPr>
            <w:r>
              <w:rPr>
                <w:rFonts w:hint="eastAsia" w:ascii="宋体" w:hAnsi="宋体" w:eastAsia="宋体" w:cs="宋体"/>
                <w:b/>
                <w:color w:val="auto"/>
                <w:spacing w:val="0"/>
                <w:sz w:val="21"/>
                <w:szCs w:val="21"/>
                <w:highlight w:val="none"/>
                <w:lang w:val="en-US" w:eastAsia="zh-CN"/>
              </w:rPr>
              <w:t>合同效力</w:t>
            </w:r>
          </w:p>
        </w:tc>
        <w:tc>
          <w:tcPr>
            <w:tcW w:w="648" w:type="pct"/>
            <w:vAlign w:val="center"/>
          </w:tcPr>
          <w:p w14:paraId="099C09E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4B30EB1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B25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2B773929">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686" w:type="pct"/>
            <w:vAlign w:val="center"/>
          </w:tcPr>
          <w:p w14:paraId="3975C745">
            <w:pPr>
              <w:autoSpaceDE w:val="0"/>
              <w:autoSpaceDN w:val="0"/>
              <w:adjustRightInd w:val="0"/>
              <w:spacing w:line="400" w:lineRule="exact"/>
              <w:jc w:val="center"/>
              <w:outlineLvl w:val="9"/>
              <w:rPr>
                <w:rFonts w:hint="default" w:ascii="宋体" w:hAnsi="宋体" w:eastAsia="宋体" w:cs="宋体"/>
                <w:b/>
                <w:color w:val="auto"/>
                <w:spacing w:val="0"/>
                <w:sz w:val="21"/>
                <w:szCs w:val="21"/>
                <w:highlight w:val="none"/>
                <w:lang w:val="en-US" w:eastAsia="zh-CN"/>
              </w:rPr>
            </w:pPr>
            <w:r>
              <w:rPr>
                <w:rFonts w:hint="eastAsia" w:ascii="宋体" w:hAnsi="宋体" w:eastAsia="宋体" w:cs="宋体"/>
                <w:b/>
                <w:color w:val="auto"/>
                <w:spacing w:val="0"/>
                <w:sz w:val="21"/>
                <w:szCs w:val="21"/>
                <w:highlight w:val="none"/>
                <w:lang w:val="en-US" w:eastAsia="zh-CN"/>
              </w:rPr>
              <w:t>十八、</w:t>
            </w:r>
          </w:p>
        </w:tc>
        <w:tc>
          <w:tcPr>
            <w:tcW w:w="2788" w:type="dxa"/>
            <w:vAlign w:val="center"/>
          </w:tcPr>
          <w:p w14:paraId="0A7FB368">
            <w:pPr>
              <w:autoSpaceDE w:val="0"/>
              <w:autoSpaceDN w:val="0"/>
              <w:adjustRightInd w:val="0"/>
              <w:spacing w:line="400" w:lineRule="exact"/>
              <w:jc w:val="center"/>
              <w:outlineLvl w:val="9"/>
              <w:rPr>
                <w:rFonts w:hint="eastAsia" w:ascii="宋体" w:hAnsi="宋体" w:eastAsia="宋体" w:cs="宋体"/>
                <w:b/>
                <w:color w:val="auto"/>
                <w:spacing w:val="0"/>
                <w:sz w:val="21"/>
                <w:szCs w:val="21"/>
                <w:highlight w:val="none"/>
                <w:lang w:val="en-US" w:eastAsia="zh-CN"/>
              </w:rPr>
            </w:pPr>
            <w:r>
              <w:rPr>
                <w:rFonts w:hint="eastAsia" w:ascii="宋体" w:hAnsi="宋体" w:eastAsia="宋体" w:cs="宋体"/>
                <w:b/>
                <w:color w:val="auto"/>
                <w:spacing w:val="0"/>
                <w:sz w:val="21"/>
                <w:szCs w:val="21"/>
                <w:highlight w:val="none"/>
                <w:lang w:val="en-US" w:eastAsia="zh-CN"/>
              </w:rPr>
              <w:t>保密条款</w:t>
            </w:r>
          </w:p>
        </w:tc>
        <w:tc>
          <w:tcPr>
            <w:tcW w:w="648" w:type="pct"/>
            <w:vAlign w:val="center"/>
          </w:tcPr>
          <w:p w14:paraId="6145026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082E625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399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1CE5E9F8">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686" w:type="pct"/>
            <w:vAlign w:val="center"/>
          </w:tcPr>
          <w:p w14:paraId="5592ECF3">
            <w:pPr>
              <w:autoSpaceDE w:val="0"/>
              <w:autoSpaceDN w:val="0"/>
              <w:adjustRightInd w:val="0"/>
              <w:spacing w:line="400" w:lineRule="exact"/>
              <w:jc w:val="center"/>
              <w:outlineLvl w:val="9"/>
              <w:rPr>
                <w:rFonts w:hint="default" w:ascii="宋体" w:hAnsi="宋体" w:eastAsia="宋体" w:cs="宋体"/>
                <w:b/>
                <w:color w:val="auto"/>
                <w:spacing w:val="0"/>
                <w:sz w:val="21"/>
                <w:szCs w:val="21"/>
                <w:highlight w:val="none"/>
                <w:lang w:val="en-US" w:eastAsia="zh-CN"/>
              </w:rPr>
            </w:pPr>
            <w:r>
              <w:rPr>
                <w:rFonts w:hint="eastAsia" w:ascii="宋体" w:hAnsi="宋体" w:eastAsia="宋体" w:cs="宋体"/>
                <w:b/>
                <w:color w:val="auto"/>
                <w:spacing w:val="0"/>
                <w:sz w:val="21"/>
                <w:szCs w:val="21"/>
                <w:highlight w:val="none"/>
                <w:lang w:val="en-US" w:eastAsia="zh-CN"/>
              </w:rPr>
              <w:t>十九、</w:t>
            </w:r>
          </w:p>
        </w:tc>
        <w:tc>
          <w:tcPr>
            <w:tcW w:w="2788" w:type="dxa"/>
            <w:vAlign w:val="center"/>
          </w:tcPr>
          <w:p w14:paraId="65F4F8E6">
            <w:pPr>
              <w:autoSpaceDE w:val="0"/>
              <w:autoSpaceDN w:val="0"/>
              <w:adjustRightInd w:val="0"/>
              <w:spacing w:line="400" w:lineRule="exact"/>
              <w:jc w:val="center"/>
              <w:outlineLvl w:val="9"/>
              <w:rPr>
                <w:rFonts w:hint="eastAsia" w:ascii="宋体" w:hAnsi="宋体" w:eastAsia="宋体" w:cs="宋体"/>
                <w:b/>
                <w:color w:val="auto"/>
                <w:spacing w:val="0"/>
                <w:sz w:val="21"/>
                <w:szCs w:val="21"/>
                <w:highlight w:val="none"/>
                <w:lang w:val="en-US" w:eastAsia="zh-CN"/>
              </w:rPr>
            </w:pPr>
            <w:r>
              <w:rPr>
                <w:rFonts w:hint="eastAsia" w:ascii="宋体" w:hAnsi="宋体" w:eastAsia="宋体" w:cs="宋体"/>
                <w:b/>
                <w:color w:val="auto"/>
                <w:spacing w:val="0"/>
                <w:sz w:val="21"/>
                <w:szCs w:val="21"/>
                <w:highlight w:val="none"/>
                <w:lang w:val="en-US" w:eastAsia="zh-CN"/>
              </w:rPr>
              <w:t>争议处理</w:t>
            </w:r>
          </w:p>
        </w:tc>
        <w:tc>
          <w:tcPr>
            <w:tcW w:w="648" w:type="pct"/>
            <w:vAlign w:val="center"/>
          </w:tcPr>
          <w:p w14:paraId="6945FC3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060C4F7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EA1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0275AB77">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686" w:type="pct"/>
            <w:vAlign w:val="center"/>
          </w:tcPr>
          <w:p w14:paraId="22B7D92C">
            <w:pPr>
              <w:autoSpaceDE w:val="0"/>
              <w:autoSpaceDN w:val="0"/>
              <w:adjustRightInd w:val="0"/>
              <w:spacing w:line="400" w:lineRule="exact"/>
              <w:jc w:val="center"/>
              <w:outlineLvl w:val="9"/>
              <w:rPr>
                <w:rFonts w:hint="default" w:ascii="宋体" w:hAnsi="宋体" w:eastAsia="宋体" w:cs="宋体"/>
                <w:b/>
                <w:color w:val="auto"/>
                <w:spacing w:val="0"/>
                <w:sz w:val="21"/>
                <w:szCs w:val="21"/>
                <w:highlight w:val="none"/>
                <w:lang w:val="en-US" w:eastAsia="zh-CN"/>
              </w:rPr>
            </w:pPr>
            <w:r>
              <w:rPr>
                <w:rFonts w:hint="eastAsia" w:ascii="宋体" w:hAnsi="宋体" w:eastAsia="宋体" w:cs="宋体"/>
                <w:b/>
                <w:color w:val="auto"/>
                <w:spacing w:val="0"/>
                <w:sz w:val="21"/>
                <w:szCs w:val="21"/>
                <w:highlight w:val="none"/>
                <w:lang w:val="en-US" w:eastAsia="zh-CN"/>
              </w:rPr>
              <w:t>二十、</w:t>
            </w:r>
          </w:p>
        </w:tc>
        <w:tc>
          <w:tcPr>
            <w:tcW w:w="2788" w:type="dxa"/>
            <w:vAlign w:val="center"/>
          </w:tcPr>
          <w:p w14:paraId="4E23FB85">
            <w:pPr>
              <w:autoSpaceDE w:val="0"/>
              <w:autoSpaceDN w:val="0"/>
              <w:adjustRightInd w:val="0"/>
              <w:spacing w:line="400" w:lineRule="exact"/>
              <w:jc w:val="center"/>
              <w:outlineLvl w:val="9"/>
              <w:rPr>
                <w:rFonts w:hint="eastAsia" w:ascii="宋体" w:hAnsi="宋体" w:eastAsia="宋体" w:cs="宋体"/>
                <w:b/>
                <w:color w:val="auto"/>
                <w:spacing w:val="0"/>
                <w:sz w:val="21"/>
                <w:szCs w:val="21"/>
                <w:highlight w:val="none"/>
                <w:lang w:val="en-US" w:eastAsia="zh-CN"/>
              </w:rPr>
            </w:pPr>
            <w:r>
              <w:rPr>
                <w:rFonts w:hint="eastAsia" w:ascii="宋体" w:hAnsi="宋体" w:eastAsia="宋体" w:cs="宋体"/>
                <w:b/>
                <w:color w:val="auto"/>
                <w:spacing w:val="0"/>
                <w:sz w:val="21"/>
                <w:szCs w:val="21"/>
                <w:highlight w:val="none"/>
                <w:lang w:val="en-US" w:eastAsia="zh-CN"/>
              </w:rPr>
              <w:t>送达</w:t>
            </w:r>
          </w:p>
        </w:tc>
        <w:tc>
          <w:tcPr>
            <w:tcW w:w="648" w:type="pct"/>
            <w:vAlign w:val="center"/>
          </w:tcPr>
          <w:p w14:paraId="4ED9598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5EFCBD2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B13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5A658649">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686" w:type="pct"/>
            <w:vAlign w:val="center"/>
          </w:tcPr>
          <w:p w14:paraId="6917792A">
            <w:pPr>
              <w:autoSpaceDE w:val="0"/>
              <w:autoSpaceDN w:val="0"/>
              <w:adjustRightInd w:val="0"/>
              <w:spacing w:line="400" w:lineRule="exact"/>
              <w:jc w:val="center"/>
              <w:outlineLvl w:val="9"/>
              <w:rPr>
                <w:rFonts w:hint="default" w:ascii="宋体" w:hAnsi="宋体" w:eastAsia="宋体" w:cs="宋体"/>
                <w:b/>
                <w:color w:val="auto"/>
                <w:spacing w:val="0"/>
                <w:sz w:val="21"/>
                <w:szCs w:val="21"/>
                <w:highlight w:val="none"/>
                <w:lang w:val="en-US" w:eastAsia="zh-CN"/>
              </w:rPr>
            </w:pPr>
            <w:r>
              <w:rPr>
                <w:rFonts w:hint="eastAsia" w:ascii="宋体" w:hAnsi="宋体" w:eastAsia="宋体" w:cs="宋体"/>
                <w:b/>
                <w:color w:val="auto"/>
                <w:spacing w:val="0"/>
                <w:sz w:val="21"/>
                <w:szCs w:val="21"/>
                <w:highlight w:val="none"/>
                <w:lang w:val="en-US" w:eastAsia="zh-CN"/>
              </w:rPr>
              <w:t>二十一、</w:t>
            </w:r>
          </w:p>
        </w:tc>
        <w:tc>
          <w:tcPr>
            <w:tcW w:w="2788" w:type="dxa"/>
            <w:vAlign w:val="center"/>
          </w:tcPr>
          <w:p w14:paraId="1FA5564A">
            <w:pPr>
              <w:autoSpaceDE w:val="0"/>
              <w:autoSpaceDN w:val="0"/>
              <w:adjustRightInd w:val="0"/>
              <w:spacing w:line="400" w:lineRule="exact"/>
              <w:jc w:val="center"/>
              <w:outlineLvl w:val="9"/>
              <w:rPr>
                <w:rFonts w:hint="eastAsia" w:ascii="宋体" w:hAnsi="宋体" w:eastAsia="宋体" w:cs="宋体"/>
                <w:b/>
                <w:color w:val="auto"/>
                <w:spacing w:val="0"/>
                <w:sz w:val="21"/>
                <w:szCs w:val="21"/>
                <w:highlight w:val="none"/>
                <w:lang w:val="en-US" w:eastAsia="zh-CN"/>
              </w:rPr>
            </w:pPr>
            <w:r>
              <w:rPr>
                <w:rFonts w:hint="eastAsia" w:ascii="宋体" w:hAnsi="宋体" w:eastAsia="宋体" w:cs="宋体"/>
                <w:b/>
                <w:color w:val="auto"/>
                <w:spacing w:val="0"/>
                <w:sz w:val="21"/>
                <w:szCs w:val="21"/>
                <w:highlight w:val="none"/>
                <w:lang w:val="en-US" w:eastAsia="zh-CN"/>
              </w:rPr>
              <w:t>其他事项</w:t>
            </w:r>
          </w:p>
        </w:tc>
        <w:tc>
          <w:tcPr>
            <w:tcW w:w="648" w:type="pct"/>
            <w:vAlign w:val="center"/>
          </w:tcPr>
          <w:p w14:paraId="1C07553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1F18B99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644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1" w:type="pct"/>
            <w:vAlign w:val="center"/>
          </w:tcPr>
          <w:p w14:paraId="3CE370F6">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686" w:type="pct"/>
            <w:vAlign w:val="center"/>
          </w:tcPr>
          <w:p w14:paraId="20899B7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b/>
                <w:bCs/>
                <w:color w:val="auto"/>
                <w:szCs w:val="21"/>
                <w:highlight w:val="none"/>
              </w:rPr>
              <w:t>附件</w:t>
            </w:r>
          </w:p>
        </w:tc>
        <w:tc>
          <w:tcPr>
            <w:tcW w:w="1473" w:type="pct"/>
            <w:vAlign w:val="center"/>
          </w:tcPr>
          <w:p w14:paraId="1DA62639">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一、报价表；</w:t>
            </w:r>
          </w:p>
          <w:p w14:paraId="533B285C">
            <w:pPr>
              <w:autoSpaceDE w:val="0"/>
              <w:autoSpaceDN w:val="0"/>
              <w:adjustRightInd w:val="0"/>
              <w:spacing w:line="400" w:lineRule="exact"/>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二、承诺书；</w:t>
            </w:r>
          </w:p>
          <w:p w14:paraId="4FADBFFA">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三、用户需求书；</w:t>
            </w:r>
          </w:p>
          <w:p w14:paraId="618F08C5">
            <w:pPr>
              <w:autoSpaceDE w:val="0"/>
              <w:autoSpaceDN w:val="0"/>
              <w:adjustRightInd w:val="0"/>
              <w:spacing w:line="400" w:lineRule="exact"/>
              <w:jc w:val="left"/>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四、公众责任险条款（含附加条款、特别约定）；</w:t>
            </w:r>
          </w:p>
          <w:p w14:paraId="6D760BB7">
            <w:pPr>
              <w:autoSpaceDE w:val="0"/>
              <w:autoSpaceDN w:val="0"/>
              <w:adjustRightInd w:val="0"/>
              <w:spacing w:line="400" w:lineRule="exact"/>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五、廉洁协议书；</w:t>
            </w:r>
          </w:p>
        </w:tc>
        <w:tc>
          <w:tcPr>
            <w:tcW w:w="648" w:type="pct"/>
            <w:vAlign w:val="center"/>
          </w:tcPr>
          <w:p w14:paraId="7F48733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699" w:type="pct"/>
            <w:vAlign w:val="center"/>
          </w:tcPr>
          <w:p w14:paraId="757F926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6187441D">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59F79439">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2514D245">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67873CA7">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427999B0">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4B7E21ED">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5BF979B1">
      <w:pPr>
        <w:spacing w:line="360" w:lineRule="auto"/>
        <w:ind w:left="357" w:leftChars="-100" w:hanging="567" w:hangingChars="270"/>
        <w:outlineLvl w:val="9"/>
        <w:rPr>
          <w:rFonts w:hint="eastAsia" w:ascii="宋体" w:hAnsi="宋体" w:eastAsia="宋体" w:cs="宋体"/>
          <w:color w:val="auto"/>
          <w:szCs w:val="21"/>
          <w:highlight w:val="none"/>
        </w:rPr>
      </w:pPr>
    </w:p>
    <w:p w14:paraId="55A15D47">
      <w:pPr>
        <w:spacing w:line="360" w:lineRule="auto"/>
        <w:ind w:left="357" w:leftChars="-100" w:hanging="567" w:hangingChars="270"/>
        <w:outlineLvl w:val="9"/>
        <w:rPr>
          <w:rFonts w:hint="eastAsia" w:ascii="宋体" w:hAnsi="宋体" w:eastAsia="宋体" w:cs="宋体"/>
          <w:color w:val="auto"/>
          <w:szCs w:val="21"/>
          <w:highlight w:val="none"/>
        </w:rPr>
      </w:pPr>
    </w:p>
    <w:p w14:paraId="4656DE5D">
      <w:pPr>
        <w:spacing w:line="360" w:lineRule="auto"/>
        <w:ind w:left="357" w:leftChars="-100" w:hanging="567" w:hangingChars="270"/>
        <w:outlineLvl w:val="9"/>
        <w:rPr>
          <w:rFonts w:hint="eastAsia" w:ascii="宋体" w:hAnsi="宋体" w:eastAsia="宋体" w:cs="宋体"/>
          <w:color w:val="auto"/>
          <w:szCs w:val="21"/>
          <w:highlight w:val="none"/>
        </w:rPr>
      </w:pPr>
    </w:p>
    <w:p w14:paraId="4051AA62">
      <w:pPr>
        <w:spacing w:line="360" w:lineRule="auto"/>
        <w:ind w:right="368" w:rightChars="175" w:firstLine="5355" w:firstLineChars="25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C98284E">
      <w:pPr>
        <w:autoSpaceDE w:val="0"/>
        <w:autoSpaceDN w:val="0"/>
        <w:adjustRightInd w:val="0"/>
        <w:spacing w:line="360" w:lineRule="auto"/>
        <w:ind w:firstLine="5355" w:firstLineChars="2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C031532">
      <w:pPr>
        <w:pageBreakBefore/>
        <w:spacing w:line="360" w:lineRule="auto"/>
        <w:outlineLvl w:val="9"/>
        <w:rPr>
          <w:rFonts w:hint="eastAsia" w:ascii="宋体" w:hAnsi="宋体" w:eastAsia="宋体" w:cs="宋体"/>
          <w:b/>
          <w:bCs/>
          <w:color w:val="auto"/>
          <w:kern w:val="2"/>
          <w:sz w:val="32"/>
          <w:szCs w:val="32"/>
          <w:highlight w:val="none"/>
          <w:lang w:val="zh-CN"/>
        </w:rPr>
      </w:pPr>
      <w:bookmarkStart w:id="725" w:name="_Toc102860083"/>
      <w:bookmarkStart w:id="726" w:name="_Toc142508378"/>
      <w:bookmarkStart w:id="727" w:name="_Toc31965"/>
      <w:bookmarkStart w:id="728" w:name="_Toc140596938"/>
      <w:bookmarkStart w:id="729" w:name="_Toc1977737"/>
      <w:bookmarkStart w:id="730" w:name="_Toc486167719"/>
      <w:bookmarkStart w:id="731" w:name="_Toc94107220"/>
      <w:bookmarkStart w:id="732" w:name="_Toc19890"/>
      <w:bookmarkStart w:id="733" w:name="_Toc104991885"/>
      <w:bookmarkStart w:id="734" w:name="_Toc18413"/>
      <w:bookmarkStart w:id="735" w:name="_Toc18175_WPSOffice_Level2"/>
      <w:bookmarkStart w:id="736" w:name="_Toc102860427"/>
      <w:bookmarkStart w:id="737" w:name="_Toc533708132"/>
      <w:r>
        <w:rPr>
          <w:rFonts w:hint="eastAsia" w:ascii="宋体" w:hAnsi="宋体" w:eastAsia="宋体" w:cs="宋体"/>
          <w:b/>
          <w:bCs/>
          <w:color w:val="auto"/>
          <w:kern w:val="0"/>
          <w:sz w:val="32"/>
          <w:szCs w:val="32"/>
          <w:highlight w:val="none"/>
          <w:lang w:val="en-US" w:eastAsia="zh-CN"/>
        </w:rPr>
        <w:t>九</w:t>
      </w:r>
      <w:r>
        <w:rPr>
          <w:rFonts w:hint="eastAsia" w:ascii="宋体" w:hAnsi="宋体" w:eastAsia="宋体" w:cs="宋体"/>
          <w:b/>
          <w:bCs/>
          <w:color w:val="auto"/>
          <w:kern w:val="0"/>
          <w:sz w:val="32"/>
          <w:szCs w:val="32"/>
          <w:highlight w:val="none"/>
          <w:lang w:val="zh-CN"/>
        </w:rPr>
        <w:t>、</w:t>
      </w:r>
      <w:r>
        <w:rPr>
          <w:rFonts w:hint="eastAsia" w:ascii="宋体" w:hAnsi="宋体" w:eastAsia="宋体" w:cs="宋体"/>
          <w:b/>
          <w:bCs/>
          <w:color w:val="auto"/>
          <w:kern w:val="2"/>
          <w:sz w:val="32"/>
          <w:szCs w:val="32"/>
          <w:highlight w:val="none"/>
          <w:lang w:val="zh-CN"/>
        </w:rPr>
        <w:t>中标服务费承诺书格式</w:t>
      </w:r>
    </w:p>
    <w:p w14:paraId="0B5F0EEF">
      <w:pPr>
        <w:spacing w:line="360" w:lineRule="auto"/>
        <w:jc w:val="center"/>
        <w:outlineLvl w:val="9"/>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中标服务费承诺书</w:t>
      </w:r>
    </w:p>
    <w:p w14:paraId="053E7F8A">
      <w:pPr>
        <w:spacing w:line="360" w:lineRule="auto"/>
        <w:jc w:val="both"/>
        <w:outlineLvl w:val="9"/>
        <w:rPr>
          <w:rFonts w:hint="eastAsia" w:ascii="宋体" w:hAnsi="宋体" w:eastAsia="宋体" w:cs="宋体"/>
          <w:b/>
          <w:bCs/>
          <w:color w:val="auto"/>
          <w:kern w:val="2"/>
          <w:highlight w:val="none"/>
          <w:lang w:val="zh-CN"/>
        </w:rPr>
      </w:pPr>
    </w:p>
    <w:p w14:paraId="3085DC78">
      <w:pPr>
        <w:spacing w:line="360" w:lineRule="auto"/>
        <w:jc w:val="both"/>
        <w:outlineLvl w:val="9"/>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致：广东有德招标采购有限公司</w:t>
      </w:r>
    </w:p>
    <w:p w14:paraId="65CF48DC">
      <w:pPr>
        <w:spacing w:line="360" w:lineRule="auto"/>
        <w:ind w:right="893"/>
        <w:jc w:val="both"/>
        <w:outlineLvl w:val="9"/>
        <w:rPr>
          <w:rFonts w:hint="eastAsia" w:ascii="宋体" w:hAnsi="宋体" w:eastAsia="宋体" w:cs="宋体"/>
          <w:color w:val="auto"/>
          <w:kern w:val="2"/>
          <w:sz w:val="21"/>
          <w:szCs w:val="21"/>
          <w:highlight w:val="none"/>
          <w:lang w:val="zh-CN"/>
        </w:rPr>
      </w:pPr>
    </w:p>
    <w:p w14:paraId="5310E850">
      <w:pPr>
        <w:tabs>
          <w:tab w:val="left" w:pos="-142"/>
        </w:tabs>
        <w:spacing w:line="360" w:lineRule="auto"/>
        <w:ind w:left="-31" w:leftChars="-15" w:right="18" w:firstLine="457" w:firstLineChars="218"/>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在贵司代理的</w:t>
      </w:r>
      <w:r>
        <w:rPr>
          <w:rFonts w:hint="eastAsia" w:ascii="宋体" w:hAnsi="宋体" w:eastAsia="宋体" w:cs="宋体"/>
          <w:color w:val="auto"/>
          <w:szCs w:val="21"/>
          <w:highlight w:val="none"/>
          <w:lang w:val="zh-CN"/>
        </w:rPr>
        <w:t>东莞市水务环境投资控股集团管网有限公司2026至2028年度公众责任险采购项目</w:t>
      </w:r>
      <w:r>
        <w:rPr>
          <w:rFonts w:hint="eastAsia" w:ascii="宋体" w:hAnsi="宋体" w:eastAsia="宋体" w:cs="宋体"/>
          <w:color w:val="auto"/>
          <w:kern w:val="2"/>
          <w:sz w:val="21"/>
          <w:szCs w:val="21"/>
          <w:highlight w:val="none"/>
          <w:lang w:val="zh-CN"/>
        </w:rPr>
        <w:t>（招标编号：</w:t>
      </w:r>
      <w:r>
        <w:rPr>
          <w:rFonts w:hint="eastAsia" w:ascii="宋体" w:hAnsi="宋体" w:eastAsia="宋体" w:cs="宋体"/>
          <w:color w:val="auto"/>
          <w:szCs w:val="21"/>
          <w:highlight w:val="none"/>
          <w:lang w:val="zh-CN"/>
        </w:rPr>
        <w:t>YDZB25DGQY0094</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招标中，我司如获中标，保证在领取中标通知书原件之</w:t>
      </w:r>
      <w:r>
        <w:rPr>
          <w:rFonts w:hint="eastAsia" w:ascii="宋体" w:hAnsi="宋体" w:eastAsia="宋体" w:cs="宋体"/>
          <w:color w:val="auto"/>
          <w:kern w:val="2"/>
          <w:sz w:val="21"/>
          <w:highlight w:val="none"/>
        </w:rPr>
        <w:t>前</w:t>
      </w:r>
      <w:r>
        <w:rPr>
          <w:rFonts w:hint="eastAsia" w:ascii="宋体" w:hAnsi="宋体" w:eastAsia="宋体" w:cs="宋体"/>
          <w:color w:val="auto"/>
          <w:kern w:val="2"/>
          <w:sz w:val="21"/>
          <w:highlight w:val="none"/>
          <w:lang w:val="zh-CN"/>
        </w:rPr>
        <w:t>按招标文件的规定向贵</w:t>
      </w:r>
      <w:r>
        <w:rPr>
          <w:rFonts w:hint="eastAsia" w:ascii="宋体" w:hAnsi="宋体" w:eastAsia="宋体" w:cs="宋体"/>
          <w:color w:val="auto"/>
          <w:kern w:val="2"/>
          <w:sz w:val="21"/>
          <w:szCs w:val="21"/>
          <w:highlight w:val="none"/>
          <w:lang w:val="zh-CN"/>
        </w:rPr>
        <w:t>司即广东有德招标采购有限公司指定的银行账号，一次性交纳中标服务费</w:t>
      </w:r>
      <w:r>
        <w:rPr>
          <w:rFonts w:hint="eastAsia" w:ascii="宋体" w:hAnsi="宋体" w:eastAsia="宋体" w:cs="宋体"/>
          <w:color w:val="auto"/>
          <w:kern w:val="2"/>
          <w:sz w:val="21"/>
          <w:highlight w:val="none"/>
          <w:lang w:val="zh-CN"/>
        </w:rPr>
        <w:t>。</w:t>
      </w:r>
    </w:p>
    <w:p w14:paraId="33FA2D82">
      <w:pPr>
        <w:spacing w:line="360" w:lineRule="auto"/>
        <w:ind w:right="893"/>
        <w:jc w:val="both"/>
        <w:outlineLvl w:val="9"/>
        <w:rPr>
          <w:rFonts w:hint="eastAsia" w:ascii="宋体" w:hAnsi="宋体" w:eastAsia="宋体" w:cs="宋体"/>
          <w:color w:val="auto"/>
          <w:kern w:val="2"/>
          <w:sz w:val="21"/>
          <w:szCs w:val="21"/>
          <w:highlight w:val="none"/>
          <w:lang w:val="zh-CN"/>
        </w:rPr>
      </w:pPr>
    </w:p>
    <w:p w14:paraId="2AE67BF1">
      <w:pPr>
        <w:spacing w:line="360" w:lineRule="auto"/>
        <w:ind w:right="893" w:firstLine="480"/>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特此承诺。</w:t>
      </w:r>
    </w:p>
    <w:p w14:paraId="0241BBD3">
      <w:pPr>
        <w:spacing w:line="360" w:lineRule="auto"/>
        <w:ind w:right="893"/>
        <w:jc w:val="both"/>
        <w:outlineLvl w:val="9"/>
        <w:rPr>
          <w:rFonts w:hint="eastAsia" w:ascii="宋体" w:hAnsi="宋体" w:eastAsia="宋体" w:cs="宋体"/>
          <w:color w:val="auto"/>
          <w:kern w:val="2"/>
          <w:sz w:val="21"/>
          <w:highlight w:val="none"/>
          <w:lang w:val="zh-CN"/>
        </w:rPr>
      </w:pPr>
    </w:p>
    <w:p w14:paraId="254196CC">
      <w:pPr>
        <w:spacing w:line="360" w:lineRule="auto"/>
        <w:ind w:right="893"/>
        <w:jc w:val="both"/>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地址：</w:t>
      </w:r>
      <w:r>
        <w:rPr>
          <w:rFonts w:hint="eastAsia" w:ascii="宋体" w:hAnsi="宋体" w:eastAsia="宋体" w:cs="宋体"/>
          <w:color w:val="auto"/>
          <w:kern w:val="2"/>
          <w:sz w:val="21"/>
          <w:highlight w:val="none"/>
          <w:u w:val="single"/>
          <w:lang w:val="zh-CN"/>
        </w:rPr>
        <w:t xml:space="preserve">                       </w:t>
      </w:r>
    </w:p>
    <w:p w14:paraId="1B1AC6EE">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电话：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传真： </w:t>
      </w:r>
      <w:r>
        <w:rPr>
          <w:rFonts w:hint="eastAsia" w:ascii="宋体" w:hAnsi="宋体" w:eastAsia="宋体" w:cs="宋体"/>
          <w:color w:val="auto"/>
          <w:kern w:val="2"/>
          <w:sz w:val="21"/>
          <w:highlight w:val="none"/>
          <w:u w:val="single"/>
          <w:lang w:val="zh-CN"/>
        </w:rPr>
        <w:t xml:space="preserve">                  </w:t>
      </w:r>
    </w:p>
    <w:p w14:paraId="20B40969">
      <w:pPr>
        <w:spacing w:line="360" w:lineRule="auto"/>
        <w:ind w:right="893"/>
        <w:jc w:val="both"/>
        <w:outlineLvl w:val="9"/>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 xml:space="preserve">邮箱： </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       邮编： </w:t>
      </w:r>
      <w:r>
        <w:rPr>
          <w:rFonts w:hint="eastAsia" w:ascii="宋体" w:hAnsi="宋体" w:eastAsia="宋体" w:cs="宋体"/>
          <w:color w:val="auto"/>
          <w:kern w:val="2"/>
          <w:sz w:val="21"/>
          <w:highlight w:val="none"/>
          <w:u w:val="single"/>
          <w:lang w:val="zh-CN"/>
        </w:rPr>
        <w:t xml:space="preserve">                  </w:t>
      </w:r>
    </w:p>
    <w:p w14:paraId="5246D991">
      <w:pPr>
        <w:spacing w:line="360" w:lineRule="auto"/>
        <w:ind w:right="893"/>
        <w:jc w:val="both"/>
        <w:outlineLvl w:val="9"/>
        <w:rPr>
          <w:rFonts w:hint="eastAsia" w:ascii="宋体" w:hAnsi="宋体" w:eastAsia="宋体" w:cs="宋体"/>
          <w:color w:val="auto"/>
          <w:kern w:val="2"/>
          <w:sz w:val="21"/>
          <w:highlight w:val="none"/>
          <w:lang w:val="zh-CN"/>
        </w:rPr>
      </w:pPr>
    </w:p>
    <w:p w14:paraId="3986F52B">
      <w:pPr>
        <w:spacing w:line="360" w:lineRule="auto"/>
        <w:ind w:firstLine="5040" w:firstLineChars="2400"/>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highlight w:val="none"/>
          <w:lang w:val="zh-CN"/>
        </w:rPr>
        <w:t>投标人：（加盖投标人法人公章）</w:t>
      </w:r>
    </w:p>
    <w:p w14:paraId="73FD8698">
      <w:pPr>
        <w:spacing w:line="360" w:lineRule="auto"/>
        <w:ind w:firstLine="5040" w:firstLineChars="2400"/>
        <w:outlineLvl w:val="9"/>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7B1B9862">
      <w:pPr>
        <w:pageBreakBefore/>
        <w:spacing w:before="120" w:after="120" w:line="360" w:lineRule="auto"/>
        <w:jc w:val="left"/>
        <w:outlineLvl w:val="9"/>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en-US" w:eastAsia="zh-CN"/>
        </w:rPr>
        <w:t>十、</w:t>
      </w:r>
      <w:r>
        <w:rPr>
          <w:rFonts w:hint="eastAsia" w:ascii="宋体" w:hAnsi="宋体" w:eastAsia="宋体" w:cs="宋体"/>
          <w:b/>
          <w:bCs/>
          <w:color w:val="auto"/>
          <w:kern w:val="0"/>
          <w:sz w:val="32"/>
          <w:szCs w:val="32"/>
          <w:highlight w:val="none"/>
          <w:lang w:val="zh-CN"/>
        </w:rPr>
        <w:t>投标保证金汇入情况说明</w:t>
      </w:r>
      <w:bookmarkEnd w:id="725"/>
      <w:bookmarkEnd w:id="726"/>
      <w:bookmarkEnd w:id="727"/>
      <w:bookmarkEnd w:id="728"/>
      <w:bookmarkEnd w:id="729"/>
      <w:bookmarkEnd w:id="730"/>
      <w:bookmarkEnd w:id="731"/>
      <w:bookmarkEnd w:id="732"/>
      <w:bookmarkEnd w:id="733"/>
      <w:bookmarkEnd w:id="734"/>
      <w:bookmarkEnd w:id="735"/>
      <w:bookmarkEnd w:id="736"/>
      <w:bookmarkEnd w:id="737"/>
    </w:p>
    <w:p w14:paraId="0155D9DD">
      <w:pPr>
        <w:autoSpaceDE w:val="0"/>
        <w:autoSpaceDN w:val="0"/>
        <w:adjustRightInd w:val="0"/>
        <w:spacing w:line="360" w:lineRule="auto"/>
        <w:jc w:val="left"/>
        <w:outlineLvl w:val="9"/>
        <w:rPr>
          <w:rFonts w:hint="eastAsia" w:ascii="宋体" w:hAnsi="宋体" w:eastAsia="宋体" w:cs="宋体"/>
          <w:color w:val="auto"/>
          <w:szCs w:val="24"/>
          <w:highlight w:val="none"/>
        </w:rPr>
      </w:pPr>
    </w:p>
    <w:p w14:paraId="147D1B46">
      <w:pPr>
        <w:autoSpaceDE w:val="0"/>
        <w:autoSpaceDN w:val="0"/>
        <w:adjustRightInd w:val="0"/>
        <w:spacing w:line="360" w:lineRule="auto"/>
        <w:jc w:val="center"/>
        <w:outlineLvl w:val="9"/>
        <w:rPr>
          <w:rFonts w:hint="eastAsia" w:ascii="宋体" w:hAnsi="宋体" w:eastAsia="宋体" w:cs="宋体"/>
          <w:b/>
          <w:bCs/>
          <w:color w:val="auto"/>
          <w:kern w:val="0"/>
          <w:sz w:val="24"/>
          <w:szCs w:val="24"/>
          <w:highlight w:val="none"/>
        </w:rPr>
      </w:pPr>
      <w:bookmarkStart w:id="738" w:name="_Toc31832_WPSOffice_Level3"/>
      <w:r>
        <w:rPr>
          <w:rFonts w:hint="eastAsia" w:ascii="宋体" w:hAnsi="宋体" w:eastAsia="宋体" w:cs="宋体"/>
          <w:b/>
          <w:bCs/>
          <w:color w:val="auto"/>
          <w:kern w:val="0"/>
          <w:sz w:val="24"/>
          <w:szCs w:val="24"/>
          <w:highlight w:val="none"/>
        </w:rPr>
        <w:t>投标保证金汇入情况说明</w:t>
      </w:r>
      <w:bookmarkEnd w:id="738"/>
    </w:p>
    <w:p w14:paraId="1FEF9789">
      <w:pPr>
        <w:autoSpaceDE w:val="0"/>
        <w:autoSpaceDN w:val="0"/>
        <w:adjustRightInd w:val="0"/>
        <w:spacing w:line="360" w:lineRule="auto"/>
        <w:jc w:val="center"/>
        <w:outlineLvl w:val="9"/>
        <w:rPr>
          <w:rFonts w:hint="eastAsia" w:ascii="宋体" w:hAnsi="宋体" w:eastAsia="宋体" w:cs="宋体"/>
          <w:b/>
          <w:bCs/>
          <w:color w:val="auto"/>
          <w:kern w:val="0"/>
          <w:szCs w:val="24"/>
          <w:highlight w:val="none"/>
        </w:rPr>
      </w:pPr>
    </w:p>
    <w:p w14:paraId="6EEB0367">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东莞市水务环境投资控股集团管网有限公司</w:t>
      </w:r>
      <w:r>
        <w:rPr>
          <w:rFonts w:hint="eastAsia" w:ascii="宋体" w:hAnsi="宋体" w:eastAsia="宋体" w:cs="宋体"/>
          <w:color w:val="auto"/>
          <w:szCs w:val="21"/>
          <w:highlight w:val="none"/>
        </w:rPr>
        <w:t>：</w:t>
      </w:r>
    </w:p>
    <w:p w14:paraId="1E91CBAC">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东莞市水务环境投资控股集团管网有限公司</w:t>
      </w:r>
      <w:r>
        <w:rPr>
          <w:rFonts w:hint="eastAsia" w:ascii="宋体" w:hAnsi="宋体" w:eastAsia="宋体" w:cs="宋体"/>
          <w:color w:val="auto"/>
          <w:kern w:val="0"/>
          <w:szCs w:val="21"/>
          <w:highlight w:val="none"/>
          <w:u w:val="single"/>
        </w:rPr>
        <w:t>2026至2028年度公众责任险采购项目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lang w:val="zh-CN"/>
        </w:rPr>
        <w:t>YDZB25DGQY0094</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7AFBFDB3">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2947D5E7">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428CB220">
      <w:pPr>
        <w:spacing w:line="360" w:lineRule="auto"/>
        <w:ind w:firstLine="424" w:firstLineChars="202"/>
        <w:outlineLvl w:val="9"/>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1404476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2369F3FE">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3A9891AE">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0C20854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5D5B22C3">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52098DE4">
      <w:pPr>
        <w:spacing w:line="360" w:lineRule="auto"/>
        <w:ind w:right="844" w:rightChars="402" w:firstLine="424" w:firstLineChars="202"/>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43E4C09A">
      <w:pPr>
        <w:spacing w:line="360" w:lineRule="auto"/>
        <w:ind w:right="628" w:rightChars="299" w:firstLine="0" w:firstLineChars="0"/>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03B2AE9">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46737CEF">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427C88E5">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7834A03B">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52F15C0F">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6D54BBDC">
      <w:pPr>
        <w:spacing w:line="360" w:lineRule="auto"/>
        <w:ind w:left="340" w:leftChars="162" w:firstLine="425"/>
        <w:outlineLvl w:val="9"/>
        <w:rPr>
          <w:rFonts w:hint="eastAsia" w:ascii="宋体" w:hAnsi="宋体" w:eastAsia="宋体" w:cs="宋体"/>
          <w:b/>
          <w:bCs/>
          <w:color w:val="auto"/>
          <w:szCs w:val="21"/>
          <w:highlight w:val="none"/>
        </w:rPr>
      </w:pPr>
      <w:bookmarkStart w:id="739" w:name="_Toc26208_WPSOffice_Level3"/>
      <w:r>
        <w:rPr>
          <w:rFonts w:hint="eastAsia" w:ascii="宋体" w:hAnsi="宋体" w:eastAsia="宋体" w:cs="宋体"/>
          <w:b/>
          <w:bCs/>
          <w:color w:val="auto"/>
          <w:szCs w:val="21"/>
          <w:highlight w:val="none"/>
        </w:rPr>
        <w:t>附：1、我方投标保证金汇款凭证（复印件）</w:t>
      </w:r>
      <w:bookmarkEnd w:id="739"/>
    </w:p>
    <w:p w14:paraId="3288DF71">
      <w:pPr>
        <w:spacing w:line="360" w:lineRule="auto"/>
        <w:ind w:left="340" w:leftChars="162" w:firstLine="839" w:firstLineChars="398"/>
        <w:outlineLvl w:val="9"/>
        <w:rPr>
          <w:rFonts w:hint="eastAsia" w:ascii="宋体" w:hAnsi="宋体" w:eastAsia="宋体" w:cs="宋体"/>
          <w:b/>
          <w:bCs/>
          <w:color w:val="auto"/>
          <w:szCs w:val="21"/>
          <w:highlight w:val="none"/>
        </w:rPr>
      </w:pPr>
      <w:bookmarkStart w:id="740" w:name="_Toc12992_WPSOffice_Level3"/>
      <w:r>
        <w:rPr>
          <w:rFonts w:hint="eastAsia" w:ascii="宋体" w:hAnsi="宋体" w:eastAsia="宋体" w:cs="宋体"/>
          <w:b/>
          <w:bCs/>
          <w:color w:val="auto"/>
          <w:szCs w:val="21"/>
          <w:highlight w:val="none"/>
        </w:rPr>
        <w:t>2、我方基本账户开户许可证（复印件）</w:t>
      </w:r>
      <w:bookmarkEnd w:id="740"/>
    </w:p>
    <w:p w14:paraId="4A4FCA16">
      <w:pPr>
        <w:spacing w:line="360" w:lineRule="auto"/>
        <w:ind w:left="340" w:leftChars="162" w:firstLine="736" w:firstLineChars="349"/>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79005332">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3F2A547D">
      <w:pPr>
        <w:spacing w:line="360" w:lineRule="auto"/>
        <w:outlineLvl w:val="9"/>
        <w:rPr>
          <w:rFonts w:hint="eastAsia" w:ascii="宋体" w:hAnsi="宋体" w:eastAsia="宋体" w:cs="宋体"/>
          <w:b/>
          <w:color w:val="auto"/>
          <w:kern w:val="0"/>
          <w:szCs w:val="21"/>
          <w:highlight w:val="none"/>
        </w:rPr>
      </w:pPr>
      <w:bookmarkStart w:id="741" w:name="_Toc533708134"/>
      <w:bookmarkStart w:id="742" w:name="_Toc486167721"/>
    </w:p>
    <w:p w14:paraId="66DA6195">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bookmarkStart w:id="743" w:name="_Toc140596939"/>
      <w:bookmarkStart w:id="744" w:name="_Toc104991886"/>
      <w:bookmarkStart w:id="745" w:name="_Toc94107221"/>
      <w:bookmarkStart w:id="746" w:name="_Toc102860428"/>
      <w:bookmarkStart w:id="747" w:name="_Toc142508379"/>
      <w:bookmarkStart w:id="748" w:name="_Toc1977738"/>
      <w:bookmarkStart w:id="749" w:name="_Toc24616"/>
      <w:bookmarkStart w:id="750" w:name="_Toc102860084"/>
      <w:r>
        <w:rPr>
          <w:rFonts w:hint="eastAsia" w:ascii="宋体" w:hAnsi="宋体" w:eastAsia="宋体" w:cs="宋体"/>
          <w:b/>
          <w:bCs/>
          <w:color w:val="auto"/>
          <w:kern w:val="0"/>
          <w:sz w:val="32"/>
          <w:szCs w:val="32"/>
          <w:highlight w:val="none"/>
          <w:lang w:val="zh-CN"/>
        </w:rPr>
        <w:br w:type="page"/>
      </w:r>
    </w:p>
    <w:p w14:paraId="1133477B">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sectPr>
          <w:pgSz w:w="12240" w:h="15840"/>
          <w:pgMar w:top="1191" w:right="1537" w:bottom="1191" w:left="1463" w:header="720" w:footer="720" w:gutter="0"/>
          <w:cols w:space="720" w:num="1"/>
          <w:titlePg/>
          <w:docGrid w:linePitch="326" w:charSpace="0"/>
        </w:sectPr>
      </w:pPr>
      <w:bookmarkStart w:id="751" w:name="_Toc2007"/>
      <w:bookmarkStart w:id="752" w:name="_Toc29652"/>
      <w:r>
        <w:rPr>
          <w:rFonts w:hint="eastAsia" w:ascii="宋体" w:hAnsi="宋体" w:eastAsia="宋体" w:cs="宋体"/>
          <w:b/>
          <w:bCs/>
          <w:color w:val="auto"/>
          <w:kern w:val="0"/>
          <w:sz w:val="32"/>
          <w:szCs w:val="32"/>
          <w:highlight w:val="none"/>
          <w:lang w:val="en-US" w:eastAsia="zh-CN"/>
        </w:rPr>
        <w:t>十一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743"/>
      <w:bookmarkEnd w:id="744"/>
      <w:bookmarkEnd w:id="745"/>
      <w:bookmarkEnd w:id="746"/>
      <w:bookmarkEnd w:id="747"/>
      <w:bookmarkEnd w:id="748"/>
      <w:bookmarkEnd w:id="749"/>
      <w:bookmarkEnd w:id="750"/>
      <w:bookmarkEnd w:id="751"/>
      <w:bookmarkEnd w:id="752"/>
    </w:p>
    <w:p w14:paraId="2E915A7D">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color w:val="auto"/>
          <w:kern w:val="0"/>
          <w:sz w:val="32"/>
          <w:szCs w:val="32"/>
          <w:highlight w:val="none"/>
        </w:rPr>
      </w:pPr>
      <w:bookmarkStart w:id="753" w:name="_Toc142508380"/>
      <w:bookmarkStart w:id="754" w:name="_Toc104991887"/>
      <w:bookmarkStart w:id="755" w:name="_Toc94107222"/>
      <w:bookmarkStart w:id="756" w:name="_Toc31916"/>
      <w:bookmarkStart w:id="757" w:name="_Toc102860429"/>
      <w:bookmarkStart w:id="758" w:name="_Toc27482"/>
      <w:bookmarkStart w:id="759" w:name="_Toc140596940"/>
      <w:bookmarkStart w:id="760" w:name="_Toc1977739"/>
      <w:bookmarkStart w:id="761" w:name="_Toc18038"/>
      <w:bookmarkStart w:id="762" w:name="_Toc102860085"/>
      <w:r>
        <w:rPr>
          <w:rFonts w:hint="eastAsia" w:ascii="宋体" w:hAnsi="宋体" w:eastAsia="宋体" w:cs="宋体"/>
          <w:b/>
          <w:color w:val="auto"/>
          <w:kern w:val="0"/>
          <w:sz w:val="32"/>
          <w:szCs w:val="32"/>
          <w:highlight w:val="none"/>
          <w:lang w:val="en-US" w:eastAsia="zh-CN"/>
        </w:rPr>
        <w:t>十二</w:t>
      </w:r>
      <w:r>
        <w:rPr>
          <w:rFonts w:hint="eastAsia" w:ascii="宋体" w:hAnsi="宋体" w:eastAsia="宋体" w:cs="宋体"/>
          <w:b/>
          <w:color w:val="auto"/>
          <w:kern w:val="0"/>
          <w:sz w:val="32"/>
          <w:szCs w:val="32"/>
          <w:highlight w:val="none"/>
        </w:rPr>
        <w:t>、技术响应文件格式</w:t>
      </w:r>
      <w:bookmarkEnd w:id="741"/>
      <w:bookmarkEnd w:id="753"/>
      <w:bookmarkEnd w:id="754"/>
      <w:bookmarkEnd w:id="755"/>
      <w:bookmarkEnd w:id="756"/>
      <w:bookmarkEnd w:id="757"/>
      <w:bookmarkEnd w:id="758"/>
      <w:bookmarkEnd w:id="759"/>
      <w:bookmarkEnd w:id="760"/>
      <w:bookmarkEnd w:id="761"/>
      <w:bookmarkEnd w:id="762"/>
    </w:p>
    <w:p w14:paraId="023252C0">
      <w:pPr>
        <w:tabs>
          <w:tab w:val="left" w:pos="864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58A6F9DC">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kern w:val="0"/>
          <w:szCs w:val="21"/>
          <w:highlight w:val="none"/>
        </w:rPr>
        <w:t>.1用户需求偏离表格式）；</w:t>
      </w:r>
    </w:p>
    <w:p w14:paraId="599C649B">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2、项目整体服务方案；</w:t>
      </w:r>
    </w:p>
    <w:p w14:paraId="6E222A34">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3、售后服务承诺及保证措施；</w:t>
      </w:r>
    </w:p>
    <w:p w14:paraId="48D85B2D">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4、投标人认为有必要提供的其它材料（不做强制要求）。</w:t>
      </w:r>
    </w:p>
    <w:p w14:paraId="22D23941">
      <w:pPr>
        <w:pStyle w:val="2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742"/>
      <w:bookmarkStart w:id="763" w:name="_Toc1977740"/>
      <w:bookmarkStart w:id="764" w:name="_Toc140596941"/>
      <w:bookmarkStart w:id="765" w:name="_Toc533708135"/>
      <w:bookmarkStart w:id="766" w:name="_Toc102860430"/>
      <w:bookmarkStart w:id="767" w:name="_Toc94107223"/>
      <w:bookmarkStart w:id="768" w:name="_Toc142508381"/>
      <w:bookmarkStart w:id="769" w:name="_Toc104991888"/>
      <w:bookmarkStart w:id="770" w:name="_Toc102860086"/>
    </w:p>
    <w:p w14:paraId="3F89C4C5">
      <w:pPr>
        <w:pStyle w:val="20"/>
        <w:spacing w:line="360" w:lineRule="auto"/>
        <w:jc w:val="center"/>
        <w:outlineLvl w:val="9"/>
        <w:rPr>
          <w:rFonts w:hint="eastAsia" w:ascii="宋体" w:hAnsi="宋体" w:eastAsia="宋体" w:cs="宋体"/>
          <w:b/>
          <w:color w:val="auto"/>
          <w:kern w:val="0"/>
          <w:szCs w:val="21"/>
          <w:highlight w:val="none"/>
        </w:rPr>
      </w:pPr>
    </w:p>
    <w:p w14:paraId="300AA097">
      <w:pPr>
        <w:pStyle w:val="20"/>
        <w:spacing w:line="360" w:lineRule="auto"/>
        <w:jc w:val="center"/>
        <w:outlineLvl w:val="9"/>
        <w:rPr>
          <w:rFonts w:hint="eastAsia" w:ascii="宋体" w:hAnsi="宋体" w:eastAsia="宋体" w:cs="宋体"/>
          <w:b/>
          <w:color w:val="auto"/>
          <w:kern w:val="0"/>
          <w:szCs w:val="21"/>
          <w:highlight w:val="none"/>
        </w:rPr>
      </w:pPr>
    </w:p>
    <w:p w14:paraId="25CE04AF">
      <w:pPr>
        <w:pStyle w:val="20"/>
        <w:spacing w:line="360" w:lineRule="auto"/>
        <w:jc w:val="center"/>
        <w:outlineLvl w:val="9"/>
        <w:rPr>
          <w:rFonts w:hint="eastAsia" w:ascii="宋体" w:hAnsi="宋体" w:eastAsia="宋体" w:cs="宋体"/>
          <w:b/>
          <w:color w:val="auto"/>
          <w:kern w:val="0"/>
          <w:szCs w:val="21"/>
          <w:highlight w:val="none"/>
        </w:rPr>
      </w:pPr>
    </w:p>
    <w:p w14:paraId="27AB33A9">
      <w:pPr>
        <w:pStyle w:val="20"/>
        <w:spacing w:line="360" w:lineRule="auto"/>
        <w:jc w:val="center"/>
        <w:outlineLvl w:val="9"/>
        <w:rPr>
          <w:rFonts w:hint="eastAsia" w:ascii="宋体" w:hAnsi="宋体" w:eastAsia="宋体" w:cs="宋体"/>
          <w:b/>
          <w:color w:val="auto"/>
          <w:kern w:val="0"/>
          <w:szCs w:val="21"/>
          <w:highlight w:val="none"/>
        </w:rPr>
      </w:pPr>
    </w:p>
    <w:p w14:paraId="345A8197">
      <w:pPr>
        <w:pStyle w:val="20"/>
        <w:spacing w:line="360" w:lineRule="auto"/>
        <w:jc w:val="center"/>
        <w:outlineLvl w:val="9"/>
        <w:rPr>
          <w:rFonts w:hint="eastAsia" w:ascii="宋体" w:hAnsi="宋体" w:eastAsia="宋体" w:cs="宋体"/>
          <w:b/>
          <w:color w:val="auto"/>
          <w:kern w:val="0"/>
          <w:szCs w:val="21"/>
          <w:highlight w:val="none"/>
        </w:rPr>
      </w:pPr>
    </w:p>
    <w:p w14:paraId="532DFFA1">
      <w:pPr>
        <w:pStyle w:val="20"/>
        <w:spacing w:line="360" w:lineRule="auto"/>
        <w:jc w:val="center"/>
        <w:outlineLvl w:val="9"/>
        <w:rPr>
          <w:rFonts w:hint="eastAsia" w:ascii="宋体" w:hAnsi="宋体" w:eastAsia="宋体" w:cs="宋体"/>
          <w:b/>
          <w:color w:val="auto"/>
          <w:kern w:val="0"/>
          <w:szCs w:val="21"/>
          <w:highlight w:val="none"/>
        </w:rPr>
      </w:pPr>
    </w:p>
    <w:p w14:paraId="515363C3">
      <w:pPr>
        <w:pStyle w:val="20"/>
        <w:spacing w:line="360" w:lineRule="auto"/>
        <w:jc w:val="center"/>
        <w:outlineLvl w:val="9"/>
        <w:rPr>
          <w:rFonts w:hint="eastAsia" w:ascii="宋体" w:hAnsi="宋体" w:eastAsia="宋体" w:cs="宋体"/>
          <w:b/>
          <w:color w:val="auto"/>
          <w:kern w:val="0"/>
          <w:szCs w:val="21"/>
          <w:highlight w:val="none"/>
        </w:rPr>
      </w:pPr>
    </w:p>
    <w:p w14:paraId="3AFCD14E">
      <w:pPr>
        <w:pStyle w:val="20"/>
        <w:spacing w:line="360" w:lineRule="auto"/>
        <w:jc w:val="center"/>
        <w:outlineLvl w:val="9"/>
        <w:rPr>
          <w:rFonts w:hint="eastAsia" w:ascii="宋体" w:hAnsi="宋体" w:eastAsia="宋体" w:cs="宋体"/>
          <w:b/>
          <w:color w:val="auto"/>
          <w:kern w:val="0"/>
          <w:szCs w:val="21"/>
          <w:highlight w:val="none"/>
        </w:rPr>
      </w:pPr>
    </w:p>
    <w:p w14:paraId="2822170C">
      <w:pPr>
        <w:pStyle w:val="20"/>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92AEB3D">
      <w:pPr>
        <w:pStyle w:val="20"/>
        <w:spacing w:line="360" w:lineRule="auto"/>
        <w:outlineLvl w:val="9"/>
        <w:rPr>
          <w:rFonts w:hint="eastAsia" w:ascii="宋体" w:hAnsi="宋体" w:eastAsia="宋体" w:cs="宋体"/>
          <w:color w:val="auto"/>
          <w:highlight w:val="none"/>
        </w:rPr>
      </w:pPr>
    </w:p>
    <w:p w14:paraId="5A6D3EEE">
      <w:pPr>
        <w:pStyle w:val="20"/>
        <w:spacing w:line="360" w:lineRule="auto"/>
        <w:outlineLvl w:val="9"/>
        <w:rPr>
          <w:rFonts w:hint="eastAsia" w:ascii="宋体" w:hAnsi="宋体" w:eastAsia="宋体" w:cs="宋体"/>
          <w:color w:val="auto"/>
          <w:highlight w:val="none"/>
        </w:rPr>
      </w:pPr>
    </w:p>
    <w:p w14:paraId="33EF1027">
      <w:pPr>
        <w:pStyle w:val="20"/>
        <w:spacing w:line="360" w:lineRule="auto"/>
        <w:outlineLvl w:val="9"/>
        <w:rPr>
          <w:rFonts w:hint="eastAsia" w:ascii="宋体" w:hAnsi="宋体" w:eastAsia="宋体" w:cs="宋体"/>
          <w:color w:val="auto"/>
          <w:highlight w:val="none"/>
        </w:rPr>
      </w:pPr>
    </w:p>
    <w:p w14:paraId="41878C54">
      <w:pPr>
        <w:pStyle w:val="20"/>
        <w:spacing w:line="360" w:lineRule="auto"/>
        <w:outlineLvl w:val="9"/>
        <w:rPr>
          <w:rFonts w:hint="eastAsia" w:ascii="宋体" w:hAnsi="宋体" w:eastAsia="宋体" w:cs="宋体"/>
          <w:color w:val="auto"/>
          <w:highlight w:val="none"/>
        </w:rPr>
      </w:pPr>
    </w:p>
    <w:p w14:paraId="31E9C94B">
      <w:pPr>
        <w:pStyle w:val="20"/>
        <w:spacing w:line="360" w:lineRule="auto"/>
        <w:outlineLvl w:val="9"/>
        <w:rPr>
          <w:rFonts w:hint="eastAsia" w:ascii="宋体" w:hAnsi="宋体" w:eastAsia="宋体" w:cs="宋体"/>
          <w:color w:val="auto"/>
          <w:highlight w:val="none"/>
        </w:rPr>
      </w:pPr>
    </w:p>
    <w:p w14:paraId="0890B4AD">
      <w:pPr>
        <w:pStyle w:val="20"/>
        <w:spacing w:line="360" w:lineRule="auto"/>
        <w:outlineLvl w:val="9"/>
        <w:rPr>
          <w:rFonts w:hint="eastAsia" w:ascii="宋体" w:hAnsi="宋体" w:eastAsia="宋体" w:cs="宋体"/>
          <w:color w:val="auto"/>
          <w:highlight w:val="none"/>
        </w:rPr>
      </w:pPr>
    </w:p>
    <w:p w14:paraId="454D2008">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3D0691A8">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AFC7804">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eastAsia="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6DD929F3">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B00749C">
      <w:pPr>
        <w:pStyle w:val="20"/>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89B5401">
      <w:pPr>
        <w:pStyle w:val="20"/>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E4D5753">
      <w:pPr>
        <w:pStyle w:val="20"/>
        <w:spacing w:line="360" w:lineRule="auto"/>
        <w:outlineLvl w:val="9"/>
        <w:rPr>
          <w:rFonts w:hint="eastAsia" w:ascii="宋体" w:hAnsi="宋体" w:eastAsia="宋体" w:cs="宋体"/>
          <w:color w:val="auto"/>
          <w:highlight w:val="none"/>
        </w:rPr>
      </w:pPr>
    </w:p>
    <w:p w14:paraId="53EE3759">
      <w:pPr>
        <w:pStyle w:val="2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6C280C1">
      <w:pPr>
        <w:pStyle w:val="20"/>
        <w:pBdr>
          <w:top w:val="none" w:color="auto" w:sz="0" w:space="0"/>
          <w:left w:val="none" w:color="auto" w:sz="0" w:space="0"/>
          <w:bottom w:val="none" w:color="auto" w:sz="0" w:space="0"/>
          <w:right w:val="none" w:color="auto" w:sz="0" w:space="0"/>
          <w:between w:val="none" w:color="auto" w:sz="0" w:space="0"/>
        </w:pBdr>
        <w:spacing w:line="360" w:lineRule="auto"/>
        <w:outlineLvl w:val="9"/>
        <w:rPr>
          <w:rFonts w:hint="eastAsia" w:ascii="宋体" w:hAnsi="宋体" w:eastAsia="宋体" w:cs="宋体"/>
          <w:color w:val="auto"/>
          <w:sz w:val="32"/>
          <w:szCs w:val="32"/>
          <w:highlight w:val="none"/>
        </w:rPr>
      </w:pPr>
    </w:p>
    <w:p w14:paraId="1CB5744C">
      <w:pPr>
        <w:pBdr>
          <w:top w:val="none" w:color="auto" w:sz="0" w:space="0"/>
          <w:left w:val="none" w:color="auto" w:sz="0" w:space="0"/>
          <w:bottom w:val="none" w:color="auto" w:sz="0" w:space="0"/>
          <w:right w:val="none" w:color="auto" w:sz="0" w:space="0"/>
          <w:between w:val="none" w:color="auto" w:sz="0" w:space="0"/>
        </w:pBdr>
        <w:spacing w:line="480" w:lineRule="auto"/>
        <w:ind w:firstLine="720" w:firstLineChars="224"/>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投标文件</w:t>
      </w:r>
      <w:r>
        <w:rPr>
          <w:rFonts w:hint="eastAsia" w:ascii="宋体" w:hAnsi="宋体" w:eastAsia="宋体" w:cs="宋体"/>
          <w:b/>
          <w:bCs/>
          <w:color w:val="auto"/>
          <w:sz w:val="32"/>
          <w:szCs w:val="32"/>
          <w:highlight w:val="none"/>
          <w:lang w:val="en-US" w:eastAsia="zh-CN"/>
        </w:rPr>
        <w:t>技术</w:t>
      </w:r>
      <w:r>
        <w:rPr>
          <w:rFonts w:hint="eastAsia" w:ascii="宋体" w:hAnsi="宋体" w:eastAsia="宋体" w:cs="宋体"/>
          <w:b/>
          <w:bCs/>
          <w:color w:val="auto"/>
          <w:sz w:val="32"/>
          <w:szCs w:val="32"/>
          <w:highlight w:val="none"/>
        </w:rPr>
        <w:t>评审部分索引表</w:t>
      </w:r>
    </w:p>
    <w:tbl>
      <w:tblPr>
        <w:tblStyle w:val="39"/>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740"/>
        <w:gridCol w:w="3510"/>
        <w:gridCol w:w="5118"/>
      </w:tblGrid>
      <w:tr w14:paraId="363708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839" w:type="pct"/>
            <w:vAlign w:val="center"/>
          </w:tcPr>
          <w:p w14:paraId="5429CE9D">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692" w:type="pct"/>
            <w:vAlign w:val="center"/>
          </w:tcPr>
          <w:p w14:paraId="763F8500">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w:t>
            </w:r>
            <w:r>
              <w:rPr>
                <w:rFonts w:hint="eastAsia" w:ascii="宋体" w:hAnsi="宋体" w:eastAsia="宋体" w:cs="宋体"/>
                <w:bCs/>
                <w:color w:val="auto"/>
                <w:szCs w:val="21"/>
                <w:highlight w:val="none"/>
                <w:lang w:val="en-US" w:eastAsia="zh-CN"/>
              </w:rPr>
              <w:t>审</w:t>
            </w:r>
            <w:r>
              <w:rPr>
                <w:rFonts w:hint="eastAsia" w:ascii="宋体" w:hAnsi="宋体" w:eastAsia="宋体" w:cs="宋体"/>
                <w:bCs/>
                <w:color w:val="auto"/>
                <w:szCs w:val="21"/>
                <w:highlight w:val="none"/>
              </w:rPr>
              <w:t>项目</w:t>
            </w:r>
          </w:p>
        </w:tc>
        <w:tc>
          <w:tcPr>
            <w:tcW w:w="2467" w:type="pct"/>
            <w:tcBorders>
              <w:left w:val="single" w:color="auto" w:sz="4" w:space="0"/>
            </w:tcBorders>
            <w:vAlign w:val="center"/>
          </w:tcPr>
          <w:p w14:paraId="406AA610">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10E6EC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839" w:type="pct"/>
            <w:vAlign w:val="center"/>
          </w:tcPr>
          <w:p w14:paraId="65816EFC">
            <w:pPr>
              <w:adjustRightInd w:val="0"/>
              <w:snapToGrid w:val="0"/>
              <w:spacing w:line="360" w:lineRule="auto"/>
              <w:jc w:val="center"/>
              <w:outlineLvl w:val="9"/>
              <w:rPr>
                <w:rFonts w:hint="eastAsia" w:ascii="宋体" w:hAnsi="宋体" w:eastAsia="宋体" w:cs="宋体"/>
                <w:bCs/>
                <w:color w:val="auto"/>
                <w:szCs w:val="21"/>
                <w:highlight w:val="none"/>
              </w:rPr>
            </w:pPr>
          </w:p>
        </w:tc>
        <w:tc>
          <w:tcPr>
            <w:tcW w:w="1692" w:type="pct"/>
            <w:vAlign w:val="center"/>
          </w:tcPr>
          <w:p w14:paraId="64354916">
            <w:pPr>
              <w:adjustRightInd w:val="0"/>
              <w:snapToGrid w:val="0"/>
              <w:spacing w:line="360" w:lineRule="auto"/>
              <w:jc w:val="center"/>
              <w:outlineLvl w:val="9"/>
              <w:rPr>
                <w:rFonts w:hint="eastAsia" w:ascii="宋体" w:hAnsi="宋体" w:eastAsia="宋体" w:cs="宋体"/>
                <w:bCs/>
                <w:color w:val="auto"/>
                <w:szCs w:val="21"/>
                <w:highlight w:val="none"/>
              </w:rPr>
            </w:pPr>
          </w:p>
        </w:tc>
        <w:tc>
          <w:tcPr>
            <w:tcW w:w="2467" w:type="pct"/>
            <w:tcBorders>
              <w:left w:val="single" w:color="auto" w:sz="4" w:space="0"/>
            </w:tcBorders>
            <w:vAlign w:val="center"/>
          </w:tcPr>
          <w:p w14:paraId="332A4983">
            <w:pPr>
              <w:adjustRightInd w:val="0"/>
              <w:snapToGrid w:val="0"/>
              <w:spacing w:line="360" w:lineRule="auto"/>
              <w:outlineLvl w:val="9"/>
              <w:rPr>
                <w:rFonts w:hint="eastAsia" w:ascii="宋体" w:hAnsi="宋体" w:eastAsia="宋体" w:cs="宋体"/>
                <w:bCs/>
                <w:color w:val="auto"/>
                <w:szCs w:val="21"/>
                <w:highlight w:val="none"/>
              </w:rPr>
            </w:pPr>
          </w:p>
        </w:tc>
      </w:tr>
      <w:tr w14:paraId="012038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839" w:type="pct"/>
            <w:vAlign w:val="center"/>
          </w:tcPr>
          <w:p w14:paraId="3EDB600C">
            <w:pPr>
              <w:outlineLvl w:val="9"/>
              <w:rPr>
                <w:rFonts w:hint="eastAsia" w:ascii="宋体" w:hAnsi="宋体" w:eastAsia="宋体" w:cs="宋体"/>
                <w:bCs/>
                <w:color w:val="auto"/>
                <w:szCs w:val="21"/>
                <w:highlight w:val="none"/>
              </w:rPr>
            </w:pPr>
          </w:p>
        </w:tc>
        <w:tc>
          <w:tcPr>
            <w:tcW w:w="1692" w:type="pct"/>
            <w:vAlign w:val="center"/>
          </w:tcPr>
          <w:p w14:paraId="213ECF5F">
            <w:pPr>
              <w:outlineLvl w:val="9"/>
              <w:rPr>
                <w:rFonts w:hint="eastAsia" w:ascii="宋体" w:hAnsi="宋体" w:eastAsia="宋体" w:cs="宋体"/>
                <w:bCs/>
                <w:color w:val="auto"/>
                <w:szCs w:val="21"/>
                <w:highlight w:val="none"/>
              </w:rPr>
            </w:pPr>
          </w:p>
        </w:tc>
        <w:tc>
          <w:tcPr>
            <w:tcW w:w="2467" w:type="pct"/>
            <w:tcBorders>
              <w:left w:val="single" w:color="auto" w:sz="4" w:space="0"/>
            </w:tcBorders>
            <w:vAlign w:val="center"/>
          </w:tcPr>
          <w:p w14:paraId="5DBA0CC0">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397FF5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839" w:type="pct"/>
            <w:vAlign w:val="center"/>
          </w:tcPr>
          <w:p w14:paraId="3AFBDF9A">
            <w:pPr>
              <w:adjustRightInd w:val="0"/>
              <w:snapToGrid w:val="0"/>
              <w:spacing w:line="360" w:lineRule="auto"/>
              <w:jc w:val="center"/>
              <w:outlineLvl w:val="9"/>
              <w:rPr>
                <w:rFonts w:hint="eastAsia" w:ascii="宋体" w:hAnsi="宋体" w:eastAsia="宋体" w:cs="宋体"/>
                <w:bCs/>
                <w:color w:val="auto"/>
                <w:szCs w:val="21"/>
                <w:highlight w:val="none"/>
              </w:rPr>
            </w:pPr>
          </w:p>
        </w:tc>
        <w:tc>
          <w:tcPr>
            <w:tcW w:w="1692" w:type="pct"/>
            <w:vAlign w:val="center"/>
          </w:tcPr>
          <w:p w14:paraId="1BB30C85">
            <w:pPr>
              <w:adjustRightInd w:val="0"/>
              <w:snapToGrid w:val="0"/>
              <w:spacing w:line="360" w:lineRule="auto"/>
              <w:outlineLvl w:val="9"/>
              <w:rPr>
                <w:rFonts w:hint="eastAsia" w:ascii="宋体" w:hAnsi="宋体" w:eastAsia="宋体" w:cs="宋体"/>
                <w:bCs/>
                <w:color w:val="auto"/>
                <w:szCs w:val="21"/>
                <w:highlight w:val="none"/>
              </w:rPr>
            </w:pPr>
          </w:p>
        </w:tc>
        <w:tc>
          <w:tcPr>
            <w:tcW w:w="2467" w:type="pct"/>
            <w:tcBorders>
              <w:left w:val="single" w:color="auto" w:sz="4" w:space="0"/>
            </w:tcBorders>
            <w:vAlign w:val="center"/>
          </w:tcPr>
          <w:p w14:paraId="7C0F14A5">
            <w:pPr>
              <w:spacing w:line="360" w:lineRule="auto"/>
              <w:ind w:firstLine="8" w:firstLineChars="4"/>
              <w:outlineLvl w:val="9"/>
              <w:rPr>
                <w:rFonts w:hint="eastAsia" w:ascii="宋体" w:hAnsi="宋体" w:eastAsia="宋体" w:cs="宋体"/>
                <w:bCs/>
                <w:color w:val="auto"/>
                <w:szCs w:val="21"/>
                <w:highlight w:val="none"/>
              </w:rPr>
            </w:pPr>
          </w:p>
        </w:tc>
      </w:tr>
      <w:tr w14:paraId="68E71E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839" w:type="pct"/>
            <w:tcBorders>
              <w:top w:val="single" w:color="auto" w:sz="6" w:space="0"/>
              <w:left w:val="single" w:color="auto" w:sz="4" w:space="0"/>
              <w:bottom w:val="outset" w:color="808080" w:sz="6" w:space="0"/>
              <w:right w:val="single" w:color="auto" w:sz="6" w:space="0"/>
            </w:tcBorders>
            <w:vAlign w:val="center"/>
          </w:tcPr>
          <w:p w14:paraId="4A3AB5B8">
            <w:pPr>
              <w:adjustRightInd w:val="0"/>
              <w:snapToGrid w:val="0"/>
              <w:spacing w:line="360" w:lineRule="auto"/>
              <w:jc w:val="center"/>
              <w:outlineLvl w:val="9"/>
              <w:rPr>
                <w:rFonts w:hint="eastAsia" w:ascii="宋体" w:hAnsi="宋体" w:eastAsia="宋体" w:cs="宋体"/>
                <w:bCs/>
                <w:color w:val="auto"/>
                <w:szCs w:val="21"/>
                <w:highlight w:val="none"/>
              </w:rPr>
            </w:pPr>
          </w:p>
        </w:tc>
        <w:tc>
          <w:tcPr>
            <w:tcW w:w="1692" w:type="pct"/>
            <w:tcBorders>
              <w:top w:val="single" w:color="auto" w:sz="6" w:space="0"/>
              <w:left w:val="single" w:color="auto" w:sz="6" w:space="0"/>
              <w:bottom w:val="outset" w:color="808080" w:sz="6" w:space="0"/>
              <w:right w:val="single" w:color="auto" w:sz="6" w:space="0"/>
            </w:tcBorders>
            <w:vAlign w:val="center"/>
          </w:tcPr>
          <w:p w14:paraId="38B78D18">
            <w:pPr>
              <w:adjustRightInd w:val="0"/>
              <w:snapToGrid w:val="0"/>
              <w:spacing w:line="360" w:lineRule="auto"/>
              <w:outlineLvl w:val="9"/>
              <w:rPr>
                <w:rFonts w:hint="eastAsia" w:ascii="宋体" w:hAnsi="宋体" w:eastAsia="宋体" w:cs="宋体"/>
                <w:bCs/>
                <w:color w:val="auto"/>
                <w:szCs w:val="21"/>
                <w:highlight w:val="none"/>
              </w:rPr>
            </w:pPr>
          </w:p>
        </w:tc>
        <w:tc>
          <w:tcPr>
            <w:tcW w:w="2467" w:type="pct"/>
            <w:tcBorders>
              <w:top w:val="single" w:color="auto" w:sz="6" w:space="0"/>
              <w:left w:val="single" w:color="auto" w:sz="4" w:space="0"/>
              <w:bottom w:val="outset" w:color="808080" w:sz="6" w:space="0"/>
              <w:right w:val="single" w:color="auto" w:sz="6" w:space="0"/>
            </w:tcBorders>
            <w:vAlign w:val="center"/>
          </w:tcPr>
          <w:p w14:paraId="0E809814">
            <w:pPr>
              <w:adjustRightInd w:val="0"/>
              <w:snapToGrid w:val="0"/>
              <w:spacing w:line="360" w:lineRule="auto"/>
              <w:outlineLvl w:val="9"/>
              <w:rPr>
                <w:rFonts w:hint="eastAsia" w:ascii="宋体" w:hAnsi="宋体" w:eastAsia="宋体" w:cs="宋体"/>
                <w:bCs/>
                <w:color w:val="auto"/>
                <w:szCs w:val="21"/>
                <w:highlight w:val="none"/>
              </w:rPr>
            </w:pPr>
          </w:p>
        </w:tc>
      </w:tr>
    </w:tbl>
    <w:p w14:paraId="1C52A9CF">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71AA6BA">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771" w:name="_Toc27934"/>
      <w:bookmarkStart w:id="772" w:name="_Toc30448"/>
      <w:bookmarkStart w:id="773" w:name="_Toc18999"/>
      <w:r>
        <w:rPr>
          <w:rFonts w:hint="eastAsia" w:ascii="宋体" w:hAnsi="宋体" w:eastAsia="宋体" w:cs="宋体"/>
          <w:b/>
          <w:color w:val="auto"/>
          <w:kern w:val="0"/>
          <w:sz w:val="30"/>
          <w:szCs w:val="30"/>
          <w:highlight w:val="none"/>
          <w:lang w:val="en-US" w:eastAsia="zh-CN"/>
        </w:rPr>
        <w:t>12.1</w:t>
      </w:r>
      <w:r>
        <w:rPr>
          <w:rFonts w:hint="eastAsia" w:ascii="宋体" w:hAnsi="宋体" w:eastAsia="宋体" w:cs="宋体"/>
          <w:b/>
          <w:color w:val="auto"/>
          <w:kern w:val="0"/>
          <w:sz w:val="30"/>
          <w:szCs w:val="30"/>
          <w:highlight w:val="none"/>
        </w:rPr>
        <w:t xml:space="preserve"> 用户需求偏离表格式</w:t>
      </w:r>
      <w:bookmarkEnd w:id="763"/>
      <w:bookmarkEnd w:id="764"/>
      <w:bookmarkEnd w:id="765"/>
      <w:bookmarkEnd w:id="766"/>
      <w:bookmarkEnd w:id="767"/>
      <w:bookmarkEnd w:id="768"/>
      <w:bookmarkEnd w:id="769"/>
      <w:bookmarkEnd w:id="770"/>
      <w:bookmarkEnd w:id="771"/>
      <w:bookmarkEnd w:id="772"/>
      <w:bookmarkEnd w:id="773"/>
    </w:p>
    <w:p w14:paraId="039AE772">
      <w:pPr>
        <w:spacing w:before="120" w:after="120" w:line="360" w:lineRule="auto"/>
        <w:jc w:val="center"/>
        <w:outlineLvl w:val="9"/>
        <w:rPr>
          <w:rFonts w:hint="eastAsia" w:ascii="宋体" w:hAnsi="宋体" w:eastAsia="宋体" w:cs="宋体"/>
          <w:color w:val="auto"/>
          <w:kern w:val="0"/>
          <w:szCs w:val="21"/>
          <w:highlight w:val="none"/>
        </w:rPr>
      </w:pPr>
      <w:bookmarkStart w:id="774" w:name="_Toc17449_WPSOffice_Level3"/>
      <w:r>
        <w:rPr>
          <w:rFonts w:hint="eastAsia" w:ascii="宋体" w:hAnsi="宋体" w:eastAsia="宋体" w:cs="宋体"/>
          <w:b/>
          <w:color w:val="auto"/>
          <w:kern w:val="0"/>
          <w:sz w:val="30"/>
          <w:szCs w:val="30"/>
          <w:highlight w:val="none"/>
          <w:lang w:val="zh-CN"/>
        </w:rPr>
        <w:t>用户需求偏离表</w:t>
      </w:r>
      <w:bookmarkEnd w:id="774"/>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414"/>
        <w:gridCol w:w="722"/>
        <w:gridCol w:w="867"/>
        <w:gridCol w:w="815"/>
      </w:tblGrid>
      <w:tr w14:paraId="05B5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3F56CBDE">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6BDAF64C">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59" w:type="pct"/>
            <w:gridSpan w:val="3"/>
            <w:vAlign w:val="center"/>
          </w:tcPr>
          <w:p w14:paraId="1EFB0A8D">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096F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272B66AF">
            <w:pPr>
              <w:keepNext/>
              <w:keepLines/>
              <w:spacing w:line="400" w:lineRule="exact"/>
              <w:jc w:val="center"/>
              <w:outlineLvl w:val="9"/>
              <w:rPr>
                <w:rFonts w:hint="eastAsia" w:ascii="宋体" w:hAnsi="宋体" w:eastAsia="宋体" w:cs="宋体"/>
                <w:color w:val="auto"/>
                <w:kern w:val="0"/>
                <w:sz w:val="21"/>
                <w:szCs w:val="21"/>
                <w:highlight w:val="none"/>
              </w:rPr>
            </w:pPr>
          </w:p>
        </w:tc>
        <w:tc>
          <w:tcPr>
            <w:tcW w:w="459" w:type="pct"/>
            <w:vAlign w:val="center"/>
          </w:tcPr>
          <w:p w14:paraId="7CB48B1F">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4ACD8BE1">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7DBA982B">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75864DD0">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2" w:type="pct"/>
            <w:vAlign w:val="center"/>
          </w:tcPr>
          <w:p w14:paraId="7DAFF9F7">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6EF8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14:paraId="3677E015">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18FBEADF">
            <w:pPr>
              <w:spacing w:line="400" w:lineRule="exact"/>
              <w:jc w:val="center"/>
              <w:outlineLvl w:val="9"/>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三、</w:t>
            </w:r>
          </w:p>
        </w:tc>
        <w:tc>
          <w:tcPr>
            <w:tcW w:w="3092" w:type="pct"/>
            <w:vAlign w:val="center"/>
          </w:tcPr>
          <w:p w14:paraId="4A245A6A">
            <w:pPr>
              <w:spacing w:line="400" w:lineRule="exact"/>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项目内容</w:t>
            </w:r>
          </w:p>
        </w:tc>
        <w:tc>
          <w:tcPr>
            <w:tcW w:w="348" w:type="pct"/>
            <w:vAlign w:val="center"/>
          </w:tcPr>
          <w:p w14:paraId="62D12A58">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1A2BCBFC">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516155FE">
            <w:pPr>
              <w:keepNext/>
              <w:keepLines/>
              <w:spacing w:line="400" w:lineRule="exact"/>
              <w:jc w:val="center"/>
              <w:outlineLvl w:val="9"/>
              <w:rPr>
                <w:rFonts w:hint="eastAsia" w:ascii="宋体" w:hAnsi="宋体" w:eastAsia="宋体" w:cs="宋体"/>
                <w:color w:val="auto"/>
                <w:kern w:val="0"/>
                <w:sz w:val="21"/>
                <w:szCs w:val="21"/>
                <w:highlight w:val="none"/>
              </w:rPr>
            </w:pPr>
          </w:p>
        </w:tc>
      </w:tr>
      <w:tr w14:paraId="2EEBE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7DC421FC">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37E6B675">
            <w:pPr>
              <w:spacing w:line="400" w:lineRule="exact"/>
              <w:jc w:val="center"/>
              <w:outlineLvl w:val="9"/>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四、</w:t>
            </w:r>
          </w:p>
        </w:tc>
        <w:tc>
          <w:tcPr>
            <w:tcW w:w="3092" w:type="pct"/>
            <w:vAlign w:val="center"/>
          </w:tcPr>
          <w:p w14:paraId="3BB5F6F5">
            <w:pPr>
              <w:spacing w:line="400" w:lineRule="exact"/>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保险内容</w:t>
            </w:r>
          </w:p>
        </w:tc>
        <w:tc>
          <w:tcPr>
            <w:tcW w:w="348" w:type="pct"/>
            <w:vAlign w:val="center"/>
          </w:tcPr>
          <w:p w14:paraId="09530218">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315A2BCA">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29AD1C14">
            <w:pPr>
              <w:keepNext/>
              <w:keepLines/>
              <w:spacing w:line="400" w:lineRule="exact"/>
              <w:jc w:val="center"/>
              <w:outlineLvl w:val="9"/>
              <w:rPr>
                <w:rFonts w:hint="eastAsia" w:ascii="宋体" w:hAnsi="宋体" w:eastAsia="宋体" w:cs="宋体"/>
                <w:color w:val="auto"/>
                <w:kern w:val="0"/>
                <w:sz w:val="21"/>
                <w:szCs w:val="21"/>
                <w:highlight w:val="none"/>
              </w:rPr>
            </w:pPr>
          </w:p>
        </w:tc>
      </w:tr>
      <w:tr w14:paraId="73E5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5D0AA04B">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2A7CF222">
            <w:pPr>
              <w:spacing w:line="400" w:lineRule="exact"/>
              <w:jc w:val="center"/>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五、</w:t>
            </w:r>
          </w:p>
        </w:tc>
        <w:tc>
          <w:tcPr>
            <w:tcW w:w="3092" w:type="pct"/>
            <w:vAlign w:val="center"/>
          </w:tcPr>
          <w:p w14:paraId="427FF3AA">
            <w:pPr>
              <w:spacing w:line="400" w:lineRule="exact"/>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服务要求</w:t>
            </w:r>
          </w:p>
        </w:tc>
        <w:tc>
          <w:tcPr>
            <w:tcW w:w="348" w:type="pct"/>
            <w:vAlign w:val="center"/>
          </w:tcPr>
          <w:p w14:paraId="4B36DB38">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4A8F0ABE">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64AC0434">
            <w:pPr>
              <w:keepNext/>
              <w:keepLines/>
              <w:spacing w:line="400" w:lineRule="exact"/>
              <w:jc w:val="center"/>
              <w:outlineLvl w:val="9"/>
              <w:rPr>
                <w:rFonts w:hint="eastAsia" w:ascii="宋体" w:hAnsi="宋体" w:eastAsia="宋体" w:cs="宋体"/>
                <w:color w:val="auto"/>
                <w:kern w:val="0"/>
                <w:sz w:val="21"/>
                <w:szCs w:val="21"/>
                <w:highlight w:val="none"/>
              </w:rPr>
            </w:pPr>
          </w:p>
        </w:tc>
      </w:tr>
      <w:tr w14:paraId="434F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11708E5">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69BB148C">
            <w:pPr>
              <w:spacing w:line="400" w:lineRule="exact"/>
              <w:jc w:val="center"/>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六、</w:t>
            </w:r>
          </w:p>
        </w:tc>
        <w:tc>
          <w:tcPr>
            <w:tcW w:w="3092" w:type="pct"/>
            <w:vAlign w:val="center"/>
          </w:tcPr>
          <w:p w14:paraId="208E7C00">
            <w:pPr>
              <w:spacing w:line="400" w:lineRule="exact"/>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支付方式</w:t>
            </w:r>
          </w:p>
        </w:tc>
        <w:tc>
          <w:tcPr>
            <w:tcW w:w="348" w:type="pct"/>
            <w:vAlign w:val="center"/>
          </w:tcPr>
          <w:p w14:paraId="3DE02C72">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6D9AE8E9">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39C32EF0">
            <w:pPr>
              <w:keepNext/>
              <w:keepLines/>
              <w:spacing w:line="400" w:lineRule="exact"/>
              <w:jc w:val="center"/>
              <w:outlineLvl w:val="9"/>
              <w:rPr>
                <w:rFonts w:hint="eastAsia" w:ascii="宋体" w:hAnsi="宋体" w:eastAsia="宋体" w:cs="宋体"/>
                <w:color w:val="auto"/>
                <w:kern w:val="0"/>
                <w:sz w:val="21"/>
                <w:szCs w:val="21"/>
                <w:highlight w:val="none"/>
              </w:rPr>
            </w:pPr>
          </w:p>
        </w:tc>
      </w:tr>
      <w:tr w14:paraId="3636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7237675">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Align w:val="center"/>
          </w:tcPr>
          <w:p w14:paraId="7A95BB09">
            <w:pPr>
              <w:spacing w:line="400" w:lineRule="exact"/>
              <w:jc w:val="center"/>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七、</w:t>
            </w:r>
          </w:p>
        </w:tc>
        <w:tc>
          <w:tcPr>
            <w:tcW w:w="3092" w:type="pct"/>
            <w:vAlign w:val="center"/>
          </w:tcPr>
          <w:p w14:paraId="20860037">
            <w:pPr>
              <w:spacing w:line="400" w:lineRule="exact"/>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特别说明</w:t>
            </w:r>
          </w:p>
        </w:tc>
        <w:tc>
          <w:tcPr>
            <w:tcW w:w="348" w:type="pct"/>
            <w:vAlign w:val="center"/>
          </w:tcPr>
          <w:p w14:paraId="1DA018D4">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8" w:type="pct"/>
            <w:vAlign w:val="center"/>
          </w:tcPr>
          <w:p w14:paraId="44D0C92C">
            <w:pPr>
              <w:keepNext/>
              <w:keepLines/>
              <w:spacing w:line="400" w:lineRule="exact"/>
              <w:jc w:val="center"/>
              <w:outlineLvl w:val="9"/>
              <w:rPr>
                <w:rFonts w:hint="eastAsia" w:ascii="宋体" w:hAnsi="宋体" w:eastAsia="宋体" w:cs="宋体"/>
                <w:color w:val="auto"/>
                <w:kern w:val="0"/>
                <w:sz w:val="21"/>
                <w:szCs w:val="21"/>
                <w:highlight w:val="none"/>
              </w:rPr>
            </w:pPr>
          </w:p>
        </w:tc>
        <w:tc>
          <w:tcPr>
            <w:tcW w:w="392" w:type="pct"/>
            <w:vAlign w:val="center"/>
          </w:tcPr>
          <w:p w14:paraId="4701BF76">
            <w:pPr>
              <w:keepNext/>
              <w:keepLines/>
              <w:spacing w:line="400" w:lineRule="exact"/>
              <w:jc w:val="center"/>
              <w:outlineLvl w:val="9"/>
              <w:rPr>
                <w:rFonts w:hint="eastAsia" w:ascii="宋体" w:hAnsi="宋体" w:eastAsia="宋体" w:cs="宋体"/>
                <w:color w:val="auto"/>
                <w:kern w:val="0"/>
                <w:sz w:val="21"/>
                <w:szCs w:val="21"/>
                <w:highlight w:val="none"/>
              </w:rPr>
            </w:pPr>
          </w:p>
        </w:tc>
      </w:tr>
    </w:tbl>
    <w:p w14:paraId="1B37C2B7">
      <w:pPr>
        <w:spacing w:line="360" w:lineRule="auto"/>
        <w:outlineLvl w:val="9"/>
        <w:rPr>
          <w:rFonts w:hint="eastAsia" w:ascii="宋体" w:hAnsi="宋体" w:eastAsia="宋体" w:cs="宋体"/>
          <w:color w:val="auto"/>
          <w:szCs w:val="21"/>
          <w:highlight w:val="none"/>
        </w:rPr>
      </w:pPr>
    </w:p>
    <w:p w14:paraId="031A1EA4">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1D07CDB8">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（其中“一、项目</w:t>
      </w:r>
      <w:r>
        <w:rPr>
          <w:rFonts w:hint="eastAsia" w:ascii="宋体" w:hAnsi="宋体" w:eastAsia="宋体" w:cs="宋体"/>
          <w:b/>
          <w:color w:val="auto"/>
          <w:szCs w:val="21"/>
          <w:highlight w:val="none"/>
          <w:u w:val="single"/>
          <w:lang w:val="en-US" w:eastAsia="zh-CN"/>
        </w:rPr>
        <w:t>名称</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lang w:val="en-US" w:eastAsia="zh-CN"/>
        </w:rPr>
        <w:t>二、项目概况”</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2E5F773E">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22A92FA0">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59F13882">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6E916692">
      <w:pPr>
        <w:spacing w:line="360" w:lineRule="auto"/>
        <w:outlineLvl w:val="9"/>
        <w:rPr>
          <w:rFonts w:hint="eastAsia" w:ascii="宋体" w:hAnsi="宋体" w:eastAsia="宋体" w:cs="宋体"/>
          <w:color w:val="auto"/>
          <w:szCs w:val="21"/>
          <w:highlight w:val="none"/>
        </w:rPr>
      </w:pPr>
    </w:p>
    <w:p w14:paraId="66B05A08">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048812A4">
      <w:pPr>
        <w:autoSpaceDE w:val="0"/>
        <w:autoSpaceDN w:val="0"/>
        <w:adjustRightInd w:val="0"/>
        <w:ind w:left="15" w:leftChars="-50" w:hanging="1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133F528F">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775" w:name="_Toc94107224"/>
      <w:bookmarkStart w:id="776" w:name="_Toc3593"/>
      <w:bookmarkStart w:id="777" w:name="_Toc5046"/>
      <w:bookmarkStart w:id="778" w:name="_Toc104991889"/>
      <w:bookmarkStart w:id="779" w:name="_Toc142508382"/>
      <w:bookmarkStart w:id="780" w:name="_Toc102860087"/>
      <w:bookmarkStart w:id="781" w:name="_Toc102860431"/>
      <w:bookmarkStart w:id="782" w:name="_Toc23150"/>
      <w:bookmarkStart w:id="783" w:name="_Toc140596942"/>
      <w:r>
        <w:rPr>
          <w:rFonts w:hint="eastAsia" w:ascii="宋体" w:hAnsi="宋体" w:eastAsia="宋体" w:cs="宋体"/>
          <w:b/>
          <w:color w:val="auto"/>
          <w:kern w:val="0"/>
          <w:sz w:val="30"/>
          <w:szCs w:val="30"/>
          <w:highlight w:val="none"/>
          <w:lang w:val="en-US" w:eastAsia="zh-CN"/>
        </w:rPr>
        <w:t>12.2</w:t>
      </w:r>
      <w:r>
        <w:rPr>
          <w:rFonts w:hint="eastAsia" w:ascii="宋体" w:hAnsi="宋体" w:eastAsia="宋体" w:cs="宋体"/>
          <w:b/>
          <w:color w:val="auto"/>
          <w:kern w:val="0"/>
          <w:sz w:val="30"/>
          <w:szCs w:val="30"/>
          <w:highlight w:val="none"/>
        </w:rPr>
        <w:t xml:space="preserve"> </w:t>
      </w:r>
      <w:bookmarkEnd w:id="775"/>
      <w:bookmarkEnd w:id="776"/>
      <w:bookmarkEnd w:id="777"/>
      <w:bookmarkEnd w:id="778"/>
      <w:bookmarkEnd w:id="779"/>
      <w:bookmarkEnd w:id="780"/>
      <w:bookmarkEnd w:id="781"/>
      <w:bookmarkEnd w:id="782"/>
      <w:bookmarkEnd w:id="783"/>
      <w:r>
        <w:rPr>
          <w:rFonts w:hint="eastAsia" w:ascii="宋体" w:hAnsi="宋体" w:eastAsia="宋体" w:cs="宋体"/>
          <w:b/>
          <w:color w:val="auto"/>
          <w:kern w:val="0"/>
          <w:sz w:val="30"/>
          <w:szCs w:val="30"/>
          <w:highlight w:val="none"/>
        </w:rPr>
        <w:t>项目整体服务方案</w:t>
      </w:r>
    </w:p>
    <w:p w14:paraId="3035C232">
      <w:pPr>
        <w:widowControl/>
        <w:jc w:val="left"/>
        <w:outlineLvl w:val="9"/>
        <w:rPr>
          <w:rFonts w:hint="eastAsia" w:ascii="宋体" w:hAnsi="宋体" w:eastAsia="宋体" w:cs="宋体"/>
          <w:color w:val="auto"/>
          <w:kern w:val="0"/>
          <w:szCs w:val="21"/>
          <w:highlight w:val="none"/>
        </w:rPr>
      </w:pPr>
      <w:bookmarkStart w:id="784" w:name="_Toc94107225"/>
      <w:r>
        <w:rPr>
          <w:rFonts w:hint="eastAsia" w:ascii="宋体" w:hAnsi="宋体" w:eastAsia="宋体" w:cs="宋体"/>
          <w:color w:val="auto"/>
          <w:kern w:val="0"/>
          <w:szCs w:val="21"/>
          <w:highlight w:val="none"/>
        </w:rPr>
        <w:br w:type="page"/>
      </w:r>
    </w:p>
    <w:bookmarkEnd w:id="784"/>
    <w:p w14:paraId="1CA27AE4">
      <w:pPr>
        <w:outlineLvl w:val="9"/>
        <w:rPr>
          <w:rFonts w:hint="eastAsia" w:ascii="宋体" w:hAnsi="宋体" w:eastAsia="宋体" w:cs="宋体"/>
          <w:b/>
          <w:color w:val="auto"/>
          <w:kern w:val="0"/>
          <w:sz w:val="30"/>
          <w:szCs w:val="30"/>
          <w:highlight w:val="none"/>
          <w:lang w:val="en-US" w:eastAsia="zh-CN"/>
        </w:rPr>
      </w:pPr>
      <w:bookmarkStart w:id="785" w:name="_Toc102860438"/>
      <w:bookmarkStart w:id="786" w:name="_Toc104991896"/>
      <w:bookmarkStart w:id="787" w:name="_Toc140596949"/>
      <w:bookmarkStart w:id="788" w:name="_Toc102860094"/>
      <w:bookmarkStart w:id="789" w:name="_Toc142508389"/>
      <w:bookmarkStart w:id="790" w:name="_Toc533708139"/>
      <w:r>
        <w:rPr>
          <w:rFonts w:hint="eastAsia" w:ascii="宋体" w:hAnsi="宋体" w:eastAsia="宋体" w:cs="宋体"/>
          <w:b/>
          <w:color w:val="auto"/>
          <w:kern w:val="0"/>
          <w:sz w:val="30"/>
          <w:szCs w:val="30"/>
          <w:highlight w:val="none"/>
          <w:lang w:val="en-US" w:eastAsia="zh-CN"/>
        </w:rPr>
        <w:t>12.3 售后服务承诺及保证措施</w:t>
      </w:r>
      <w:r>
        <w:rPr>
          <w:rFonts w:hint="eastAsia" w:ascii="宋体" w:hAnsi="宋体" w:eastAsia="宋体" w:cs="宋体"/>
          <w:b/>
          <w:color w:val="auto"/>
          <w:kern w:val="0"/>
          <w:sz w:val="30"/>
          <w:szCs w:val="30"/>
          <w:highlight w:val="none"/>
          <w:lang w:val="en-US" w:eastAsia="zh-CN"/>
        </w:rPr>
        <w:br w:type="page"/>
      </w:r>
    </w:p>
    <w:p w14:paraId="378D66C9">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bookmarkStart w:id="791" w:name="_Toc30545"/>
      <w:bookmarkStart w:id="792" w:name="_Toc18180"/>
      <w:bookmarkStart w:id="793" w:name="_Toc3750"/>
      <w:r>
        <w:rPr>
          <w:rFonts w:hint="eastAsia" w:ascii="宋体" w:hAnsi="宋体" w:eastAsia="宋体" w:cs="宋体"/>
          <w:b/>
          <w:color w:val="auto"/>
          <w:kern w:val="0"/>
          <w:sz w:val="30"/>
          <w:szCs w:val="30"/>
          <w:highlight w:val="none"/>
          <w:lang w:val="en-US" w:eastAsia="zh-CN"/>
        </w:rPr>
        <w:t xml:space="preserve">12.4 </w:t>
      </w:r>
      <w:r>
        <w:rPr>
          <w:rFonts w:hint="eastAsia" w:ascii="宋体" w:hAnsi="宋体" w:eastAsia="宋体" w:cs="宋体"/>
          <w:b/>
          <w:color w:val="auto"/>
          <w:kern w:val="0"/>
          <w:sz w:val="30"/>
          <w:szCs w:val="30"/>
          <w:highlight w:val="none"/>
        </w:rPr>
        <w:t>投标人认为有必要提供的其它材料（不做强制要求）</w:t>
      </w:r>
      <w:bookmarkEnd w:id="785"/>
      <w:bookmarkEnd w:id="786"/>
      <w:bookmarkEnd w:id="787"/>
      <w:bookmarkEnd w:id="788"/>
      <w:bookmarkEnd w:id="789"/>
      <w:bookmarkEnd w:id="791"/>
      <w:bookmarkEnd w:id="792"/>
      <w:bookmarkEnd w:id="793"/>
    </w:p>
    <w:p w14:paraId="5D68B402">
      <w:pPr>
        <w:autoSpaceDE w:val="0"/>
        <w:autoSpaceDN w:val="0"/>
        <w:adjustRightInd w:val="0"/>
        <w:jc w:val="left"/>
        <w:outlineLvl w:val="9"/>
        <w:rPr>
          <w:rFonts w:hint="eastAsia" w:ascii="宋体" w:hAnsi="宋体" w:eastAsia="宋体" w:cs="宋体"/>
          <w:color w:val="auto"/>
          <w:kern w:val="0"/>
          <w:sz w:val="24"/>
          <w:szCs w:val="24"/>
          <w:highlight w:val="none"/>
        </w:rPr>
      </w:pPr>
    </w:p>
    <w:p w14:paraId="41ADD03C">
      <w:pPr>
        <w:autoSpaceDE w:val="0"/>
        <w:autoSpaceDN w:val="0"/>
        <w:adjustRightInd w:val="0"/>
        <w:jc w:val="left"/>
        <w:outlineLvl w:val="9"/>
        <w:rPr>
          <w:rFonts w:hint="eastAsia" w:ascii="宋体" w:hAnsi="宋体" w:eastAsia="宋体" w:cs="宋体"/>
          <w:color w:val="auto"/>
          <w:kern w:val="0"/>
          <w:sz w:val="24"/>
          <w:szCs w:val="24"/>
          <w:highlight w:val="none"/>
        </w:rPr>
      </w:pPr>
    </w:p>
    <w:p w14:paraId="11A732D1">
      <w:pPr>
        <w:autoSpaceDE w:val="0"/>
        <w:autoSpaceDN w:val="0"/>
        <w:adjustRightInd w:val="0"/>
        <w:jc w:val="left"/>
        <w:outlineLvl w:val="9"/>
        <w:rPr>
          <w:rFonts w:hint="eastAsia" w:ascii="宋体" w:hAnsi="宋体" w:eastAsia="宋体" w:cs="宋体"/>
          <w:color w:val="auto"/>
          <w:kern w:val="0"/>
          <w:sz w:val="24"/>
          <w:szCs w:val="24"/>
          <w:highlight w:val="none"/>
        </w:rPr>
      </w:pPr>
    </w:p>
    <w:p w14:paraId="52340158">
      <w:pPr>
        <w:autoSpaceDE w:val="0"/>
        <w:autoSpaceDN w:val="0"/>
        <w:adjustRightInd w:val="0"/>
        <w:jc w:val="left"/>
        <w:outlineLvl w:val="9"/>
        <w:rPr>
          <w:rFonts w:hint="eastAsia" w:ascii="宋体" w:hAnsi="宋体" w:eastAsia="宋体" w:cs="宋体"/>
          <w:color w:val="auto"/>
          <w:kern w:val="0"/>
          <w:sz w:val="24"/>
          <w:szCs w:val="24"/>
          <w:highlight w:val="none"/>
        </w:rPr>
      </w:pPr>
    </w:p>
    <w:p w14:paraId="506DB038">
      <w:pPr>
        <w:autoSpaceDE w:val="0"/>
        <w:autoSpaceDN w:val="0"/>
        <w:adjustRightInd w:val="0"/>
        <w:jc w:val="left"/>
        <w:outlineLvl w:val="9"/>
        <w:rPr>
          <w:rFonts w:hint="eastAsia" w:ascii="宋体" w:hAnsi="宋体" w:eastAsia="宋体" w:cs="宋体"/>
          <w:color w:val="auto"/>
          <w:kern w:val="0"/>
          <w:sz w:val="24"/>
          <w:szCs w:val="24"/>
          <w:highlight w:val="none"/>
        </w:rPr>
      </w:pPr>
    </w:p>
    <w:p w14:paraId="1FD52C97">
      <w:pPr>
        <w:autoSpaceDE w:val="0"/>
        <w:autoSpaceDN w:val="0"/>
        <w:adjustRightInd w:val="0"/>
        <w:jc w:val="left"/>
        <w:outlineLvl w:val="9"/>
        <w:rPr>
          <w:rFonts w:hint="eastAsia" w:ascii="宋体" w:hAnsi="宋体" w:eastAsia="宋体" w:cs="宋体"/>
          <w:color w:val="auto"/>
          <w:kern w:val="0"/>
          <w:sz w:val="24"/>
          <w:szCs w:val="24"/>
          <w:highlight w:val="none"/>
        </w:rPr>
      </w:pPr>
    </w:p>
    <w:p w14:paraId="776B5E1A">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4110E93E">
      <w:pPr>
        <w:autoSpaceDE w:val="0"/>
        <w:autoSpaceDN w:val="0"/>
        <w:adjustRightInd w:val="0"/>
        <w:jc w:val="left"/>
        <w:rPr>
          <w:rFonts w:hint="eastAsia" w:ascii="宋体" w:hAnsi="宋体" w:eastAsia="宋体" w:cs="宋体"/>
          <w:color w:val="auto"/>
          <w:kern w:val="0"/>
          <w:sz w:val="24"/>
          <w:szCs w:val="24"/>
          <w:highlight w:val="none"/>
        </w:rPr>
      </w:pPr>
    </w:p>
    <w:p w14:paraId="7E16B178">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794" w:name="_Toc16148"/>
      <w:bookmarkStart w:id="795" w:name="_Toc21059"/>
      <w:bookmarkStart w:id="796" w:name="_Toc20056"/>
      <w:bookmarkStart w:id="797" w:name="_Toc14977"/>
      <w:bookmarkStart w:id="798" w:name="_Toc142508390"/>
      <w:bookmarkStart w:id="799" w:name="_Toc22077"/>
      <w:bookmarkStart w:id="800" w:name="_Toc522047402"/>
      <w:bookmarkStart w:id="801" w:name="_Toc22601_WPSOffice_Level1"/>
      <w:bookmarkStart w:id="802" w:name="_Toc521918141"/>
      <w:r>
        <w:rPr>
          <w:rFonts w:hint="eastAsia" w:ascii="宋体" w:hAnsi="宋体" w:eastAsia="宋体" w:cs="宋体"/>
          <w:b/>
          <w:bCs/>
          <w:color w:val="auto"/>
          <w:kern w:val="44"/>
          <w:sz w:val="32"/>
          <w:szCs w:val="32"/>
          <w:highlight w:val="none"/>
          <w:lang w:val="zh-CN"/>
        </w:rPr>
        <w:t>附件一：评标工作大纲</w:t>
      </w:r>
      <w:bookmarkEnd w:id="794"/>
      <w:bookmarkEnd w:id="795"/>
      <w:bookmarkEnd w:id="796"/>
      <w:bookmarkEnd w:id="797"/>
      <w:bookmarkEnd w:id="798"/>
      <w:bookmarkEnd w:id="799"/>
    </w:p>
    <w:p w14:paraId="7FE463DB">
      <w:pPr>
        <w:autoSpaceDE w:val="0"/>
        <w:autoSpaceDN w:val="0"/>
        <w:adjustRightInd w:val="0"/>
        <w:spacing w:line="400" w:lineRule="atLeast"/>
        <w:jc w:val="center"/>
        <w:rPr>
          <w:rFonts w:hint="eastAsia" w:ascii="宋体" w:hAnsi="宋体" w:eastAsia="宋体" w:cs="宋体"/>
          <w:b/>
          <w:bCs/>
          <w:color w:val="auto"/>
          <w:szCs w:val="21"/>
          <w:highlight w:val="none"/>
        </w:rPr>
      </w:pPr>
    </w:p>
    <w:p w14:paraId="29E5DB87">
      <w:pPr>
        <w:autoSpaceDE w:val="0"/>
        <w:autoSpaceDN w:val="0"/>
        <w:adjustRightInd w:val="0"/>
        <w:spacing w:line="400" w:lineRule="atLeast"/>
        <w:jc w:val="center"/>
        <w:rPr>
          <w:rFonts w:hint="eastAsia" w:ascii="宋体" w:hAnsi="宋体" w:eastAsia="宋体" w:cs="宋体"/>
          <w:b/>
          <w:bCs/>
          <w:color w:val="auto"/>
          <w:szCs w:val="21"/>
          <w:highlight w:val="none"/>
        </w:rPr>
      </w:pPr>
    </w:p>
    <w:p w14:paraId="57516056">
      <w:pPr>
        <w:autoSpaceDE w:val="0"/>
        <w:autoSpaceDN w:val="0"/>
        <w:adjustRightInd w:val="0"/>
        <w:spacing w:line="400" w:lineRule="atLeast"/>
        <w:jc w:val="center"/>
        <w:rPr>
          <w:rFonts w:hint="eastAsia" w:ascii="宋体" w:hAnsi="宋体" w:eastAsia="宋体" w:cs="宋体"/>
          <w:b/>
          <w:bCs/>
          <w:color w:val="auto"/>
          <w:szCs w:val="21"/>
          <w:highlight w:val="none"/>
        </w:rPr>
      </w:pPr>
    </w:p>
    <w:p w14:paraId="162FB449">
      <w:pPr>
        <w:autoSpaceDE w:val="0"/>
        <w:autoSpaceDN w:val="0"/>
        <w:adjustRightInd w:val="0"/>
        <w:spacing w:line="400" w:lineRule="atLeast"/>
        <w:jc w:val="center"/>
        <w:rPr>
          <w:rFonts w:hint="eastAsia" w:ascii="宋体" w:hAnsi="宋体" w:eastAsia="宋体" w:cs="宋体"/>
          <w:b/>
          <w:bCs/>
          <w:color w:val="auto"/>
          <w:szCs w:val="21"/>
          <w:highlight w:val="none"/>
        </w:rPr>
      </w:pPr>
    </w:p>
    <w:p w14:paraId="54EBE8B0">
      <w:pPr>
        <w:autoSpaceDE w:val="0"/>
        <w:autoSpaceDN w:val="0"/>
        <w:adjustRightInd w:val="0"/>
        <w:spacing w:line="360" w:lineRule="auto"/>
        <w:jc w:val="center"/>
        <w:rPr>
          <w:rFonts w:hint="eastAsia" w:ascii="宋体" w:hAnsi="宋体" w:eastAsia="宋体" w:cs="宋体"/>
          <w:b/>
          <w:bCs/>
          <w:color w:val="auto"/>
          <w:sz w:val="36"/>
          <w:szCs w:val="44"/>
          <w:highlight w:val="none"/>
        </w:rPr>
      </w:pPr>
      <w:r>
        <w:rPr>
          <w:rFonts w:hint="eastAsia" w:ascii="宋体" w:hAnsi="宋体" w:eastAsia="宋体" w:cs="宋体"/>
          <w:b/>
          <w:bCs/>
          <w:color w:val="auto"/>
          <w:sz w:val="40"/>
          <w:szCs w:val="36"/>
          <w:highlight w:val="none"/>
          <w:lang w:eastAsia="zh-CN"/>
        </w:rPr>
        <w:t>东莞市水务环境投资控股集团管网有限公司</w:t>
      </w:r>
      <w:r>
        <w:rPr>
          <w:rFonts w:hint="eastAsia" w:ascii="宋体" w:hAnsi="宋体" w:eastAsia="宋体" w:cs="宋体"/>
          <w:b/>
          <w:bCs/>
          <w:color w:val="auto"/>
          <w:sz w:val="40"/>
          <w:szCs w:val="36"/>
          <w:highlight w:val="none"/>
        </w:rPr>
        <w:t>2026至2028年度公众责任险采购项目</w:t>
      </w:r>
    </w:p>
    <w:p w14:paraId="6F6FEF41">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803" w:name="_Toc14752_WPSOffice_Level1"/>
      <w:r>
        <w:rPr>
          <w:rFonts w:hint="eastAsia" w:ascii="宋体" w:hAnsi="宋体" w:eastAsia="宋体" w:cs="宋体"/>
          <w:b/>
          <w:bCs/>
          <w:color w:val="auto"/>
          <w:sz w:val="36"/>
          <w:szCs w:val="36"/>
          <w:highlight w:val="none"/>
          <w:lang w:val="zh-CN"/>
        </w:rPr>
        <w:t>（招标编号：YDZB25DGQY0094）</w:t>
      </w:r>
      <w:bookmarkEnd w:id="803"/>
    </w:p>
    <w:p w14:paraId="18C70F0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E79B93A">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C5D6690">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745C814">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552AF11">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804" w:name="_Toc18947_WPSOffice_Level2"/>
      <w:r>
        <w:rPr>
          <w:rFonts w:hint="eastAsia" w:ascii="宋体" w:hAnsi="宋体" w:eastAsia="宋体" w:cs="宋体"/>
          <w:b/>
          <w:bCs/>
          <w:color w:val="auto"/>
          <w:sz w:val="72"/>
          <w:szCs w:val="72"/>
          <w:highlight w:val="none"/>
          <w:lang w:val="zh-CN"/>
        </w:rPr>
        <w:t>评标工作大纲</w:t>
      </w:r>
      <w:bookmarkEnd w:id="804"/>
    </w:p>
    <w:p w14:paraId="0A6211AF">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3168A87">
      <w:pPr>
        <w:autoSpaceDE w:val="0"/>
        <w:autoSpaceDN w:val="0"/>
        <w:adjustRightInd w:val="0"/>
        <w:spacing w:line="400" w:lineRule="atLeast"/>
        <w:rPr>
          <w:rFonts w:hint="eastAsia" w:ascii="宋体" w:hAnsi="宋体" w:eastAsia="宋体" w:cs="宋体"/>
          <w:b/>
          <w:bCs/>
          <w:color w:val="auto"/>
          <w:sz w:val="36"/>
          <w:szCs w:val="36"/>
          <w:highlight w:val="none"/>
        </w:rPr>
      </w:pPr>
    </w:p>
    <w:p w14:paraId="3A36B118">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DE3FF3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8F086E0">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74E8057C">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广东有德招标采购有限公司</w:t>
      </w:r>
    </w:p>
    <w:p w14:paraId="42651159">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62ADE39">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05" w:name="_Toc32395_WPSOffice_Level1"/>
      <w:r>
        <w:rPr>
          <w:rFonts w:hint="eastAsia" w:ascii="宋体" w:hAnsi="宋体" w:eastAsia="宋体" w:cs="宋体"/>
          <w:b/>
          <w:bCs/>
          <w:color w:val="auto"/>
          <w:sz w:val="36"/>
          <w:szCs w:val="36"/>
          <w:highlight w:val="none"/>
          <w:lang w:val="zh-CN"/>
        </w:rPr>
        <w:t>目录</w:t>
      </w:r>
      <w:bookmarkEnd w:id="805"/>
    </w:p>
    <w:p w14:paraId="2724A4A7">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0F25AE25">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06"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06"/>
    </w:p>
    <w:p w14:paraId="44272AC2">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07"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07"/>
    </w:p>
    <w:p w14:paraId="1D0AF357">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08"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08"/>
    </w:p>
    <w:p w14:paraId="54EAE50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09" w:name="_Toc1206_WPSOffice_Level1"/>
      <w:r>
        <w:rPr>
          <w:rFonts w:hint="eastAsia" w:ascii="宋体" w:hAnsi="宋体" w:eastAsia="宋体" w:cs="宋体"/>
          <w:color w:val="auto"/>
          <w:szCs w:val="30"/>
          <w:highlight w:val="none"/>
        </w:rPr>
        <w:t>四、 比较和评价</w:t>
      </w:r>
      <w:bookmarkEnd w:id="809"/>
    </w:p>
    <w:p w14:paraId="586699BE">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10"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10"/>
    </w:p>
    <w:p w14:paraId="5E71F3A3">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11"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11"/>
    </w:p>
    <w:p w14:paraId="3541F77B">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12"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12"/>
    </w:p>
    <w:p w14:paraId="78CFCA2C">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79775E3E">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67972306">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693DD7F5">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13"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13"/>
    </w:p>
    <w:p w14:paraId="2BA85F46">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57F690E2">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东莞市水务环境投资控股集团管网有限公司</w:t>
      </w:r>
      <w:r>
        <w:rPr>
          <w:rFonts w:hint="eastAsia" w:ascii="宋体" w:hAnsi="宋体" w:eastAsia="宋体" w:cs="宋体"/>
          <w:color w:val="auto"/>
          <w:kern w:val="0"/>
          <w:szCs w:val="21"/>
          <w:highlight w:val="none"/>
        </w:rPr>
        <w:t>2026至2028年度公众责任险采购项目</w:t>
      </w:r>
      <w:r>
        <w:rPr>
          <w:rFonts w:hint="eastAsia" w:ascii="宋体" w:hAnsi="宋体" w:eastAsia="宋体" w:cs="宋体"/>
          <w:color w:val="auto"/>
          <w:szCs w:val="21"/>
          <w:highlight w:val="none"/>
          <w:lang w:val="zh-CN"/>
        </w:rPr>
        <w:t>(招标编号：YDZB25DGQY0094</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0D29DAFD">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15DB0B65">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广东有德招标采购有限公司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57DA5A7A">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评标按照招标文件规定的内容进行，采取最低评标价法</w:t>
      </w:r>
      <w:r>
        <w:rPr>
          <w:rFonts w:hint="eastAsia" w:ascii="宋体" w:hAnsi="宋体" w:eastAsia="宋体" w:cs="宋体"/>
          <w:color w:val="auto"/>
          <w:szCs w:val="21"/>
          <w:highlight w:val="none"/>
        </w:rPr>
        <w:t>进行评审</w:t>
      </w:r>
      <w:r>
        <w:rPr>
          <w:rFonts w:hint="eastAsia" w:ascii="宋体" w:hAnsi="宋体" w:eastAsia="宋体" w:cs="宋体"/>
          <w:color w:val="auto"/>
          <w:szCs w:val="24"/>
          <w:highlight w:val="none"/>
          <w:lang w:val="zh-CN"/>
        </w:rPr>
        <w:t>。</w:t>
      </w:r>
    </w:p>
    <w:p w14:paraId="0A1435AA">
      <w:pPr>
        <w:numPr>
          <w:ilvl w:val="1"/>
          <w:numId w:val="2"/>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002A858F">
      <w:pPr>
        <w:autoSpaceDE w:val="0"/>
        <w:autoSpaceDN w:val="0"/>
        <w:adjustRightInd w:val="0"/>
        <w:spacing w:line="360" w:lineRule="auto"/>
        <w:rPr>
          <w:rFonts w:hint="eastAsia" w:ascii="宋体" w:hAnsi="宋体" w:eastAsia="宋体" w:cs="宋体"/>
          <w:color w:val="auto"/>
          <w:sz w:val="24"/>
          <w:szCs w:val="24"/>
          <w:highlight w:val="none"/>
          <w:lang w:val="zh-CN"/>
        </w:rPr>
      </w:pPr>
    </w:p>
    <w:p w14:paraId="4732226F">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04EA1454">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0C2557FB">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199771C0">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2653994F">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C8B850B">
      <w:pPr>
        <w:autoSpaceDE w:val="0"/>
        <w:autoSpaceDN w:val="0"/>
        <w:adjustRightInd w:val="0"/>
        <w:spacing w:line="360" w:lineRule="auto"/>
        <w:rPr>
          <w:rFonts w:hint="eastAsia" w:ascii="宋体" w:hAnsi="宋体" w:eastAsia="宋体" w:cs="宋体"/>
          <w:color w:val="auto"/>
          <w:sz w:val="24"/>
          <w:szCs w:val="24"/>
          <w:highlight w:val="none"/>
          <w:lang w:val="zh-CN"/>
        </w:rPr>
      </w:pPr>
    </w:p>
    <w:p w14:paraId="63BD90D2">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6C8003A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54DA9D1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58F2C364">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A86F2C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626E4A7A">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14:paraId="248A2BC2">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2E4A2FF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33B7CDA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12D2224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4EA690B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4E03FF2E">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78EF42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477C08FD">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14:paraId="517C0EC2">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5DED9559">
      <w:pPr>
        <w:autoSpaceDE w:val="0"/>
        <w:autoSpaceDN w:val="0"/>
        <w:adjustRightInd w:val="0"/>
        <w:spacing w:line="360" w:lineRule="auto"/>
        <w:ind w:left="567" w:hanging="567"/>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2A4EBBCE">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09ECC852">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4C43C537">
      <w:pPr>
        <w:autoSpaceDE w:val="0"/>
        <w:autoSpaceDN w:val="0"/>
        <w:adjustRightInd w:val="0"/>
        <w:spacing w:line="360" w:lineRule="auto"/>
        <w:ind w:left="567" w:hanging="567"/>
        <w:rPr>
          <w:rFonts w:hint="eastAsia" w:ascii="宋体" w:hAnsi="宋体" w:eastAsia="宋体" w:cs="宋体"/>
          <w:bCs/>
          <w:color w:val="auto"/>
          <w:kern w:val="0"/>
          <w:szCs w:val="24"/>
          <w:highlight w:val="none"/>
        </w:rPr>
      </w:pPr>
      <w:r>
        <w:rPr>
          <w:rFonts w:hint="eastAsia" w:ascii="宋体" w:hAnsi="宋体" w:eastAsia="宋体" w:cs="宋体"/>
          <w:bCs/>
          <w:color w:val="auto"/>
          <w:kern w:val="0"/>
          <w:szCs w:val="24"/>
          <w:highlight w:val="none"/>
          <w:lang w:val="en-US" w:eastAsia="zh-CN"/>
        </w:rPr>
        <w:t>5.3</w:t>
      </w:r>
      <w:r>
        <w:rPr>
          <w:rFonts w:hint="eastAsia" w:ascii="宋体" w:hAnsi="宋体" w:eastAsia="宋体" w:cs="宋体"/>
          <w:bCs/>
          <w:color w:val="auto"/>
          <w:kern w:val="0"/>
          <w:szCs w:val="24"/>
          <w:highlight w:val="none"/>
        </w:rPr>
        <w:t xml:space="preserve">  对有效投标人的投标报价进行审查。</w:t>
      </w:r>
    </w:p>
    <w:p w14:paraId="5A062071">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5.4  </w:t>
      </w:r>
      <w:r>
        <w:rPr>
          <w:rFonts w:hint="eastAsia" w:ascii="宋体" w:hAnsi="宋体" w:eastAsia="宋体" w:cs="宋体"/>
          <w:color w:val="auto"/>
          <w:kern w:val="0"/>
          <w:szCs w:val="21"/>
          <w:highlight w:val="none"/>
        </w:rPr>
        <w:t>评标委员会将向招标人推荐评标最后有效投标总报价最低的前二名投标人为中标候选人，并标明排列顺序。</w:t>
      </w:r>
    </w:p>
    <w:p w14:paraId="5C959F2C">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en-US" w:eastAsia="zh-CN"/>
        </w:rPr>
        <w:t>5.5</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269D0ECF">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14:paraId="7A5F2D76">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814" w:name="_Toc19435_WPSOffice_Level1"/>
      <w:r>
        <w:rPr>
          <w:rFonts w:hint="eastAsia" w:ascii="宋体" w:hAnsi="宋体" w:eastAsia="宋体" w:cs="宋体"/>
          <w:b/>
          <w:bCs/>
          <w:color w:val="auto"/>
          <w:sz w:val="28"/>
          <w:szCs w:val="28"/>
          <w:highlight w:val="none"/>
          <w:lang w:val="zh-CN"/>
        </w:rPr>
        <w:t>二、投标文件的初审</w:t>
      </w:r>
      <w:bookmarkEnd w:id="814"/>
    </w:p>
    <w:p w14:paraId="1A86B892">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419B3E01">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2AAE2BE0">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7E8BF617">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21669ED6">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5277045D">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59939F47">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0B8690E9">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0EC69C18">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w:t>
      </w:r>
      <w:r>
        <w:rPr>
          <w:rFonts w:hint="eastAsia" w:ascii="宋体" w:hAnsi="宋体" w:eastAsia="宋体" w:cs="宋体"/>
          <w:b/>
          <w:color w:val="auto"/>
          <w:szCs w:val="21"/>
          <w:highlight w:val="none"/>
          <w:u w:val="single"/>
          <w:lang w:val="zh-CN"/>
        </w:rPr>
        <w:t>不含税</w:t>
      </w:r>
      <w:r>
        <w:rPr>
          <w:rFonts w:hint="eastAsia" w:ascii="宋体" w:hAnsi="宋体" w:eastAsia="宋体" w:cs="宋体"/>
          <w:b/>
          <w:bCs/>
          <w:color w:val="auto"/>
          <w:kern w:val="0"/>
          <w:szCs w:val="24"/>
          <w:highlight w:val="none"/>
          <w:u w:val="none"/>
        </w:rPr>
        <w:t>最高</w:t>
      </w:r>
      <w:r>
        <w:rPr>
          <w:rFonts w:hint="eastAsia" w:ascii="宋体" w:hAnsi="宋体" w:eastAsia="宋体" w:cs="宋体"/>
          <w:b/>
          <w:bCs/>
          <w:color w:val="auto"/>
          <w:kern w:val="0"/>
          <w:szCs w:val="24"/>
          <w:highlight w:val="none"/>
          <w:u w:val="none"/>
          <w:lang w:val="en-US" w:eastAsia="zh-CN"/>
        </w:rPr>
        <w:t>投标</w:t>
      </w:r>
      <w:r>
        <w:rPr>
          <w:rFonts w:hint="eastAsia" w:ascii="宋体" w:hAnsi="宋体" w:eastAsia="宋体" w:cs="宋体"/>
          <w:b/>
          <w:bCs/>
          <w:color w:val="auto"/>
          <w:kern w:val="0"/>
          <w:szCs w:val="24"/>
          <w:highlight w:val="none"/>
          <w:u w:val="none"/>
        </w:rPr>
        <w:t>限价</w:t>
      </w:r>
      <w:r>
        <w:rPr>
          <w:rFonts w:hint="eastAsia" w:ascii="宋体" w:hAnsi="宋体" w:eastAsia="宋体" w:cs="宋体"/>
          <w:b/>
          <w:bCs/>
          <w:color w:val="auto"/>
          <w:kern w:val="0"/>
          <w:szCs w:val="24"/>
          <w:highlight w:val="none"/>
          <w:u w:val="none"/>
          <w:lang w:val="en-US" w:eastAsia="zh-CN"/>
        </w:rPr>
        <w:t>或投标单价报价高于</w:t>
      </w:r>
      <w:r>
        <w:rPr>
          <w:rFonts w:hint="eastAsia" w:ascii="宋体" w:hAnsi="宋体" w:eastAsia="宋体" w:cs="宋体"/>
          <w:b/>
          <w:color w:val="auto"/>
          <w:szCs w:val="21"/>
          <w:highlight w:val="none"/>
          <w:u w:val="single"/>
          <w:lang w:val="zh-CN"/>
        </w:rPr>
        <w:t>不含税</w:t>
      </w:r>
      <w:r>
        <w:rPr>
          <w:rFonts w:hint="eastAsia" w:ascii="宋体" w:hAnsi="宋体" w:eastAsia="宋体" w:cs="宋体"/>
          <w:b/>
          <w:bCs/>
          <w:color w:val="auto"/>
          <w:kern w:val="0"/>
          <w:szCs w:val="24"/>
          <w:highlight w:val="none"/>
          <w:u w:val="none"/>
          <w:lang w:val="en-US" w:eastAsia="zh-CN"/>
        </w:rPr>
        <w:t>最高投标单价限价</w:t>
      </w:r>
      <w:r>
        <w:rPr>
          <w:rFonts w:hint="eastAsia" w:ascii="宋体" w:hAnsi="宋体" w:eastAsia="宋体" w:cs="宋体"/>
          <w:b/>
          <w:color w:val="auto"/>
          <w:kern w:val="0"/>
          <w:szCs w:val="21"/>
          <w:highlight w:val="none"/>
        </w:rPr>
        <w:t>的</w:t>
      </w:r>
      <w:r>
        <w:rPr>
          <w:rFonts w:hint="eastAsia" w:ascii="宋体" w:hAnsi="宋体" w:eastAsia="宋体" w:cs="宋体"/>
          <w:b/>
          <w:bCs/>
          <w:color w:val="auto"/>
          <w:kern w:val="0"/>
          <w:szCs w:val="21"/>
          <w:highlight w:val="none"/>
        </w:rPr>
        <w:t>；</w:t>
      </w:r>
    </w:p>
    <w:p w14:paraId="360333DF">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0F5A1C60">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44B2D2A1">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4F3F0292">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color w:val="auto"/>
          <w:sz w:val="21"/>
          <w:szCs w:val="21"/>
          <w:highlight w:val="none"/>
        </w:rPr>
        <w:t>存在</w:t>
      </w:r>
      <w:r>
        <w:rPr>
          <w:rFonts w:hint="eastAsia" w:ascii="宋体" w:hAnsi="宋体" w:eastAsia="宋体" w:cs="宋体"/>
          <w:b/>
          <w:color w:val="auto"/>
          <w:sz w:val="21"/>
          <w:szCs w:val="21"/>
          <w:highlight w:val="none"/>
          <w:lang w:val="en-US" w:eastAsia="zh-CN"/>
        </w:rPr>
        <w:t>总公司及独家授权的分支机构同时参与投标或同一总公司授权的多家分支机构同时参与投标</w:t>
      </w:r>
      <w:r>
        <w:rPr>
          <w:rFonts w:hint="eastAsia" w:ascii="宋体" w:hAnsi="宋体" w:eastAsia="宋体" w:cs="宋体"/>
          <w:b/>
          <w:color w:val="auto"/>
          <w:sz w:val="21"/>
          <w:szCs w:val="21"/>
          <w:highlight w:val="none"/>
        </w:rPr>
        <w:t>；</w:t>
      </w:r>
    </w:p>
    <w:p w14:paraId="400CC576">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7.7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14:paraId="762F87AC">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7.8</w:t>
      </w:r>
      <w:r>
        <w:rPr>
          <w:rFonts w:hint="eastAsia" w:ascii="宋体" w:hAnsi="宋体" w:eastAsia="宋体" w:cs="宋体"/>
          <w:b/>
          <w:bCs/>
          <w:color w:val="auto"/>
          <w:kern w:val="0"/>
          <w:szCs w:val="21"/>
          <w:highlight w:val="none"/>
        </w:rPr>
        <w:t xml:space="preserve">  投标有效期限不符合要求；</w:t>
      </w:r>
    </w:p>
    <w:p w14:paraId="48C38214">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7.9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363BE854">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7.10</w:t>
      </w:r>
      <w:r>
        <w:rPr>
          <w:rFonts w:hint="eastAsia" w:ascii="宋体" w:hAnsi="宋体" w:eastAsia="宋体" w:cs="宋体"/>
          <w:b/>
          <w:color w:val="auto"/>
          <w:kern w:val="0"/>
          <w:szCs w:val="21"/>
          <w:highlight w:val="none"/>
        </w:rPr>
        <w:t xml:space="preserve">  未提供或虚假填写《合同条款偏离表》，或对《合同条款偏离表》有负偏离的；</w:t>
      </w:r>
    </w:p>
    <w:p w14:paraId="065A7E3E">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7.11</w:t>
      </w:r>
      <w:r>
        <w:rPr>
          <w:rFonts w:hint="eastAsia" w:ascii="宋体" w:hAnsi="宋体" w:eastAsia="宋体" w:cs="宋体"/>
          <w:b/>
          <w:color w:val="auto"/>
          <w:kern w:val="0"/>
          <w:szCs w:val="21"/>
          <w:highlight w:val="none"/>
        </w:rPr>
        <w:t xml:space="preserve">  未填写或虚假填写《用户需求偏离表》的；</w:t>
      </w:r>
    </w:p>
    <w:p w14:paraId="336B23E2">
      <w:pPr>
        <w:spacing w:line="360" w:lineRule="auto"/>
        <w:ind w:left="413" w:hanging="413" w:hangingChars="196"/>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7.12</w:t>
      </w:r>
      <w:r>
        <w:rPr>
          <w:rFonts w:hint="eastAsia" w:ascii="宋体" w:hAnsi="宋体" w:eastAsia="宋体" w:cs="宋体"/>
          <w:b/>
          <w:color w:val="auto"/>
          <w:kern w:val="0"/>
          <w:szCs w:val="21"/>
          <w:highlight w:val="none"/>
        </w:rPr>
        <w:t xml:space="preserve"> </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color w:val="auto"/>
          <w:kern w:val="0"/>
          <w:szCs w:val="21"/>
          <w:highlight w:val="none"/>
        </w:rPr>
        <w:t>未响应招标文件提出的实质性要求和条件（标注★的条款）。</w:t>
      </w:r>
    </w:p>
    <w:p w14:paraId="06379CBD">
      <w:pPr>
        <w:spacing w:line="360" w:lineRule="auto"/>
        <w:ind w:left="413" w:hanging="413" w:hangingChars="196"/>
        <w:rPr>
          <w:rFonts w:hint="eastAsia" w:ascii="宋体" w:hAnsi="宋体" w:eastAsia="宋体" w:cs="宋体"/>
          <w:b/>
          <w:color w:val="auto"/>
          <w:kern w:val="0"/>
          <w:szCs w:val="21"/>
          <w:highlight w:val="none"/>
        </w:rPr>
      </w:pPr>
    </w:p>
    <w:p w14:paraId="63981DCE">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68E7C600">
      <w:pPr>
        <w:spacing w:line="360" w:lineRule="auto"/>
        <w:ind w:left="480"/>
        <w:rPr>
          <w:rFonts w:hint="eastAsia" w:ascii="宋体" w:hAnsi="宋体" w:eastAsia="宋体" w:cs="宋体"/>
          <w:b/>
          <w:color w:val="auto"/>
          <w:kern w:val="0"/>
          <w:szCs w:val="21"/>
          <w:highlight w:val="none"/>
        </w:rPr>
      </w:pPr>
    </w:p>
    <w:p w14:paraId="2D70B446">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815" w:name="_Toc4109_WPSOffice_Level1"/>
      <w:r>
        <w:rPr>
          <w:rFonts w:hint="eastAsia" w:ascii="宋体" w:hAnsi="宋体" w:eastAsia="宋体" w:cs="宋体"/>
          <w:b/>
          <w:bCs/>
          <w:color w:val="auto"/>
          <w:sz w:val="28"/>
          <w:szCs w:val="28"/>
          <w:highlight w:val="none"/>
          <w:lang w:val="zh-CN"/>
        </w:rPr>
        <w:t>三、澄清有关问题</w:t>
      </w:r>
      <w:bookmarkEnd w:id="815"/>
    </w:p>
    <w:p w14:paraId="6E124550">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79EE0FB2">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258B081">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15FBEE02">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0E52DAAE">
      <w:pPr>
        <w:spacing w:line="360" w:lineRule="auto"/>
        <w:ind w:left="424" w:hanging="424" w:hanging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4975CF17">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19296322">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0D66977D">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20692E90">
      <w:pPr>
        <w:autoSpaceDE/>
        <w:autoSpaceDN/>
        <w:adjustRightInd/>
        <w:spacing w:line="360" w:lineRule="auto"/>
        <w:ind w:left="0" w:firstLine="42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1B827A5B">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6F335F0D">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70BDE067">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816" w:name="_Toc8518_WPSOffice_Level1"/>
    </w:p>
    <w:p w14:paraId="3DF34206">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16"/>
    </w:p>
    <w:p w14:paraId="43C5B237">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kern w:val="2"/>
          <w:sz w:val="21"/>
          <w:highlight w:val="none"/>
          <w:lang w:val="en-US" w:eastAsia="zh-CN"/>
        </w:rPr>
        <w:t>评标委员会按招标文件中规定的评审程序，对各投标文件进行价格比较和评审。</w:t>
      </w:r>
    </w:p>
    <w:p w14:paraId="36BDC69C">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14:paraId="35373684">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817" w:name="_Toc518_WPSOffice_Level1"/>
      <w:r>
        <w:rPr>
          <w:rFonts w:hint="eastAsia" w:ascii="宋体" w:hAnsi="宋体" w:eastAsia="宋体" w:cs="宋体"/>
          <w:b/>
          <w:bCs/>
          <w:color w:val="auto"/>
          <w:sz w:val="28"/>
          <w:szCs w:val="28"/>
          <w:highlight w:val="none"/>
          <w:lang w:val="zh-CN"/>
        </w:rPr>
        <w:t>五、推荐中标人</w:t>
      </w:r>
      <w:bookmarkEnd w:id="817"/>
    </w:p>
    <w:p w14:paraId="2F885046">
      <w:pPr>
        <w:autoSpaceDE w:val="0"/>
        <w:autoSpaceDN w:val="0"/>
        <w:adjustRightInd w:val="0"/>
        <w:spacing w:line="360" w:lineRule="auto"/>
        <w:ind w:left="422" w:leftChars="1" w:hanging="420" w:hangingChars="200"/>
        <w:jc w:val="left"/>
        <w:rPr>
          <w:rFonts w:hint="eastAsia" w:ascii="宋体" w:hAnsi="宋体" w:eastAsia="宋体" w:cs="宋体"/>
          <w:color w:val="auto"/>
          <w:kern w:val="2"/>
          <w:szCs w:val="21"/>
          <w:highlight w:val="none"/>
          <w:lang w:val="zh-CN"/>
        </w:rPr>
      </w:pPr>
      <w:r>
        <w:rPr>
          <w:rFonts w:hint="eastAsia" w:ascii="宋体" w:hAnsi="宋体" w:eastAsia="宋体" w:cs="宋体"/>
          <w:bCs/>
          <w:color w:val="auto"/>
          <w:kern w:val="2"/>
          <w:szCs w:val="24"/>
          <w:highlight w:val="none"/>
          <w:lang w:val="zh-CN" w:eastAsia="zh-CN"/>
        </w:rPr>
        <w:t>11</w:t>
      </w:r>
      <w:r>
        <w:rPr>
          <w:rFonts w:hint="eastAsia" w:ascii="宋体" w:hAnsi="宋体" w:eastAsia="宋体" w:cs="宋体"/>
          <w:bCs/>
          <w:color w:val="auto"/>
          <w:kern w:val="2"/>
          <w:szCs w:val="24"/>
          <w:highlight w:val="none"/>
          <w:lang w:val="zh-CN"/>
        </w:rPr>
        <w:t>、</w:t>
      </w:r>
      <w:r>
        <w:rPr>
          <w:rFonts w:hint="eastAsia" w:ascii="宋体" w:hAnsi="宋体" w:eastAsia="宋体" w:cs="宋体"/>
          <w:b/>
          <w:bCs w:val="0"/>
          <w:color w:val="auto"/>
          <w:kern w:val="2"/>
          <w:szCs w:val="24"/>
          <w:highlight w:val="none"/>
          <w:lang w:val="zh-CN"/>
        </w:rPr>
        <w:t>评标委员会按评审后，</w:t>
      </w:r>
      <w:r>
        <w:rPr>
          <w:rFonts w:hint="eastAsia" w:ascii="宋体" w:hAnsi="宋体" w:eastAsia="宋体" w:cs="宋体"/>
          <w:b/>
          <w:bCs w:val="0"/>
          <w:color w:val="auto"/>
          <w:szCs w:val="24"/>
          <w:highlight w:val="none"/>
        </w:rPr>
        <w:t>有效投标总报价最低</w:t>
      </w:r>
      <w:r>
        <w:rPr>
          <w:rFonts w:hint="eastAsia" w:ascii="宋体" w:hAnsi="宋体" w:eastAsia="宋体" w:cs="宋体"/>
          <w:b/>
          <w:bCs w:val="0"/>
          <w:color w:val="auto"/>
          <w:kern w:val="2"/>
          <w:szCs w:val="24"/>
          <w:highlight w:val="none"/>
          <w:lang w:val="zh-CN"/>
        </w:rPr>
        <w:t>的为第一中标候选人，</w:t>
      </w:r>
      <w:r>
        <w:rPr>
          <w:rFonts w:hint="eastAsia" w:ascii="宋体" w:hAnsi="宋体" w:eastAsia="宋体" w:cs="宋体"/>
          <w:b/>
          <w:bCs w:val="0"/>
          <w:color w:val="auto"/>
          <w:szCs w:val="24"/>
          <w:highlight w:val="none"/>
        </w:rPr>
        <w:t>有效投标总报价次低</w:t>
      </w:r>
      <w:r>
        <w:rPr>
          <w:rFonts w:hint="eastAsia" w:ascii="宋体" w:hAnsi="宋体" w:eastAsia="宋体" w:cs="宋体"/>
          <w:b/>
          <w:bCs w:val="0"/>
          <w:color w:val="auto"/>
          <w:kern w:val="2"/>
          <w:szCs w:val="24"/>
          <w:highlight w:val="none"/>
          <w:lang w:val="zh-CN"/>
        </w:rPr>
        <w:t>的为第二中标候选人，</w:t>
      </w:r>
      <w:r>
        <w:rPr>
          <w:rFonts w:hint="eastAsia" w:ascii="宋体" w:hAnsi="宋体" w:eastAsia="宋体" w:cs="宋体"/>
          <w:b/>
          <w:bCs w:val="0"/>
          <w:color w:val="auto"/>
          <w:szCs w:val="24"/>
          <w:highlight w:val="none"/>
          <w:lang w:val="zh-CN"/>
        </w:rPr>
        <w:t>招标人将确定第一中标候选人为中标人。如果出现投标人的有效投标总报价相同时，按资格业绩合同金额（</w:t>
      </w:r>
      <w:r>
        <w:rPr>
          <w:rFonts w:hint="eastAsia" w:ascii="宋体" w:hAnsi="宋体" w:eastAsia="宋体" w:cs="宋体"/>
          <w:b/>
          <w:bCs w:val="0"/>
          <w:color w:val="auto"/>
          <w:szCs w:val="24"/>
          <w:highlight w:val="none"/>
          <w:lang w:val="en-US" w:eastAsia="zh-CN"/>
        </w:rPr>
        <w:t>如业绩合同中包含除公众责任险外的其他类险种的，以公众责任险部分合同金额为准；如</w:t>
      </w:r>
      <w:r>
        <w:rPr>
          <w:rFonts w:hint="eastAsia" w:ascii="宋体" w:hAnsi="宋体" w:eastAsia="宋体" w:cs="宋体"/>
          <w:b/>
          <w:bCs w:val="0"/>
          <w:color w:val="auto"/>
          <w:szCs w:val="24"/>
          <w:highlight w:val="none"/>
          <w:lang w:val="zh-CN"/>
        </w:rPr>
        <w:t>提供</w:t>
      </w:r>
      <w:r>
        <w:rPr>
          <w:rFonts w:hint="eastAsia" w:ascii="宋体" w:hAnsi="宋体" w:eastAsia="宋体" w:cs="宋体"/>
          <w:b/>
          <w:bCs w:val="0"/>
          <w:color w:val="auto"/>
          <w:szCs w:val="24"/>
          <w:highlight w:val="none"/>
          <w:lang w:val="en-US" w:eastAsia="zh-CN"/>
        </w:rPr>
        <w:t>多份</w:t>
      </w:r>
      <w:r>
        <w:rPr>
          <w:rFonts w:hint="eastAsia" w:ascii="宋体" w:hAnsi="宋体" w:eastAsia="宋体" w:cs="宋体"/>
          <w:b/>
          <w:bCs w:val="0"/>
          <w:color w:val="auto"/>
          <w:szCs w:val="24"/>
          <w:highlight w:val="none"/>
          <w:lang w:val="zh-CN"/>
        </w:rPr>
        <w:t>资格业绩</w:t>
      </w:r>
      <w:r>
        <w:rPr>
          <w:rFonts w:hint="eastAsia" w:ascii="宋体" w:hAnsi="宋体" w:eastAsia="宋体" w:cs="宋体"/>
          <w:b/>
          <w:bCs w:val="0"/>
          <w:color w:val="auto"/>
          <w:szCs w:val="24"/>
          <w:highlight w:val="none"/>
          <w:lang w:val="en-US" w:eastAsia="zh-CN"/>
        </w:rPr>
        <w:t>的，以公众责任险部分</w:t>
      </w:r>
      <w:r>
        <w:rPr>
          <w:rFonts w:hint="eastAsia" w:ascii="宋体" w:hAnsi="宋体" w:eastAsia="宋体" w:cs="宋体"/>
          <w:b/>
          <w:bCs w:val="0"/>
          <w:color w:val="auto"/>
          <w:szCs w:val="24"/>
          <w:highlight w:val="none"/>
          <w:lang w:val="zh-CN"/>
        </w:rPr>
        <w:t>合同金额最多的业绩为准；</w:t>
      </w:r>
      <w:r>
        <w:rPr>
          <w:rFonts w:hint="eastAsia" w:ascii="宋体" w:hAnsi="宋体" w:eastAsia="宋体" w:cs="宋体"/>
          <w:b/>
          <w:bCs w:val="0"/>
          <w:color w:val="auto"/>
          <w:szCs w:val="24"/>
          <w:highlight w:val="none"/>
          <w:lang w:val="en-US" w:eastAsia="zh-CN"/>
        </w:rPr>
        <w:t>如所提供的资格业绩合同不能体现公众责任险部分金额的，投标人需同时提供能体现公众责任险部分合同金额的证明材料复印件作为辅助证明，否则该项资格业绩合同金额不予进入排序。</w:t>
      </w:r>
      <w:r>
        <w:rPr>
          <w:rFonts w:hint="eastAsia" w:ascii="宋体" w:hAnsi="宋体" w:eastAsia="宋体" w:cs="宋体"/>
          <w:b/>
          <w:bCs w:val="0"/>
          <w:color w:val="auto"/>
          <w:szCs w:val="24"/>
          <w:highlight w:val="none"/>
          <w:lang w:val="zh-CN"/>
        </w:rPr>
        <w:t>）由多到少顺序排出次序，多的排前，少的排后。如果出现投标总报价、合同金额相同的，由评标委员会进行投票，得票多的排名在先。当第一轮投票结果为投标人得票数相同时，再次进行投票，如此类推，直到能确定排序次序为止</w:t>
      </w:r>
      <w:r>
        <w:rPr>
          <w:rFonts w:hint="eastAsia" w:ascii="宋体" w:hAnsi="宋体" w:eastAsia="宋体" w:cs="宋体"/>
          <w:color w:val="auto"/>
          <w:kern w:val="2"/>
          <w:szCs w:val="21"/>
          <w:highlight w:val="none"/>
          <w:lang w:val="zh-CN"/>
        </w:rPr>
        <w:t>。</w:t>
      </w:r>
    </w:p>
    <w:p w14:paraId="10FFEAFB">
      <w:pPr>
        <w:widowControl/>
        <w:spacing w:line="360" w:lineRule="auto"/>
        <w:jc w:val="left"/>
        <w:rPr>
          <w:rFonts w:hint="eastAsia" w:ascii="宋体" w:hAnsi="宋体" w:eastAsia="宋体" w:cs="宋体"/>
          <w:color w:val="auto"/>
          <w:kern w:val="0"/>
          <w:szCs w:val="21"/>
          <w:highlight w:val="none"/>
        </w:rPr>
      </w:pPr>
    </w:p>
    <w:p w14:paraId="1E1D9A94">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818" w:name="_Toc22724_WPSOffice_Level1"/>
      <w:r>
        <w:rPr>
          <w:rFonts w:hint="eastAsia" w:ascii="宋体" w:hAnsi="宋体" w:eastAsia="宋体" w:cs="宋体"/>
          <w:b/>
          <w:bCs/>
          <w:color w:val="auto"/>
          <w:sz w:val="28"/>
          <w:szCs w:val="28"/>
          <w:highlight w:val="none"/>
          <w:lang w:val="zh-CN"/>
        </w:rPr>
        <w:t>六、编写评标报告</w:t>
      </w:r>
      <w:bookmarkEnd w:id="818"/>
    </w:p>
    <w:p w14:paraId="34582515">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en-US" w:eastAsia="zh-CN"/>
        </w:rPr>
        <w:t>12</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647506F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33CD7E0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6890488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5762DF50">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707F7DF0">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6233F53">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4BFDCA57">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1799B5A4">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819" w:name="_Toc23773_WPSOffice_Level1"/>
      <w:r>
        <w:rPr>
          <w:rFonts w:hint="eastAsia" w:ascii="宋体" w:hAnsi="宋体" w:eastAsia="宋体" w:cs="宋体"/>
          <w:b/>
          <w:bCs/>
          <w:color w:val="auto"/>
          <w:sz w:val="28"/>
          <w:szCs w:val="28"/>
          <w:highlight w:val="none"/>
          <w:lang w:val="zh-CN"/>
        </w:rPr>
        <w:t>七、注意事项</w:t>
      </w:r>
      <w:bookmarkEnd w:id="819"/>
    </w:p>
    <w:p w14:paraId="7C6AC4AF">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13</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0FFB6F49">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1FE99671">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2161DD6D">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7930FD4">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5A9BE21">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790"/>
    <w:bookmarkEnd w:id="800"/>
    <w:bookmarkEnd w:id="801"/>
    <w:bookmarkEnd w:id="802"/>
    <w:p w14:paraId="2B929BA1">
      <w:pPr>
        <w:widowControl/>
        <w:jc w:val="left"/>
        <w:rPr>
          <w:rFonts w:hint="eastAsia"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EEC141E6-61B3-4235-AE8A-98AC9FE56F2F}"/>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26F2FFB1-1733-45E8-8E17-C4ABBC377EE7}"/>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08E9">
    <w:pPr>
      <w:pStyle w:val="28"/>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90A7B">
    <w:pPr>
      <w:pStyle w:val="28"/>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5FF2">
    <w:pPr>
      <w:pStyle w:val="28"/>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93AC9">
    <w:pPr>
      <w:pStyle w:val="28"/>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BCBE7">
    <w:pPr>
      <w:pStyle w:val="28"/>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32133118">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ZjkyNmJlYmZlMjgwZjE5OWE3OWMxMjIwNGM4NjE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6F1557"/>
    <w:rsid w:val="03367AB9"/>
    <w:rsid w:val="033C0E47"/>
    <w:rsid w:val="04363AE8"/>
    <w:rsid w:val="043E5CCF"/>
    <w:rsid w:val="047E2244"/>
    <w:rsid w:val="058F61CC"/>
    <w:rsid w:val="058F7720"/>
    <w:rsid w:val="06A75D00"/>
    <w:rsid w:val="071F2612"/>
    <w:rsid w:val="07AD05F3"/>
    <w:rsid w:val="092F789D"/>
    <w:rsid w:val="09304FAA"/>
    <w:rsid w:val="0A515D78"/>
    <w:rsid w:val="0BF93A9D"/>
    <w:rsid w:val="0CA97668"/>
    <w:rsid w:val="0D780CCE"/>
    <w:rsid w:val="0DDC300B"/>
    <w:rsid w:val="0EE303C9"/>
    <w:rsid w:val="0F241091"/>
    <w:rsid w:val="0F753717"/>
    <w:rsid w:val="0FF8486C"/>
    <w:rsid w:val="10B35A73"/>
    <w:rsid w:val="10BC03C7"/>
    <w:rsid w:val="11A71B81"/>
    <w:rsid w:val="11B04EDA"/>
    <w:rsid w:val="11C5452D"/>
    <w:rsid w:val="130F4A87"/>
    <w:rsid w:val="14237C67"/>
    <w:rsid w:val="14353475"/>
    <w:rsid w:val="14803D6F"/>
    <w:rsid w:val="14C06ED0"/>
    <w:rsid w:val="15610299"/>
    <w:rsid w:val="15A13C38"/>
    <w:rsid w:val="16B60189"/>
    <w:rsid w:val="16CD2428"/>
    <w:rsid w:val="1703687A"/>
    <w:rsid w:val="189D50AD"/>
    <w:rsid w:val="18AC7E71"/>
    <w:rsid w:val="18C474BD"/>
    <w:rsid w:val="18E5190D"/>
    <w:rsid w:val="19251064"/>
    <w:rsid w:val="19632832"/>
    <w:rsid w:val="199E386A"/>
    <w:rsid w:val="19AF70A6"/>
    <w:rsid w:val="19C22FDE"/>
    <w:rsid w:val="1A5E6C2F"/>
    <w:rsid w:val="1AC52D51"/>
    <w:rsid w:val="1B0940FF"/>
    <w:rsid w:val="1CC73D0E"/>
    <w:rsid w:val="1F0D1100"/>
    <w:rsid w:val="207A1985"/>
    <w:rsid w:val="211B1CE6"/>
    <w:rsid w:val="22AF6AE8"/>
    <w:rsid w:val="22C333F1"/>
    <w:rsid w:val="22C62CF4"/>
    <w:rsid w:val="22EE13BE"/>
    <w:rsid w:val="23A06120"/>
    <w:rsid w:val="24A21A75"/>
    <w:rsid w:val="24BB4ED6"/>
    <w:rsid w:val="2568016B"/>
    <w:rsid w:val="286E02B3"/>
    <w:rsid w:val="28A41C16"/>
    <w:rsid w:val="28AC24C6"/>
    <w:rsid w:val="28CD7B64"/>
    <w:rsid w:val="28DA73F5"/>
    <w:rsid w:val="2943150A"/>
    <w:rsid w:val="296D5007"/>
    <w:rsid w:val="299C5B85"/>
    <w:rsid w:val="29AE6B2F"/>
    <w:rsid w:val="2A141CA3"/>
    <w:rsid w:val="2A21774D"/>
    <w:rsid w:val="2A9E4307"/>
    <w:rsid w:val="2B5B15BB"/>
    <w:rsid w:val="2BFA5278"/>
    <w:rsid w:val="2CFC2BFE"/>
    <w:rsid w:val="2DCB42F0"/>
    <w:rsid w:val="30F956C7"/>
    <w:rsid w:val="314D028A"/>
    <w:rsid w:val="3456043A"/>
    <w:rsid w:val="349873DC"/>
    <w:rsid w:val="355530AA"/>
    <w:rsid w:val="3628478F"/>
    <w:rsid w:val="364631D7"/>
    <w:rsid w:val="368928C2"/>
    <w:rsid w:val="372F1B4E"/>
    <w:rsid w:val="37850378"/>
    <w:rsid w:val="38836817"/>
    <w:rsid w:val="38F00B77"/>
    <w:rsid w:val="392C27E9"/>
    <w:rsid w:val="39B20F40"/>
    <w:rsid w:val="3A22087E"/>
    <w:rsid w:val="3AD423CC"/>
    <w:rsid w:val="3B1F29B6"/>
    <w:rsid w:val="3C14314E"/>
    <w:rsid w:val="3E344619"/>
    <w:rsid w:val="3E5A6B80"/>
    <w:rsid w:val="3EAA09C3"/>
    <w:rsid w:val="3F5B255F"/>
    <w:rsid w:val="3FB83028"/>
    <w:rsid w:val="4090110A"/>
    <w:rsid w:val="40D5100A"/>
    <w:rsid w:val="40DC5A18"/>
    <w:rsid w:val="410700D0"/>
    <w:rsid w:val="41434B73"/>
    <w:rsid w:val="420A743F"/>
    <w:rsid w:val="436037BB"/>
    <w:rsid w:val="43B50E83"/>
    <w:rsid w:val="44214BA9"/>
    <w:rsid w:val="454B633C"/>
    <w:rsid w:val="45DC10F2"/>
    <w:rsid w:val="462A1A70"/>
    <w:rsid w:val="462F1B6A"/>
    <w:rsid w:val="464E3D9E"/>
    <w:rsid w:val="48BC5937"/>
    <w:rsid w:val="49A11F60"/>
    <w:rsid w:val="49CD274C"/>
    <w:rsid w:val="49DF6BAC"/>
    <w:rsid w:val="4A0F1A96"/>
    <w:rsid w:val="4A14415E"/>
    <w:rsid w:val="4A435A7C"/>
    <w:rsid w:val="4ABB70A5"/>
    <w:rsid w:val="4AC960E9"/>
    <w:rsid w:val="4BC8467F"/>
    <w:rsid w:val="4C3514D2"/>
    <w:rsid w:val="4CFE53E3"/>
    <w:rsid w:val="4D373B4C"/>
    <w:rsid w:val="4D9F32DC"/>
    <w:rsid w:val="4DF40F01"/>
    <w:rsid w:val="4E420AEE"/>
    <w:rsid w:val="4E5E59A4"/>
    <w:rsid w:val="4E9F0914"/>
    <w:rsid w:val="4EB359AB"/>
    <w:rsid w:val="4F0A4599"/>
    <w:rsid w:val="4F9A5CA8"/>
    <w:rsid w:val="4FE63648"/>
    <w:rsid w:val="50660634"/>
    <w:rsid w:val="50966A6E"/>
    <w:rsid w:val="51523CD7"/>
    <w:rsid w:val="51B16AF2"/>
    <w:rsid w:val="532145E9"/>
    <w:rsid w:val="53763463"/>
    <w:rsid w:val="54F06565"/>
    <w:rsid w:val="55B30A26"/>
    <w:rsid w:val="562B5E8C"/>
    <w:rsid w:val="56A619D5"/>
    <w:rsid w:val="56B37004"/>
    <w:rsid w:val="57105536"/>
    <w:rsid w:val="58AC2BA6"/>
    <w:rsid w:val="594A2AEB"/>
    <w:rsid w:val="59633BAD"/>
    <w:rsid w:val="59C04B5B"/>
    <w:rsid w:val="59FB128F"/>
    <w:rsid w:val="5AAB580B"/>
    <w:rsid w:val="5ADC7222"/>
    <w:rsid w:val="5B422E2E"/>
    <w:rsid w:val="5B7751AA"/>
    <w:rsid w:val="5BE12FA3"/>
    <w:rsid w:val="5C4D6613"/>
    <w:rsid w:val="5D8866EC"/>
    <w:rsid w:val="5DE47A17"/>
    <w:rsid w:val="5EBF421E"/>
    <w:rsid w:val="61E909C7"/>
    <w:rsid w:val="62B13874"/>
    <w:rsid w:val="63672753"/>
    <w:rsid w:val="64322AF9"/>
    <w:rsid w:val="65130235"/>
    <w:rsid w:val="65954972"/>
    <w:rsid w:val="65A61CE2"/>
    <w:rsid w:val="65E62E7A"/>
    <w:rsid w:val="66EC7F6C"/>
    <w:rsid w:val="67287B59"/>
    <w:rsid w:val="672901E4"/>
    <w:rsid w:val="67BB5990"/>
    <w:rsid w:val="67FA7E65"/>
    <w:rsid w:val="69C62FCC"/>
    <w:rsid w:val="69F452BC"/>
    <w:rsid w:val="6A570FA3"/>
    <w:rsid w:val="6A8C243F"/>
    <w:rsid w:val="6AAD178D"/>
    <w:rsid w:val="6BAA566B"/>
    <w:rsid w:val="6CA50DE5"/>
    <w:rsid w:val="6CC649E7"/>
    <w:rsid w:val="6DC01176"/>
    <w:rsid w:val="6DDA5CDD"/>
    <w:rsid w:val="6EB909EA"/>
    <w:rsid w:val="6F5F71DE"/>
    <w:rsid w:val="6F8C598F"/>
    <w:rsid w:val="6FCD36D6"/>
    <w:rsid w:val="70D44A9F"/>
    <w:rsid w:val="7118455C"/>
    <w:rsid w:val="72A145F3"/>
    <w:rsid w:val="7366631C"/>
    <w:rsid w:val="73EB4C5C"/>
    <w:rsid w:val="742F48D6"/>
    <w:rsid w:val="751D3132"/>
    <w:rsid w:val="76E6709F"/>
    <w:rsid w:val="77281627"/>
    <w:rsid w:val="77BC7F2D"/>
    <w:rsid w:val="786646C8"/>
    <w:rsid w:val="787D7721"/>
    <w:rsid w:val="78F46178"/>
    <w:rsid w:val="790A599B"/>
    <w:rsid w:val="790D22C6"/>
    <w:rsid w:val="7A6A0899"/>
    <w:rsid w:val="7C2A7ADB"/>
    <w:rsid w:val="7C551B8B"/>
    <w:rsid w:val="7D630A43"/>
    <w:rsid w:val="7D6457E7"/>
    <w:rsid w:val="7D8C1F49"/>
    <w:rsid w:val="7F837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1"/>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9"/>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5"/>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1"/>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3"/>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3"/>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4"/>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5"/>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6"/>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5"/>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4"/>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7"/>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4"/>
    <w:autoRedefine/>
    <w:unhideWhenUsed/>
    <w:qFormat/>
    <w:uiPriority w:val="99"/>
    <w:pPr>
      <w:jc w:val="left"/>
    </w:pPr>
  </w:style>
  <w:style w:type="paragraph" w:styleId="17">
    <w:name w:val="Body Text 3"/>
    <w:basedOn w:val="1"/>
    <w:link w:val="157"/>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9"/>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2"/>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next w:val="21"/>
    <w:link w:val="93"/>
    <w:autoRedefine/>
    <w:qFormat/>
    <w:uiPriority w:val="0"/>
    <w:pPr>
      <w:ind w:left="567" w:leftChars="270"/>
    </w:pPr>
    <w:rPr>
      <w:rFonts w:ascii="Times New Roman" w:hAnsi="Times New Roman" w:eastAsia="宋体" w:cs="Times New Roman"/>
      <w:szCs w:val="20"/>
    </w:rPr>
  </w:style>
  <w:style w:type="paragraph" w:styleId="21">
    <w:name w:val="Body Text First Indent 2"/>
    <w:basedOn w:val="20"/>
    <w:next w:val="22"/>
    <w:autoRedefine/>
    <w:qFormat/>
    <w:uiPriority w:val="0"/>
    <w:pPr>
      <w:ind w:firstLine="420" w:firstLineChars="200"/>
    </w:pPr>
    <w:rPr>
      <w:szCs w:val="24"/>
    </w:rPr>
  </w:style>
  <w:style w:type="paragraph" w:customStyle="1" w:styleId="22">
    <w:name w:val="xl5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styleId="23">
    <w:name w:val="toc 3"/>
    <w:basedOn w:val="1"/>
    <w:next w:val="1"/>
    <w:autoRedefine/>
    <w:unhideWhenUsed/>
    <w:qFormat/>
    <w:uiPriority w:val="39"/>
    <w:pPr>
      <w:tabs>
        <w:tab w:val="right" w:leader="dot" w:pos="10144"/>
      </w:tabs>
      <w:ind w:left="840" w:leftChars="400"/>
    </w:pPr>
  </w:style>
  <w:style w:type="paragraph" w:styleId="24">
    <w:name w:val="Plain Text"/>
    <w:basedOn w:val="1"/>
    <w:link w:val="101"/>
    <w:autoRedefine/>
    <w:qFormat/>
    <w:uiPriority w:val="0"/>
    <w:rPr>
      <w:rFonts w:ascii="宋体" w:hAnsi="Courier New" w:eastAsia="宋体"/>
    </w:rPr>
  </w:style>
  <w:style w:type="paragraph" w:styleId="25">
    <w:name w:val="Date"/>
    <w:basedOn w:val="1"/>
    <w:next w:val="1"/>
    <w:link w:val="109"/>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6">
    <w:name w:val="Body Text Indent 2"/>
    <w:basedOn w:val="1"/>
    <w:link w:val="102"/>
    <w:autoRedefine/>
    <w:qFormat/>
    <w:uiPriority w:val="0"/>
    <w:pPr>
      <w:tabs>
        <w:tab w:val="left" w:pos="8640"/>
      </w:tabs>
      <w:ind w:left="1260"/>
    </w:pPr>
    <w:rPr>
      <w:rFonts w:ascii="宋体" w:hAnsi="Times New Roman" w:eastAsia="宋体" w:cs="Times New Roman"/>
      <w:szCs w:val="20"/>
    </w:rPr>
  </w:style>
  <w:style w:type="paragraph" w:styleId="27">
    <w:name w:val="Balloon Text"/>
    <w:basedOn w:val="1"/>
    <w:link w:val="75"/>
    <w:autoRedefine/>
    <w:qFormat/>
    <w:uiPriority w:val="0"/>
    <w:rPr>
      <w:rFonts w:ascii="Times New Roman" w:hAnsi="Times New Roman" w:eastAsia="宋体" w:cs="Times New Roman"/>
      <w:sz w:val="18"/>
      <w:szCs w:val="18"/>
    </w:rPr>
  </w:style>
  <w:style w:type="paragraph" w:styleId="28">
    <w:name w:val="footer"/>
    <w:basedOn w:val="1"/>
    <w:link w:val="79"/>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9">
    <w:name w:val="header"/>
    <w:basedOn w:val="1"/>
    <w:link w:val="121"/>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0">
    <w:name w:val="toc 1"/>
    <w:basedOn w:val="1"/>
    <w:next w:val="1"/>
    <w:autoRedefine/>
    <w:unhideWhenUsed/>
    <w:qFormat/>
    <w:uiPriority w:val="39"/>
  </w:style>
  <w:style w:type="paragraph" w:styleId="31">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2">
    <w:name w:val="Body Text Indent 3"/>
    <w:basedOn w:val="1"/>
    <w:link w:val="155"/>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3">
    <w:name w:val="toc 2"/>
    <w:basedOn w:val="1"/>
    <w:next w:val="1"/>
    <w:autoRedefine/>
    <w:semiHidden/>
    <w:unhideWhenUsed/>
    <w:qFormat/>
    <w:uiPriority w:val="39"/>
    <w:pPr>
      <w:ind w:left="420" w:leftChars="200"/>
    </w:pPr>
  </w:style>
  <w:style w:type="paragraph" w:styleId="34">
    <w:name w:val="Body Text 2"/>
    <w:basedOn w:val="1"/>
    <w:link w:val="144"/>
    <w:autoRedefine/>
    <w:qFormat/>
    <w:uiPriority w:val="0"/>
    <w:pPr>
      <w:tabs>
        <w:tab w:val="left" w:pos="0"/>
      </w:tabs>
      <w:spacing w:line="400" w:lineRule="atLeast"/>
    </w:pPr>
    <w:rPr>
      <w:rFonts w:ascii="Arial" w:hAnsi="Arial" w:eastAsia="宋体" w:cs="Times New Roman"/>
      <w:color w:val="000000"/>
      <w:szCs w:val="24"/>
    </w:rPr>
  </w:style>
  <w:style w:type="paragraph" w:styleId="35">
    <w:name w:val="HTML Preformatted"/>
    <w:basedOn w:val="1"/>
    <w:link w:val="8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6">
    <w:name w:val="Normal (Web)"/>
    <w:basedOn w:val="1"/>
    <w:link w:val="94"/>
    <w:autoRedefine/>
    <w:qFormat/>
    <w:uiPriority w:val="0"/>
    <w:pPr>
      <w:widowControl/>
      <w:spacing w:before="100" w:beforeAutospacing="1" w:after="100" w:afterAutospacing="1"/>
      <w:jc w:val="left"/>
    </w:pPr>
    <w:rPr>
      <w:rFonts w:ascii="宋体" w:hAnsi="宋体"/>
      <w:sz w:val="15"/>
      <w:szCs w:val="15"/>
    </w:rPr>
  </w:style>
  <w:style w:type="paragraph" w:styleId="37">
    <w:name w:val="Title"/>
    <w:basedOn w:val="1"/>
    <w:next w:val="1"/>
    <w:link w:val="59"/>
    <w:autoRedefine/>
    <w:qFormat/>
    <w:uiPriority w:val="10"/>
    <w:pPr>
      <w:spacing w:before="120" w:after="60" w:line="300" w:lineRule="auto"/>
      <w:jc w:val="left"/>
      <w:outlineLvl w:val="0"/>
    </w:pPr>
    <w:rPr>
      <w:rFonts w:ascii="等线 Light" w:hAnsi="等线 Light" w:eastAsia="仿宋"/>
      <w:b/>
      <w:bCs/>
      <w:sz w:val="28"/>
      <w:szCs w:val="32"/>
    </w:rPr>
  </w:style>
  <w:style w:type="paragraph" w:styleId="38">
    <w:name w:val="annotation subject"/>
    <w:basedOn w:val="16"/>
    <w:next w:val="16"/>
    <w:link w:val="111"/>
    <w:autoRedefine/>
    <w:qFormat/>
    <w:uiPriority w:val="99"/>
    <w:pPr>
      <w:autoSpaceDE w:val="0"/>
      <w:autoSpaceDN w:val="0"/>
      <w:adjustRightInd w:val="0"/>
    </w:pPr>
    <w:rPr>
      <w:rFonts w:ascii="宋体" w:hAnsi="Times New Roman" w:eastAsia="宋体" w:cs="Times New Roman"/>
      <w:b/>
      <w:bCs/>
      <w:kern w:val="0"/>
      <w:sz w:val="24"/>
      <w:szCs w:val="24"/>
    </w:rPr>
  </w:style>
  <w:style w:type="table" w:styleId="40">
    <w:name w:val="Table Grid"/>
    <w:basedOn w:val="39"/>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autoRedefine/>
    <w:qFormat/>
    <w:uiPriority w:val="0"/>
    <w:rPr>
      <w:b/>
      <w:bCs/>
    </w:rPr>
  </w:style>
  <w:style w:type="character" w:styleId="43">
    <w:name w:val="FollowedHyperlink"/>
    <w:autoRedefine/>
    <w:unhideWhenUsed/>
    <w:qFormat/>
    <w:uiPriority w:val="99"/>
    <w:rPr>
      <w:color w:val="954F72"/>
      <w:u w:val="single"/>
    </w:rPr>
  </w:style>
  <w:style w:type="character" w:styleId="44">
    <w:name w:val="Emphasis"/>
    <w:autoRedefine/>
    <w:qFormat/>
    <w:uiPriority w:val="0"/>
    <w:rPr>
      <w:i/>
      <w:iCs/>
    </w:rPr>
  </w:style>
  <w:style w:type="character" w:styleId="45">
    <w:name w:val="Hyperlink"/>
    <w:basedOn w:val="41"/>
    <w:autoRedefine/>
    <w:qFormat/>
    <w:uiPriority w:val="99"/>
    <w:rPr>
      <w:rFonts w:hint="default" w:ascii="Arial" w:hAnsi="Arial" w:cs="Arial"/>
      <w:color w:val="000000"/>
      <w:sz w:val="20"/>
      <w:szCs w:val="20"/>
      <w:u w:val="none"/>
    </w:rPr>
  </w:style>
  <w:style w:type="character" w:styleId="46">
    <w:name w:val="annotation reference"/>
    <w:autoRedefine/>
    <w:qFormat/>
    <w:uiPriority w:val="99"/>
    <w:rPr>
      <w:sz w:val="21"/>
      <w:szCs w:val="21"/>
    </w:rPr>
  </w:style>
  <w:style w:type="paragraph" w:customStyle="1" w:styleId="47">
    <w:name w:val="首行缩进"/>
    <w:basedOn w:val="1"/>
    <w:autoRedefine/>
    <w:qFormat/>
    <w:uiPriority w:val="0"/>
    <w:pPr>
      <w:ind w:firstLine="480" w:firstLineChars="200"/>
    </w:pPr>
    <w:rPr>
      <w:lang w:val="zh-CN"/>
    </w:rPr>
  </w:style>
  <w:style w:type="character" w:customStyle="1" w:styleId="48">
    <w:name w:val="标题 1 字符"/>
    <w:basedOn w:val="41"/>
    <w:autoRedefine/>
    <w:qFormat/>
    <w:uiPriority w:val="0"/>
    <w:rPr>
      <w:b/>
      <w:bCs/>
      <w:kern w:val="44"/>
      <w:sz w:val="44"/>
      <w:szCs w:val="44"/>
    </w:rPr>
  </w:style>
  <w:style w:type="character" w:customStyle="1" w:styleId="49">
    <w:name w:val="标题 2 Char"/>
    <w:basedOn w:val="41"/>
    <w:link w:val="3"/>
    <w:autoRedefine/>
    <w:qFormat/>
    <w:uiPriority w:val="0"/>
    <w:rPr>
      <w:rFonts w:ascii="宋体" w:hAnsi="Calibri" w:eastAsia="宋体" w:cs="Times New Roman"/>
      <w:kern w:val="0"/>
      <w:sz w:val="24"/>
      <w:szCs w:val="24"/>
    </w:rPr>
  </w:style>
  <w:style w:type="character" w:customStyle="1" w:styleId="50">
    <w:name w:val="标题 3 字符"/>
    <w:basedOn w:val="41"/>
    <w:autoRedefine/>
    <w:qFormat/>
    <w:uiPriority w:val="0"/>
    <w:rPr>
      <w:b/>
      <w:bCs/>
      <w:sz w:val="32"/>
      <w:szCs w:val="32"/>
    </w:rPr>
  </w:style>
  <w:style w:type="character" w:customStyle="1" w:styleId="51">
    <w:name w:val="标题 4 Char1"/>
    <w:basedOn w:val="41"/>
    <w:link w:val="5"/>
    <w:autoRedefine/>
    <w:qFormat/>
    <w:uiPriority w:val="9"/>
    <w:rPr>
      <w:rFonts w:ascii="Arial" w:hAnsi="Arial" w:eastAsia="黑体" w:cs="Times New Roman"/>
      <w:b/>
      <w:bCs/>
      <w:kern w:val="0"/>
      <w:sz w:val="28"/>
      <w:szCs w:val="28"/>
    </w:rPr>
  </w:style>
  <w:style w:type="character" w:customStyle="1" w:styleId="52">
    <w:name w:val="标题 5 字符"/>
    <w:basedOn w:val="41"/>
    <w:autoRedefine/>
    <w:qFormat/>
    <w:uiPriority w:val="9"/>
    <w:rPr>
      <w:b/>
      <w:bCs/>
      <w:sz w:val="28"/>
      <w:szCs w:val="28"/>
    </w:rPr>
  </w:style>
  <w:style w:type="character" w:customStyle="1" w:styleId="53">
    <w:name w:val="标题 6 字符"/>
    <w:basedOn w:val="41"/>
    <w:autoRedefine/>
    <w:qFormat/>
    <w:uiPriority w:val="0"/>
    <w:rPr>
      <w:rFonts w:asciiTheme="majorHAnsi" w:hAnsiTheme="majorHAnsi" w:eastAsiaTheme="majorEastAsia" w:cstheme="majorBidi"/>
      <w:b/>
      <w:bCs/>
      <w:sz w:val="24"/>
      <w:szCs w:val="24"/>
    </w:rPr>
  </w:style>
  <w:style w:type="character" w:customStyle="1" w:styleId="54">
    <w:name w:val="标题 7 Char"/>
    <w:basedOn w:val="41"/>
    <w:link w:val="9"/>
    <w:autoRedefine/>
    <w:qFormat/>
    <w:uiPriority w:val="9"/>
    <w:rPr>
      <w:rFonts w:ascii="Times New Roman" w:hAnsi="Calibri" w:eastAsia="黑体" w:cs="Times New Roman"/>
      <w:b/>
      <w:bCs/>
      <w:kern w:val="0"/>
      <w:sz w:val="28"/>
      <w:szCs w:val="24"/>
    </w:rPr>
  </w:style>
  <w:style w:type="character" w:customStyle="1" w:styleId="55">
    <w:name w:val="标题 8 Char"/>
    <w:basedOn w:val="41"/>
    <w:link w:val="10"/>
    <w:autoRedefine/>
    <w:qFormat/>
    <w:uiPriority w:val="9"/>
    <w:rPr>
      <w:rFonts w:ascii="Times New Roman" w:hAnsi="Calibri" w:eastAsia="黑体" w:cs="Times New Roman"/>
      <w:b/>
      <w:kern w:val="0"/>
      <w:sz w:val="28"/>
      <w:szCs w:val="24"/>
    </w:rPr>
  </w:style>
  <w:style w:type="character" w:customStyle="1" w:styleId="56">
    <w:name w:val="标题 9 Char"/>
    <w:basedOn w:val="41"/>
    <w:link w:val="11"/>
    <w:autoRedefine/>
    <w:qFormat/>
    <w:uiPriority w:val="9"/>
    <w:rPr>
      <w:rFonts w:ascii="Times New Roman" w:hAnsi="Calibri" w:eastAsia="黑体" w:cs="Times New Roman"/>
      <w:b/>
      <w:kern w:val="0"/>
      <w:sz w:val="28"/>
      <w:szCs w:val="24"/>
    </w:rPr>
  </w:style>
  <w:style w:type="character" w:customStyle="1" w:styleId="57">
    <w:name w:val="正文文本缩进 字符"/>
    <w:autoRedefine/>
    <w:qFormat/>
    <w:uiPriority w:val="0"/>
    <w:rPr>
      <w:rFonts w:ascii="Times New Roman" w:hAnsi="Times New Roman" w:eastAsia="宋体" w:cs="Times New Roman"/>
      <w:szCs w:val="20"/>
    </w:rPr>
  </w:style>
  <w:style w:type="character" w:customStyle="1" w:styleId="58">
    <w:name w:val="普通(网站) Char"/>
    <w:autoRedefine/>
    <w:qFormat/>
    <w:locked/>
    <w:uiPriority w:val="0"/>
    <w:rPr>
      <w:rFonts w:ascii="宋体" w:hAnsi="宋体"/>
      <w:sz w:val="15"/>
      <w:szCs w:val="15"/>
    </w:rPr>
  </w:style>
  <w:style w:type="character" w:customStyle="1" w:styleId="59">
    <w:name w:val="标题 Char"/>
    <w:link w:val="37"/>
    <w:autoRedefine/>
    <w:qFormat/>
    <w:uiPriority w:val="10"/>
    <w:rPr>
      <w:rFonts w:ascii="等线 Light" w:hAnsi="等线 Light" w:eastAsia="仿宋"/>
      <w:b/>
      <w:bCs/>
      <w:sz w:val="28"/>
      <w:szCs w:val="32"/>
    </w:rPr>
  </w:style>
  <w:style w:type="character" w:customStyle="1" w:styleId="60">
    <w:name w:val="日期 Char"/>
    <w:autoRedefine/>
    <w:semiHidden/>
    <w:qFormat/>
    <w:uiPriority w:val="99"/>
    <w:rPr>
      <w:kern w:val="2"/>
      <w:sz w:val="21"/>
    </w:rPr>
  </w:style>
  <w:style w:type="character" w:customStyle="1" w:styleId="61">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2">
    <w:name w:val="批注文字 Char"/>
    <w:autoRedefine/>
    <w:semiHidden/>
    <w:qFormat/>
    <w:uiPriority w:val="99"/>
    <w:rPr>
      <w:kern w:val="2"/>
      <w:sz w:val="21"/>
    </w:rPr>
  </w:style>
  <w:style w:type="character" w:customStyle="1" w:styleId="63">
    <w:name w:val="正文缩进2格 Char"/>
    <w:link w:val="64"/>
    <w:autoRedefine/>
    <w:qFormat/>
    <w:uiPriority w:val="0"/>
    <w:rPr>
      <w:rFonts w:ascii="仿宋_GB2312" w:hAnsi="宋体" w:eastAsia="仿宋_GB2312"/>
      <w:sz w:val="31"/>
      <w:szCs w:val="28"/>
    </w:rPr>
  </w:style>
  <w:style w:type="paragraph" w:customStyle="1" w:styleId="64">
    <w:name w:val="正文缩进2格"/>
    <w:basedOn w:val="1"/>
    <w:link w:val="63"/>
    <w:autoRedefine/>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autoRedefine/>
    <w:semiHidden/>
    <w:qFormat/>
    <w:uiPriority w:val="99"/>
    <w:rPr>
      <w:rFonts w:ascii="Times New Roman" w:hAnsi="Times New Roman"/>
      <w:kern w:val="2"/>
      <w:sz w:val="24"/>
      <w:szCs w:val="24"/>
    </w:rPr>
  </w:style>
  <w:style w:type="character" w:customStyle="1" w:styleId="66">
    <w:name w:val="正文文本缩进 Char"/>
    <w:autoRedefine/>
    <w:qFormat/>
    <w:uiPriority w:val="0"/>
    <w:rPr>
      <w:rFonts w:ascii="Times New Roman" w:hAnsi="Times New Roman" w:eastAsia="宋体" w:cs="Times New Roman"/>
      <w:szCs w:val="20"/>
      <w:lang w:val="en-US" w:eastAsia="zh-CN"/>
    </w:rPr>
  </w:style>
  <w:style w:type="character" w:customStyle="1" w:styleId="67">
    <w:name w:val="批注框文本 字符1"/>
    <w:autoRedefine/>
    <w:semiHidden/>
    <w:qFormat/>
    <w:uiPriority w:val="99"/>
    <w:rPr>
      <w:rFonts w:ascii="宋体" w:hAnsi="Calibri" w:eastAsia="宋体" w:cs="Times New Roman"/>
      <w:kern w:val="0"/>
      <w:sz w:val="18"/>
      <w:szCs w:val="18"/>
    </w:rPr>
  </w:style>
  <w:style w:type="character" w:customStyle="1" w:styleId="68">
    <w:name w:val="List Paragraph Char"/>
    <w:link w:val="69"/>
    <w:autoRedefine/>
    <w:qFormat/>
    <w:uiPriority w:val="34"/>
    <w:rPr>
      <w:rFonts w:ascii="Calibri" w:hAnsi="Calibri"/>
    </w:rPr>
  </w:style>
  <w:style w:type="paragraph" w:customStyle="1" w:styleId="69">
    <w:name w:val="列出段落1"/>
    <w:basedOn w:val="1"/>
    <w:link w:val="68"/>
    <w:autoRedefine/>
    <w:qFormat/>
    <w:uiPriority w:val="34"/>
    <w:pPr>
      <w:ind w:firstLine="420" w:firstLineChars="200"/>
    </w:pPr>
    <w:rPr>
      <w:rFonts w:ascii="Calibri" w:hAnsi="Calibri"/>
    </w:rPr>
  </w:style>
  <w:style w:type="character" w:customStyle="1" w:styleId="70">
    <w:name w:val="标书正文 字符"/>
    <w:link w:val="71"/>
    <w:autoRedefine/>
    <w:qFormat/>
    <w:uiPriority w:val="0"/>
    <w:rPr>
      <w:rFonts w:ascii="Calibri" w:hAnsi="Calibri" w:eastAsia="仿宋"/>
      <w:sz w:val="24"/>
      <w:szCs w:val="21"/>
    </w:rPr>
  </w:style>
  <w:style w:type="paragraph" w:customStyle="1" w:styleId="71">
    <w:name w:val="标书正文"/>
    <w:basedOn w:val="1"/>
    <w:link w:val="70"/>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autoRedefine/>
    <w:semiHidden/>
    <w:qFormat/>
    <w:uiPriority w:val="99"/>
    <w:rPr>
      <w:rFonts w:ascii="Times New Roman" w:hAnsi="Times New Roman"/>
      <w:kern w:val="2"/>
      <w:sz w:val="24"/>
      <w:szCs w:val="24"/>
    </w:rPr>
  </w:style>
  <w:style w:type="character" w:customStyle="1" w:styleId="73">
    <w:name w:val="页脚 Char"/>
    <w:autoRedefine/>
    <w:qFormat/>
    <w:uiPriority w:val="0"/>
    <w:rPr>
      <w:kern w:val="2"/>
      <w:sz w:val="18"/>
      <w:szCs w:val="18"/>
    </w:rPr>
  </w:style>
  <w:style w:type="character" w:customStyle="1" w:styleId="74">
    <w:name w:val="neir1"/>
    <w:autoRedefine/>
    <w:qFormat/>
    <w:uiPriority w:val="0"/>
    <w:rPr>
      <w:rFonts w:hint="default" w:ascii="ˎ̥" w:hAnsi="ˎ̥"/>
      <w:color w:val="333333"/>
      <w:sz w:val="21"/>
      <w:szCs w:val="21"/>
      <w:u w:val="none"/>
    </w:rPr>
  </w:style>
  <w:style w:type="character" w:customStyle="1" w:styleId="75">
    <w:name w:val="批注框文本 Char1"/>
    <w:link w:val="27"/>
    <w:autoRedefine/>
    <w:qFormat/>
    <w:uiPriority w:val="0"/>
    <w:rPr>
      <w:rFonts w:ascii="Times New Roman" w:hAnsi="Times New Roman" w:eastAsia="宋体" w:cs="Times New Roman"/>
      <w:sz w:val="18"/>
      <w:szCs w:val="18"/>
    </w:rPr>
  </w:style>
  <w:style w:type="character" w:customStyle="1" w:styleId="76">
    <w:name w:val="正文文本 3 字符1"/>
    <w:autoRedefine/>
    <w:semiHidden/>
    <w:qFormat/>
    <w:uiPriority w:val="99"/>
    <w:rPr>
      <w:rFonts w:ascii="宋体" w:hAnsi="Calibri" w:eastAsia="宋体" w:cs="Times New Roman"/>
      <w:kern w:val="0"/>
      <w:sz w:val="16"/>
      <w:szCs w:val="16"/>
    </w:rPr>
  </w:style>
  <w:style w:type="character" w:customStyle="1" w:styleId="77">
    <w:name w:val="正文文本 字符3"/>
    <w:autoRedefine/>
    <w:semiHidden/>
    <w:qFormat/>
    <w:uiPriority w:val="99"/>
    <w:rPr>
      <w:rFonts w:ascii="宋体" w:hAnsi="Calibri" w:eastAsia="宋体" w:cs="Times New Roman"/>
      <w:kern w:val="0"/>
      <w:sz w:val="24"/>
      <w:szCs w:val="24"/>
    </w:rPr>
  </w:style>
  <w:style w:type="character" w:customStyle="1" w:styleId="78">
    <w:name w:val="日期 字符1"/>
    <w:autoRedefine/>
    <w:semiHidden/>
    <w:qFormat/>
    <w:uiPriority w:val="99"/>
    <w:rPr>
      <w:rFonts w:ascii="宋体" w:hAnsi="Calibri" w:eastAsia="宋体" w:cs="Times New Roman"/>
      <w:kern w:val="0"/>
      <w:sz w:val="24"/>
      <w:szCs w:val="24"/>
    </w:rPr>
  </w:style>
  <w:style w:type="character" w:customStyle="1" w:styleId="79">
    <w:name w:val="页脚 Char2"/>
    <w:link w:val="28"/>
    <w:autoRedefine/>
    <w:qFormat/>
    <w:uiPriority w:val="99"/>
    <w:rPr>
      <w:rFonts w:ascii="宋体" w:eastAsia="宋体"/>
      <w:sz w:val="18"/>
      <w:szCs w:val="18"/>
    </w:rPr>
  </w:style>
  <w:style w:type="character" w:customStyle="1" w:styleId="80">
    <w:name w:val="吉奥正文 Char"/>
    <w:link w:val="81"/>
    <w:autoRedefine/>
    <w:qFormat/>
    <w:locked/>
    <w:uiPriority w:val="0"/>
    <w:rPr>
      <w:rFonts w:eastAsia="仿宋_GB2312"/>
      <w:sz w:val="28"/>
    </w:rPr>
  </w:style>
  <w:style w:type="paragraph" w:customStyle="1" w:styleId="81">
    <w:name w:val="吉奥正文"/>
    <w:basedOn w:val="1"/>
    <w:link w:val="80"/>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autoRedefine/>
    <w:qFormat/>
    <w:uiPriority w:val="99"/>
    <w:rPr>
      <w:rFonts w:ascii="宋体" w:hAnsi="Times New Roman" w:eastAsia="宋体" w:cs="Times New Roman"/>
      <w:kern w:val="0"/>
      <w:sz w:val="18"/>
      <w:szCs w:val="18"/>
    </w:rPr>
  </w:style>
  <w:style w:type="character" w:customStyle="1" w:styleId="83">
    <w:name w:val="标题 字符"/>
    <w:autoRedefine/>
    <w:qFormat/>
    <w:uiPriority w:val="10"/>
    <w:rPr>
      <w:rFonts w:ascii="Cambria" w:hAnsi="Cambria" w:eastAsia="宋体" w:cs="Times New Roman"/>
      <w:b/>
      <w:bCs/>
      <w:kern w:val="0"/>
      <w:sz w:val="32"/>
      <w:szCs w:val="32"/>
      <w:lang w:val="en-US" w:eastAsia="zh-CN"/>
    </w:rPr>
  </w:style>
  <w:style w:type="character" w:customStyle="1" w:styleId="84">
    <w:name w:val="题注 Char"/>
    <w:link w:val="13"/>
    <w:autoRedefine/>
    <w:qFormat/>
    <w:uiPriority w:val="0"/>
    <w:rPr>
      <w:rFonts w:ascii="Arial" w:hAnsi="Arial" w:eastAsia="黑体" w:cs="Arial"/>
    </w:rPr>
  </w:style>
  <w:style w:type="character" w:customStyle="1" w:styleId="85">
    <w:name w:val="批注文字 字符2"/>
    <w:autoRedefine/>
    <w:qFormat/>
    <w:uiPriority w:val="99"/>
    <w:rPr>
      <w:rFonts w:ascii="宋体" w:hAnsi="Times New Roman" w:eastAsia="宋体" w:cs="Times New Roman"/>
      <w:kern w:val="0"/>
      <w:sz w:val="24"/>
      <w:szCs w:val="24"/>
    </w:rPr>
  </w:style>
  <w:style w:type="character" w:customStyle="1" w:styleId="86">
    <w:name w:val="批注主题 字符1"/>
    <w:autoRedefine/>
    <w:semiHidden/>
    <w:qFormat/>
    <w:uiPriority w:val="99"/>
    <w:rPr>
      <w:rFonts w:ascii="宋体" w:hAnsi="Calibri" w:eastAsia="宋体" w:cs="Times New Roman"/>
      <w:b/>
      <w:bCs/>
      <w:kern w:val="0"/>
      <w:sz w:val="24"/>
      <w:szCs w:val="24"/>
    </w:rPr>
  </w:style>
  <w:style w:type="character" w:customStyle="1" w:styleId="87">
    <w:name w:val="HTML 预设格式 Char"/>
    <w:link w:val="35"/>
    <w:autoRedefine/>
    <w:qFormat/>
    <w:uiPriority w:val="99"/>
    <w:rPr>
      <w:rFonts w:ascii="Arial" w:hAnsi="Arial" w:eastAsia="宋体" w:cs="Arial"/>
      <w:szCs w:val="21"/>
    </w:rPr>
  </w:style>
  <w:style w:type="character" w:customStyle="1" w:styleId="88">
    <w:name w:val="标题 3.1 Char"/>
    <w:link w:val="89"/>
    <w:autoRedefine/>
    <w:qFormat/>
    <w:uiPriority w:val="0"/>
    <w:rPr>
      <w:rFonts w:ascii="宋体" w:hAnsi="宋体"/>
      <w:b/>
      <w:bCs/>
      <w:sz w:val="32"/>
      <w:szCs w:val="32"/>
    </w:rPr>
  </w:style>
  <w:style w:type="paragraph" w:customStyle="1" w:styleId="89">
    <w:name w:val="标题 3.1"/>
    <w:basedOn w:val="4"/>
    <w:link w:val="88"/>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autoRedefine/>
    <w:semiHidden/>
    <w:qFormat/>
    <w:uiPriority w:val="99"/>
    <w:rPr>
      <w:rFonts w:ascii="Courier New" w:hAnsi="Courier New" w:eastAsia="宋体" w:cs="Courier New"/>
      <w:kern w:val="0"/>
      <w:sz w:val="20"/>
      <w:szCs w:val="20"/>
    </w:rPr>
  </w:style>
  <w:style w:type="character" w:customStyle="1" w:styleId="91">
    <w:name w:val="批注文字 字符1"/>
    <w:autoRedefine/>
    <w:qFormat/>
    <w:uiPriority w:val="0"/>
    <w:rPr>
      <w:rFonts w:eastAsia="宋体"/>
      <w:kern w:val="2"/>
      <w:sz w:val="24"/>
      <w:szCs w:val="24"/>
      <w:lang w:val="en-US" w:eastAsia="zh-CN" w:bidi="ar-SA"/>
    </w:rPr>
  </w:style>
  <w:style w:type="character" w:customStyle="1" w:styleId="92">
    <w:name w:val="正文文本缩进 字符2"/>
    <w:autoRedefine/>
    <w:semiHidden/>
    <w:qFormat/>
    <w:uiPriority w:val="99"/>
    <w:rPr>
      <w:rFonts w:ascii="宋体" w:hAnsi="Calibri" w:eastAsia="宋体" w:cs="Times New Roman"/>
      <w:kern w:val="0"/>
      <w:sz w:val="24"/>
      <w:szCs w:val="24"/>
    </w:rPr>
  </w:style>
  <w:style w:type="character" w:customStyle="1" w:styleId="93">
    <w:name w:val="正文文本缩进 Char1"/>
    <w:link w:val="20"/>
    <w:autoRedefine/>
    <w:qFormat/>
    <w:uiPriority w:val="0"/>
    <w:rPr>
      <w:rFonts w:ascii="Times New Roman" w:hAnsi="Times New Roman" w:eastAsia="宋体" w:cs="Times New Roman"/>
      <w:szCs w:val="20"/>
    </w:rPr>
  </w:style>
  <w:style w:type="character" w:customStyle="1" w:styleId="94">
    <w:name w:val="普通(网站) Char1"/>
    <w:link w:val="36"/>
    <w:autoRedefine/>
    <w:qFormat/>
    <w:locked/>
    <w:uiPriority w:val="0"/>
    <w:rPr>
      <w:rFonts w:ascii="宋体" w:hAnsi="宋体"/>
      <w:sz w:val="15"/>
      <w:szCs w:val="15"/>
    </w:rPr>
  </w:style>
  <w:style w:type="character" w:customStyle="1" w:styleId="95">
    <w:name w:val="模板正文 Char"/>
    <w:link w:val="8"/>
    <w:autoRedefine/>
    <w:qFormat/>
    <w:uiPriority w:val="0"/>
    <w:rPr>
      <w:rFonts w:ascii="宋体" w:eastAsia="仿宋"/>
      <w:sz w:val="24"/>
      <w:szCs w:val="21"/>
    </w:rPr>
  </w:style>
  <w:style w:type="character" w:customStyle="1" w:styleId="96">
    <w:name w:val="批注主题 Char"/>
    <w:autoRedefine/>
    <w:semiHidden/>
    <w:qFormat/>
    <w:uiPriority w:val="99"/>
    <w:rPr>
      <w:b/>
      <w:bCs/>
      <w:kern w:val="2"/>
      <w:sz w:val="21"/>
    </w:rPr>
  </w:style>
  <w:style w:type="character" w:customStyle="1" w:styleId="97">
    <w:name w:val="正文文本 Char1"/>
    <w:autoRedefine/>
    <w:qFormat/>
    <w:uiPriority w:val="0"/>
    <w:rPr>
      <w:rFonts w:ascii="宋体" w:hAnsi="Times New Roman" w:eastAsia="宋体" w:cs="Times New Roman"/>
      <w:kern w:val="0"/>
      <w:sz w:val="24"/>
      <w:szCs w:val="24"/>
    </w:rPr>
  </w:style>
  <w:style w:type="character" w:customStyle="1" w:styleId="98">
    <w:name w:val="正文文本 字符1"/>
    <w:autoRedefine/>
    <w:qFormat/>
    <w:uiPriority w:val="99"/>
    <w:rPr>
      <w:rFonts w:ascii="宋体" w:eastAsia="宋体"/>
      <w:b/>
      <w:bCs/>
      <w:sz w:val="84"/>
      <w:szCs w:val="84"/>
      <w:lang w:val="zh-CN"/>
    </w:rPr>
  </w:style>
  <w:style w:type="character" w:customStyle="1" w:styleId="99">
    <w:name w:val="标题 1 Char"/>
    <w:autoRedefine/>
    <w:qFormat/>
    <w:uiPriority w:val="9"/>
    <w:rPr>
      <w:rFonts w:ascii="宋体" w:hAnsi="Times New Roman" w:eastAsia="宋体" w:cs="Times New Roman"/>
      <w:kern w:val="0"/>
      <w:sz w:val="24"/>
      <w:szCs w:val="24"/>
    </w:rPr>
  </w:style>
  <w:style w:type="character" w:customStyle="1" w:styleId="100">
    <w:name w:val="正文文本 Char2"/>
    <w:autoRedefine/>
    <w:qFormat/>
    <w:uiPriority w:val="99"/>
    <w:rPr>
      <w:rFonts w:ascii="宋体" w:eastAsia="宋体"/>
      <w:b/>
      <w:bCs/>
      <w:sz w:val="84"/>
      <w:szCs w:val="84"/>
      <w:lang w:val="zh-CN"/>
    </w:rPr>
  </w:style>
  <w:style w:type="character" w:customStyle="1" w:styleId="101">
    <w:name w:val="纯文本 Char2"/>
    <w:link w:val="24"/>
    <w:autoRedefine/>
    <w:qFormat/>
    <w:uiPriority w:val="0"/>
    <w:rPr>
      <w:rFonts w:ascii="宋体" w:hAnsi="Courier New" w:eastAsia="宋体"/>
    </w:rPr>
  </w:style>
  <w:style w:type="character" w:customStyle="1" w:styleId="102">
    <w:name w:val="正文文本缩进 2 Char"/>
    <w:link w:val="26"/>
    <w:autoRedefine/>
    <w:qFormat/>
    <w:uiPriority w:val="0"/>
    <w:rPr>
      <w:rFonts w:ascii="宋体" w:hAnsi="Times New Roman" w:eastAsia="宋体" w:cs="Times New Roman"/>
      <w:szCs w:val="20"/>
    </w:rPr>
  </w:style>
  <w:style w:type="character" w:customStyle="1" w:styleId="103">
    <w:name w:val="HTML Markup"/>
    <w:autoRedefine/>
    <w:qFormat/>
    <w:uiPriority w:val="0"/>
    <w:rPr>
      <w:vanish/>
      <w:color w:val="FF0000"/>
    </w:rPr>
  </w:style>
  <w:style w:type="character" w:customStyle="1" w:styleId="104">
    <w:name w:val="页眉 Char1"/>
    <w:autoRedefine/>
    <w:qFormat/>
    <w:uiPriority w:val="0"/>
    <w:rPr>
      <w:rFonts w:ascii="宋体" w:hAnsi="Times New Roman" w:eastAsia="宋体" w:cs="Times New Roman"/>
      <w:kern w:val="0"/>
      <w:sz w:val="18"/>
      <w:szCs w:val="18"/>
    </w:rPr>
  </w:style>
  <w:style w:type="character" w:customStyle="1" w:styleId="105">
    <w:name w:val="font11"/>
    <w:autoRedefine/>
    <w:qFormat/>
    <w:uiPriority w:val="0"/>
    <w:rPr>
      <w:rFonts w:hint="eastAsia" w:ascii="宋体" w:hAnsi="宋体" w:eastAsia="宋体" w:cs="宋体"/>
      <w:color w:val="FF0000"/>
      <w:sz w:val="22"/>
      <w:szCs w:val="22"/>
      <w:u w:val="none"/>
    </w:rPr>
  </w:style>
  <w:style w:type="character" w:customStyle="1" w:styleId="106">
    <w:name w:val="style61"/>
    <w:autoRedefine/>
    <w:qFormat/>
    <w:uiPriority w:val="0"/>
    <w:rPr>
      <w:b/>
      <w:bCs/>
    </w:rPr>
  </w:style>
  <w:style w:type="character" w:customStyle="1" w:styleId="107">
    <w:name w:val="表头文字 Char"/>
    <w:link w:val="108"/>
    <w:autoRedefine/>
    <w:qFormat/>
    <w:uiPriority w:val="0"/>
    <w:rPr>
      <w:rFonts w:eastAsia="仿宋_GB2312"/>
      <w:b/>
      <w:sz w:val="28"/>
      <w:szCs w:val="21"/>
    </w:rPr>
  </w:style>
  <w:style w:type="paragraph" w:customStyle="1" w:styleId="108">
    <w:name w:val="表头文字"/>
    <w:basedOn w:val="1"/>
    <w:link w:val="107"/>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5"/>
    <w:autoRedefine/>
    <w:qFormat/>
    <w:uiPriority w:val="99"/>
    <w:rPr>
      <w:rFonts w:ascii="宋体" w:hAnsi="Times New Roman" w:eastAsia="宋体" w:cs="Times New Roman"/>
      <w:b/>
      <w:bCs/>
      <w:szCs w:val="21"/>
      <w:lang w:val="zh-CN"/>
    </w:rPr>
  </w:style>
  <w:style w:type="character" w:customStyle="1" w:styleId="110">
    <w:name w:val="纯文本 Char1"/>
    <w:autoRedefine/>
    <w:qFormat/>
    <w:uiPriority w:val="0"/>
    <w:rPr>
      <w:rFonts w:ascii="宋体" w:hAnsi="Courier New" w:eastAsia="宋体" w:cs="Courier New"/>
      <w:kern w:val="0"/>
      <w:szCs w:val="21"/>
    </w:rPr>
  </w:style>
  <w:style w:type="character" w:customStyle="1" w:styleId="111">
    <w:name w:val="批注主题 Char1"/>
    <w:link w:val="38"/>
    <w:autoRedefine/>
    <w:qFormat/>
    <w:uiPriority w:val="99"/>
    <w:rPr>
      <w:rFonts w:ascii="宋体" w:hAnsi="Times New Roman" w:eastAsia="宋体" w:cs="Times New Roman"/>
      <w:b/>
      <w:bCs/>
      <w:kern w:val="0"/>
      <w:sz w:val="24"/>
      <w:szCs w:val="24"/>
    </w:rPr>
  </w:style>
  <w:style w:type="character" w:customStyle="1" w:styleId="112">
    <w:name w:val="纯文本 字符"/>
    <w:autoRedefine/>
    <w:qFormat/>
    <w:uiPriority w:val="99"/>
    <w:rPr>
      <w:rFonts w:ascii="宋体" w:hAnsi="Courier New" w:eastAsia="宋体" w:cs="Times New Roman"/>
      <w:szCs w:val="20"/>
      <w:lang w:val="en-US" w:eastAsia="zh-CN"/>
    </w:rPr>
  </w:style>
  <w:style w:type="character" w:customStyle="1" w:styleId="113">
    <w:name w:val="font71"/>
    <w:autoRedefine/>
    <w:qFormat/>
    <w:uiPriority w:val="0"/>
    <w:rPr>
      <w:rFonts w:hint="eastAsia" w:ascii="宋体" w:hAnsi="宋体" w:eastAsia="宋体" w:cs="宋体"/>
      <w:color w:val="FF0000"/>
      <w:sz w:val="18"/>
      <w:szCs w:val="18"/>
      <w:u w:val="none"/>
    </w:rPr>
  </w:style>
  <w:style w:type="character" w:customStyle="1" w:styleId="114">
    <w:name w:val="font21"/>
    <w:autoRedefine/>
    <w:qFormat/>
    <w:uiPriority w:val="0"/>
    <w:rPr>
      <w:rFonts w:hint="eastAsia" w:ascii="宋体" w:hAnsi="宋体" w:eastAsia="宋体" w:cs="宋体"/>
      <w:b/>
      <w:color w:val="000000"/>
      <w:sz w:val="21"/>
      <w:szCs w:val="21"/>
      <w:u w:val="none"/>
    </w:rPr>
  </w:style>
  <w:style w:type="character" w:customStyle="1" w:styleId="115">
    <w:name w:val="纯文本 字符3"/>
    <w:autoRedefine/>
    <w:semiHidden/>
    <w:qFormat/>
    <w:uiPriority w:val="99"/>
    <w:rPr>
      <w:rFonts w:ascii="等线" w:hAnsi="Courier New" w:cs="Courier New"/>
      <w:kern w:val="0"/>
      <w:sz w:val="24"/>
      <w:szCs w:val="24"/>
    </w:rPr>
  </w:style>
  <w:style w:type="character" w:customStyle="1" w:styleId="116">
    <w:name w:val="font31"/>
    <w:autoRedefine/>
    <w:qFormat/>
    <w:uiPriority w:val="0"/>
    <w:rPr>
      <w:rFonts w:hint="eastAsia" w:ascii="宋体" w:hAnsi="宋体" w:eastAsia="宋体" w:cs="宋体"/>
      <w:color w:val="000000"/>
      <w:sz w:val="18"/>
      <w:szCs w:val="18"/>
      <w:u w:val="none"/>
    </w:rPr>
  </w:style>
  <w:style w:type="character" w:customStyle="1" w:styleId="117">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autoRedefine/>
    <w:qFormat/>
    <w:locked/>
    <w:uiPriority w:val="0"/>
    <w:rPr>
      <w:rFonts w:ascii="宋体" w:hAnsi="宋体"/>
      <w:sz w:val="15"/>
      <w:szCs w:val="15"/>
    </w:rPr>
  </w:style>
  <w:style w:type="character" w:customStyle="1" w:styleId="119">
    <w:name w:val="正文文本 Char3"/>
    <w:link w:val="18"/>
    <w:autoRedefine/>
    <w:qFormat/>
    <w:uiPriority w:val="99"/>
    <w:rPr>
      <w:rFonts w:ascii="宋体" w:eastAsia="宋体"/>
      <w:b/>
      <w:bCs/>
      <w:sz w:val="84"/>
      <w:szCs w:val="84"/>
      <w:lang w:val="zh-CN"/>
    </w:rPr>
  </w:style>
  <w:style w:type="character" w:customStyle="1" w:styleId="120">
    <w:name w:val="标题 5 Char"/>
    <w:autoRedefine/>
    <w:semiHidden/>
    <w:qFormat/>
    <w:uiPriority w:val="9"/>
    <w:rPr>
      <w:b/>
      <w:bCs/>
      <w:kern w:val="2"/>
      <w:sz w:val="28"/>
      <w:szCs w:val="28"/>
    </w:rPr>
  </w:style>
  <w:style w:type="character" w:customStyle="1" w:styleId="121">
    <w:name w:val="页眉 Char2"/>
    <w:link w:val="29"/>
    <w:autoRedefine/>
    <w:qFormat/>
    <w:uiPriority w:val="99"/>
    <w:rPr>
      <w:rFonts w:ascii="宋体" w:eastAsia="宋体"/>
      <w:sz w:val="18"/>
      <w:szCs w:val="18"/>
    </w:rPr>
  </w:style>
  <w:style w:type="character" w:customStyle="1" w:styleId="122">
    <w:name w:val="表格文字 Char"/>
    <w:link w:val="123"/>
    <w:autoRedefine/>
    <w:qFormat/>
    <w:uiPriority w:val="0"/>
    <w:rPr>
      <w:rFonts w:eastAsia="仿宋_GB2312"/>
      <w:sz w:val="28"/>
      <w:szCs w:val="24"/>
    </w:rPr>
  </w:style>
  <w:style w:type="paragraph" w:customStyle="1" w:styleId="123">
    <w:name w:val="表格文字"/>
    <w:basedOn w:val="1"/>
    <w:link w:val="122"/>
    <w:autoRedefine/>
    <w:qFormat/>
    <w:uiPriority w:val="0"/>
    <w:rPr>
      <w:rFonts w:eastAsia="仿宋_GB2312"/>
      <w:sz w:val="28"/>
      <w:szCs w:val="24"/>
    </w:rPr>
  </w:style>
  <w:style w:type="character" w:customStyle="1" w:styleId="124">
    <w:name w:val="标题 字符2"/>
    <w:autoRedefine/>
    <w:qFormat/>
    <w:uiPriority w:val="10"/>
    <w:rPr>
      <w:rFonts w:ascii="等线 Light" w:hAnsi="等线 Light" w:eastAsia="等线 Light" w:cs="Times New Roman"/>
      <w:b/>
      <w:bCs/>
      <w:kern w:val="0"/>
      <w:sz w:val="32"/>
      <w:szCs w:val="32"/>
    </w:rPr>
  </w:style>
  <w:style w:type="character" w:customStyle="1" w:styleId="125">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6">
    <w:name w:val="小 Char"/>
    <w:autoRedefine/>
    <w:qFormat/>
    <w:uiPriority w:val="0"/>
    <w:rPr>
      <w:rFonts w:ascii="宋体" w:hAnsi="Courier New" w:eastAsia="宋体"/>
      <w:kern w:val="2"/>
      <w:sz w:val="21"/>
      <w:lang w:val="en-US" w:eastAsia="zh-CN" w:bidi="ar-SA"/>
    </w:rPr>
  </w:style>
  <w:style w:type="character" w:customStyle="1" w:styleId="127">
    <w:name w:val="themebody1"/>
    <w:autoRedefine/>
    <w:qFormat/>
    <w:uiPriority w:val="0"/>
    <w:rPr>
      <w:color w:val="FFFFFF"/>
    </w:rPr>
  </w:style>
  <w:style w:type="character" w:customStyle="1" w:styleId="128">
    <w:name w:val="页脚 字符1"/>
    <w:autoRedefine/>
    <w:semiHidden/>
    <w:qFormat/>
    <w:uiPriority w:val="99"/>
    <w:rPr>
      <w:rFonts w:ascii="宋体" w:hAnsi="Calibri" w:eastAsia="宋体" w:cs="Times New Roman"/>
      <w:kern w:val="0"/>
      <w:sz w:val="18"/>
      <w:szCs w:val="18"/>
    </w:rPr>
  </w:style>
  <w:style w:type="character" w:customStyle="1" w:styleId="129">
    <w:name w:val="列出段落 Char"/>
    <w:link w:val="130"/>
    <w:autoRedefine/>
    <w:qFormat/>
    <w:uiPriority w:val="34"/>
    <w:rPr>
      <w:kern w:val="2"/>
      <w:sz w:val="21"/>
      <w:szCs w:val="22"/>
    </w:rPr>
  </w:style>
  <w:style w:type="paragraph" w:styleId="130">
    <w:name w:val="List Paragraph"/>
    <w:basedOn w:val="1"/>
    <w:link w:val="129"/>
    <w:autoRedefine/>
    <w:qFormat/>
    <w:uiPriority w:val="34"/>
    <w:pPr>
      <w:ind w:firstLine="420" w:firstLineChars="200"/>
    </w:pPr>
  </w:style>
  <w:style w:type="character" w:customStyle="1" w:styleId="131">
    <w:name w:val="正文文本 Char"/>
    <w:autoRedefine/>
    <w:qFormat/>
    <w:uiPriority w:val="99"/>
    <w:rPr>
      <w:rFonts w:ascii="宋体" w:eastAsia="宋体"/>
      <w:b/>
      <w:bCs/>
      <w:sz w:val="84"/>
      <w:szCs w:val="84"/>
      <w:lang w:val="zh-CN"/>
    </w:rPr>
  </w:style>
  <w:style w:type="character" w:customStyle="1" w:styleId="132">
    <w:name w:val="页眉 字符1"/>
    <w:autoRedefine/>
    <w:semiHidden/>
    <w:qFormat/>
    <w:uiPriority w:val="99"/>
    <w:rPr>
      <w:rFonts w:ascii="宋体" w:hAnsi="Calibri" w:eastAsia="宋体" w:cs="Times New Roman"/>
      <w:kern w:val="0"/>
      <w:sz w:val="18"/>
      <w:szCs w:val="18"/>
    </w:rPr>
  </w:style>
  <w:style w:type="character" w:customStyle="1" w:styleId="133">
    <w:name w:val="标题 5 Char1"/>
    <w:link w:val="6"/>
    <w:autoRedefine/>
    <w:qFormat/>
    <w:uiPriority w:val="9"/>
    <w:rPr>
      <w:rFonts w:ascii="宋体" w:hAnsi="Calibri" w:eastAsia="宋体" w:cs="Times New Roman"/>
      <w:b/>
      <w:bCs/>
      <w:kern w:val="0"/>
      <w:sz w:val="28"/>
      <w:szCs w:val="28"/>
    </w:rPr>
  </w:style>
  <w:style w:type="character" w:customStyle="1" w:styleId="134">
    <w:name w:val="keyfeatures1"/>
    <w:autoRedefine/>
    <w:qFormat/>
    <w:uiPriority w:val="0"/>
    <w:rPr>
      <w:rFonts w:hint="default" w:ascii="Arial" w:hAnsi="Arial" w:cs="Arial"/>
      <w:color w:val="003366"/>
      <w:sz w:val="17"/>
      <w:szCs w:val="17"/>
      <w:u w:val="none"/>
    </w:rPr>
  </w:style>
  <w:style w:type="character" w:customStyle="1" w:styleId="135">
    <w:name w:val="题注 字符"/>
    <w:autoRedefine/>
    <w:qFormat/>
    <w:uiPriority w:val="0"/>
    <w:rPr>
      <w:rFonts w:ascii="宋体" w:hAnsi="宋体" w:eastAsia="黑体" w:cs="Times New Roman"/>
      <w:b/>
      <w:szCs w:val="21"/>
    </w:rPr>
  </w:style>
  <w:style w:type="character" w:customStyle="1" w:styleId="136">
    <w:name w:val="标题 4 Char"/>
    <w:autoRedefine/>
    <w:qFormat/>
    <w:uiPriority w:val="0"/>
    <w:rPr>
      <w:rFonts w:ascii="宋体" w:hAnsi="宋体" w:eastAsia="宋体"/>
      <w:b/>
      <w:kern w:val="2"/>
      <w:sz w:val="21"/>
      <w:szCs w:val="24"/>
      <w:lang w:val="en-US" w:eastAsia="zh-CN" w:bidi="ar-SA"/>
    </w:rPr>
  </w:style>
  <w:style w:type="character" w:customStyle="1" w:styleId="137">
    <w:name w:val="批注文字 字符3"/>
    <w:autoRedefine/>
    <w:semiHidden/>
    <w:qFormat/>
    <w:uiPriority w:val="99"/>
    <w:rPr>
      <w:rFonts w:ascii="宋体" w:hAnsi="Calibri" w:eastAsia="宋体" w:cs="Times New Roman"/>
      <w:kern w:val="0"/>
      <w:sz w:val="24"/>
      <w:szCs w:val="24"/>
    </w:rPr>
  </w:style>
  <w:style w:type="character" w:customStyle="1" w:styleId="138">
    <w:name w:val="纯文本 字符1"/>
    <w:autoRedefine/>
    <w:qFormat/>
    <w:uiPriority w:val="0"/>
    <w:rPr>
      <w:rFonts w:ascii="宋体" w:hAnsi="Courier New" w:eastAsia="宋体"/>
      <w:kern w:val="2"/>
      <w:sz w:val="21"/>
      <w:szCs w:val="24"/>
      <w:lang w:val="en-US" w:eastAsia="zh-CN" w:bidi="ar-SA"/>
    </w:rPr>
  </w:style>
  <w:style w:type="character" w:customStyle="1" w:styleId="139">
    <w:name w:val="列出段落 Char1"/>
    <w:autoRedefine/>
    <w:qFormat/>
    <w:uiPriority w:val="34"/>
    <w:rPr>
      <w:rFonts w:ascii="宋体"/>
      <w:sz w:val="24"/>
      <w:szCs w:val="24"/>
    </w:rPr>
  </w:style>
  <w:style w:type="character" w:customStyle="1" w:styleId="140">
    <w:name w:val="彩色列表 - 着色 1 字符"/>
    <w:link w:val="141"/>
    <w:autoRedefine/>
    <w:qFormat/>
    <w:uiPriority w:val="0"/>
    <w:rPr>
      <w:rFonts w:ascii="Calibri" w:hAnsi="Calibri"/>
    </w:rPr>
  </w:style>
  <w:style w:type="paragraph" w:customStyle="1" w:styleId="141">
    <w:name w:val="彩色列表 - 着色 11"/>
    <w:basedOn w:val="1"/>
    <w:link w:val="140"/>
    <w:autoRedefine/>
    <w:qFormat/>
    <w:uiPriority w:val="0"/>
    <w:pPr>
      <w:ind w:firstLine="420" w:firstLineChars="200"/>
    </w:pPr>
    <w:rPr>
      <w:rFonts w:ascii="Calibri" w:hAnsi="Calibri"/>
    </w:rPr>
  </w:style>
  <w:style w:type="character" w:customStyle="1" w:styleId="142">
    <w:name w:val="纯文本 Char"/>
    <w:autoRedefine/>
    <w:qFormat/>
    <w:uiPriority w:val="0"/>
    <w:rPr>
      <w:rFonts w:ascii="宋体" w:hAnsi="Courier New" w:eastAsia="宋体" w:cs="Times New Roman"/>
      <w:szCs w:val="20"/>
    </w:rPr>
  </w:style>
  <w:style w:type="character" w:customStyle="1" w:styleId="143">
    <w:name w:val="标题 6 Char"/>
    <w:link w:val="7"/>
    <w:autoRedefine/>
    <w:qFormat/>
    <w:uiPriority w:val="9"/>
    <w:rPr>
      <w:rFonts w:ascii="Times New Roman" w:hAnsi="Calibri" w:eastAsia="黑体" w:cs="Times New Roman"/>
      <w:b/>
      <w:bCs/>
      <w:kern w:val="0"/>
      <w:sz w:val="28"/>
      <w:szCs w:val="24"/>
    </w:rPr>
  </w:style>
  <w:style w:type="character" w:customStyle="1" w:styleId="144">
    <w:name w:val="正文文本 2 Char"/>
    <w:link w:val="34"/>
    <w:autoRedefine/>
    <w:qFormat/>
    <w:uiPriority w:val="0"/>
    <w:rPr>
      <w:rFonts w:ascii="Arial" w:hAnsi="Arial" w:eastAsia="宋体" w:cs="Times New Roman"/>
      <w:color w:val="000000"/>
      <w:szCs w:val="24"/>
    </w:rPr>
  </w:style>
  <w:style w:type="character" w:customStyle="1" w:styleId="145">
    <w:name w:val="标题 3 Char"/>
    <w:link w:val="4"/>
    <w:autoRedefine/>
    <w:qFormat/>
    <w:uiPriority w:val="0"/>
    <w:rPr>
      <w:rFonts w:ascii="宋体" w:hAnsi="Calibri" w:eastAsia="宋体" w:cs="Times New Roman"/>
      <w:kern w:val="0"/>
      <w:sz w:val="24"/>
      <w:szCs w:val="24"/>
    </w:rPr>
  </w:style>
  <w:style w:type="character" w:customStyle="1" w:styleId="146">
    <w:name w:val="正文文本缩进 2 字符1"/>
    <w:autoRedefine/>
    <w:semiHidden/>
    <w:qFormat/>
    <w:uiPriority w:val="99"/>
    <w:rPr>
      <w:rFonts w:ascii="宋体" w:hAnsi="Calibri" w:eastAsia="宋体" w:cs="Times New Roman"/>
      <w:kern w:val="0"/>
      <w:sz w:val="24"/>
      <w:szCs w:val="24"/>
    </w:rPr>
  </w:style>
  <w:style w:type="character" w:customStyle="1" w:styleId="147">
    <w:name w:val="正文文本缩进 3 字符1"/>
    <w:autoRedefine/>
    <w:semiHidden/>
    <w:qFormat/>
    <w:uiPriority w:val="99"/>
    <w:rPr>
      <w:rFonts w:ascii="宋体" w:hAnsi="Calibri" w:eastAsia="宋体" w:cs="Times New Roman"/>
      <w:kern w:val="0"/>
      <w:sz w:val="16"/>
      <w:szCs w:val="16"/>
    </w:rPr>
  </w:style>
  <w:style w:type="character" w:customStyle="1" w:styleId="148">
    <w:name w:val="正文文本 2 字符1"/>
    <w:autoRedefine/>
    <w:semiHidden/>
    <w:qFormat/>
    <w:uiPriority w:val="99"/>
    <w:rPr>
      <w:rFonts w:ascii="宋体" w:hAnsi="Calibri" w:eastAsia="宋体" w:cs="Times New Roman"/>
      <w:kern w:val="0"/>
      <w:sz w:val="24"/>
      <w:szCs w:val="24"/>
    </w:rPr>
  </w:style>
  <w:style w:type="character" w:customStyle="1" w:styleId="149">
    <w:name w:val="eschoolnr"/>
    <w:autoRedefine/>
    <w:qFormat/>
    <w:uiPriority w:val="0"/>
    <w:rPr>
      <w:sz w:val="23"/>
      <w:szCs w:val="23"/>
    </w:rPr>
  </w:style>
  <w:style w:type="character" w:customStyle="1" w:styleId="150">
    <w:name w:val="访问过的超链接1"/>
    <w:autoRedefine/>
    <w:qFormat/>
    <w:uiPriority w:val="0"/>
    <w:rPr>
      <w:rFonts w:ascii="Arial" w:hAnsi="Arial" w:cs="Arial"/>
      <w:color w:val="000000"/>
      <w:sz w:val="20"/>
      <w:szCs w:val="20"/>
      <w:u w:val="none"/>
    </w:rPr>
  </w:style>
  <w:style w:type="character" w:customStyle="1" w:styleId="151">
    <w:name w:val="标题 1 Char1"/>
    <w:link w:val="2"/>
    <w:autoRedefine/>
    <w:qFormat/>
    <w:uiPriority w:val="0"/>
    <w:rPr>
      <w:rFonts w:ascii="宋体" w:hAnsi="Calibri" w:eastAsia="宋体" w:cs="Times New Roman"/>
      <w:kern w:val="0"/>
      <w:sz w:val="24"/>
      <w:szCs w:val="24"/>
    </w:rPr>
  </w:style>
  <w:style w:type="character" w:customStyle="1" w:styleId="152">
    <w:name w:val="批注文字 Char1"/>
    <w:autoRedefine/>
    <w:qFormat/>
    <w:uiPriority w:val="0"/>
    <w:rPr>
      <w:kern w:val="2"/>
      <w:sz w:val="21"/>
      <w:szCs w:val="24"/>
    </w:rPr>
  </w:style>
  <w:style w:type="character" w:customStyle="1" w:styleId="153">
    <w:name w:val="批注框文本 Char"/>
    <w:autoRedefine/>
    <w:semiHidden/>
    <w:qFormat/>
    <w:uiPriority w:val="99"/>
    <w:rPr>
      <w:kern w:val="2"/>
      <w:sz w:val="18"/>
      <w:szCs w:val="18"/>
    </w:rPr>
  </w:style>
  <w:style w:type="character" w:customStyle="1" w:styleId="154">
    <w:name w:val="DAS正文 Char"/>
    <w:autoRedefine/>
    <w:qFormat/>
    <w:uiPriority w:val="0"/>
    <w:rPr>
      <w:rFonts w:ascii="Verdana" w:hAnsi="Verdana" w:eastAsia="宋体"/>
      <w:kern w:val="2"/>
      <w:sz w:val="21"/>
      <w:szCs w:val="21"/>
      <w:lang w:val="en-US" w:eastAsia="zh-CN" w:bidi="ar-SA"/>
    </w:rPr>
  </w:style>
  <w:style w:type="character" w:customStyle="1" w:styleId="155">
    <w:name w:val="正文文本缩进 3 Char"/>
    <w:link w:val="32"/>
    <w:autoRedefine/>
    <w:qFormat/>
    <w:uiPriority w:val="0"/>
    <w:rPr>
      <w:rFonts w:ascii="宋体" w:hAnsi="Times New Roman" w:eastAsia="宋体" w:cs="Times New Roman"/>
      <w:kern w:val="0"/>
      <w:sz w:val="24"/>
      <w:szCs w:val="24"/>
    </w:rPr>
  </w:style>
  <w:style w:type="character" w:customStyle="1" w:styleId="156">
    <w:name w:val="页眉 Char"/>
    <w:autoRedefine/>
    <w:qFormat/>
    <w:uiPriority w:val="99"/>
    <w:rPr>
      <w:kern w:val="2"/>
      <w:sz w:val="18"/>
      <w:szCs w:val="18"/>
    </w:rPr>
  </w:style>
  <w:style w:type="character" w:customStyle="1" w:styleId="157">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8">
    <w:name w:val="HTML 预设格式 字符1"/>
    <w:autoRedefine/>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autoRedefine/>
    <w:qFormat/>
    <w:uiPriority w:val="0"/>
    <w:rPr>
      <w:rFonts w:ascii="宋体"/>
      <w:sz w:val="24"/>
      <w:szCs w:val="24"/>
    </w:rPr>
  </w:style>
  <w:style w:type="paragraph" w:customStyle="1" w:styleId="160">
    <w:name w:val="彩色列表 - 强调文字颜色 11"/>
    <w:basedOn w:val="1"/>
    <w:link w:val="159"/>
    <w:autoRedefine/>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autoRedefine/>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autoRedefine/>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41"/>
    <w:autoRedefine/>
    <w:semiHidden/>
    <w:qFormat/>
    <w:uiPriority w:val="99"/>
    <w:rPr>
      <w:rFonts w:hAnsi="Courier New" w:cs="Courier New" w:asciiTheme="minorEastAsia"/>
    </w:rPr>
  </w:style>
  <w:style w:type="character" w:customStyle="1" w:styleId="164">
    <w:name w:val="批注文字 Char2"/>
    <w:basedOn w:val="41"/>
    <w:link w:val="16"/>
    <w:autoRedefine/>
    <w:semiHidden/>
    <w:qFormat/>
    <w:uiPriority w:val="99"/>
  </w:style>
  <w:style w:type="character" w:customStyle="1" w:styleId="165">
    <w:name w:val="批注主题 字符2"/>
    <w:basedOn w:val="164"/>
    <w:autoRedefine/>
    <w:semiHidden/>
    <w:qFormat/>
    <w:uiPriority w:val="99"/>
    <w:rPr>
      <w:b/>
      <w:bCs/>
    </w:rPr>
  </w:style>
  <w:style w:type="character" w:customStyle="1" w:styleId="166">
    <w:name w:val="标题 字符3"/>
    <w:basedOn w:val="41"/>
    <w:autoRedefine/>
    <w:qFormat/>
    <w:uiPriority w:val="10"/>
    <w:rPr>
      <w:rFonts w:asciiTheme="majorHAnsi" w:hAnsiTheme="majorHAnsi" w:eastAsiaTheme="majorEastAsia" w:cstheme="majorBidi"/>
      <w:b/>
      <w:bCs/>
      <w:sz w:val="32"/>
      <w:szCs w:val="32"/>
    </w:rPr>
  </w:style>
  <w:style w:type="character" w:customStyle="1" w:styleId="167">
    <w:name w:val="正文文本缩进 字符3"/>
    <w:basedOn w:val="41"/>
    <w:autoRedefine/>
    <w:semiHidden/>
    <w:qFormat/>
    <w:uiPriority w:val="99"/>
  </w:style>
  <w:style w:type="character" w:customStyle="1" w:styleId="168">
    <w:name w:val="正文文本 字符4"/>
    <w:basedOn w:val="41"/>
    <w:autoRedefine/>
    <w:semiHidden/>
    <w:qFormat/>
    <w:uiPriority w:val="99"/>
  </w:style>
  <w:style w:type="character" w:customStyle="1" w:styleId="169">
    <w:name w:val="正文文本缩进 3 字符2"/>
    <w:basedOn w:val="41"/>
    <w:autoRedefine/>
    <w:semiHidden/>
    <w:qFormat/>
    <w:uiPriority w:val="99"/>
    <w:rPr>
      <w:sz w:val="16"/>
      <w:szCs w:val="16"/>
    </w:rPr>
  </w:style>
  <w:style w:type="character" w:customStyle="1" w:styleId="170">
    <w:name w:val="页眉 字符2"/>
    <w:basedOn w:val="41"/>
    <w:autoRedefine/>
    <w:semiHidden/>
    <w:qFormat/>
    <w:uiPriority w:val="99"/>
    <w:rPr>
      <w:sz w:val="18"/>
      <w:szCs w:val="18"/>
    </w:rPr>
  </w:style>
  <w:style w:type="character" w:customStyle="1" w:styleId="171">
    <w:name w:val="批注框文本 字符2"/>
    <w:basedOn w:val="41"/>
    <w:autoRedefine/>
    <w:semiHidden/>
    <w:qFormat/>
    <w:uiPriority w:val="99"/>
    <w:rPr>
      <w:sz w:val="18"/>
      <w:szCs w:val="18"/>
    </w:rPr>
  </w:style>
  <w:style w:type="character" w:customStyle="1" w:styleId="172">
    <w:name w:val="HTML 预设格式 字符2"/>
    <w:basedOn w:val="41"/>
    <w:autoRedefine/>
    <w:semiHidden/>
    <w:qFormat/>
    <w:uiPriority w:val="99"/>
    <w:rPr>
      <w:rFonts w:ascii="Courier New" w:hAnsi="Courier New" w:cs="Courier New"/>
      <w:sz w:val="20"/>
      <w:szCs w:val="20"/>
    </w:rPr>
  </w:style>
  <w:style w:type="character" w:customStyle="1" w:styleId="173">
    <w:name w:val="页脚 字符2"/>
    <w:basedOn w:val="41"/>
    <w:autoRedefine/>
    <w:semiHidden/>
    <w:qFormat/>
    <w:uiPriority w:val="99"/>
    <w:rPr>
      <w:sz w:val="18"/>
      <w:szCs w:val="18"/>
    </w:rPr>
  </w:style>
  <w:style w:type="character" w:customStyle="1" w:styleId="174">
    <w:name w:val="正文文本缩进 2 字符2"/>
    <w:basedOn w:val="41"/>
    <w:autoRedefine/>
    <w:semiHidden/>
    <w:qFormat/>
    <w:uiPriority w:val="99"/>
  </w:style>
  <w:style w:type="character" w:customStyle="1" w:styleId="175">
    <w:name w:val="正文文本 3 字符2"/>
    <w:basedOn w:val="41"/>
    <w:autoRedefine/>
    <w:semiHidden/>
    <w:qFormat/>
    <w:uiPriority w:val="99"/>
    <w:rPr>
      <w:sz w:val="16"/>
      <w:szCs w:val="16"/>
    </w:rPr>
  </w:style>
  <w:style w:type="character" w:customStyle="1" w:styleId="176">
    <w:name w:val="正文文本 2 字符2"/>
    <w:basedOn w:val="41"/>
    <w:autoRedefine/>
    <w:semiHidden/>
    <w:qFormat/>
    <w:uiPriority w:val="99"/>
  </w:style>
  <w:style w:type="paragraph" w:customStyle="1" w:styleId="17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1"/>
    <w:autoRedefine/>
    <w:semiHidden/>
    <w:qFormat/>
    <w:uiPriority w:val="99"/>
    <w:rPr>
      <w:rFonts w:ascii="Microsoft YaHei UI" w:eastAsia="Microsoft YaHei UI"/>
      <w:sz w:val="18"/>
      <w:szCs w:val="18"/>
    </w:rPr>
  </w:style>
  <w:style w:type="character" w:customStyle="1" w:styleId="180">
    <w:name w:val="日期 字符2"/>
    <w:basedOn w:val="41"/>
    <w:autoRedefine/>
    <w:semiHidden/>
    <w:qFormat/>
    <w:uiPriority w:val="99"/>
  </w:style>
  <w:style w:type="paragraph" w:customStyle="1" w:styleId="181">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2">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autoRedefine/>
    <w:semiHidden/>
    <w:qFormat/>
    <w:uiPriority w:val="99"/>
    <w:rPr>
      <w:rFonts w:ascii="宋体" w:hAnsi="Calibri" w:eastAsia="宋体" w:cs="Times New Roman"/>
      <w:sz w:val="24"/>
      <w:szCs w:val="24"/>
      <w:lang w:val="en-US" w:eastAsia="zh-CN" w:bidi="ar-SA"/>
    </w:rPr>
  </w:style>
  <w:style w:type="paragraph" w:customStyle="1" w:styleId="184">
    <w:name w:val="图/图注"/>
    <w:basedOn w:val="8"/>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autoRedefine/>
    <w:qFormat/>
    <w:uiPriority w:val="0"/>
    <w:pPr>
      <w:widowControl/>
    </w:pPr>
    <w:rPr>
      <w:rFonts w:ascii="Times New Roman" w:hAnsi="Calibri" w:eastAsia="宋体" w:cs="Times New Roman"/>
      <w:kern w:val="0"/>
      <w:szCs w:val="20"/>
    </w:rPr>
  </w:style>
  <w:style w:type="paragraph" w:customStyle="1" w:styleId="189">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autoRedefine/>
    <w:qFormat/>
    <w:uiPriority w:val="0"/>
    <w:rPr>
      <w:rFonts w:ascii="Calibri" w:hAnsi="Calibri" w:eastAsia="宋体" w:cs="Times New Roman"/>
      <w:lang w:val="en-US" w:eastAsia="zh-CN" w:bidi="ar-SA"/>
    </w:rPr>
  </w:style>
  <w:style w:type="paragraph" w:customStyle="1" w:styleId="193">
    <w:name w:val="_Style 69"/>
    <w:basedOn w:val="1"/>
    <w:next w:val="130"/>
    <w:autoRedefine/>
    <w:qFormat/>
    <w:uiPriority w:val="34"/>
    <w:pPr>
      <w:spacing w:line="360" w:lineRule="auto"/>
      <w:ind w:firstLine="420" w:firstLineChars="200"/>
    </w:pPr>
    <w:rPr>
      <w:rFonts w:ascii="Calibri" w:hAnsi="Calibri" w:eastAsia="宋体" w:cs="Times New Roman"/>
    </w:rPr>
  </w:style>
  <w:style w:type="paragraph" w:customStyle="1" w:styleId="194">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7">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8">
    <w:name w:val="网格表 31"/>
    <w:basedOn w:val="2"/>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autoRedefine/>
    <w:qFormat/>
    <w:uiPriority w:val="0"/>
    <w:pPr>
      <w:jc w:val="center"/>
    </w:pPr>
    <w:rPr>
      <w:rFonts w:cs="宋体"/>
      <w:szCs w:val="20"/>
    </w:rPr>
  </w:style>
  <w:style w:type="paragraph" w:customStyle="1" w:styleId="200">
    <w:name w:val="正文缩进4格"/>
    <w:basedOn w:val="64"/>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19"/>
    <w:autoRedefine/>
    <w:semiHidden/>
    <w:qFormat/>
    <w:uiPriority w:val="99"/>
    <w:rPr>
      <w:rFonts w:ascii="宋体" w:eastAsia="宋体"/>
      <w:b w:val="0"/>
      <w:bCs w:val="0"/>
      <w:sz w:val="84"/>
      <w:szCs w:val="84"/>
      <w:lang w:val="zh-CN"/>
    </w:rPr>
  </w:style>
  <w:style w:type="paragraph" w:customStyle="1" w:styleId="20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文档正文"/>
    <w:basedOn w:val="1"/>
    <w:autoRedefine/>
    <w:qFormat/>
    <w:uiPriority w:val="0"/>
    <w:pPr>
      <w:spacing w:line="360" w:lineRule="auto"/>
    </w:pPr>
    <w:rPr>
      <w:rFonts w:ascii="宋体" w:cs="Arial"/>
      <w:bCs/>
    </w:rPr>
  </w:style>
  <w:style w:type="paragraph" w:customStyle="1" w:styleId="205">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22794</Words>
  <Characters>23785</Characters>
  <Lines>314</Lines>
  <Paragraphs>88</Paragraphs>
  <TotalTime>0</TotalTime>
  <ScaleCrop>false</ScaleCrop>
  <LinksUpToDate>false</LinksUpToDate>
  <CharactersWithSpaces>24391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YD-ho</cp:lastModifiedBy>
  <dcterms:modified xsi:type="dcterms:W3CDTF">2025-10-27T03:13:26Z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8BEDB633E4F24D649237D948E7D228F8_13</vt:lpwstr>
  </property>
  <property fmtid="{D5CDD505-2E9C-101B-9397-08002B2CF9AE}" pid="4" name="KSOTemplateDocerSaveRecord">
    <vt:lpwstr>eyJoZGlkIjoiZGIwNDZhMTMxM2EyYzUxY2RmNGE4YzgzZTdiOWQwYWQiLCJ1c2VySWQiOiI0MTQ1MDg4MDkifQ==</vt:lpwstr>
  </property>
</Properties>
</file>