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21908">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东莞市大朗蔡边水质净化厂工程第三方检测（不含基桩完整性检测）</w:t>
      </w:r>
    </w:p>
    <w:p w14:paraId="193D5D61">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797A8CE5">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60728B11">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r>
        <w:rPr>
          <w:rFonts w:hint="eastAsia" w:ascii="宋体" w:hAnsi="宋体" w:eastAsia="宋体" w:cs="Times New Roman"/>
          <w:b/>
          <w:bCs/>
          <w:color w:val="auto"/>
          <w:sz w:val="72"/>
          <w:szCs w:val="72"/>
          <w:highlight w:val="none"/>
          <w:lang w:val="zh-CN"/>
        </w:rPr>
        <w:t>竞争性谈判文件</w:t>
      </w:r>
    </w:p>
    <w:p w14:paraId="66FC7D74">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7F81786B">
      <w:pPr>
        <w:autoSpaceDE w:val="0"/>
        <w:autoSpaceDN w:val="0"/>
        <w:adjustRightInd w:val="0"/>
        <w:ind w:right="-23" w:rightChars="-11"/>
        <w:jc w:val="center"/>
        <w:rPr>
          <w:rFonts w:ascii="宋体" w:hAnsi="宋体" w:eastAsia="宋体" w:cs="宋体"/>
          <w:b/>
          <w:bCs/>
          <w:color w:val="auto"/>
          <w:sz w:val="44"/>
          <w:szCs w:val="44"/>
          <w:highlight w:val="none"/>
          <w:lang w:val="zh-CN"/>
        </w:rPr>
      </w:pPr>
      <w:bookmarkStart w:id="525" w:name="_GoBack"/>
      <w:bookmarkEnd w:id="525"/>
    </w:p>
    <w:p w14:paraId="6BED40B6">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0805E364">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380435D">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购</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号：0832-SFCX25DG109C</w:t>
      </w:r>
    </w:p>
    <w:p w14:paraId="3097D134">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购</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人：东莞市水务环境投资控股集团建设管理有限公司</w:t>
      </w:r>
    </w:p>
    <w:p w14:paraId="7341B18A">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采购代理机构：广东华迪工程管理有限公司</w:t>
      </w:r>
    </w:p>
    <w:p w14:paraId="678B9BCC">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7B33ED72">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278A9C5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 xml:space="preserve"> 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24</w:t>
      </w:r>
      <w:r>
        <w:rPr>
          <w:rFonts w:hint="eastAsia" w:ascii="宋体" w:hAnsi="宋体" w:eastAsia="宋体" w:cs="宋体"/>
          <w:b/>
          <w:bCs/>
          <w:color w:val="auto"/>
          <w:sz w:val="32"/>
          <w:szCs w:val="32"/>
          <w:highlight w:val="none"/>
          <w:lang w:val="zh-CN"/>
        </w:rPr>
        <w:t>日</w:t>
      </w:r>
    </w:p>
    <w:p w14:paraId="298780BD">
      <w:pPr>
        <w:pStyle w:val="2"/>
        <w:rPr>
          <w:lang w:val="zh-CN"/>
        </w:rPr>
        <w:sectPr>
          <w:footerReference r:id="rId3" w:type="first"/>
          <w:pgSz w:w="11906" w:h="16838"/>
          <w:pgMar w:top="1191" w:right="737" w:bottom="1191" w:left="737" w:header="720" w:footer="720" w:gutter="0"/>
          <w:pgNumType w:fmt="decimal" w:start="1"/>
          <w:cols w:space="720" w:num="1"/>
          <w:docGrid w:linePitch="326" w:charSpace="0"/>
        </w:sectPr>
      </w:pPr>
    </w:p>
    <w:p w14:paraId="195EED99">
      <w:pPr>
        <w:pStyle w:val="2"/>
        <w:rPr>
          <w:lang w:val="zh-CN"/>
        </w:rPr>
      </w:pPr>
    </w:p>
    <w:sdt>
      <w:sdtPr>
        <w:rPr>
          <w:rFonts w:ascii="宋体" w:hAnsi="宋体" w:eastAsia="宋体" w:cstheme="minorBidi"/>
          <w:b/>
          <w:bCs/>
          <w:color w:val="auto"/>
          <w:kern w:val="2"/>
          <w:sz w:val="28"/>
          <w:szCs w:val="32"/>
          <w:highlight w:val="none"/>
          <w:lang w:val="en-US" w:eastAsia="zh-CN" w:bidi="ar-SA"/>
        </w:rPr>
        <w:id w:val="147463424"/>
        <w15:color w:val="DBDBDB"/>
        <w:docPartObj>
          <w:docPartGallery w:val="Table of Contents"/>
          <w:docPartUnique/>
        </w:docPartObj>
      </w:sdtPr>
      <w:sdtEndPr>
        <w:rPr>
          <w:rFonts w:ascii="宋体" w:hAnsi="宋体" w:eastAsia="宋体" w:cstheme="minorBidi"/>
          <w:b/>
          <w:bCs/>
          <w:color w:val="auto"/>
          <w:kern w:val="2"/>
          <w:sz w:val="28"/>
          <w:szCs w:val="32"/>
          <w:highlight w:val="none"/>
          <w:lang w:val="en-US" w:eastAsia="zh-CN" w:bidi="ar-SA"/>
        </w:rPr>
      </w:sdtEndPr>
      <w:sdtContent>
        <w:p w14:paraId="33A4CB81">
          <w:pPr>
            <w:spacing w:before="0" w:beforeLines="0" w:after="0" w:afterLines="0" w:line="240" w:lineRule="auto"/>
            <w:ind w:left="0" w:leftChars="0" w:right="0" w:rightChars="0" w:firstLine="0" w:firstLineChars="0"/>
            <w:jc w:val="center"/>
            <w:rPr>
              <w:b/>
              <w:bCs/>
              <w:color w:val="auto"/>
              <w:sz w:val="28"/>
              <w:szCs w:val="32"/>
              <w:highlight w:val="none"/>
            </w:rPr>
          </w:pPr>
          <w:bookmarkStart w:id="0" w:name="_Toc160099430"/>
          <w:bookmarkStart w:id="1" w:name="_Toc450662846"/>
          <w:bookmarkStart w:id="2" w:name="_Toc486167660"/>
          <w:bookmarkStart w:id="3" w:name="_Toc2723_WPSOffice_Level1"/>
          <w:r>
            <w:rPr>
              <w:rFonts w:ascii="宋体" w:hAnsi="宋体" w:eastAsia="宋体"/>
              <w:b/>
              <w:bCs/>
              <w:color w:val="auto"/>
              <w:sz w:val="28"/>
              <w:szCs w:val="32"/>
              <w:highlight w:val="none"/>
            </w:rPr>
            <w:t>目录</w:t>
          </w:r>
        </w:p>
        <w:p w14:paraId="7186D698">
          <w:pPr>
            <w:pStyle w:val="31"/>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_Toc28200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第一篇 竞争性谈判</w:t>
          </w:r>
          <w:r>
            <w:rPr>
              <w:rFonts w:hint="eastAsia" w:ascii="宋体" w:hAnsi="宋体" w:eastAsia="宋体" w:cs="宋体"/>
              <w:bCs/>
              <w:color w:val="auto"/>
              <w:kern w:val="44"/>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_Toc28200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7C48E09">
          <w:pPr>
            <w:pStyle w:val="31"/>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_Toc20493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谈判须知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_Toc20493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E558F7A">
          <w:pPr>
            <w:pStyle w:val="31"/>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_Toc4326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_Toc4326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A7D9BF4">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_Toc32435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E31D823">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_Toc14453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 合格的响应供应商</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_Toc14453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EA1E1BF">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_Toc1311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 合格的服务</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_Toc1311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B2D52BD">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_Toc26365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_Toc26365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1EF2BABA">
          <w:pPr>
            <w:pStyle w:val="31"/>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_Toc2244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二、</w:t>
          </w:r>
          <w:r>
            <w:rPr>
              <w:rFonts w:hint="eastAsia" w:ascii="宋体" w:hAnsi="宋体" w:eastAsia="宋体" w:cs="宋体"/>
              <w:color w:val="auto"/>
              <w:szCs w:val="21"/>
              <w:highlight w:val="none"/>
              <w:lang w:val="zh-CN"/>
            </w:rPr>
            <w:t>谈判</w:t>
          </w:r>
          <w:r>
            <w:rPr>
              <w:rFonts w:hint="eastAsia" w:ascii="宋体" w:hAnsi="宋体" w:eastAsia="宋体" w:cs="宋体"/>
              <w:bCs/>
              <w:color w:val="auto"/>
              <w:kern w:val="44"/>
              <w:szCs w:val="21"/>
              <w:highlight w:val="none"/>
              <w:lang w:val="zh-CN"/>
            </w:rPr>
            <w:t>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BBD0A90">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_Toc12417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5 竞争性谈判文件的构成</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_Toc12417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47B1A93">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_Toc10368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6 竞争性谈判文件的异议</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_Toc10368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7</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51C3C4D1">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_Toc28558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7 竞争性谈判文件的澄清及修改</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_Toc28558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7</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5B366382">
          <w:pPr>
            <w:pStyle w:val="31"/>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_Toc22325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三、</w:t>
          </w:r>
          <w:r>
            <w:rPr>
              <w:rFonts w:hint="eastAsia" w:ascii="宋体" w:hAnsi="宋体" w:eastAsia="宋体" w:cs="宋体"/>
              <w:color w:val="auto"/>
              <w:szCs w:val="21"/>
              <w:highlight w:val="none"/>
              <w:lang w:val="zh-CN"/>
            </w:rPr>
            <w:t>响应</w:t>
          </w:r>
          <w:r>
            <w:rPr>
              <w:rFonts w:hint="eastAsia" w:ascii="宋体" w:hAnsi="宋体" w:eastAsia="宋体" w:cs="宋体"/>
              <w:bCs/>
              <w:color w:val="auto"/>
              <w:kern w:val="44"/>
              <w:szCs w:val="21"/>
              <w:highlight w:val="none"/>
              <w:lang w:val="zh-CN"/>
            </w:rPr>
            <w:t>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_Toc22325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F155FC3">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_Toc19448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 xml:space="preserve">8 </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lang w:val="zh-CN"/>
            </w:rPr>
            <w:t>使用的文字及度量衡单位</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_Toc19448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03351D5">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_Toc1017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9 响应文件的组成</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_Toc1017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56D59575">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_Toc3275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10 响应函</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_Toc3275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43F4E74B">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_Toc17607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11 响应报价</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_Toc17607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5BD47291">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_Toc13994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12 响应报价货币</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_Toc13994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10</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1B56D359">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_Toc8169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13 证明响应供应商的合格性和资格的声明文件</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_Toc8169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10</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D139936">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_Toc16937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 证明货物和服务的合格性并符合谈判文件规定的声明文件</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_Toc16937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1AE964D9">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_Toc12647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 响应保证金</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_Toc12647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6AE88CF">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_Toc20961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 响应有效期</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_Toc20961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12</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8429AB0">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_Toc5444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17 响应文件的式样和签署</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_Toc5444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12</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5905C94">
          <w:pPr>
            <w:pStyle w:val="31"/>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_Toc20056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四、响应文件的递交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_Toc20056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E4B1DF1">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_Toc1106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 响应文件的密封和标记</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_Toc1106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12</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66D251A">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_Toc15857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19 递交响应文件的截止日期</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_Toc15857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13</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3C250921">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_Toc16604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20 迟交的响应文件</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_Toc16604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13</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3F723613">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_Toc8568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21 响应文件的修改和撤回</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_Toc8568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13</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2D8C884D">
          <w:pPr>
            <w:pStyle w:val="31"/>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_Toc6525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五、竞争性谈判流程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168D087">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_Toc8720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24 谈判小组</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_Toc8720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13</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2D468EDB">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_Toc15327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25 响应文件的初审</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_Toc15327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6450024">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_Toc906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26 响应文件的澄清</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_Toc906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5779AB9">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_Toc7732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27 谈判</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_Toc7732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E2B4530">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_Toc9832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28 最后报价</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_Toc9832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FDDE311">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_Toc15777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29 评审结果公示及</w:t>
          </w:r>
          <w:r>
            <w:rPr>
              <w:rFonts w:hint="eastAsia" w:ascii="宋体" w:hAnsi="宋体" w:eastAsia="宋体" w:cs="宋体"/>
              <w:color w:val="auto"/>
              <w:szCs w:val="21"/>
              <w:highlight w:val="none"/>
              <w:lang w:val="en-US" w:eastAsia="zh-CN"/>
            </w:rPr>
            <w:t>质疑</w:t>
          </w:r>
          <w:r>
            <w:rPr>
              <w:rFonts w:hint="eastAsia" w:ascii="宋体" w:hAnsi="宋体" w:eastAsia="宋体" w:cs="宋体"/>
              <w:color w:val="auto"/>
              <w:szCs w:val="21"/>
              <w:highlight w:val="none"/>
              <w:lang w:val="zh-CN"/>
            </w:rPr>
            <w:t>、投诉</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_Toc15777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D98EDEF">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_Toc32548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30 真实性审查</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_Toc32548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DBDF2A3">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_Toc8449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31 谈判小组和采购人接受或拒绝任何响应或所有响应的权利</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_Toc8449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33543667">
          <w:pPr>
            <w:pStyle w:val="31"/>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_Toc21611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_Toc21611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FCD23BB">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_Toc19100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32 授予合同的准则</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_Toc19100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C690C4A">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_Toc25705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33 成交通知</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_Toc25705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D4B4E91">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_Toc22735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34 签署合同</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_Toc22735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3ABA2F7D">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_Toc20839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35 履约担保</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_Toc20839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2D4C6DD5">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_Toc21686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36 在合同履行中变更采购范围的权利</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_Toc21686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58440F4D">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_Toc30777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37 成交服务费</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_Toc30777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2B5593B1">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_Toc26447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38 发票</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_Toc26447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926F575">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_Toc10074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 xml:space="preserve">39 </w:t>
          </w:r>
          <w:r>
            <w:rPr>
              <w:rFonts w:hint="eastAsia" w:ascii="宋体" w:hAnsi="宋体" w:eastAsia="宋体" w:cs="宋体"/>
              <w:color w:val="auto"/>
              <w:szCs w:val="21"/>
              <w:highlight w:val="none"/>
              <w:lang w:val="zh-CN" w:eastAsia="zh-CN"/>
            </w:rPr>
            <w:t>采购</w:t>
          </w:r>
          <w:r>
            <w:rPr>
              <w:rFonts w:hint="eastAsia" w:ascii="宋体" w:hAnsi="宋体" w:eastAsia="宋体" w:cs="宋体"/>
              <w:color w:val="auto"/>
              <w:szCs w:val="21"/>
              <w:highlight w:val="none"/>
              <w:lang w:val="zh-CN"/>
            </w:rPr>
            <w:t>相关补充约定</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_Toc10074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D635ABB">
          <w:pPr>
            <w:pStyle w:val="23"/>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_Toc12482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lang w:val="zh-CN"/>
            </w:rPr>
            <w:t xml:space="preserve"> 本次采购活动的最终解释权归采购代理机构及采购人所有。</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_Toc12482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3E2DB40A">
          <w:pPr>
            <w:pStyle w:val="31"/>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_Toc9125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_Toc9125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7F60D2D">
          <w:pPr>
            <w:pStyle w:val="31"/>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_Toc6811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_Toc6811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F9889C7">
          <w:pPr>
            <w:pStyle w:val="31"/>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_Toc4103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lang w:val="en-US" w:eastAsia="zh-CN"/>
            </w:rPr>
            <w:t>8</w:t>
          </w:r>
        </w:p>
        <w:p w14:paraId="4F92D5B4">
          <w:pPr>
            <w:pStyle w:val="31"/>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_Toc1352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第六篇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172A9D9">
          <w:pPr>
            <w:pStyle w:val="31"/>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_Toc18873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附件一：评审工作大纲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9878F10">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color w:val="auto"/>
              <w:highlight w:val="none"/>
            </w:rPr>
          </w:pPr>
          <w:r>
            <w:rPr>
              <w:rFonts w:hint="eastAsia" w:ascii="宋体" w:hAnsi="宋体" w:eastAsia="宋体" w:cs="宋体"/>
              <w:color w:val="auto"/>
              <w:szCs w:val="21"/>
              <w:highlight w:val="none"/>
            </w:rPr>
            <w:fldChar w:fldCharType="end"/>
          </w:r>
        </w:p>
      </w:sdtContent>
    </w:sdt>
    <w:p w14:paraId="3EA0E3FC">
      <w:pPr>
        <w:rPr>
          <w:color w:val="auto"/>
          <w:highlight w:val="none"/>
        </w:rPr>
      </w:pPr>
    </w:p>
    <w:p w14:paraId="5777E805">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4" w:name="_Toc28200"/>
      <w:r>
        <w:rPr>
          <w:rFonts w:ascii="宋体" w:hAnsi="宋体" w:eastAsia="宋体" w:cs="Times New Roman"/>
          <w:b/>
          <w:bCs/>
          <w:color w:val="auto"/>
          <w:kern w:val="44"/>
          <w:sz w:val="32"/>
          <w:szCs w:val="32"/>
          <w:highlight w:val="none"/>
          <w:lang w:val="zh-CN"/>
        </w:rPr>
        <w:t xml:space="preserve">第一篇 </w:t>
      </w:r>
      <w:bookmarkEnd w:id="0"/>
      <w:bookmarkEnd w:id="1"/>
      <w:bookmarkEnd w:id="2"/>
      <w:bookmarkEnd w:id="3"/>
      <w:r>
        <w:rPr>
          <w:rFonts w:hint="eastAsia" w:ascii="宋体" w:hAnsi="宋体" w:eastAsia="宋体"/>
          <w:b/>
          <w:bCs/>
          <w:color w:val="auto"/>
          <w:kern w:val="44"/>
          <w:sz w:val="32"/>
          <w:szCs w:val="32"/>
          <w:highlight w:val="none"/>
          <w:lang w:val="zh-CN"/>
        </w:rPr>
        <w:t>竞争性谈判</w:t>
      </w:r>
      <w:r>
        <w:rPr>
          <w:rFonts w:hint="eastAsia" w:ascii="宋体" w:hAnsi="宋体" w:eastAsia="宋体"/>
          <w:b/>
          <w:bCs/>
          <w:color w:val="auto"/>
          <w:kern w:val="44"/>
          <w:sz w:val="32"/>
          <w:szCs w:val="32"/>
          <w:highlight w:val="none"/>
        </w:rPr>
        <w:t>公告</w:t>
      </w:r>
      <w:bookmarkEnd w:id="4"/>
    </w:p>
    <w:p w14:paraId="3B781A29">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广东华迪工程管理有限公司</w:t>
      </w:r>
      <w:r>
        <w:rPr>
          <w:rFonts w:ascii="宋体" w:hAnsi="宋体" w:eastAsia="宋体" w:cs="Times New Roman"/>
          <w:color w:val="auto"/>
          <w:szCs w:val="21"/>
          <w:highlight w:val="none"/>
          <w:lang w:val="zh-CN"/>
        </w:rPr>
        <w:t>（以下简称“采购代理机构”）受</w:t>
      </w:r>
      <w:r>
        <w:rPr>
          <w:rFonts w:hint="eastAsia" w:ascii="宋体" w:hAnsi="宋体" w:eastAsia="宋体" w:cs="Times New Roman"/>
          <w:color w:val="auto"/>
          <w:kern w:val="0"/>
          <w:szCs w:val="21"/>
          <w:highlight w:val="none"/>
          <w:lang w:eastAsia="zh-CN"/>
        </w:rPr>
        <w:t>东莞市水务环境投资控股集团建设管理有限公司</w:t>
      </w:r>
      <w:r>
        <w:rPr>
          <w:rFonts w:ascii="宋体" w:hAnsi="宋体" w:eastAsia="宋体" w:cs="Times New Roman"/>
          <w:color w:val="auto"/>
          <w:szCs w:val="21"/>
          <w:highlight w:val="none"/>
          <w:lang w:val="zh-CN"/>
        </w:rPr>
        <w:t>（以下简称“采购人”）的委托，对</w:t>
      </w:r>
      <w:bookmarkStart w:id="5" w:name="_Hlk41903390"/>
      <w:r>
        <w:rPr>
          <w:rFonts w:hint="eastAsia" w:ascii="宋体" w:hAnsi="宋体" w:eastAsia="宋体" w:cs="Times New Roman"/>
          <w:color w:val="auto"/>
          <w:kern w:val="0"/>
          <w:szCs w:val="21"/>
          <w:highlight w:val="none"/>
          <w:lang w:eastAsia="zh-CN"/>
        </w:rPr>
        <w:t>东莞市大朗蔡边水质净化厂工程第三方检测（不含基桩完整性检测）</w:t>
      </w:r>
      <w:r>
        <w:rPr>
          <w:rFonts w:ascii="宋体" w:hAnsi="宋体" w:eastAsia="宋体" w:cs="Times New Roman"/>
          <w:color w:val="auto"/>
          <w:szCs w:val="21"/>
          <w:highlight w:val="none"/>
          <w:lang w:val="zh-CN"/>
        </w:rPr>
        <w:t>(采购编号：</w:t>
      </w:r>
      <w:r>
        <w:rPr>
          <w:rFonts w:hint="eastAsia" w:ascii="宋体" w:hAnsi="宋体" w:eastAsia="宋体" w:cs="Times New Roman"/>
          <w:color w:val="auto"/>
          <w:szCs w:val="21"/>
          <w:highlight w:val="none"/>
          <w:lang w:val="zh-CN"/>
        </w:rPr>
        <w:t>0832-SFCX25DG109C</w:t>
      </w:r>
      <w:r>
        <w:rPr>
          <w:rFonts w:ascii="宋体" w:hAnsi="宋体" w:eastAsia="宋体" w:cs="Times New Roman"/>
          <w:color w:val="auto"/>
          <w:szCs w:val="21"/>
          <w:highlight w:val="none"/>
          <w:lang w:val="zh-CN"/>
        </w:rPr>
        <w:t>)</w:t>
      </w:r>
      <w:bookmarkEnd w:id="5"/>
      <w:r>
        <w:rPr>
          <w:rFonts w:hint="eastAsia" w:ascii="宋体" w:hAnsi="宋体" w:eastAsia="宋体" w:cs="Times New Roman"/>
          <w:color w:val="auto"/>
          <w:szCs w:val="21"/>
          <w:highlight w:val="none"/>
          <w:lang w:val="zh-CN"/>
        </w:rPr>
        <w:t>进行竞争性谈判采购，详细内容请参见本竞争性谈判文件。欢迎符合条件的合格供应商参加，有关事项如下</w:t>
      </w:r>
      <w:r>
        <w:rPr>
          <w:rFonts w:hint="eastAsia" w:ascii="宋体" w:hAnsi="宋体" w:eastAsia="宋体" w:cs="Times New Roman"/>
          <w:bCs/>
          <w:color w:val="auto"/>
          <w:kern w:val="0"/>
          <w:szCs w:val="21"/>
          <w:highlight w:val="none"/>
        </w:rPr>
        <w:t>：</w:t>
      </w:r>
    </w:p>
    <w:p w14:paraId="0D0CE44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694B049">
      <w:pPr>
        <w:numPr>
          <w:ilvl w:val="0"/>
          <w:numId w:val="2"/>
        </w:numPr>
        <w:autoSpaceDE w:val="0"/>
        <w:autoSpaceDN w:val="0"/>
        <w:adjustRightInd w:val="0"/>
        <w:snapToGrid w:val="0"/>
        <w:spacing w:line="360" w:lineRule="auto"/>
        <w:ind w:left="0" w:right="-34" w:firstLine="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采购范围：本项目计划</w:t>
      </w:r>
      <w:r>
        <w:rPr>
          <w:rFonts w:hint="eastAsia" w:ascii="宋体" w:hAnsi="宋体" w:eastAsia="宋体" w:cs="Times New Roman"/>
          <w:color w:val="auto"/>
          <w:szCs w:val="21"/>
          <w:highlight w:val="none"/>
          <w:lang w:val="zh-CN" w:eastAsia="zh-CN"/>
        </w:rPr>
        <w:t>采购</w:t>
      </w:r>
      <w:r>
        <w:rPr>
          <w:rFonts w:hint="eastAsia" w:ascii="宋体" w:hAnsi="宋体" w:eastAsia="宋体" w:cs="Times New Roman"/>
          <w:color w:val="auto"/>
          <w:szCs w:val="21"/>
          <w:highlight w:val="none"/>
          <w:lang w:val="zh-CN"/>
        </w:rPr>
        <w:t>一家服务单位，提供东莞市大朗蔡边水质净化厂工程第三方检测（不含基桩完整性检测）。（具体内容详见：第三篇用户需求书）。</w:t>
      </w:r>
    </w:p>
    <w:p w14:paraId="616E21EA">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7A902048">
      <w:pPr>
        <w:numPr>
          <w:ilvl w:val="0"/>
          <w:numId w:val="2"/>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合格响应供应商</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164207D2">
      <w:pPr>
        <w:pStyle w:val="136"/>
        <w:spacing w:line="360" w:lineRule="auto"/>
        <w:ind w:left="422" w:leftChars="201" w:firstLine="0" w:firstLineChars="0"/>
        <w:rPr>
          <w:rFonts w:hint="eastAsia" w:ascii="宋体" w:hAnsi="宋体" w:eastAsia="宋体"/>
          <w:b/>
          <w:color w:val="auto"/>
          <w:szCs w:val="21"/>
          <w:highlight w:val="none"/>
          <w:lang w:val="zh-CN"/>
        </w:rPr>
      </w:pPr>
      <w:r>
        <w:rPr>
          <w:rFonts w:hint="eastAsia" w:ascii="宋体" w:hAnsi="宋体" w:eastAsia="宋体"/>
          <w:b/>
          <w:color w:val="auto"/>
          <w:szCs w:val="21"/>
          <w:highlight w:val="none"/>
          <w:lang w:val="zh-CN"/>
        </w:rPr>
        <w:t>2.1在中华人民共和国境内登记注册、合法存续、正常经营且具有独立承担民事责任能力的法人或其他组织；</w:t>
      </w:r>
    </w:p>
    <w:p w14:paraId="2260A13C">
      <w:pPr>
        <w:pStyle w:val="136"/>
        <w:spacing w:line="360" w:lineRule="auto"/>
        <w:ind w:left="422" w:leftChars="201" w:firstLine="0" w:firstLineChars="0"/>
        <w:rPr>
          <w:rFonts w:hint="eastAsia" w:ascii="宋体" w:hAnsi="宋体" w:eastAsia="宋体"/>
          <w:b/>
          <w:color w:val="auto"/>
          <w:szCs w:val="21"/>
          <w:highlight w:val="none"/>
          <w:lang w:val="zh-CN"/>
        </w:rPr>
      </w:pPr>
      <w:r>
        <w:rPr>
          <w:rFonts w:hint="eastAsia" w:ascii="宋体" w:hAnsi="宋体" w:eastAsia="宋体"/>
          <w:b/>
          <w:color w:val="auto"/>
          <w:szCs w:val="21"/>
          <w:highlight w:val="none"/>
          <w:lang w:val="en-US" w:eastAsia="zh-CN"/>
        </w:rPr>
        <w:t xml:space="preserve">2.2 </w:t>
      </w:r>
      <w:r>
        <w:rPr>
          <w:rFonts w:hint="eastAsia" w:ascii="宋体" w:hAnsi="宋体" w:eastAsia="宋体"/>
          <w:b/>
          <w:color w:val="auto"/>
          <w:szCs w:val="21"/>
          <w:highlight w:val="none"/>
          <w:lang w:val="zh-CN"/>
        </w:rPr>
        <w:t>供应商须具备以下资质：由住房和城乡建设部门颁发的并在有效期内的建设工程质量检测机构资质证书（须同时涵盖见证取样检测、地基基础工程检测、主体结构工程现场检测、钢结构工程检测），或者是建设工程质量检测机构综合资质证书，或者是建设工程质量检测机构专项资质证书（须同时取得建筑材料及构配件、主体结构及装饰装修、钢结构、地基基础、市政工程材料、道路工程6个专项资质）和计量行政部门颁发的CMA计量认证证书；</w:t>
      </w:r>
    </w:p>
    <w:p w14:paraId="0501833D">
      <w:pPr>
        <w:pStyle w:val="136"/>
        <w:spacing w:line="360" w:lineRule="auto"/>
        <w:ind w:left="422" w:leftChars="201" w:firstLine="0" w:firstLineChars="0"/>
        <w:rPr>
          <w:rFonts w:hint="eastAsia" w:ascii="宋体" w:hAnsi="宋体" w:eastAsia="宋体"/>
          <w:b/>
          <w:color w:val="auto"/>
          <w:szCs w:val="21"/>
          <w:highlight w:val="none"/>
          <w:lang w:val="zh-CN"/>
        </w:rPr>
      </w:pPr>
      <w:r>
        <w:rPr>
          <w:rFonts w:hint="eastAsia" w:ascii="宋体" w:hAnsi="宋体" w:eastAsia="宋体"/>
          <w:b/>
          <w:color w:val="auto"/>
          <w:szCs w:val="21"/>
          <w:highlight w:val="none"/>
          <w:lang w:val="zh-CN"/>
        </w:rPr>
        <w:t>[注：①根据《住房城乡建设部办公厅关于实施《建设工程质量检测管理办法》《建设工程质量检测机构资质标准》有关问题的通知》（建办质〔2024〕36号）规定，“为保障建设工程质量检测新旧资质平稳过渡，新旧资质过渡期延长至2024年10月31日。各省级住房城乡建设主管部门要结合地方实际，制定本地区实施细则”；②属各省内各级住建主管部门审批的资质证书过期的，供应商如能提供该省有关顺延资质资格有效期有关文件且符合文件规定的，则视为仍然有效。③资质证书按规定已失效，未能重新办理核定领取新版资质证书的供应商，也未能提供顺延资质资格有效期有关文件或不符合文件规定的，参与本次项目响应的将作无效响应处理。]</w:t>
      </w:r>
    </w:p>
    <w:p w14:paraId="4353E234">
      <w:pPr>
        <w:pStyle w:val="136"/>
        <w:spacing w:line="360" w:lineRule="auto"/>
        <w:ind w:left="422" w:leftChars="201" w:firstLine="0" w:firstLineChars="0"/>
        <w:rPr>
          <w:rFonts w:hint="eastAsia" w:ascii="Calibri" w:hAnsi="Calibri" w:eastAsia="宋体" w:cs="Calibri"/>
          <w:b/>
          <w:color w:val="auto"/>
          <w:szCs w:val="21"/>
          <w:highlight w:val="none"/>
          <w:lang w:eastAsia="zh-CN" w:bidi="ar"/>
        </w:rPr>
      </w:pPr>
      <w:r>
        <w:rPr>
          <w:rFonts w:hint="eastAsia" w:ascii="宋体" w:hAnsi="宋体" w:eastAsia="宋体"/>
          <w:b/>
          <w:color w:val="auto"/>
          <w:szCs w:val="21"/>
          <w:highlight w:val="none"/>
          <w:lang w:val="zh-CN"/>
        </w:rPr>
        <w:t>2.</w:t>
      </w:r>
      <w:r>
        <w:rPr>
          <w:rFonts w:hint="eastAsia" w:ascii="宋体" w:hAnsi="宋体" w:eastAsia="宋体"/>
          <w:b/>
          <w:color w:val="auto"/>
          <w:szCs w:val="21"/>
          <w:highlight w:val="none"/>
          <w:lang w:val="en-US" w:eastAsia="zh-CN"/>
        </w:rPr>
        <w:t>3 人员要求：</w:t>
      </w:r>
      <w:r>
        <w:rPr>
          <w:rFonts w:hint="eastAsia" w:ascii="宋体" w:hAnsi="宋体" w:eastAsia="宋体" w:cstheme="minorBidi"/>
          <w:b/>
          <w:color w:val="auto"/>
          <w:szCs w:val="21"/>
          <w:highlight w:val="none"/>
          <w:lang w:val="en-US"/>
        </w:rPr>
        <w:t>①</w:t>
      </w:r>
      <w:r>
        <w:rPr>
          <w:rFonts w:hint="eastAsia" w:ascii="宋体" w:hAnsi="宋体" w:eastAsia="宋体"/>
          <w:b/>
          <w:color w:val="auto"/>
          <w:szCs w:val="21"/>
          <w:highlight w:val="none"/>
          <w:lang w:val="en-US"/>
        </w:rPr>
        <w:t>项</w:t>
      </w:r>
      <w:r>
        <w:rPr>
          <w:rFonts w:hint="eastAsia" w:ascii="宋体" w:hAnsi="宋体" w:eastAsia="宋体"/>
          <w:b/>
          <w:color w:val="auto"/>
          <w:szCs w:val="21"/>
          <w:highlight w:val="none"/>
          <w:lang w:val="zh-CN"/>
        </w:rPr>
        <w:t>目负责人资格：具备注册土木工程师（岩土）或一级注册结构工程师执业资格，并且注册在供应商本单位；</w:t>
      </w:r>
      <w:r>
        <w:rPr>
          <w:rFonts w:hint="eastAsia" w:ascii="Calibri" w:hAnsi="Calibri" w:eastAsia="宋体" w:cs="Calibri"/>
          <w:b/>
          <w:color w:val="auto"/>
          <w:szCs w:val="21"/>
          <w:highlight w:val="none"/>
          <w:lang w:val="en-US"/>
        </w:rPr>
        <w:t>②</w:t>
      </w:r>
      <w:r>
        <w:rPr>
          <w:rFonts w:hint="eastAsia" w:ascii="Calibri" w:hAnsi="Calibri" w:eastAsia="宋体" w:cs="Calibri"/>
          <w:b/>
          <w:color w:val="auto"/>
          <w:szCs w:val="21"/>
          <w:highlight w:val="none"/>
          <w:lang w:val="en-US" w:eastAsia="zh-CN"/>
        </w:rPr>
        <w:t>技术负责人资格：检测</w:t>
      </w:r>
      <w:r>
        <w:rPr>
          <w:rFonts w:hint="eastAsia" w:ascii="Calibri" w:hAnsi="Calibri" w:eastAsia="宋体" w:cs="Calibri"/>
          <w:b/>
          <w:color w:val="auto"/>
          <w:szCs w:val="21"/>
          <w:highlight w:val="none"/>
          <w:lang w:bidi="ar"/>
        </w:rPr>
        <w:t>类</w:t>
      </w:r>
      <w:r>
        <w:rPr>
          <w:rFonts w:hint="eastAsia" w:ascii="Calibri" w:hAnsi="Calibri" w:eastAsia="宋体" w:cs="Calibri"/>
          <w:b/>
          <w:color w:val="auto"/>
          <w:szCs w:val="21"/>
          <w:highlight w:val="none"/>
          <w:lang w:val="en-US" w:eastAsia="zh-CN" w:bidi="ar"/>
        </w:rPr>
        <w:t>中</w:t>
      </w:r>
      <w:r>
        <w:rPr>
          <w:rFonts w:hint="eastAsia" w:ascii="Calibri" w:hAnsi="Calibri" w:eastAsia="宋体" w:cs="Calibri"/>
          <w:b/>
          <w:color w:val="auto"/>
          <w:szCs w:val="21"/>
          <w:highlight w:val="none"/>
          <w:lang w:bidi="ar"/>
        </w:rPr>
        <w:t>级</w:t>
      </w:r>
      <w:r>
        <w:rPr>
          <w:rFonts w:hint="eastAsia" w:ascii="Calibri" w:hAnsi="Calibri" w:eastAsia="宋体" w:cs="Calibri"/>
          <w:b/>
          <w:color w:val="auto"/>
          <w:szCs w:val="21"/>
          <w:highlight w:val="none"/>
          <w:lang w:val="en-US" w:eastAsia="zh-CN" w:bidi="ar"/>
        </w:rPr>
        <w:t>或以上技术</w:t>
      </w:r>
      <w:r>
        <w:rPr>
          <w:rFonts w:hint="eastAsia" w:ascii="Calibri" w:hAnsi="Calibri" w:eastAsia="宋体" w:cs="Calibri"/>
          <w:b/>
          <w:color w:val="auto"/>
          <w:szCs w:val="21"/>
          <w:highlight w:val="none"/>
          <w:lang w:bidi="ar"/>
        </w:rPr>
        <w:t>职称</w:t>
      </w:r>
      <w:r>
        <w:rPr>
          <w:rFonts w:hint="eastAsia" w:ascii="Calibri" w:hAnsi="Calibri" w:eastAsia="宋体" w:cs="Calibri"/>
          <w:b/>
          <w:color w:val="auto"/>
          <w:szCs w:val="21"/>
          <w:highlight w:val="none"/>
          <w:lang w:eastAsia="zh-CN" w:bidi="ar"/>
        </w:rPr>
        <w:t>。</w:t>
      </w:r>
    </w:p>
    <w:p w14:paraId="35B21C7D">
      <w:pPr>
        <w:pStyle w:val="136"/>
        <w:spacing w:line="360" w:lineRule="auto"/>
        <w:ind w:left="422" w:leftChars="201" w:firstLine="0" w:firstLineChars="0"/>
        <w:rPr>
          <w:rFonts w:hint="eastAsia" w:ascii="Calibri" w:hAnsi="Calibri" w:eastAsia="宋体" w:cs="Calibri"/>
          <w:b/>
          <w:color w:val="auto"/>
          <w:szCs w:val="21"/>
          <w:highlight w:val="none"/>
          <w:lang w:val="en-US" w:eastAsia="zh-CN" w:bidi="ar"/>
        </w:rPr>
      </w:pPr>
      <w:r>
        <w:rPr>
          <w:rFonts w:hint="eastAsia" w:ascii="宋体" w:hAnsi="宋体" w:eastAsia="宋体"/>
          <w:b/>
          <w:color w:val="auto"/>
          <w:szCs w:val="21"/>
          <w:highlight w:val="none"/>
          <w:lang w:val="zh-CN"/>
        </w:rPr>
        <w:t>[注：</w:t>
      </w:r>
      <w:r>
        <w:rPr>
          <w:rFonts w:hint="eastAsia" w:ascii="宋体" w:hAnsi="宋体" w:eastAsia="宋体"/>
          <w:b/>
          <w:color w:val="auto"/>
          <w:szCs w:val="21"/>
          <w:highlight w:val="none"/>
          <w:lang w:val="en-US" w:eastAsia="zh-CN"/>
        </w:rPr>
        <w:t>①上述人员在</w:t>
      </w:r>
      <w:r>
        <w:rPr>
          <w:rFonts w:hint="eastAsia" w:ascii="宋体" w:hAnsi="宋体" w:eastAsia="宋体"/>
          <w:b/>
          <w:color w:val="auto"/>
          <w:szCs w:val="21"/>
          <w:highlight w:val="none"/>
          <w:lang w:val="zh-CN"/>
        </w:rPr>
        <w:t>本项目中不得互相兼任。</w:t>
      </w:r>
      <w:r>
        <w:rPr>
          <w:rFonts w:hint="eastAsia" w:ascii="宋体" w:hAnsi="宋体" w:eastAsia="宋体"/>
          <w:b/>
          <w:color w:val="auto"/>
          <w:szCs w:val="21"/>
          <w:highlight w:val="none"/>
          <w:lang w:val="en-US" w:eastAsia="zh-CN"/>
        </w:rPr>
        <w:t>②</w:t>
      </w:r>
      <w:r>
        <w:rPr>
          <w:rFonts w:hint="eastAsia" w:ascii="宋体" w:hAnsi="宋体" w:eastAsia="宋体"/>
          <w:b/>
          <w:color w:val="auto"/>
          <w:szCs w:val="21"/>
          <w:highlight w:val="none"/>
          <w:lang w:val="zh-CN"/>
        </w:rPr>
        <w:t>上述人员必须提供供应商处缴纳社保的社保缴纳证明文件，社保缴纳证明文件应具备社保管理机构印章。社保缴纳证明文件，可以是在供应商总公司或其分公司的社保缴纳证明文件，社保缴纳时间均为2024年</w:t>
      </w:r>
      <w:r>
        <w:rPr>
          <w:rFonts w:hint="eastAsia" w:ascii="宋体" w:hAnsi="宋体" w:eastAsia="宋体"/>
          <w:b/>
          <w:color w:val="auto"/>
          <w:szCs w:val="21"/>
          <w:highlight w:val="none"/>
          <w:lang w:val="en-US" w:eastAsia="zh-CN"/>
        </w:rPr>
        <w:t>10</w:t>
      </w:r>
      <w:r>
        <w:rPr>
          <w:rFonts w:hint="eastAsia" w:ascii="宋体" w:hAnsi="宋体" w:eastAsia="宋体"/>
          <w:b/>
          <w:color w:val="auto"/>
          <w:szCs w:val="21"/>
          <w:highlight w:val="none"/>
          <w:lang w:val="zh-CN"/>
        </w:rPr>
        <w:t>月至2025年</w:t>
      </w:r>
      <w:r>
        <w:rPr>
          <w:rFonts w:hint="eastAsia" w:ascii="宋体" w:hAnsi="宋体" w:eastAsia="宋体"/>
          <w:b/>
          <w:color w:val="auto"/>
          <w:szCs w:val="21"/>
          <w:highlight w:val="none"/>
          <w:lang w:val="en-US" w:eastAsia="zh-CN"/>
        </w:rPr>
        <w:t>9</w:t>
      </w:r>
      <w:r>
        <w:rPr>
          <w:rFonts w:hint="eastAsia" w:ascii="宋体" w:hAnsi="宋体" w:eastAsia="宋体"/>
          <w:b/>
          <w:color w:val="auto"/>
          <w:szCs w:val="21"/>
          <w:highlight w:val="none"/>
          <w:lang w:val="zh-CN"/>
        </w:rPr>
        <w:t>月；如拟投入本工程的技术人员为返聘的，需提供与供应商签订在有效期限内的返聘合同原件扫描件。</w:t>
      </w:r>
      <w:r>
        <w:rPr>
          <w:rFonts w:hint="eastAsia" w:ascii="宋体" w:hAnsi="宋体" w:eastAsia="宋体"/>
          <w:b/>
          <w:color w:val="auto"/>
          <w:szCs w:val="21"/>
          <w:highlight w:val="none"/>
          <w:lang w:val="en-US" w:eastAsia="zh-CN"/>
        </w:rPr>
        <w:t>]</w:t>
      </w:r>
    </w:p>
    <w:p w14:paraId="660981C0">
      <w:pPr>
        <w:pStyle w:val="136"/>
        <w:spacing w:line="360" w:lineRule="auto"/>
        <w:ind w:left="422" w:leftChars="201" w:firstLine="0" w:firstLineChars="0"/>
        <w:rPr>
          <w:rFonts w:hint="eastAsia" w:ascii="宋体" w:hAnsi="宋体" w:eastAsia="宋体"/>
          <w:b/>
          <w:color w:val="auto"/>
          <w:szCs w:val="21"/>
          <w:highlight w:val="none"/>
          <w:lang w:val="zh-CN"/>
        </w:rPr>
      </w:pPr>
      <w:r>
        <w:rPr>
          <w:rFonts w:hint="eastAsia" w:ascii="宋体" w:hAnsi="宋体" w:eastAsia="宋体"/>
          <w:b/>
          <w:color w:val="auto"/>
          <w:szCs w:val="21"/>
          <w:highlight w:val="none"/>
          <w:lang w:val="zh-CN"/>
        </w:rPr>
        <w:t>2.</w:t>
      </w:r>
      <w:r>
        <w:rPr>
          <w:rFonts w:hint="eastAsia" w:ascii="宋体" w:hAnsi="宋体" w:eastAsia="宋体"/>
          <w:b/>
          <w:color w:val="auto"/>
          <w:szCs w:val="21"/>
          <w:highlight w:val="none"/>
          <w:lang w:val="en-US" w:eastAsia="zh-CN"/>
        </w:rPr>
        <w:t>4</w:t>
      </w:r>
      <w:r>
        <w:rPr>
          <w:rFonts w:hint="eastAsia" w:ascii="宋体" w:hAnsi="宋体" w:eastAsia="宋体"/>
          <w:b/>
          <w:color w:val="auto"/>
          <w:szCs w:val="21"/>
          <w:highlight w:val="none"/>
          <w:lang w:val="zh-CN"/>
        </w:rPr>
        <w:t>供应商自2020年1月1日至今，在国内完成一项市政工程检测业绩，业绩的时间以合同签订的日期为准。资格业绩证明材料提交要求详见谈判文件第六章资格业绩表。</w:t>
      </w:r>
    </w:p>
    <w:p w14:paraId="4AD50514">
      <w:pPr>
        <w:pStyle w:val="136"/>
        <w:spacing w:line="390" w:lineRule="exact"/>
        <w:ind w:left="409" w:leftChars="195" w:firstLine="0" w:firstLineChars="0"/>
        <w:rPr>
          <w:rFonts w:hint="eastAsia" w:ascii="宋体" w:hAnsi="宋体" w:eastAsia="宋体"/>
          <w:b/>
          <w:color w:val="auto"/>
          <w:szCs w:val="21"/>
          <w:highlight w:val="none"/>
          <w:lang w:val="zh-CN"/>
        </w:rPr>
      </w:pPr>
      <w:r>
        <w:rPr>
          <w:rFonts w:hint="eastAsia" w:ascii="宋体" w:hAnsi="宋体" w:eastAsia="宋体"/>
          <w:b/>
          <w:color w:val="auto"/>
          <w:szCs w:val="21"/>
          <w:highlight w:val="none"/>
          <w:lang w:val="en-US" w:eastAsia="zh-CN"/>
        </w:rPr>
        <w:t xml:space="preserve">2.5 </w:t>
      </w:r>
      <w:r>
        <w:rPr>
          <w:rFonts w:hint="eastAsia" w:ascii="宋体" w:hAnsi="宋体" w:eastAsia="宋体"/>
          <w:b/>
          <w:color w:val="auto"/>
          <w:szCs w:val="21"/>
          <w:highlight w:val="none"/>
          <w:lang w:val="zh-CN"/>
        </w:rPr>
        <w:t>本项目不接受联合体</w:t>
      </w:r>
      <w:r>
        <w:rPr>
          <w:rFonts w:hint="eastAsia" w:ascii="宋体" w:hAnsi="宋体" w:eastAsia="宋体"/>
          <w:b/>
          <w:color w:val="auto"/>
          <w:szCs w:val="21"/>
          <w:highlight w:val="none"/>
          <w:lang w:val="en-US" w:eastAsia="zh-CN"/>
        </w:rPr>
        <w:t>响应。</w:t>
      </w:r>
    </w:p>
    <w:p w14:paraId="030628C4">
      <w:pPr>
        <w:autoSpaceDE/>
        <w:autoSpaceDN/>
        <w:adjustRightInd w:val="0"/>
        <w:spacing w:line="390" w:lineRule="exact"/>
        <w:ind w:right="-29" w:rightChars="-14" w:firstLine="0" w:firstLineChars="0"/>
        <w:rPr>
          <w:rFonts w:ascii="宋体" w:hAnsi="宋体" w:eastAsia="宋体" w:cs="Times New Roman"/>
          <w:color w:val="auto"/>
          <w:szCs w:val="21"/>
          <w:highlight w:val="none"/>
          <w:lang w:val="zh-CN"/>
        </w:rPr>
      </w:pPr>
    </w:p>
    <w:p w14:paraId="241AFA14">
      <w:pPr>
        <w:numPr>
          <w:ilvl w:val="0"/>
          <w:numId w:val="2"/>
        </w:numPr>
        <w:autoSpaceDE/>
        <w:autoSpaceDN/>
        <w:adjustRightInd w:val="0"/>
        <w:snapToGrid w:val="0"/>
        <w:spacing w:line="390" w:lineRule="exact"/>
        <w:ind w:right="-34"/>
        <w:jc w:val="left"/>
        <w:rPr>
          <w:rFonts w:ascii="宋体" w:hAnsi="宋体" w:eastAsia="宋体" w:cs="Times New Roman"/>
          <w:b w:val="0"/>
          <w:bCs/>
          <w:color w:val="auto"/>
          <w:szCs w:val="21"/>
          <w:highlight w:val="none"/>
          <w:lang w:val="zh-CN"/>
        </w:rPr>
      </w:pPr>
      <w:r>
        <w:rPr>
          <w:rFonts w:ascii="宋体" w:hAnsi="宋体" w:eastAsia="宋体" w:cs="Times New Roman"/>
          <w:b w:val="0"/>
          <w:bCs/>
          <w:color w:val="auto"/>
          <w:szCs w:val="21"/>
          <w:highlight w:val="none"/>
          <w:lang w:val="zh-CN"/>
        </w:rPr>
        <w:t>谈判文件获取</w:t>
      </w:r>
      <w:r>
        <w:rPr>
          <w:rFonts w:hint="eastAsia" w:ascii="宋体" w:hAnsi="宋体" w:eastAsia="宋体" w:cs="Times New Roman"/>
          <w:b w:val="0"/>
          <w:bCs/>
          <w:color w:val="auto"/>
          <w:szCs w:val="21"/>
          <w:highlight w:val="none"/>
          <w:lang w:val="en-US" w:eastAsia="zh-CN"/>
        </w:rPr>
        <w:t>方式</w:t>
      </w:r>
      <w:r>
        <w:rPr>
          <w:rFonts w:ascii="宋体" w:hAnsi="宋体" w:eastAsia="宋体" w:cs="Times New Roman"/>
          <w:b w:val="0"/>
          <w:bCs/>
          <w:color w:val="auto"/>
          <w:szCs w:val="21"/>
          <w:highlight w:val="none"/>
          <w:lang w:val="zh-CN"/>
        </w:rPr>
        <w:t>：</w:t>
      </w:r>
    </w:p>
    <w:p w14:paraId="16999EAE">
      <w:pPr>
        <w:keepNext w:val="0"/>
        <w:keepLines w:val="0"/>
        <w:pageBreakBefore w:val="0"/>
        <w:widowControl w:val="0"/>
        <w:numPr>
          <w:ilvl w:val="0"/>
          <w:numId w:val="0"/>
        </w:numPr>
        <w:kinsoku/>
        <w:wordWrap w:val="0"/>
        <w:overflowPunct/>
        <w:topLinePunct w:val="0"/>
        <w:autoSpaceDE/>
        <w:autoSpaceDN/>
        <w:bidi w:val="0"/>
        <w:adjustRightInd w:val="0"/>
        <w:snapToGrid w:val="0"/>
        <w:spacing w:line="390" w:lineRule="exact"/>
        <w:ind w:left="420" w:leftChars="200" w:right="0" w:rightChars="0" w:firstLine="0" w:firstLineChars="0"/>
        <w:jc w:val="left"/>
        <w:textAlignment w:val="auto"/>
        <w:rPr>
          <w:rFonts w:hint="eastAsia" w:ascii="宋体" w:hAnsi="宋体" w:eastAsia="宋体" w:cs="Times New Roman"/>
          <w:color w:val="auto"/>
          <w:szCs w:val="21"/>
          <w:highlight w:val="none"/>
          <w:lang w:val="zh-CN" w:eastAsia="zh-CN"/>
        </w:rPr>
      </w:pPr>
      <w:r>
        <w:rPr>
          <w:rFonts w:ascii="宋体" w:hAnsi="宋体" w:eastAsia="宋体" w:cs="Times New Roman"/>
          <w:color w:val="auto"/>
          <w:szCs w:val="21"/>
          <w:highlight w:val="none"/>
          <w:lang w:val="zh-CN"/>
        </w:rPr>
        <w:t>本</w:t>
      </w:r>
      <w:r>
        <w:rPr>
          <w:rFonts w:hint="eastAsia" w:ascii="宋体" w:hAnsi="宋体" w:eastAsia="宋体" w:cs="Times New Roman"/>
          <w:color w:val="auto"/>
          <w:szCs w:val="21"/>
          <w:highlight w:val="none"/>
          <w:lang w:val="zh-CN"/>
        </w:rPr>
        <w:t>项目采用“不记名网上下载”的方式发布竞争性谈判文件，有意向参加的供应商可于本项目递交响应文件截止时间前，在本项目采购信息发布媒介【详见本竞争性谈判公告第7点（除中国招标投标公共服务平台外）】下载竞争性谈判文件【本竞争性谈判公告第7点媒介发布竞争性谈判文件不一致时，以东莞市水务环境投资控股集团有限公司网（www.dgswjt.cn）发布的竞争性谈判文件为准】。</w:t>
      </w:r>
    </w:p>
    <w:p w14:paraId="7DF73221">
      <w:pPr>
        <w:autoSpaceDE/>
        <w:autoSpaceDN/>
        <w:adjustRightInd w:val="0"/>
        <w:spacing w:line="390" w:lineRule="exact"/>
        <w:ind w:right="-29" w:rightChars="-14"/>
        <w:rPr>
          <w:rFonts w:ascii="宋体" w:hAnsi="宋体" w:eastAsia="宋体" w:cs="Times New Roman"/>
          <w:color w:val="auto"/>
          <w:szCs w:val="21"/>
          <w:highlight w:val="none"/>
          <w:lang w:val="zh-CN"/>
        </w:rPr>
      </w:pPr>
    </w:p>
    <w:p w14:paraId="7CC60800">
      <w:pPr>
        <w:keepNext w:val="0"/>
        <w:keepLines w:val="0"/>
        <w:pageBreakBefore w:val="0"/>
        <w:widowControl w:val="0"/>
        <w:numPr>
          <w:ilvl w:val="0"/>
          <w:numId w:val="2"/>
        </w:numPr>
        <w:kinsoku/>
        <w:wordWrap w:val="0"/>
        <w:overflowPunct/>
        <w:topLinePunct w:val="0"/>
        <w:autoSpaceDE/>
        <w:autoSpaceDN/>
        <w:bidi w:val="0"/>
        <w:adjustRightInd w:val="0"/>
        <w:snapToGrid w:val="0"/>
        <w:spacing w:line="390" w:lineRule="exact"/>
        <w:ind w:left="363" w:right="-34" w:hanging="363"/>
        <w:jc w:val="left"/>
        <w:textAlignment w:val="auto"/>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lang w:val="zh-CN" w:eastAsia="zh-CN"/>
        </w:rPr>
        <w:t>采购代理机构在递交响应文件截止时间前通过“信用中国”网站（ www.creditchina.gov.cn）查询供应商（含其不具有独立法人资格的分支机构）信用记录。采购代理机构对供应商信用记录进行甄别，</w:t>
      </w:r>
      <w:r>
        <w:rPr>
          <w:rFonts w:hint="eastAsia" w:ascii="宋体" w:hAnsi="宋体" w:eastAsia="宋体" w:cs="Times New Roman"/>
          <w:color w:val="auto"/>
          <w:szCs w:val="21"/>
          <w:highlight w:val="none"/>
          <w:lang w:val="zh-CN"/>
        </w:rPr>
        <w:t>对列入失信被执行人、重大税收违法失信主体、</w:t>
      </w:r>
      <w:r>
        <w:rPr>
          <w:rFonts w:hint="eastAsia" w:ascii="宋体" w:hAnsi="宋体" w:eastAsia="宋体" w:cs="Times New Roman"/>
          <w:color w:val="auto"/>
          <w:szCs w:val="21"/>
          <w:highlight w:val="none"/>
          <w:lang w:eastAsia="zh-CN"/>
        </w:rPr>
        <w:t>严重失信主体</w:t>
      </w:r>
      <w:r>
        <w:rPr>
          <w:rFonts w:hint="eastAsia" w:ascii="宋体" w:hAnsi="宋体" w:eastAsia="宋体" w:cs="Times New Roman"/>
          <w:color w:val="auto"/>
          <w:szCs w:val="21"/>
          <w:highlight w:val="none"/>
          <w:lang w:val="zh-CN"/>
        </w:rPr>
        <w:t>的响应供应商，做好相关记录（处罚期限届满的除外）</w:t>
      </w:r>
      <w:r>
        <w:rPr>
          <w:rFonts w:hint="eastAsia" w:ascii="宋体" w:hAnsi="宋体" w:eastAsia="宋体" w:cs="Times New Roman"/>
          <w:color w:val="auto"/>
          <w:szCs w:val="21"/>
          <w:highlight w:val="none"/>
          <w:lang w:val="zh-CN" w:eastAsia="zh-CN"/>
        </w:rPr>
        <w:t>。</w:t>
      </w:r>
    </w:p>
    <w:p w14:paraId="0BC48A8E">
      <w:pPr>
        <w:numPr>
          <w:ilvl w:val="0"/>
          <w:numId w:val="0"/>
        </w:numPr>
        <w:autoSpaceDE/>
        <w:autoSpaceDN/>
        <w:adjustRightInd w:val="0"/>
        <w:snapToGrid w:val="0"/>
        <w:spacing w:line="390" w:lineRule="exact"/>
        <w:ind w:leftChars="0" w:right="-34" w:rightChars="0"/>
        <w:jc w:val="left"/>
        <w:rPr>
          <w:rFonts w:ascii="宋体" w:hAnsi="宋体" w:eastAsia="宋体" w:cs="Times New Roman"/>
          <w:color w:val="auto"/>
          <w:szCs w:val="21"/>
          <w:highlight w:val="none"/>
          <w:lang w:val="zh-CN"/>
        </w:rPr>
      </w:pPr>
    </w:p>
    <w:p w14:paraId="34C40864">
      <w:pPr>
        <w:numPr>
          <w:ilvl w:val="0"/>
          <w:numId w:val="2"/>
        </w:numPr>
        <w:autoSpaceDE/>
        <w:autoSpaceDN/>
        <w:adjustRightInd w:val="0"/>
        <w:snapToGrid w:val="0"/>
        <w:spacing w:line="390" w:lineRule="exact"/>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响应文件</w:t>
      </w:r>
      <w:r>
        <w:rPr>
          <w:rFonts w:hint="eastAsia" w:ascii="宋体" w:hAnsi="宋体" w:eastAsia="宋体" w:cs="Times New Roman"/>
          <w:color w:val="auto"/>
          <w:szCs w:val="21"/>
          <w:highlight w:val="none"/>
          <w:lang w:val="en-US" w:eastAsia="zh-CN"/>
        </w:rPr>
        <w:t>递交、</w:t>
      </w:r>
      <w:r>
        <w:rPr>
          <w:rFonts w:ascii="宋体" w:hAnsi="宋体" w:eastAsia="宋体" w:cs="Times New Roman"/>
          <w:color w:val="auto"/>
          <w:szCs w:val="21"/>
          <w:highlight w:val="none"/>
          <w:lang w:val="zh-CN"/>
        </w:rPr>
        <w:t>开启时间及地点：</w:t>
      </w:r>
    </w:p>
    <w:p w14:paraId="19FD73C2">
      <w:pPr>
        <w:autoSpaceDE/>
        <w:autoSpaceDN/>
        <w:adjustRightInd w:val="0"/>
        <w:spacing w:line="390" w:lineRule="exact"/>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val="zh-CN"/>
        </w:rPr>
        <w:t xml:space="preserve">.1 </w:t>
      </w:r>
      <w:r>
        <w:rPr>
          <w:rFonts w:ascii="宋体" w:hAnsi="宋体" w:eastAsia="宋体" w:cs="Times New Roman"/>
          <w:color w:val="auto"/>
          <w:szCs w:val="21"/>
          <w:highlight w:val="none"/>
          <w:lang w:val="zh-CN"/>
        </w:rPr>
        <w:t>响应文件递交时间：</w:t>
      </w:r>
      <w:r>
        <w:rPr>
          <w:rFonts w:hint="eastAsia" w:ascii="宋体" w:hAnsi="宋体" w:eastAsia="宋体" w:cs="Times New Roman"/>
          <w:color w:val="auto"/>
          <w:szCs w:val="21"/>
          <w:highlight w:val="none"/>
          <w:u w:val="single"/>
          <w:lang w:val="zh-CN"/>
        </w:rPr>
        <w:t>202</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color w:val="auto"/>
          <w:szCs w:val="21"/>
          <w:highlight w:val="none"/>
          <w:lang w:val="zh-CN"/>
        </w:rPr>
        <w:t>年</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color w:val="auto"/>
          <w:szCs w:val="21"/>
          <w:highlight w:val="none"/>
          <w:lang w:val="zh-CN"/>
        </w:rPr>
        <w:t>月</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color w:val="auto"/>
          <w:szCs w:val="21"/>
          <w:highlight w:val="none"/>
          <w:lang w:val="zh-CN"/>
        </w:rPr>
        <w:t>日</w:t>
      </w:r>
      <w:r>
        <w:rPr>
          <w:rFonts w:hint="eastAsia" w:ascii="宋体" w:hAnsi="宋体" w:eastAsia="宋体" w:cs="Times New Roman"/>
          <w:color w:val="auto"/>
          <w:szCs w:val="21"/>
          <w:highlight w:val="none"/>
          <w:u w:val="single"/>
          <w:lang w:val="en-US" w:eastAsia="zh-CN"/>
        </w:rPr>
        <w:t>9</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lang w:val="zh-CN"/>
        </w:rPr>
        <w:t xml:space="preserve"> -</w:t>
      </w:r>
      <w:r>
        <w:rPr>
          <w:rFonts w:hint="eastAsia" w:ascii="宋体" w:hAnsi="宋体" w:eastAsia="宋体" w:cs="Times New Roman"/>
          <w:color w:val="auto"/>
          <w:szCs w:val="21"/>
          <w:highlight w:val="none"/>
          <w:u w:val="single"/>
          <w:lang w:val="en-US" w:eastAsia="zh-CN"/>
        </w:rPr>
        <w:t>9</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color w:val="auto"/>
          <w:szCs w:val="21"/>
          <w:highlight w:val="none"/>
          <w:lang w:val="zh-CN"/>
        </w:rPr>
        <w:t>；</w:t>
      </w:r>
    </w:p>
    <w:p w14:paraId="0654A84C">
      <w:pPr>
        <w:autoSpaceDE/>
        <w:autoSpaceDN/>
        <w:adjustRightInd w:val="0"/>
        <w:spacing w:line="390" w:lineRule="exact"/>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val="zh-CN"/>
        </w:rPr>
        <w:t xml:space="preserve">.2 </w:t>
      </w:r>
      <w:r>
        <w:rPr>
          <w:rFonts w:ascii="宋体" w:hAnsi="宋体" w:eastAsia="宋体" w:cs="Times New Roman"/>
          <w:color w:val="auto"/>
          <w:szCs w:val="21"/>
          <w:highlight w:val="none"/>
          <w:lang w:val="zh-CN"/>
        </w:rPr>
        <w:t>截止及响应文件开启时间：</w:t>
      </w:r>
      <w:r>
        <w:rPr>
          <w:rFonts w:hint="eastAsia" w:ascii="宋体" w:hAnsi="宋体" w:eastAsia="宋体" w:cs="Times New Roman"/>
          <w:color w:val="auto"/>
          <w:szCs w:val="21"/>
          <w:highlight w:val="none"/>
          <w:u w:val="single"/>
          <w:lang w:val="zh-CN"/>
        </w:rPr>
        <w:t>202</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color w:val="auto"/>
          <w:szCs w:val="21"/>
          <w:highlight w:val="none"/>
          <w:lang w:val="zh-CN"/>
        </w:rPr>
        <w:t>年</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color w:val="auto"/>
          <w:szCs w:val="21"/>
          <w:highlight w:val="none"/>
          <w:lang w:val="zh-CN"/>
        </w:rPr>
        <w:t>月</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color w:val="auto"/>
          <w:szCs w:val="21"/>
          <w:highlight w:val="none"/>
          <w:lang w:val="zh-CN"/>
        </w:rPr>
        <w:t>日</w:t>
      </w:r>
      <w:r>
        <w:rPr>
          <w:rFonts w:hint="eastAsia" w:ascii="宋体" w:hAnsi="宋体" w:eastAsia="宋体" w:cs="Times New Roman"/>
          <w:color w:val="auto"/>
          <w:szCs w:val="21"/>
          <w:highlight w:val="none"/>
          <w:u w:val="single"/>
          <w:lang w:val="en-US" w:eastAsia="zh-CN"/>
        </w:rPr>
        <w:t>9</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p>
    <w:p w14:paraId="2F27F051">
      <w:pPr>
        <w:autoSpaceDE/>
        <w:autoSpaceDN/>
        <w:adjustRightInd w:val="0"/>
        <w:spacing w:line="390" w:lineRule="exact"/>
        <w:ind w:right="-29" w:rightChars="-14"/>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en-US" w:eastAsia="zh-CN"/>
        </w:rPr>
        <w:t>5</w:t>
      </w:r>
      <w:r>
        <w:rPr>
          <w:rFonts w:ascii="宋体" w:hAnsi="宋体" w:eastAsia="宋体" w:cs="Times New Roman"/>
          <w:color w:val="auto"/>
          <w:szCs w:val="21"/>
          <w:highlight w:val="none"/>
          <w:lang w:val="zh-CN"/>
        </w:rPr>
        <w:t>.3 响应文件</w:t>
      </w:r>
      <w:r>
        <w:rPr>
          <w:rFonts w:hint="eastAsia" w:ascii="宋体" w:hAnsi="宋体" w:eastAsia="宋体" w:cs="Times New Roman"/>
          <w:color w:val="auto"/>
          <w:szCs w:val="21"/>
          <w:highlight w:val="none"/>
          <w:lang w:val="en-US" w:eastAsia="zh-CN"/>
        </w:rPr>
        <w:t>递交及</w:t>
      </w:r>
      <w:r>
        <w:rPr>
          <w:rFonts w:ascii="宋体" w:hAnsi="宋体" w:eastAsia="宋体" w:cs="Times New Roman"/>
          <w:color w:val="auto"/>
          <w:szCs w:val="21"/>
          <w:highlight w:val="none"/>
          <w:lang w:val="zh-CN"/>
        </w:rPr>
        <w:t>开启地点：</w:t>
      </w:r>
      <w:r>
        <w:rPr>
          <w:rFonts w:hint="eastAsia" w:ascii="宋体" w:hAnsi="宋体" w:eastAsia="宋体" w:cs="Times New Roman"/>
          <w:color w:val="auto"/>
          <w:kern w:val="0"/>
          <w:szCs w:val="21"/>
          <w:highlight w:val="none"/>
          <w:u w:val="single"/>
          <w:lang w:eastAsia="zh-CN"/>
        </w:rPr>
        <w:t>东莞市南城街道雅园工业区哈弗大厦5楼A502室</w:t>
      </w:r>
      <w:r>
        <w:rPr>
          <w:rFonts w:hint="eastAsia" w:ascii="宋体" w:hAnsi="宋体" w:eastAsia="宋体" w:cs="Times New Roman"/>
          <w:color w:val="auto"/>
          <w:kern w:val="0"/>
          <w:szCs w:val="21"/>
          <w:highlight w:val="none"/>
        </w:rPr>
        <w:t>。</w:t>
      </w:r>
    </w:p>
    <w:p w14:paraId="2681CE59">
      <w:pPr>
        <w:autoSpaceDE/>
        <w:autoSpaceDN/>
        <w:adjustRightInd w:val="0"/>
        <w:spacing w:line="390" w:lineRule="exact"/>
        <w:ind w:right="-29" w:rightChars="-14" w:firstLine="210" w:firstLineChars="100"/>
        <w:rPr>
          <w:rFonts w:ascii="宋体" w:hAnsi="宋体" w:eastAsia="宋体" w:cs="Times New Roman"/>
          <w:color w:val="auto"/>
          <w:kern w:val="0"/>
          <w:szCs w:val="21"/>
          <w:highlight w:val="none"/>
        </w:rPr>
      </w:pPr>
    </w:p>
    <w:p w14:paraId="7047F772">
      <w:pPr>
        <w:numPr>
          <w:ilvl w:val="0"/>
          <w:numId w:val="2"/>
        </w:numPr>
        <w:autoSpaceDE/>
        <w:autoSpaceDN/>
        <w:adjustRightInd w:val="0"/>
        <w:snapToGrid w:val="0"/>
        <w:spacing w:line="390" w:lineRule="exact"/>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采购代理机构只接受在递交响应文件截止日当天由响应供应商法定代表人或其授权代表于递交响应文件截止时间前亲自递交的响应文件</w:t>
      </w:r>
      <w:r>
        <w:rPr>
          <w:rFonts w:hint="eastAsia" w:ascii="宋体" w:hAnsi="宋体" w:eastAsia="宋体" w:cs="Times New Roman"/>
          <w:color w:val="auto"/>
          <w:szCs w:val="21"/>
          <w:highlight w:val="none"/>
          <w:lang w:val="zh-CN"/>
        </w:rPr>
        <w:t>。电报、传真形式的</w:t>
      </w:r>
      <w:r>
        <w:rPr>
          <w:rFonts w:hint="eastAsia" w:ascii="宋体" w:hAnsi="宋体" w:eastAsia="宋体" w:cs="Times New Roman"/>
          <w:color w:val="auto"/>
          <w:szCs w:val="21"/>
          <w:highlight w:val="none"/>
          <w:lang w:val="en-US" w:eastAsia="zh-CN"/>
        </w:rPr>
        <w:t>响应文件</w:t>
      </w:r>
      <w:r>
        <w:rPr>
          <w:rFonts w:hint="eastAsia" w:ascii="宋体" w:hAnsi="宋体" w:eastAsia="宋体" w:cs="Times New Roman"/>
          <w:color w:val="auto"/>
          <w:szCs w:val="21"/>
          <w:highlight w:val="none"/>
          <w:lang w:val="zh-CN"/>
        </w:rPr>
        <w:t>概不接受。</w:t>
      </w:r>
    </w:p>
    <w:p w14:paraId="4A894574">
      <w:pPr>
        <w:numPr>
          <w:ilvl w:val="0"/>
          <w:numId w:val="0"/>
        </w:numPr>
        <w:autoSpaceDE/>
        <w:autoSpaceDN/>
        <w:adjustRightInd w:val="0"/>
        <w:snapToGrid w:val="0"/>
        <w:spacing w:line="390" w:lineRule="exact"/>
        <w:ind w:leftChars="0" w:right="-34" w:rightChars="0"/>
        <w:jc w:val="left"/>
        <w:rPr>
          <w:rFonts w:ascii="宋体" w:hAnsi="宋体" w:eastAsia="宋体" w:cs="Times New Roman"/>
          <w:color w:val="auto"/>
          <w:szCs w:val="21"/>
          <w:highlight w:val="none"/>
          <w:lang w:val="zh-CN"/>
        </w:rPr>
      </w:pPr>
    </w:p>
    <w:p w14:paraId="76497E5A">
      <w:pPr>
        <w:numPr>
          <w:ilvl w:val="0"/>
          <w:numId w:val="2"/>
        </w:numPr>
        <w:autoSpaceDE/>
        <w:autoSpaceDN/>
        <w:adjustRightInd w:val="0"/>
        <w:snapToGrid w:val="0"/>
        <w:spacing w:line="390" w:lineRule="exact"/>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w:t>
      </w:r>
      <w:r>
        <w:rPr>
          <w:rFonts w:hint="eastAsia" w:ascii="宋体" w:hAnsi="宋体" w:eastAsia="宋体" w:cs="Times New Roman"/>
          <w:bCs/>
          <w:color w:val="auto"/>
          <w:szCs w:val="21"/>
          <w:highlight w:val="none"/>
          <w:lang w:eastAsia="zh-CN"/>
        </w:rPr>
        <w:t>东莞市水务环境投资控股集团有限公司</w:t>
      </w:r>
      <w:r>
        <w:rPr>
          <w:rFonts w:hint="eastAsia" w:ascii="宋体" w:hAnsi="宋体" w:eastAsia="宋体" w:cs="Times New Roman"/>
          <w:bCs/>
          <w:color w:val="auto"/>
          <w:szCs w:val="21"/>
          <w:highlight w:val="none"/>
        </w:rPr>
        <w:t>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u w:val="none"/>
          <w:lang w:eastAsia="zh-CN"/>
        </w:rPr>
        <w:t>http://www.gd-huadi.com/</w:t>
      </w:r>
      <w:r>
        <w:rPr>
          <w:rFonts w:ascii="宋体" w:hAnsi="宋体" w:eastAsia="宋体" w:cs="Times New Roman"/>
          <w:bCs/>
          <w:color w:val="auto"/>
          <w:szCs w:val="21"/>
          <w:highlight w:val="none"/>
        </w:rPr>
        <w:t>）</w:t>
      </w:r>
    </w:p>
    <w:p w14:paraId="4309EF89">
      <w:pPr>
        <w:autoSpaceDE/>
        <w:autoSpaceDN/>
        <w:adjustRightInd w:val="0"/>
        <w:spacing w:line="390" w:lineRule="exact"/>
        <w:ind w:right="-29" w:rightChars="-14" w:firstLine="420"/>
        <w:rPr>
          <w:rFonts w:ascii="宋体" w:hAnsi="宋体" w:eastAsia="宋体" w:cs="Times New Roman"/>
          <w:bCs/>
          <w:color w:val="auto"/>
          <w:szCs w:val="21"/>
          <w:highlight w:val="none"/>
        </w:rPr>
      </w:pPr>
    </w:p>
    <w:p w14:paraId="6F8499BD">
      <w:pPr>
        <w:numPr>
          <w:ilvl w:val="0"/>
          <w:numId w:val="2"/>
        </w:numPr>
        <w:autoSpaceDE/>
        <w:autoSpaceDN/>
        <w:adjustRightInd w:val="0"/>
        <w:snapToGrid w:val="0"/>
        <w:spacing w:line="390" w:lineRule="exact"/>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采购人联系方式</w:t>
      </w:r>
    </w:p>
    <w:p w14:paraId="4D113FA6">
      <w:pPr>
        <w:widowControl/>
        <w:autoSpaceDE/>
        <w:autoSpaceDN/>
        <w:adjustRightInd w:val="0"/>
        <w:spacing w:line="390" w:lineRule="exact"/>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采购人：</w:t>
      </w:r>
      <w:r>
        <w:rPr>
          <w:rFonts w:hint="eastAsia" w:ascii="宋体" w:hAnsi="宋体" w:eastAsia="宋体" w:cs="Times New Roman"/>
          <w:color w:val="auto"/>
          <w:kern w:val="0"/>
          <w:szCs w:val="21"/>
          <w:highlight w:val="none"/>
          <w:lang w:eastAsia="zh-CN"/>
        </w:rPr>
        <w:t>东莞市水务环境投资控股集团建设管理有限公司</w:t>
      </w:r>
    </w:p>
    <w:p w14:paraId="53243096">
      <w:pPr>
        <w:widowControl/>
        <w:autoSpaceDE/>
        <w:autoSpaceDN/>
        <w:adjustRightInd w:val="0"/>
        <w:spacing w:line="390" w:lineRule="exact"/>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宋体"/>
          <w:color w:val="auto"/>
          <w:szCs w:val="21"/>
          <w:highlight w:val="none"/>
          <w:u w:val="single"/>
          <w:lang w:eastAsia="zh-CN"/>
        </w:rPr>
        <w:t>广东省东莞市南城街道滨河路100号</w:t>
      </w:r>
    </w:p>
    <w:p w14:paraId="3CE53C86">
      <w:pPr>
        <w:widowControl/>
        <w:autoSpaceDE/>
        <w:autoSpaceDN/>
        <w:adjustRightInd w:val="0"/>
        <w:spacing w:line="390" w:lineRule="exact"/>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宋体"/>
          <w:color w:val="auto"/>
          <w:szCs w:val="21"/>
          <w:highlight w:val="none"/>
          <w:u w:val="single"/>
        </w:rPr>
        <w:t>陈方凯</w:t>
      </w:r>
    </w:p>
    <w:p w14:paraId="4AAF6AB6">
      <w:pPr>
        <w:widowControl/>
        <w:autoSpaceDE/>
        <w:autoSpaceDN/>
        <w:adjustRightInd w:val="0"/>
        <w:spacing w:line="390" w:lineRule="exact"/>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宋体"/>
          <w:color w:val="auto"/>
          <w:szCs w:val="21"/>
          <w:highlight w:val="none"/>
          <w:u w:val="single"/>
        </w:rPr>
        <w:t>0769-22008759</w:t>
      </w:r>
    </w:p>
    <w:p w14:paraId="4E8DB2CF">
      <w:pPr>
        <w:autoSpaceDE/>
        <w:autoSpaceDN/>
        <w:adjustRightInd w:val="0"/>
        <w:spacing w:line="390" w:lineRule="exact"/>
        <w:ind w:right="-29" w:rightChars="-14" w:firstLine="420"/>
        <w:rPr>
          <w:rFonts w:ascii="宋体" w:hAnsi="宋体" w:eastAsia="宋体" w:cs="Times New Roman"/>
          <w:color w:val="auto"/>
          <w:kern w:val="0"/>
          <w:szCs w:val="21"/>
          <w:highlight w:val="none"/>
        </w:rPr>
      </w:pPr>
    </w:p>
    <w:p w14:paraId="56749E87">
      <w:pPr>
        <w:numPr>
          <w:ilvl w:val="0"/>
          <w:numId w:val="2"/>
        </w:numPr>
        <w:autoSpaceDE/>
        <w:autoSpaceDN/>
        <w:adjustRightInd w:val="0"/>
        <w:snapToGrid w:val="0"/>
        <w:spacing w:line="390" w:lineRule="exact"/>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采购代理机构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143EBC3F">
      <w:pPr>
        <w:widowControl/>
        <w:autoSpaceDE/>
        <w:autoSpaceDN/>
        <w:adjustRightInd w:val="0"/>
        <w:spacing w:line="390" w:lineRule="exact"/>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6" w:name="_Toc486167661"/>
      <w:bookmarkStart w:id="7" w:name="_Toc450662847"/>
      <w:bookmarkStart w:id="8" w:name="_Toc31764_WPSOffice_Level1"/>
      <w:r>
        <w:rPr>
          <w:rFonts w:ascii="宋体" w:hAnsi="宋体" w:eastAsia="宋体" w:cs="Times New Roman"/>
          <w:color w:val="auto"/>
          <w:kern w:val="0"/>
          <w:szCs w:val="21"/>
          <w:highlight w:val="none"/>
        </w:rPr>
        <w:t>采购代理机构：</w:t>
      </w:r>
      <w:r>
        <w:rPr>
          <w:rFonts w:hint="eastAsia" w:ascii="宋体" w:hAnsi="宋体" w:eastAsia="宋体" w:cs="Times New Roman"/>
          <w:color w:val="auto"/>
          <w:kern w:val="0"/>
          <w:szCs w:val="21"/>
          <w:highlight w:val="none"/>
          <w:lang w:eastAsia="zh-CN"/>
        </w:rPr>
        <w:t>广东华迪工程管理有限公司</w:t>
      </w:r>
    </w:p>
    <w:p w14:paraId="13B3E6E4">
      <w:pPr>
        <w:widowControl/>
        <w:autoSpaceDE/>
        <w:autoSpaceDN/>
        <w:adjustRightInd w:val="0"/>
        <w:spacing w:line="390" w:lineRule="exact"/>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u w:val="single"/>
          <w:lang w:eastAsia="zh-CN"/>
        </w:rPr>
        <w:t>东莞市南城街道雅园工业区哈弗大厦5楼A502室</w:t>
      </w:r>
    </w:p>
    <w:p w14:paraId="4ED6C2FF">
      <w:pPr>
        <w:widowControl/>
        <w:autoSpaceDE/>
        <w:autoSpaceDN/>
        <w:adjustRightInd w:val="0"/>
        <w:spacing w:line="390" w:lineRule="exact"/>
        <w:ind w:right="-31" w:rightChars="-15" w:firstLine="424" w:firstLineChars="202"/>
        <w:jc w:val="left"/>
        <w:textAlignment w:val="bottom"/>
        <w:rPr>
          <w:rFonts w:hint="eastAsia" w:ascii="宋体" w:hAnsi="宋体" w:eastAsia="宋体" w:cs="Times New Roman"/>
          <w:color w:val="auto"/>
          <w:kern w:val="0"/>
          <w:szCs w:val="21"/>
          <w:highlight w:val="none"/>
          <w:u w:val="singl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u w:val="single"/>
          <w:lang w:val="en-US" w:eastAsia="zh-CN"/>
        </w:rPr>
        <w:t>黄汝威</w:t>
      </w:r>
    </w:p>
    <w:p w14:paraId="7B8A98D3">
      <w:pPr>
        <w:widowControl/>
        <w:autoSpaceDE/>
        <w:autoSpaceDN/>
        <w:adjustRightInd w:val="0"/>
        <w:spacing w:line="390" w:lineRule="exact"/>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bookmarkStart w:id="9" w:name="_Toc160099431"/>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0769-23033403</w:t>
      </w:r>
    </w:p>
    <w:p w14:paraId="51BF3E3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0" w:name="_Toc20493"/>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谈判须知</w:t>
      </w:r>
      <w:bookmarkEnd w:id="6"/>
      <w:bookmarkEnd w:id="7"/>
      <w:bookmarkEnd w:id="8"/>
      <w:bookmarkEnd w:id="9"/>
      <w:bookmarkEnd w:id="10"/>
    </w:p>
    <w:p w14:paraId="6F179E72">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 w:name="_Toc4326"/>
      <w:bookmarkStart w:id="12" w:name="_Toc486167662"/>
      <w:bookmarkStart w:id="13" w:name="_Toc450662848"/>
      <w:bookmarkStart w:id="14" w:name="_Toc160099432"/>
      <w:bookmarkStart w:id="15" w:name="_Toc15366_WPSOffice_Level2"/>
      <w:bookmarkStart w:id="16" w:name="_Toc140596871"/>
      <w:r>
        <w:rPr>
          <w:rFonts w:hint="eastAsia" w:ascii="宋体" w:hAnsi="宋体" w:eastAsia="宋体" w:cs="宋体"/>
          <w:b/>
          <w:bCs/>
          <w:color w:val="auto"/>
          <w:kern w:val="44"/>
          <w:szCs w:val="21"/>
          <w:highlight w:val="none"/>
          <w:lang w:val="zh-CN"/>
        </w:rPr>
        <w:t>一、总则</w:t>
      </w:r>
      <w:bookmarkEnd w:id="11"/>
      <w:bookmarkEnd w:id="12"/>
      <w:bookmarkEnd w:id="13"/>
      <w:bookmarkEnd w:id="14"/>
      <w:bookmarkEnd w:id="15"/>
      <w:bookmarkEnd w:id="16"/>
    </w:p>
    <w:p w14:paraId="613B973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 w:name="_Toc450662849"/>
      <w:bookmarkStart w:id="18" w:name="_Toc160099433"/>
      <w:bookmarkStart w:id="19" w:name="_Toc32435"/>
      <w:bookmarkStart w:id="20" w:name="_Toc21710_WPSOffice_Level3"/>
      <w:bookmarkStart w:id="21"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7"/>
      <w:bookmarkEnd w:id="18"/>
      <w:bookmarkEnd w:id="19"/>
      <w:bookmarkEnd w:id="20"/>
      <w:bookmarkEnd w:id="21"/>
    </w:p>
    <w:p w14:paraId="3AB8F184">
      <w:pPr>
        <w:autoSpaceDE w:val="0"/>
        <w:autoSpaceDN w:val="0"/>
        <w:adjustRightInd w:val="0"/>
        <w:jc w:val="left"/>
        <w:rPr>
          <w:rFonts w:ascii="宋体" w:hAnsi="宋体" w:eastAsia="宋体" w:cs="宋体"/>
          <w:color w:val="auto"/>
          <w:kern w:val="0"/>
          <w:sz w:val="24"/>
          <w:szCs w:val="24"/>
          <w:highlight w:val="none"/>
        </w:rPr>
      </w:pPr>
    </w:p>
    <w:p w14:paraId="21FE766E">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2" w:name="_Toc14453"/>
      <w:bookmarkStart w:id="23" w:name="_Toc80_WPSOffice_Level3"/>
      <w:bookmarkStart w:id="24" w:name="_Toc486167664"/>
      <w:bookmarkStart w:id="25" w:name="_Toc450662850"/>
      <w:bookmarkStart w:id="26" w:name="_Toc16009943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合格的响应供应商</w:t>
      </w:r>
      <w:bookmarkEnd w:id="22"/>
      <w:bookmarkEnd w:id="23"/>
      <w:bookmarkEnd w:id="24"/>
      <w:bookmarkEnd w:id="25"/>
      <w:bookmarkEnd w:id="26"/>
    </w:p>
    <w:p w14:paraId="026BD426">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合格的响应供应商条件见第一篇《竞争性谈判公告》中第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条的“合格响应供应商资格要求”及本条以下2.2款至</w:t>
      </w:r>
      <w:r>
        <w:rPr>
          <w:rFonts w:hint="eastAsia" w:ascii="宋体" w:hAnsi="宋体" w:eastAsia="宋体" w:cs="宋体"/>
          <w:b/>
          <w:color w:val="auto"/>
          <w:szCs w:val="21"/>
          <w:highlight w:val="none"/>
          <w:lang w:val="en-US" w:eastAsia="zh-CN"/>
        </w:rPr>
        <w:t>2.4</w:t>
      </w:r>
      <w:r>
        <w:rPr>
          <w:rFonts w:hint="eastAsia" w:ascii="宋体" w:hAnsi="宋体" w:eastAsia="宋体" w:cs="宋体"/>
          <w:b/>
          <w:color w:val="auto"/>
          <w:szCs w:val="21"/>
          <w:highlight w:val="none"/>
          <w:lang w:val="zh-CN"/>
        </w:rPr>
        <w:t>款的通用要求。</w:t>
      </w:r>
    </w:p>
    <w:p w14:paraId="78596A0B">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lang w:eastAsia="zh-CN"/>
        </w:rPr>
        <w:t>供应商</w:t>
      </w:r>
      <w:r>
        <w:rPr>
          <w:rFonts w:hint="eastAsia" w:ascii="宋体" w:hAnsi="宋体" w:eastAsia="宋体" w:cs="Times New Roman"/>
          <w:b/>
          <w:color w:val="auto"/>
          <w:kern w:val="0"/>
          <w:szCs w:val="21"/>
          <w:highlight w:val="none"/>
        </w:rPr>
        <w:t>在参加本项目</w:t>
      </w:r>
      <w:r>
        <w:rPr>
          <w:rFonts w:hint="eastAsia" w:ascii="宋体" w:hAnsi="宋体" w:eastAsia="宋体" w:cs="Times New Roman"/>
          <w:b/>
          <w:color w:val="auto"/>
          <w:kern w:val="0"/>
          <w:szCs w:val="21"/>
          <w:highlight w:val="none"/>
          <w:lang w:val="en-US" w:eastAsia="zh-CN"/>
        </w:rPr>
        <w:t>谈判</w:t>
      </w:r>
      <w:r>
        <w:rPr>
          <w:rFonts w:hint="eastAsia" w:ascii="宋体" w:hAnsi="宋体" w:eastAsia="宋体" w:cs="Times New Roman"/>
          <w:b/>
          <w:color w:val="auto"/>
          <w:kern w:val="0"/>
          <w:szCs w:val="21"/>
          <w:highlight w:val="none"/>
        </w:rPr>
        <w:t>前的三年内不得在</w:t>
      </w:r>
      <w:r>
        <w:rPr>
          <w:rFonts w:hint="eastAsia" w:ascii="宋体" w:hAnsi="宋体" w:eastAsia="宋体" w:cs="Times New Roman"/>
          <w:b/>
          <w:color w:val="auto"/>
          <w:kern w:val="0"/>
          <w:szCs w:val="21"/>
          <w:highlight w:val="none"/>
          <w:lang w:val="en-US" w:eastAsia="zh-CN"/>
        </w:rPr>
        <w:t>采购</w:t>
      </w:r>
      <w:r>
        <w:rPr>
          <w:rFonts w:hint="eastAsia" w:ascii="宋体" w:hAnsi="宋体" w:eastAsia="宋体" w:cs="Times New Roman"/>
          <w:b/>
          <w:color w:val="auto"/>
          <w:kern w:val="0"/>
          <w:szCs w:val="21"/>
          <w:highlight w:val="none"/>
        </w:rPr>
        <w:t>活动中存在《中华人民共和国招标投标法》第五十三条（相互串通投标或者与</w:t>
      </w:r>
      <w:r>
        <w:rPr>
          <w:rFonts w:hint="eastAsia" w:ascii="宋体" w:hAnsi="宋体" w:eastAsia="宋体" w:cs="Times New Roman"/>
          <w:b/>
          <w:color w:val="auto"/>
          <w:kern w:val="0"/>
          <w:szCs w:val="21"/>
          <w:highlight w:val="none"/>
          <w:lang w:eastAsia="zh-CN"/>
        </w:rPr>
        <w:t>采购人</w:t>
      </w:r>
      <w:r>
        <w:rPr>
          <w:rFonts w:hint="eastAsia" w:ascii="宋体" w:hAnsi="宋体" w:eastAsia="宋体" w:cs="Times New Roman"/>
          <w:b/>
          <w:color w:val="auto"/>
          <w:kern w:val="0"/>
          <w:szCs w:val="21"/>
          <w:highlight w:val="none"/>
        </w:rPr>
        <w:t>串通投标，以向</w:t>
      </w:r>
      <w:r>
        <w:rPr>
          <w:rFonts w:hint="eastAsia" w:ascii="宋体" w:hAnsi="宋体" w:eastAsia="宋体" w:cs="Times New Roman"/>
          <w:b/>
          <w:color w:val="auto"/>
          <w:kern w:val="0"/>
          <w:szCs w:val="21"/>
          <w:highlight w:val="none"/>
          <w:lang w:eastAsia="zh-CN"/>
        </w:rPr>
        <w:t>采购人</w:t>
      </w:r>
      <w:r>
        <w:rPr>
          <w:rFonts w:hint="eastAsia" w:ascii="宋体" w:hAnsi="宋体" w:eastAsia="宋体" w:cs="Times New Roman"/>
          <w:b/>
          <w:color w:val="auto"/>
          <w:kern w:val="0"/>
          <w:szCs w:val="21"/>
          <w:highlight w:val="none"/>
        </w:rPr>
        <w:t>或者评标委员会成员行贿的手段谋取中标）、第五十四条（以他人名义投标或者以其他方式弄虚作假，骗取中标）、第六十条（</w:t>
      </w:r>
      <w:r>
        <w:rPr>
          <w:rFonts w:hint="eastAsia" w:ascii="宋体" w:hAnsi="宋体" w:eastAsia="宋体" w:cs="Times New Roman"/>
          <w:b/>
          <w:color w:val="auto"/>
          <w:kern w:val="0"/>
          <w:szCs w:val="21"/>
          <w:highlight w:val="none"/>
          <w:lang w:eastAsia="zh-CN"/>
        </w:rPr>
        <w:t>成交人</w:t>
      </w:r>
      <w:r>
        <w:rPr>
          <w:rFonts w:hint="eastAsia" w:ascii="宋体" w:hAnsi="宋体" w:eastAsia="宋体" w:cs="Times New Roman"/>
          <w:b/>
          <w:color w:val="auto"/>
          <w:kern w:val="0"/>
          <w:szCs w:val="21"/>
          <w:highlight w:val="none"/>
        </w:rPr>
        <w:t>不履行与</w:t>
      </w:r>
      <w:r>
        <w:rPr>
          <w:rFonts w:hint="eastAsia" w:ascii="宋体" w:hAnsi="宋体" w:eastAsia="宋体" w:cs="Times New Roman"/>
          <w:b/>
          <w:color w:val="auto"/>
          <w:kern w:val="0"/>
          <w:szCs w:val="21"/>
          <w:highlight w:val="none"/>
          <w:lang w:eastAsia="zh-CN"/>
        </w:rPr>
        <w:t>采购人</w:t>
      </w:r>
      <w:r>
        <w:rPr>
          <w:rFonts w:hint="eastAsia" w:ascii="宋体" w:hAnsi="宋体" w:eastAsia="宋体" w:cs="Times New Roman"/>
          <w:b/>
          <w:color w:val="auto"/>
          <w:kern w:val="0"/>
          <w:szCs w:val="21"/>
          <w:highlight w:val="none"/>
        </w:rPr>
        <w:t>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w:t>
      </w:r>
      <w:r>
        <w:rPr>
          <w:rFonts w:hint="eastAsia" w:ascii="宋体" w:hAnsi="宋体" w:eastAsia="宋体" w:cs="Times New Roman"/>
          <w:b/>
          <w:color w:val="auto"/>
          <w:kern w:val="0"/>
          <w:szCs w:val="21"/>
          <w:highlight w:val="none"/>
          <w:lang w:eastAsia="zh-CN"/>
        </w:rPr>
        <w:t>供应商</w:t>
      </w:r>
      <w:r>
        <w:rPr>
          <w:rFonts w:hint="eastAsia" w:ascii="宋体" w:hAnsi="宋体" w:eastAsia="宋体" w:cs="Times New Roman"/>
          <w:b/>
          <w:color w:val="auto"/>
          <w:kern w:val="0"/>
          <w:szCs w:val="21"/>
          <w:highlight w:val="none"/>
        </w:rPr>
        <w:t>存在前述处罚的，在</w:t>
      </w:r>
      <w:r>
        <w:rPr>
          <w:rFonts w:hint="eastAsia" w:ascii="宋体" w:hAnsi="宋体" w:eastAsia="宋体" w:cs="Times New Roman"/>
          <w:b/>
          <w:color w:val="auto"/>
          <w:kern w:val="0"/>
          <w:szCs w:val="21"/>
          <w:highlight w:val="none"/>
          <w:lang w:val="en-US" w:eastAsia="zh-CN"/>
        </w:rPr>
        <w:t>响应</w:t>
      </w:r>
      <w:r>
        <w:rPr>
          <w:rFonts w:hint="eastAsia" w:ascii="宋体" w:hAnsi="宋体" w:eastAsia="宋体" w:cs="Times New Roman"/>
          <w:b/>
          <w:color w:val="auto"/>
          <w:kern w:val="0"/>
          <w:szCs w:val="21"/>
          <w:highlight w:val="none"/>
        </w:rPr>
        <w:t>文件中必须主动按</w:t>
      </w:r>
      <w:r>
        <w:rPr>
          <w:rFonts w:hint="eastAsia" w:ascii="宋体" w:hAnsi="宋体" w:eastAsia="宋体" w:cs="Times New Roman"/>
          <w:b/>
          <w:color w:val="auto"/>
          <w:kern w:val="0"/>
          <w:szCs w:val="21"/>
          <w:highlight w:val="none"/>
          <w:lang w:val="en-US" w:eastAsia="zh-CN"/>
        </w:rPr>
        <w:t>谈判</w:t>
      </w:r>
      <w:r>
        <w:rPr>
          <w:rFonts w:hint="eastAsia" w:ascii="宋体" w:hAnsi="宋体" w:eastAsia="宋体" w:cs="Times New Roman"/>
          <w:b/>
          <w:color w:val="auto"/>
          <w:kern w:val="0"/>
          <w:szCs w:val="21"/>
          <w:highlight w:val="none"/>
        </w:rPr>
        <w:t>文件的要求填报“最近3年</w:t>
      </w:r>
      <w:r>
        <w:rPr>
          <w:rFonts w:hint="eastAsia" w:ascii="宋体" w:hAnsi="宋体" w:eastAsia="宋体" w:cs="Times New Roman"/>
          <w:b/>
          <w:color w:val="auto"/>
          <w:kern w:val="0"/>
          <w:szCs w:val="21"/>
          <w:highlight w:val="none"/>
          <w:lang w:eastAsia="zh-CN"/>
        </w:rPr>
        <w:t>供应商</w:t>
      </w:r>
      <w:r>
        <w:rPr>
          <w:rFonts w:hint="eastAsia" w:ascii="宋体" w:hAnsi="宋体" w:eastAsia="宋体" w:cs="Times New Roman"/>
          <w:b/>
          <w:color w:val="auto"/>
          <w:kern w:val="0"/>
          <w:szCs w:val="21"/>
          <w:highlight w:val="none"/>
        </w:rPr>
        <w:t>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w:t>
      </w:r>
      <w:r>
        <w:rPr>
          <w:rFonts w:hint="eastAsia" w:ascii="宋体" w:hAnsi="宋体" w:eastAsia="宋体" w:cs="Times New Roman"/>
          <w:b/>
          <w:color w:val="auto"/>
          <w:kern w:val="0"/>
          <w:szCs w:val="21"/>
          <w:highlight w:val="none"/>
          <w:lang w:eastAsia="zh-CN"/>
        </w:rPr>
        <w:t>成交</w:t>
      </w:r>
      <w:r>
        <w:rPr>
          <w:rFonts w:hint="eastAsia" w:ascii="宋体" w:hAnsi="宋体" w:eastAsia="宋体" w:cs="Times New Roman"/>
          <w:b/>
          <w:color w:val="auto"/>
          <w:kern w:val="0"/>
          <w:szCs w:val="21"/>
          <w:highlight w:val="none"/>
        </w:rPr>
        <w:t>）资格，并按有关规定从重处理</w:t>
      </w:r>
      <w:r>
        <w:rPr>
          <w:rFonts w:hint="eastAsia" w:ascii="宋体" w:hAnsi="宋体" w:eastAsia="宋体" w:cs="宋体"/>
          <w:b/>
          <w:color w:val="auto"/>
          <w:kern w:val="0"/>
          <w:szCs w:val="21"/>
          <w:highlight w:val="none"/>
        </w:rPr>
        <w:t>。</w:t>
      </w:r>
    </w:p>
    <w:p w14:paraId="0649A5D2">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lang w:eastAsia="zh-CN"/>
        </w:rPr>
        <w:t>供应商</w:t>
      </w:r>
      <w:r>
        <w:rPr>
          <w:rFonts w:hint="eastAsia" w:ascii="宋体" w:hAnsi="宋体" w:eastAsia="宋体" w:cs="Times New Roman"/>
          <w:b/>
          <w:color w:val="auto"/>
          <w:kern w:val="0"/>
          <w:szCs w:val="21"/>
          <w:highlight w:val="none"/>
        </w:rPr>
        <w:t>（含其不具有独立法人资格的分支机构）未被列入“信用中国”网站（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严重失信主体</w:t>
      </w:r>
      <w:r>
        <w:rPr>
          <w:rFonts w:hint="eastAsia" w:ascii="宋体" w:hAnsi="宋体" w:eastAsia="宋体" w:cs="Times New Roman"/>
          <w:b/>
          <w:color w:val="auto"/>
          <w:kern w:val="0"/>
          <w:szCs w:val="21"/>
          <w:highlight w:val="none"/>
        </w:rPr>
        <w:t>（处罚期限届满的除外）</w:t>
      </w:r>
      <w:r>
        <w:rPr>
          <w:rFonts w:hint="eastAsia" w:ascii="宋体" w:hAnsi="宋体" w:eastAsia="宋体" w:cs="宋体"/>
          <w:b/>
          <w:color w:val="auto"/>
          <w:kern w:val="0"/>
          <w:szCs w:val="21"/>
          <w:highlight w:val="none"/>
        </w:rPr>
        <w:t>。</w:t>
      </w:r>
    </w:p>
    <w:p w14:paraId="0902A315">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w:t>
      </w:r>
      <w:r>
        <w:rPr>
          <w:rFonts w:hint="eastAsia" w:ascii="宋体" w:hAnsi="宋体" w:eastAsia="宋体" w:cs="Times New Roman"/>
          <w:b/>
          <w:color w:val="auto"/>
          <w:kern w:val="0"/>
          <w:szCs w:val="21"/>
          <w:highlight w:val="none"/>
          <w:lang w:eastAsia="zh-CN"/>
        </w:rPr>
        <w:t>采购人</w:t>
      </w:r>
      <w:r>
        <w:rPr>
          <w:rFonts w:hint="eastAsia" w:ascii="宋体" w:hAnsi="宋体" w:eastAsia="宋体" w:cs="Times New Roman"/>
          <w:b/>
          <w:color w:val="auto"/>
          <w:kern w:val="0"/>
          <w:szCs w:val="21"/>
          <w:highlight w:val="none"/>
        </w:rPr>
        <w:t>存在利害关系可能影响</w:t>
      </w:r>
      <w:r>
        <w:rPr>
          <w:rFonts w:hint="eastAsia" w:ascii="宋体" w:hAnsi="宋体" w:eastAsia="宋体" w:cs="Times New Roman"/>
          <w:b/>
          <w:color w:val="auto"/>
          <w:kern w:val="0"/>
          <w:szCs w:val="21"/>
          <w:highlight w:val="none"/>
          <w:lang w:val="en-US" w:eastAsia="zh-CN"/>
        </w:rPr>
        <w:t>谈判</w:t>
      </w:r>
      <w:r>
        <w:rPr>
          <w:rFonts w:hint="eastAsia" w:ascii="宋体" w:hAnsi="宋体" w:eastAsia="宋体" w:cs="Times New Roman"/>
          <w:b/>
          <w:color w:val="auto"/>
          <w:kern w:val="0"/>
          <w:szCs w:val="21"/>
          <w:highlight w:val="none"/>
        </w:rPr>
        <w:t>公正性的法人、其他组织或者个人，不得参加</w:t>
      </w:r>
      <w:r>
        <w:rPr>
          <w:rFonts w:hint="eastAsia" w:ascii="宋体" w:hAnsi="宋体" w:eastAsia="宋体" w:cs="Times New Roman"/>
          <w:b/>
          <w:color w:val="auto"/>
          <w:kern w:val="0"/>
          <w:szCs w:val="21"/>
          <w:highlight w:val="none"/>
          <w:lang w:val="en-US" w:eastAsia="zh-CN"/>
        </w:rPr>
        <w:t>谈判</w:t>
      </w:r>
      <w:r>
        <w:rPr>
          <w:rFonts w:hint="eastAsia" w:ascii="宋体" w:hAnsi="宋体" w:eastAsia="宋体" w:cs="Times New Roman"/>
          <w:b/>
          <w:color w:val="auto"/>
          <w:kern w:val="0"/>
          <w:szCs w:val="21"/>
          <w:highlight w:val="none"/>
        </w:rPr>
        <w:t>；</w:t>
      </w:r>
      <w:r>
        <w:rPr>
          <w:rFonts w:hint="eastAsia" w:ascii="宋体" w:hAnsi="宋体" w:eastAsia="宋体" w:cs="Times New Roman"/>
          <w:b/>
          <w:color w:val="auto"/>
          <w:kern w:val="0"/>
          <w:szCs w:val="21"/>
          <w:highlight w:val="none"/>
          <w:lang w:eastAsia="zh-CN"/>
        </w:rPr>
        <w:t>供应商</w:t>
      </w:r>
      <w:r>
        <w:rPr>
          <w:rFonts w:hint="eastAsia" w:ascii="宋体" w:hAnsi="宋体" w:eastAsia="宋体" w:cs="Times New Roman"/>
          <w:b/>
          <w:color w:val="auto"/>
          <w:kern w:val="0"/>
          <w:szCs w:val="21"/>
          <w:highlight w:val="none"/>
        </w:rPr>
        <w:t>负责人为同一人或者存在控股、管理关系的不同</w:t>
      </w:r>
      <w:r>
        <w:rPr>
          <w:rFonts w:hint="eastAsia" w:ascii="宋体" w:hAnsi="宋体" w:eastAsia="宋体" w:cs="Times New Roman"/>
          <w:b/>
          <w:color w:val="auto"/>
          <w:kern w:val="0"/>
          <w:szCs w:val="21"/>
          <w:highlight w:val="none"/>
          <w:lang w:eastAsia="zh-CN"/>
        </w:rPr>
        <w:t>供应商</w:t>
      </w:r>
      <w:r>
        <w:rPr>
          <w:rFonts w:hint="eastAsia" w:ascii="宋体" w:hAnsi="宋体" w:eastAsia="宋体" w:cs="Times New Roman"/>
          <w:b/>
          <w:color w:val="auto"/>
          <w:kern w:val="0"/>
          <w:szCs w:val="21"/>
          <w:highlight w:val="none"/>
        </w:rPr>
        <w:t>，不得参加同一项目</w:t>
      </w:r>
      <w:r>
        <w:rPr>
          <w:rFonts w:hint="eastAsia" w:ascii="宋体" w:hAnsi="宋体" w:eastAsia="宋体" w:cs="Times New Roman"/>
          <w:b/>
          <w:color w:val="auto"/>
          <w:kern w:val="0"/>
          <w:szCs w:val="21"/>
          <w:highlight w:val="none"/>
          <w:lang w:val="en-US" w:eastAsia="zh-CN"/>
        </w:rPr>
        <w:t>谈判</w:t>
      </w:r>
      <w:r>
        <w:rPr>
          <w:rFonts w:hint="eastAsia" w:ascii="宋体" w:hAnsi="宋体" w:eastAsia="宋体" w:cs="Times New Roman"/>
          <w:b/>
          <w:color w:val="auto"/>
          <w:kern w:val="0"/>
          <w:szCs w:val="21"/>
          <w:highlight w:val="none"/>
        </w:rPr>
        <w:t>。上述情况一经发现，相关</w:t>
      </w:r>
      <w:r>
        <w:rPr>
          <w:rFonts w:hint="eastAsia" w:ascii="宋体" w:hAnsi="宋体" w:eastAsia="宋体" w:cs="Times New Roman"/>
          <w:b/>
          <w:color w:val="auto"/>
          <w:kern w:val="0"/>
          <w:szCs w:val="21"/>
          <w:highlight w:val="none"/>
          <w:lang w:val="en-US" w:eastAsia="zh-CN"/>
        </w:rPr>
        <w:t>谈判</w:t>
      </w:r>
      <w:r>
        <w:rPr>
          <w:rFonts w:hint="eastAsia" w:ascii="宋体" w:hAnsi="宋体" w:eastAsia="宋体" w:cs="Times New Roman"/>
          <w:b/>
          <w:color w:val="auto"/>
          <w:kern w:val="0"/>
          <w:szCs w:val="21"/>
          <w:highlight w:val="none"/>
        </w:rPr>
        <w:t>均无效</w:t>
      </w:r>
      <w:r>
        <w:rPr>
          <w:rFonts w:hint="eastAsia" w:ascii="宋体" w:hAnsi="宋体" w:eastAsia="宋体" w:cs="宋体"/>
          <w:b/>
          <w:color w:val="auto"/>
          <w:szCs w:val="21"/>
          <w:highlight w:val="none"/>
          <w:lang w:val="zh-CN"/>
        </w:rPr>
        <w:t>。</w:t>
      </w:r>
    </w:p>
    <w:p w14:paraId="0AF997B9">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9E62AC0">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7" w:name="_Toc160099435"/>
      <w:bookmarkStart w:id="28" w:name="_Toc1311"/>
      <w:bookmarkStart w:id="29" w:name="_Toc23847_WPSOffice_Level3"/>
      <w:bookmarkStart w:id="30" w:name="_Toc486167665"/>
      <w:bookmarkStart w:id="31"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合格的服务</w:t>
      </w:r>
      <w:bookmarkEnd w:id="27"/>
      <w:bookmarkEnd w:id="28"/>
      <w:bookmarkEnd w:id="29"/>
    </w:p>
    <w:p w14:paraId="77A76864">
      <w:pPr>
        <w:autoSpaceDE w:val="0"/>
        <w:autoSpaceDN w:val="0"/>
        <w:adjustRightInd w:val="0"/>
        <w:spacing w:line="360" w:lineRule="auto"/>
        <w:ind w:left="315" w:leftChars="-100" w:hanging="525" w:hangingChars="250"/>
        <w:rPr>
          <w:rFonts w:hint="eastAsia"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3</w:t>
      </w:r>
      <w:bookmarkStart w:id="32" w:name="_Toc1977668"/>
      <w:bookmarkStart w:id="33" w:name="_Toc533708068"/>
      <w:r>
        <w:rPr>
          <w:rFonts w:hint="eastAsia" w:ascii="宋体" w:hAnsi="宋体" w:eastAsia="宋体" w:cs="Times New Roman"/>
          <w:color w:val="auto"/>
          <w:szCs w:val="21"/>
          <w:highlight w:val="none"/>
          <w:lang w:val="zh-CN"/>
        </w:rPr>
        <w:t>.1 “服务”是指供应商按竞争性</w:t>
      </w:r>
      <w:r>
        <w:rPr>
          <w:rFonts w:hint="eastAsia" w:ascii="宋体" w:hAnsi="宋体" w:eastAsia="宋体" w:cs="Times New Roman"/>
          <w:color w:val="auto"/>
          <w:szCs w:val="21"/>
          <w:highlight w:val="none"/>
          <w:lang w:val="en-US" w:eastAsia="zh-CN"/>
        </w:rPr>
        <w:t>谈判</w:t>
      </w:r>
      <w:r>
        <w:rPr>
          <w:rFonts w:hint="eastAsia" w:ascii="宋体" w:hAnsi="宋体" w:eastAsia="宋体" w:cs="Times New Roman"/>
          <w:color w:val="auto"/>
          <w:szCs w:val="21"/>
          <w:highlight w:val="none"/>
          <w:lang w:val="zh-CN"/>
        </w:rPr>
        <w:t>文件规定完成的全部服务内容，其中包括完成服务所需的货物和工程，及须承担的技术支持、培训和其它伴随服务。</w:t>
      </w:r>
    </w:p>
    <w:p w14:paraId="39270941">
      <w:pPr>
        <w:autoSpaceDE w:val="0"/>
        <w:autoSpaceDN w:val="0"/>
        <w:adjustRightInd w:val="0"/>
        <w:spacing w:line="360" w:lineRule="auto"/>
        <w:ind w:left="315" w:leftChars="-100" w:hanging="525" w:hangingChars="25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3.2 供应商必须保证提供的所有服务或服务的任何部分均为最新正式版本。</w:t>
      </w:r>
    </w:p>
    <w:p w14:paraId="56BCB0FA">
      <w:pPr>
        <w:autoSpaceDE w:val="0"/>
        <w:autoSpaceDN w:val="0"/>
        <w:adjustRightInd w:val="0"/>
        <w:spacing w:line="360" w:lineRule="auto"/>
        <w:ind w:left="315" w:leftChars="-100" w:hanging="525" w:hangingChars="25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3.3 供应商应保证采购人在中华人民共和国使用服务或服务的任何一部分时，采购人免受第三方提出侵犯其专利权、商标权或其它知识产权的起诉。如果供应商不拥有相应的知识产权，则须在报价中包括合法获取该知识产权的相关费用，并在响应文件中附有相关证明文件。如有违反，造成采购人任何经济损失或其他损失的，由供应商承担全部赔偿责任。</w:t>
      </w:r>
    </w:p>
    <w:p w14:paraId="12F8A5A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Times New Roman"/>
          <w:color w:val="auto"/>
          <w:szCs w:val="21"/>
          <w:highlight w:val="none"/>
          <w:lang w:val="zh-CN"/>
        </w:rPr>
        <w:t>3.4 无论供应商是否在响应报价表中明示，均视为响应报价已包含所有应支付的对专利权、商标权和版权、设计或其他知识产权而需要向其他方支付的版税和使用费等相关费用。如供应商未依法向第三方支付应缴版税和使用费等相关费用的，造成采购人任何经济损失的，由供应商承担全部赔偿责任</w:t>
      </w:r>
      <w:r>
        <w:rPr>
          <w:rFonts w:hint="eastAsia" w:ascii="宋体" w:hAnsi="宋体" w:eastAsia="宋体" w:cs="宋体"/>
          <w:color w:val="auto"/>
          <w:szCs w:val="21"/>
          <w:highlight w:val="none"/>
          <w:lang w:val="zh-CN"/>
        </w:rPr>
        <w:t>。</w:t>
      </w:r>
      <w:bookmarkEnd w:id="32"/>
      <w:bookmarkEnd w:id="33"/>
    </w:p>
    <w:p w14:paraId="3219B108">
      <w:pPr>
        <w:autoSpaceDE w:val="0"/>
        <w:autoSpaceDN w:val="0"/>
        <w:adjustRightInd w:val="0"/>
        <w:spacing w:line="360" w:lineRule="auto"/>
        <w:jc w:val="left"/>
        <w:rPr>
          <w:rFonts w:ascii="宋体" w:hAnsi="宋体" w:eastAsia="宋体" w:cs="宋体"/>
          <w:color w:val="auto"/>
          <w:szCs w:val="21"/>
          <w:highlight w:val="none"/>
          <w:lang w:val="zh-CN"/>
        </w:rPr>
      </w:pPr>
    </w:p>
    <w:p w14:paraId="026B6200">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 w:name="_Toc160099436"/>
      <w:bookmarkStart w:id="35" w:name="_Toc26365"/>
      <w:bookmarkStart w:id="36"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34"/>
      <w:bookmarkEnd w:id="35"/>
      <w:bookmarkEnd w:id="36"/>
    </w:p>
    <w:p w14:paraId="1C823F4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7" w:name="_Toc533708070"/>
      <w:bookmarkStart w:id="38" w:name="_Toc1977670"/>
      <w:r>
        <w:rPr>
          <w:rFonts w:hint="eastAsia" w:ascii="宋体" w:hAnsi="宋体" w:eastAsia="宋体" w:cs="宋体"/>
          <w:color w:val="auto"/>
          <w:szCs w:val="21"/>
          <w:highlight w:val="none"/>
          <w:lang w:val="zh-CN"/>
        </w:rPr>
        <w:t xml:space="preserve">4.1  </w:t>
      </w:r>
      <w:bookmarkEnd w:id="37"/>
      <w:bookmarkEnd w:id="38"/>
      <w:r>
        <w:rPr>
          <w:rFonts w:hint="eastAsia" w:ascii="宋体" w:hAnsi="宋体" w:eastAsia="宋体" w:cs="宋体"/>
          <w:color w:val="auto"/>
          <w:szCs w:val="21"/>
          <w:highlight w:val="none"/>
          <w:lang w:val="zh-CN"/>
        </w:rPr>
        <w:t>谈判过程费用</w:t>
      </w:r>
    </w:p>
    <w:p w14:paraId="61F020AA">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39" w:name="_Toc1977672"/>
      <w:bookmarkStart w:id="40" w:name="_Toc533708072"/>
      <w:r>
        <w:rPr>
          <w:rFonts w:hint="eastAsia" w:ascii="宋体" w:hAnsi="宋体" w:eastAsia="宋体" w:cs="Times New Roman"/>
          <w:color w:val="auto"/>
          <w:szCs w:val="21"/>
          <w:highlight w:val="none"/>
          <w:lang w:val="zh-CN"/>
        </w:rPr>
        <w:t>无论采购过程中的做法和结果如何，响应供应商须承担所有与编写和递交响应文件有关的费用，采购人和采购代理机构在任何情况下不负担这些费用</w:t>
      </w:r>
      <w:r>
        <w:rPr>
          <w:rFonts w:hint="eastAsia" w:ascii="宋体" w:hAnsi="宋体" w:eastAsia="宋体" w:cs="宋体"/>
          <w:color w:val="auto"/>
          <w:szCs w:val="21"/>
          <w:highlight w:val="none"/>
          <w:lang w:val="zh-CN"/>
        </w:rPr>
        <w:t>。</w:t>
      </w:r>
      <w:bookmarkEnd w:id="39"/>
      <w:bookmarkEnd w:id="40"/>
    </w:p>
    <w:p w14:paraId="19C2ECA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1977673"/>
      <w:bookmarkStart w:id="42" w:name="_Toc533708073"/>
      <w:r>
        <w:rPr>
          <w:rFonts w:hint="eastAsia" w:ascii="宋体" w:hAnsi="宋体" w:eastAsia="宋体" w:cs="宋体"/>
          <w:color w:val="auto"/>
          <w:szCs w:val="21"/>
          <w:highlight w:val="none"/>
          <w:lang w:val="zh-CN"/>
        </w:rPr>
        <w:t>4.2  踏勘现场</w:t>
      </w:r>
      <w:bookmarkEnd w:id="41"/>
      <w:bookmarkEnd w:id="42"/>
    </w:p>
    <w:p w14:paraId="71974CBC">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43" w:name="_Toc1977676"/>
      <w:bookmarkStart w:id="44" w:name="_Toc533708076"/>
      <w:r>
        <w:rPr>
          <w:rFonts w:hint="eastAsia" w:ascii="宋体" w:hAnsi="宋体" w:eastAsia="宋体" w:cs="Times New Roman"/>
          <w:color w:val="auto"/>
          <w:kern w:val="0"/>
          <w:szCs w:val="21"/>
          <w:highlight w:val="none"/>
        </w:rPr>
        <w:t>（1）本项目不组织集中踏勘现场和答疑，响应供应商应自行到实地踏勘考察。</w:t>
      </w:r>
    </w:p>
    <w:p w14:paraId="6D1C9BCF">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（2）潜在响应供应商应承担踏勘现场自身所发生的费用。</w:t>
      </w:r>
    </w:p>
    <w:p w14:paraId="33CEC792">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（3）采购人和采购代理机构在踏勘现场中介绍的有关现场和相关的周边环境情况，供响应供应商在编制响应文件时参考，采购人不对响应供应商据此作出的判断和决策负责。</w:t>
      </w:r>
    </w:p>
    <w:p w14:paraId="6EC3E6DC">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（4）潜在响应供应商可为踏勘需要而进入采购人的项目现场，但潜在响应供应商不得因此使采购人承担有关的责任和蒙受损失。潜在响应供应商应承担踏勘现场的责任和风险。</w:t>
      </w:r>
    </w:p>
    <w:p w14:paraId="777C3C4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0"/>
      <w:bookmarkEnd w:id="31"/>
      <w:bookmarkEnd w:id="43"/>
      <w:bookmarkEnd w:id="44"/>
    </w:p>
    <w:p w14:paraId="5268F399">
      <w:pPr>
        <w:autoSpaceDE w:val="0"/>
        <w:autoSpaceDN w:val="0"/>
        <w:adjustRightInd w:val="0"/>
        <w:spacing w:line="360" w:lineRule="auto"/>
        <w:ind w:left="525" w:hanging="525" w:hangingChars="250"/>
        <w:jc w:val="both"/>
        <w:rPr>
          <w:rFonts w:ascii="宋体" w:hAnsi="宋体" w:eastAsia="宋体" w:cs="宋体"/>
          <w:color w:val="auto"/>
          <w:kern w:val="0"/>
          <w:sz w:val="21"/>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宋体"/>
          <w:color w:val="auto"/>
          <w:kern w:val="0"/>
          <w:sz w:val="21"/>
          <w:szCs w:val="21"/>
          <w:highlight w:val="none"/>
        </w:rPr>
        <w:t>1）获得本竞争性谈判文件的供应商，不得用作本次谈判以外的任何用途。</w:t>
      </w:r>
    </w:p>
    <w:p w14:paraId="1718ACB6">
      <w:pPr>
        <w:autoSpaceDE w:val="0"/>
        <w:autoSpaceDN w:val="0"/>
        <w:adjustRightInd w:val="0"/>
        <w:spacing w:line="360" w:lineRule="auto"/>
        <w:ind w:left="525" w:hanging="525" w:hangingChars="250"/>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（2）凡参与采购、谈判工作的有关人员均应自觉接受有关主管部门的监督，不得向他人透露可能影响公平竞争的情况。</w:t>
      </w:r>
    </w:p>
    <w:p w14:paraId="0447D264">
      <w:pPr>
        <w:autoSpaceDE w:val="0"/>
        <w:autoSpaceDN w:val="0"/>
        <w:adjustRightInd w:val="0"/>
        <w:spacing w:line="360" w:lineRule="auto"/>
        <w:ind w:left="525" w:hanging="525" w:hangingChars="250"/>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（3）开启响应文件后，直至向成交人授予合同期间，凡与审查、澄清、谈判、评价和比较报价的有关资料以及成交意见等，参与谈判工作的有关人员均不得向供应商及与谈判无关的其他人透露。</w:t>
      </w:r>
    </w:p>
    <w:p w14:paraId="3F328C03">
      <w:pPr>
        <w:autoSpaceDE w:val="0"/>
        <w:autoSpaceDN w:val="0"/>
        <w:adjustRightInd w:val="0"/>
        <w:spacing w:line="360" w:lineRule="auto"/>
        <w:ind w:left="525" w:hanging="525" w:hangingChars="250"/>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（4）除供应商被要求对响应文件进行澄清外，从递交响应文件截止之时起至授予合同期间，供应商不得就与其响应文件有关的事项主动与谈判小组、采购</w:t>
      </w:r>
      <w:r>
        <w:rPr>
          <w:rFonts w:hint="eastAsia" w:ascii="宋体" w:hAnsi="宋体" w:eastAsia="宋体" w:cs="宋体"/>
          <w:color w:val="auto"/>
          <w:kern w:val="0"/>
          <w:sz w:val="21"/>
          <w:szCs w:val="21"/>
          <w:highlight w:val="none"/>
          <w:lang w:val="zh-CN"/>
        </w:rPr>
        <w:t>代理机构以</w:t>
      </w:r>
      <w:r>
        <w:rPr>
          <w:rFonts w:hint="eastAsia" w:ascii="宋体" w:hAnsi="宋体" w:eastAsia="宋体" w:cs="宋体"/>
          <w:color w:val="auto"/>
          <w:kern w:val="0"/>
          <w:sz w:val="21"/>
          <w:szCs w:val="21"/>
          <w:highlight w:val="none"/>
        </w:rPr>
        <w:t>及采购人联系。</w:t>
      </w:r>
    </w:p>
    <w:p w14:paraId="795F3C78">
      <w:pPr>
        <w:autoSpaceDE w:val="0"/>
        <w:autoSpaceDN w:val="0"/>
        <w:adjustRightInd w:val="0"/>
        <w:spacing w:line="360" w:lineRule="auto"/>
        <w:ind w:left="525" w:hanging="525" w:hangingChars="250"/>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（5）从谈判之日起至授予合同期间，在响应文件的审查、澄清、比较和评价阶段，供应商试图对谈判小组和采购人施加任何影响或对采购人的比较及授予合同的决定产生影响，都可能导致其响应文件被拒绝。</w:t>
      </w:r>
    </w:p>
    <w:p w14:paraId="5E8A3BD1">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宋体"/>
          <w:color w:val="auto"/>
          <w:kern w:val="0"/>
          <w:sz w:val="21"/>
          <w:szCs w:val="21"/>
          <w:highlight w:val="none"/>
        </w:rPr>
        <w:t>（6）供应商不得串通作弊，以不正当的手段妨碍、排挤其他供应商，扰乱采购市场，破坏公平竞争原则</w:t>
      </w:r>
      <w:r>
        <w:rPr>
          <w:rFonts w:hint="eastAsia" w:ascii="宋体" w:hAnsi="宋体" w:eastAsia="宋体" w:cs="Times New Roman"/>
          <w:color w:val="auto"/>
          <w:kern w:val="0"/>
          <w:szCs w:val="21"/>
          <w:highlight w:val="none"/>
        </w:rPr>
        <w:t>。</w:t>
      </w:r>
    </w:p>
    <w:p w14:paraId="55282AEE">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40308637">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45" w:name="_Toc30507_WPSOffice_Level2"/>
      <w:bookmarkStart w:id="46" w:name="_Toc2244"/>
      <w:bookmarkStart w:id="47" w:name="_Toc450662853"/>
      <w:bookmarkStart w:id="48" w:name="_Toc486167667"/>
      <w:bookmarkStart w:id="49" w:name="_Toc140596876"/>
      <w:bookmarkStart w:id="50" w:name="_Toc160099437"/>
      <w:r>
        <w:rPr>
          <w:rFonts w:hint="eastAsia" w:ascii="宋体" w:hAnsi="宋体" w:eastAsia="宋体" w:cs="宋体"/>
          <w:b/>
          <w:bCs/>
          <w:color w:val="auto"/>
          <w:kern w:val="44"/>
          <w:szCs w:val="21"/>
          <w:highlight w:val="none"/>
          <w:lang w:val="zh-CN"/>
        </w:rPr>
        <w:t>二、谈判文件</w:t>
      </w:r>
      <w:bookmarkEnd w:id="45"/>
      <w:bookmarkEnd w:id="46"/>
      <w:bookmarkEnd w:id="47"/>
      <w:bookmarkEnd w:id="48"/>
      <w:bookmarkEnd w:id="49"/>
      <w:bookmarkEnd w:id="50"/>
    </w:p>
    <w:p w14:paraId="7452B03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160099438"/>
      <w:bookmarkStart w:id="52" w:name="_Toc486167668"/>
      <w:bookmarkStart w:id="53" w:name="_Toc12417"/>
      <w:bookmarkStart w:id="54" w:name="_Toc26635_WPSOffice_Level3"/>
      <w:bookmarkStart w:id="55" w:name="_Toc450662854"/>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竞争性谈判文件的构成</w:t>
      </w:r>
      <w:bookmarkEnd w:id="51"/>
      <w:bookmarkEnd w:id="52"/>
      <w:bookmarkEnd w:id="53"/>
      <w:bookmarkEnd w:id="54"/>
      <w:bookmarkEnd w:id="55"/>
    </w:p>
    <w:p w14:paraId="5977246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竞争性谈判文件包括：</w:t>
      </w:r>
    </w:p>
    <w:p w14:paraId="4172B79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竞争性谈判公告</w:t>
      </w:r>
    </w:p>
    <w:p w14:paraId="53ABE04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谈判须知</w:t>
      </w:r>
    </w:p>
    <w:p w14:paraId="5614530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1C2F57F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合同条款格式</w:t>
      </w:r>
    </w:p>
    <w:p w14:paraId="002AB2B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37AFD9E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响应文件格式</w:t>
      </w:r>
    </w:p>
    <w:p w14:paraId="1989623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附件一：评审工作大纲</w:t>
      </w:r>
    </w:p>
    <w:p w14:paraId="6E45E2B0">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响应供应商</w:t>
      </w:r>
      <w:r>
        <w:rPr>
          <w:rFonts w:hint="eastAsia" w:ascii="宋体" w:hAnsi="宋体" w:eastAsia="宋体" w:cs="Times New Roman"/>
          <w:b/>
          <w:bCs/>
          <w:color w:val="auto"/>
          <w:szCs w:val="21"/>
          <w:highlight w:val="none"/>
          <w:u w:val="single"/>
          <w:lang w:val="zh-CN"/>
        </w:rPr>
        <w:t>应审阅谈判文件中所有须知、格式、条款和规格。响应供应商未按谈判文件要求提供全部资料或提交的响应文件未对谈判文件作出实质性响应（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标志的部分为响应供应商、拟供货物、服务必备的条件或重要指示），那么响应供应商的响应文件将有可能被拒绝接收或评审为无效响应文件</w:t>
      </w:r>
      <w:r>
        <w:rPr>
          <w:rFonts w:hint="eastAsia" w:ascii="宋体" w:hAnsi="宋体" w:eastAsia="宋体" w:cs="宋体"/>
          <w:b/>
          <w:bCs/>
          <w:color w:val="auto"/>
          <w:szCs w:val="21"/>
          <w:highlight w:val="none"/>
          <w:lang w:val="zh-CN"/>
        </w:rPr>
        <w:t>。</w:t>
      </w:r>
    </w:p>
    <w:p w14:paraId="21FAFB46">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本谈判文件使用的词语有如下定义：</w:t>
      </w:r>
    </w:p>
    <w:p w14:paraId="2F4D4F7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（1）“采购人”指</w:t>
      </w:r>
      <w:r>
        <w:rPr>
          <w:rFonts w:hint="eastAsia" w:ascii="宋体" w:hAnsi="宋体" w:eastAsia="宋体" w:cs="Times New Roman"/>
          <w:color w:val="auto"/>
          <w:kern w:val="0"/>
          <w:szCs w:val="21"/>
          <w:highlight w:val="none"/>
          <w:lang w:eastAsia="zh-CN"/>
        </w:rPr>
        <w:t>东莞市水务环境投资控股集团建设管理有限公司</w:t>
      </w:r>
      <w:r>
        <w:rPr>
          <w:rFonts w:hint="eastAsia" w:ascii="宋体" w:hAnsi="宋体" w:eastAsia="宋体" w:cs="Times New Roman"/>
          <w:color w:val="auto"/>
          <w:kern w:val="0"/>
          <w:szCs w:val="21"/>
          <w:highlight w:val="none"/>
        </w:rPr>
        <w:t>；</w:t>
      </w:r>
    </w:p>
    <w:p w14:paraId="3C2F254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）“采购代理机构”指</w:t>
      </w:r>
      <w:r>
        <w:rPr>
          <w:rFonts w:hint="eastAsia" w:ascii="宋体" w:hAnsi="宋体" w:eastAsia="宋体" w:cs="Times New Roman"/>
          <w:color w:val="auto"/>
          <w:kern w:val="0"/>
          <w:szCs w:val="21"/>
          <w:highlight w:val="none"/>
          <w:lang w:eastAsia="zh-CN"/>
        </w:rPr>
        <w:t>广东华迪工程管理有限公司</w:t>
      </w:r>
      <w:r>
        <w:rPr>
          <w:rFonts w:hint="eastAsia" w:ascii="宋体" w:hAnsi="宋体" w:eastAsia="宋体" w:cs="Times New Roman"/>
          <w:color w:val="auto"/>
          <w:kern w:val="0"/>
          <w:szCs w:val="21"/>
          <w:highlight w:val="none"/>
        </w:rPr>
        <w:t>；</w:t>
      </w:r>
    </w:p>
    <w:p w14:paraId="4FB8428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）“响应供应商”指参加</w:t>
      </w:r>
      <w:r>
        <w:rPr>
          <w:rFonts w:hint="eastAsia" w:ascii="宋体" w:hAnsi="宋体" w:eastAsia="宋体" w:cs="Times New Roman"/>
          <w:color w:val="auto"/>
          <w:kern w:val="0"/>
          <w:szCs w:val="21"/>
          <w:highlight w:val="none"/>
          <w:lang w:eastAsia="zh-CN"/>
        </w:rPr>
        <w:t>东莞市大朗蔡边水质净化厂工程第三方检测（不含基桩完整性检测）</w:t>
      </w:r>
      <w:r>
        <w:rPr>
          <w:rFonts w:hint="eastAsia" w:ascii="宋体" w:hAnsi="宋体" w:eastAsia="宋体" w:cs="Times New Roman"/>
          <w:color w:val="auto"/>
          <w:kern w:val="0"/>
          <w:szCs w:val="21"/>
          <w:highlight w:val="none"/>
        </w:rPr>
        <w:t>所需的货物及有关服务的</w:t>
      </w:r>
      <w:r>
        <w:rPr>
          <w:rFonts w:hint="eastAsia" w:ascii="宋体" w:hAnsi="宋体" w:eastAsia="宋体" w:cs="Times New Roman"/>
          <w:color w:val="auto"/>
          <w:kern w:val="0"/>
          <w:szCs w:val="21"/>
          <w:highlight w:val="none"/>
          <w:lang w:eastAsia="zh-CN"/>
        </w:rPr>
        <w:t>响应</w:t>
      </w:r>
      <w:r>
        <w:rPr>
          <w:rFonts w:hint="eastAsia" w:ascii="宋体" w:hAnsi="宋体" w:eastAsia="宋体" w:cs="Times New Roman"/>
          <w:color w:val="auto"/>
          <w:kern w:val="0"/>
          <w:szCs w:val="21"/>
          <w:highlight w:val="none"/>
        </w:rPr>
        <w:t>，并向采购代理机构提交响应文件的当事人；</w:t>
      </w:r>
    </w:p>
    <w:p w14:paraId="62C80F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）“谈判小组”是依照《中华人民共和国招标投标法》等法规组建的专门负责本次评审工作的临时性机构；</w:t>
      </w:r>
    </w:p>
    <w:p w14:paraId="5A97D48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）“成交人”指其</w:t>
      </w:r>
      <w:r>
        <w:rPr>
          <w:rFonts w:hint="eastAsia" w:ascii="宋体" w:hAnsi="宋体" w:eastAsia="宋体" w:cs="Times New Roman"/>
          <w:color w:val="auto"/>
          <w:kern w:val="0"/>
          <w:szCs w:val="21"/>
          <w:highlight w:val="none"/>
          <w:lang w:eastAsia="zh-CN"/>
        </w:rPr>
        <w:t>响应</w:t>
      </w:r>
      <w:r>
        <w:rPr>
          <w:rFonts w:hint="eastAsia" w:ascii="宋体" w:hAnsi="宋体" w:eastAsia="宋体" w:cs="Times New Roman"/>
          <w:color w:val="auto"/>
          <w:kern w:val="0"/>
          <w:szCs w:val="21"/>
          <w:highlight w:val="none"/>
        </w:rPr>
        <w:t>被采购人接受，并与采购人签订合同的当事人；</w:t>
      </w:r>
    </w:p>
    <w:p w14:paraId="45211AB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）“甲方”指在合同条款中指明的购买货物和服务的单位，即</w:t>
      </w:r>
      <w:r>
        <w:rPr>
          <w:rFonts w:hint="eastAsia" w:ascii="宋体" w:hAnsi="宋体" w:eastAsia="宋体" w:cs="Times New Roman"/>
          <w:color w:val="auto"/>
          <w:kern w:val="0"/>
          <w:szCs w:val="21"/>
          <w:highlight w:val="none"/>
          <w:lang w:eastAsia="zh-CN"/>
        </w:rPr>
        <w:t>东莞市水务环境投资控股集团建设管理有限公司</w:t>
      </w:r>
      <w:r>
        <w:rPr>
          <w:rFonts w:hint="eastAsia" w:ascii="宋体" w:hAnsi="宋体" w:eastAsia="宋体" w:cs="Times New Roman"/>
          <w:color w:val="auto"/>
          <w:kern w:val="0"/>
          <w:szCs w:val="21"/>
          <w:highlight w:val="none"/>
        </w:rPr>
        <w:t>；</w:t>
      </w:r>
    </w:p>
    <w:p w14:paraId="604FF73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）“乙方”指在合同条款中指明的本合同项下提供货物和服务的公司或实体；</w:t>
      </w:r>
    </w:p>
    <w:p w14:paraId="5F17B29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）“谈判文件”指由采购代理机构发出的本谈判文件，包括全部章节和附件；</w:t>
      </w:r>
    </w:p>
    <w:p w14:paraId="4E0A04A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）“响应文件”指响应供应商根据本谈判文件向采购代理机构提交的全部文件；</w:t>
      </w:r>
    </w:p>
    <w:p w14:paraId="3103478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6A5A38B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）“合同”指由本次采购所产生的合同或合约文件；</w:t>
      </w:r>
    </w:p>
    <w:p w14:paraId="23E08BB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4D68C58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）本谈判文件中的“境内”特指中华人民共和国海关关境以内，“境外”特指中华人民共和国海关关境以外；</w:t>
      </w:r>
    </w:p>
    <w:p w14:paraId="3BE6F36E">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55E731A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6" w:name="_Toc29125_WPSOffice_Level3"/>
      <w:bookmarkStart w:id="57" w:name="_Toc160099439"/>
      <w:bookmarkStart w:id="58" w:name="_Toc450662855"/>
      <w:bookmarkStart w:id="59" w:name="_Toc486167669"/>
      <w:bookmarkStart w:id="60" w:name="_Toc10368"/>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竞争性谈判文件的异议</w:t>
      </w:r>
      <w:bookmarkEnd w:id="56"/>
      <w:bookmarkEnd w:id="57"/>
      <w:bookmarkEnd w:id="58"/>
      <w:bookmarkEnd w:id="59"/>
      <w:bookmarkEnd w:id="60"/>
    </w:p>
    <w:p w14:paraId="0C8D5677">
      <w:pPr>
        <w:autoSpaceDE w:val="0"/>
        <w:autoSpaceDN w:val="0"/>
        <w:adjustRightInd w:val="0"/>
        <w:spacing w:line="360" w:lineRule="auto"/>
        <w:ind w:left="0" w:leftChars="0" w:firstLine="210" w:firstLineChars="100"/>
        <w:rPr>
          <w:rFonts w:hint="eastAsia" w:ascii="宋体" w:hAnsi="宋体" w:eastAsia="宋体" w:cs="宋体"/>
          <w:b/>
          <w:bCs/>
          <w:color w:val="auto"/>
          <w:szCs w:val="21"/>
          <w:highlight w:val="none"/>
          <w:lang w:val="zh-CN"/>
        </w:rPr>
      </w:pPr>
      <w:r>
        <w:rPr>
          <w:rFonts w:hint="eastAsia" w:ascii="宋体" w:hAnsi="宋体" w:eastAsia="宋体" w:cs="Times New Roman"/>
          <w:bCs/>
          <w:color w:val="auto"/>
          <w:szCs w:val="21"/>
          <w:highlight w:val="none"/>
          <w:lang w:val="zh-CN"/>
        </w:rPr>
        <w:t>供应商或者其他利害关系人对谈判文件有异议的，应当在截止时间</w:t>
      </w:r>
      <w:r>
        <w:rPr>
          <w:rFonts w:hint="eastAsia" w:ascii="宋体" w:hAnsi="宋体" w:eastAsia="宋体" w:cs="宋体"/>
          <w:bCs w:val="0"/>
          <w:color w:val="auto"/>
          <w:szCs w:val="21"/>
          <w:highlight w:val="none"/>
          <w:lang w:val="en-US" w:eastAsia="zh-CN"/>
        </w:rPr>
        <w:t>3</w:t>
      </w:r>
      <w:r>
        <w:rPr>
          <w:rFonts w:hint="eastAsia" w:ascii="宋体" w:hAnsi="宋体" w:eastAsia="宋体" w:cs="Times New Roman"/>
          <w:bCs/>
          <w:color w:val="auto"/>
          <w:szCs w:val="21"/>
          <w:highlight w:val="none"/>
          <w:lang w:val="zh-CN"/>
        </w:rPr>
        <w:t>日前</w:t>
      </w:r>
      <w:r>
        <w:rPr>
          <w:rFonts w:hint="eastAsia" w:ascii="宋体" w:hAnsi="宋体" w:eastAsia="宋体" w:cs="Times New Roman"/>
          <w:color w:val="auto"/>
          <w:szCs w:val="21"/>
          <w:highlight w:val="none"/>
          <w:lang w:val="zh-CN"/>
        </w:rPr>
        <w:t>以书面形式向采购代理机构提出，并将材料原件送达采购代理机构，逾期则视为对竞争性谈判文件所有内容无异议。</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加盖响应供应商</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提出的任何疑问，采购代理机构可不予答复。</w:t>
      </w:r>
      <w:r>
        <w:rPr>
          <w:rFonts w:hint="eastAsia" w:ascii="宋体" w:hAnsi="宋体" w:eastAsia="宋体" w:cs="Times New Roman"/>
          <w:b/>
          <w:bCs/>
          <w:color w:val="auto"/>
          <w:szCs w:val="21"/>
          <w:highlight w:val="none"/>
          <w:u w:val="single"/>
          <w:lang w:val="zh-CN"/>
        </w:rPr>
        <w:t>响应供应商必须在响应文件中提供响应承诺书（格式详见第六篇响应文件格式）</w:t>
      </w:r>
      <w:r>
        <w:rPr>
          <w:rFonts w:hint="eastAsia" w:ascii="宋体" w:hAnsi="宋体" w:eastAsia="宋体" w:cs="宋体"/>
          <w:b/>
          <w:bCs/>
          <w:color w:val="auto"/>
          <w:szCs w:val="21"/>
          <w:highlight w:val="none"/>
          <w:lang w:val="zh-CN"/>
        </w:rPr>
        <w:t>。</w:t>
      </w:r>
    </w:p>
    <w:p w14:paraId="0F04D44C">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66DE10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1" w:name="_Toc450662856"/>
      <w:bookmarkStart w:id="62" w:name="_Toc160099440"/>
      <w:bookmarkStart w:id="63" w:name="_Toc28558"/>
      <w:bookmarkStart w:id="64" w:name="_Toc23483_WPSOffice_Level3"/>
      <w:bookmarkStart w:id="65" w:name="_Toc48616767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竞争性谈判文件的澄清及修改</w:t>
      </w:r>
      <w:bookmarkEnd w:id="61"/>
      <w:bookmarkEnd w:id="62"/>
      <w:bookmarkEnd w:id="63"/>
      <w:bookmarkEnd w:id="64"/>
      <w:bookmarkEnd w:id="65"/>
    </w:p>
    <w:p w14:paraId="157FF64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采购代理机构对已发出的竞争性谈判文件进行必要澄清或者修改的，将在竞争性谈判文件要求提交响应文件截止时间</w:t>
      </w:r>
      <w:r>
        <w:rPr>
          <w:rFonts w:ascii="宋体" w:hAnsi="宋体" w:eastAsia="宋体" w:cs="宋体"/>
          <w:color w:val="auto"/>
          <w:szCs w:val="21"/>
          <w:highlight w:val="none"/>
          <w:lang w:val="zh-CN"/>
        </w:rPr>
        <w:t>3个工作日</w:t>
      </w:r>
      <w:r>
        <w:rPr>
          <w:rFonts w:hint="eastAsia" w:ascii="宋体" w:hAnsi="宋体" w:eastAsia="宋体" w:cs="宋体"/>
          <w:color w:val="auto"/>
          <w:szCs w:val="21"/>
          <w:highlight w:val="none"/>
          <w:lang w:val="zh-CN"/>
        </w:rPr>
        <w:t>前，以书面形式通知所有竞争性谈判文件收受人，响应供应商应于收到该修改文件的当日内以书面形式给予确认。该澄清或者修改的内容为竞争性谈判文件的组成部分。</w:t>
      </w:r>
    </w:p>
    <w:p w14:paraId="7CF599A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项目特定情况下，采购代理机构必须延长响应文件提交截止时间和开启时间时，将在竞争性谈判文件要求提交响应文件的截止时间前，在采购信息发布媒介上发布变更公告。</w:t>
      </w:r>
    </w:p>
    <w:p w14:paraId="0614FE3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竞争性谈判文件的修改、补充通知在中国招标投标公共服务平台（www.cebpubservice.com）、东莞市水务环境投资控股集团有限公司网（www.dgswjt.cn）、招标代理机构网站（</w:t>
      </w:r>
      <w:r>
        <w:rPr>
          <w:rFonts w:hint="eastAsia" w:ascii="宋体" w:hAnsi="宋体" w:eastAsia="宋体" w:cs="Times New Roman"/>
          <w:bCs/>
          <w:color w:val="auto"/>
          <w:szCs w:val="21"/>
          <w:highlight w:val="none"/>
          <w:u w:val="none"/>
          <w:lang w:eastAsia="zh-CN"/>
        </w:rPr>
        <w:t>http://www.gd-huadi.com/</w:t>
      </w:r>
      <w:r>
        <w:rPr>
          <w:rFonts w:hint="eastAsia" w:ascii="宋体" w:hAnsi="宋体" w:eastAsia="宋体" w:cs="宋体"/>
          <w:color w:val="auto"/>
          <w:szCs w:val="21"/>
          <w:highlight w:val="none"/>
          <w:lang w:val="zh-CN"/>
        </w:rPr>
        <w:t>）公布，请各供应商密切留意。</w:t>
      </w:r>
    </w:p>
    <w:p w14:paraId="6AE0B305">
      <w:pPr>
        <w:autoSpaceDE w:val="0"/>
        <w:autoSpaceDN w:val="0"/>
        <w:adjustRightInd w:val="0"/>
        <w:spacing w:line="360" w:lineRule="auto"/>
        <w:ind w:left="357" w:leftChars="-100" w:hanging="567"/>
        <w:rPr>
          <w:rFonts w:ascii="宋体" w:hAnsi="宋体" w:eastAsia="宋体" w:cs="宋体"/>
          <w:color w:val="auto"/>
          <w:szCs w:val="21"/>
          <w:highlight w:val="none"/>
        </w:rPr>
      </w:pPr>
    </w:p>
    <w:p w14:paraId="10E8BC58">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6" w:name="_Toc450662857"/>
      <w:bookmarkStart w:id="67" w:name="_Toc160099441"/>
      <w:bookmarkStart w:id="68" w:name="_Toc486167671"/>
      <w:bookmarkStart w:id="69" w:name="_Toc140596880"/>
      <w:bookmarkStart w:id="70" w:name="_Toc29659_WPSOffice_Level2"/>
      <w:bookmarkStart w:id="71" w:name="_Toc22325"/>
      <w:r>
        <w:rPr>
          <w:rFonts w:hint="eastAsia" w:ascii="宋体" w:hAnsi="宋体" w:eastAsia="宋体" w:cs="宋体"/>
          <w:b/>
          <w:bCs/>
          <w:color w:val="auto"/>
          <w:kern w:val="44"/>
          <w:szCs w:val="21"/>
          <w:highlight w:val="none"/>
          <w:lang w:val="zh-CN"/>
        </w:rPr>
        <w:t>三、响应文件的编制</w:t>
      </w:r>
      <w:bookmarkEnd w:id="66"/>
      <w:bookmarkEnd w:id="67"/>
      <w:bookmarkEnd w:id="68"/>
      <w:bookmarkEnd w:id="69"/>
      <w:bookmarkEnd w:id="70"/>
      <w:bookmarkEnd w:id="71"/>
    </w:p>
    <w:p w14:paraId="6D2574D1">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486167672"/>
      <w:bookmarkStart w:id="73" w:name="_Toc450662858"/>
      <w:bookmarkStart w:id="74" w:name="_Toc160099442"/>
      <w:bookmarkStart w:id="75" w:name="_Toc19448"/>
      <w:bookmarkStart w:id="76"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lang w:val="zh-CN"/>
        </w:rPr>
        <w:t>使用的文字及度量衡单位</w:t>
      </w:r>
      <w:bookmarkEnd w:id="72"/>
      <w:bookmarkEnd w:id="73"/>
      <w:bookmarkEnd w:id="74"/>
      <w:bookmarkEnd w:id="75"/>
      <w:bookmarkEnd w:id="76"/>
    </w:p>
    <w:p w14:paraId="6C42839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响应供应商的响应文件以及响应供应商与采购代理机构就有关响应的所有往来函电均应使用简体中文。</w:t>
      </w:r>
    </w:p>
    <w:p w14:paraId="4C1C9FB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响应文件使用的度量衡单位采用中华人民共和国法定计量单位。</w:t>
      </w:r>
    </w:p>
    <w:p w14:paraId="709270F6">
      <w:pPr>
        <w:autoSpaceDE w:val="0"/>
        <w:autoSpaceDN w:val="0"/>
        <w:adjustRightInd w:val="0"/>
        <w:spacing w:line="360" w:lineRule="auto"/>
        <w:rPr>
          <w:rFonts w:ascii="宋体" w:hAnsi="宋体" w:eastAsia="宋体" w:cs="宋体"/>
          <w:color w:val="auto"/>
          <w:szCs w:val="21"/>
          <w:highlight w:val="none"/>
          <w:lang w:val="zh-CN"/>
        </w:rPr>
      </w:pPr>
    </w:p>
    <w:p w14:paraId="568D29FC">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77" w:name="_Toc450662859"/>
      <w:bookmarkStart w:id="78" w:name="_Toc24916_WPSOffice_Level3"/>
      <w:bookmarkStart w:id="79" w:name="_Toc1017"/>
      <w:bookmarkStart w:id="80" w:name="_Toc486167673"/>
      <w:bookmarkStart w:id="81" w:name="_Toc16009944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响应文件的组成</w:t>
      </w:r>
      <w:bookmarkEnd w:id="77"/>
      <w:bookmarkEnd w:id="78"/>
      <w:bookmarkEnd w:id="79"/>
      <w:bookmarkEnd w:id="80"/>
      <w:bookmarkEnd w:id="81"/>
    </w:p>
    <w:p w14:paraId="7B1A82C9">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响应文件的组成：</w:t>
      </w:r>
      <w:r>
        <w:rPr>
          <w:rFonts w:hint="eastAsia" w:ascii="宋体" w:hAnsi="宋体" w:eastAsia="宋体" w:cs="Times New Roman"/>
          <w:b/>
          <w:color w:val="auto"/>
          <w:kern w:val="0"/>
          <w:szCs w:val="21"/>
          <w:highlight w:val="none"/>
          <w:u w:val="single"/>
        </w:rPr>
        <w:t>商务文件、技术文件</w:t>
      </w:r>
      <w:r>
        <w:rPr>
          <w:rFonts w:hint="eastAsia" w:ascii="宋体" w:hAnsi="宋体" w:eastAsia="宋体" w:cs="Times New Roman"/>
          <w:b/>
          <w:color w:val="auto"/>
          <w:kern w:val="0"/>
          <w:szCs w:val="21"/>
          <w:highlight w:val="none"/>
          <w:u w:val="single"/>
          <w:lang w:eastAsia="zh-CN"/>
        </w:rPr>
        <w:t>、</w:t>
      </w:r>
      <w:r>
        <w:rPr>
          <w:rFonts w:hint="eastAsia" w:ascii="宋体" w:hAnsi="宋体" w:eastAsia="宋体" w:cs="宋体"/>
          <w:b/>
          <w:bCs/>
          <w:color w:val="auto"/>
          <w:kern w:val="0"/>
          <w:szCs w:val="21"/>
          <w:highlight w:val="none"/>
          <w:lang w:val="zh-CN"/>
        </w:rPr>
        <w:t>首次报价信封</w:t>
      </w:r>
      <w:r>
        <w:rPr>
          <w:rFonts w:hint="eastAsia" w:ascii="宋体" w:hAnsi="宋体" w:eastAsia="宋体" w:cs="Times New Roman"/>
          <w:b/>
          <w:color w:val="auto"/>
          <w:kern w:val="0"/>
          <w:szCs w:val="21"/>
          <w:highlight w:val="none"/>
          <w:u w:val="single"/>
        </w:rPr>
        <w:t>由响应供应商根据各自文件的实际情况决定是否分册装订，</w:t>
      </w:r>
      <w:r>
        <w:rPr>
          <w:rFonts w:hint="eastAsia" w:ascii="宋体" w:hAnsi="宋体" w:eastAsia="宋体" w:cs="Times New Roman"/>
          <w:b/>
          <w:color w:val="auto"/>
          <w:kern w:val="0"/>
          <w:szCs w:val="21"/>
          <w:highlight w:val="none"/>
          <w:u w:val="single"/>
          <w:lang w:eastAsia="zh-CN"/>
        </w:rPr>
        <w:t>竞争性</w:t>
      </w:r>
      <w:r>
        <w:rPr>
          <w:rFonts w:hint="eastAsia" w:ascii="宋体" w:hAnsi="宋体" w:eastAsia="宋体" w:cs="Times New Roman"/>
          <w:b/>
          <w:color w:val="auto"/>
          <w:kern w:val="0"/>
          <w:szCs w:val="21"/>
          <w:highlight w:val="none"/>
          <w:u w:val="single"/>
        </w:rPr>
        <w:t>谈判文件不做限制</w:t>
      </w:r>
      <w:r>
        <w:rPr>
          <w:rFonts w:hint="eastAsia" w:ascii="宋体" w:hAnsi="宋体" w:eastAsia="宋体" w:cs="Times New Roman"/>
          <w:b/>
          <w:color w:val="auto"/>
          <w:kern w:val="0"/>
          <w:szCs w:val="21"/>
          <w:highlight w:val="none"/>
        </w:rPr>
        <w:t>。</w:t>
      </w:r>
    </w:p>
    <w:p w14:paraId="29934483">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7EE04C9E">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7993393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（1）响应函；</w:t>
      </w:r>
    </w:p>
    <w:p w14:paraId="2F0E011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（2）响应承诺书；</w:t>
      </w:r>
    </w:p>
    <w:p w14:paraId="1576555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）首轮报价表(含</w:t>
      </w:r>
      <w:r>
        <w:rPr>
          <w:rFonts w:hint="eastAsia" w:ascii="宋体" w:hAnsi="宋体" w:eastAsia="宋体" w:cs="宋体"/>
          <w:color w:val="auto"/>
          <w:szCs w:val="21"/>
          <w:highlight w:val="none"/>
          <w:lang w:val="en-US" w:eastAsia="zh-CN"/>
        </w:rPr>
        <w:t>首轮响应</w:t>
      </w:r>
      <w:r>
        <w:rPr>
          <w:rFonts w:hint="eastAsia" w:ascii="宋体" w:hAnsi="宋体" w:eastAsia="宋体" w:cs="宋体"/>
          <w:color w:val="auto"/>
          <w:szCs w:val="21"/>
          <w:highlight w:val="none"/>
          <w:lang w:val="zh-CN"/>
        </w:rPr>
        <w:t>报价表)；</w:t>
      </w:r>
    </w:p>
    <w:p w14:paraId="1B98755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）响应供应商资格证明文件：</w:t>
      </w:r>
    </w:p>
    <w:p w14:paraId="19BC11AC">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3291614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响应供应商企业银行账户开户所在地区已取消企业银行账户许可，响应供应商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28C8779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w:t>
      </w:r>
      <w:r>
        <w:rPr>
          <w:rFonts w:hint="eastAsia" w:ascii="宋体" w:hAnsi="宋体" w:eastAsia="宋体" w:cs="Times New Roman"/>
          <w:color w:val="auto"/>
          <w:szCs w:val="21"/>
          <w:highlight w:val="none"/>
          <w:lang w:val="zh-CN"/>
        </w:rPr>
        <w:t>响应</w:t>
      </w:r>
      <w:r>
        <w:rPr>
          <w:rFonts w:ascii="宋体" w:hAnsi="宋体" w:eastAsia="宋体" w:cs="Times New Roman"/>
          <w:color w:val="auto"/>
          <w:szCs w:val="21"/>
          <w:highlight w:val="none"/>
          <w:lang w:val="zh-CN"/>
        </w:rPr>
        <w:t>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w:t>
      </w:r>
      <w:r>
        <w:rPr>
          <w:rFonts w:hint="eastAsia" w:ascii="宋体" w:hAnsi="宋体" w:eastAsia="宋体" w:cs="Times New Roman"/>
          <w:color w:val="auto"/>
          <w:szCs w:val="21"/>
          <w:highlight w:val="none"/>
          <w:lang w:val="zh-CN"/>
        </w:rPr>
        <w:t>响应</w:t>
      </w:r>
      <w:r>
        <w:rPr>
          <w:rFonts w:ascii="宋体" w:hAnsi="宋体" w:eastAsia="宋体" w:cs="Times New Roman"/>
          <w:color w:val="auto"/>
          <w:szCs w:val="21"/>
          <w:highlight w:val="none"/>
          <w:lang w:val="zh-CN"/>
        </w:rPr>
        <w:t>代表时同时提供法定代表人授权书）；</w:t>
      </w:r>
    </w:p>
    <w:p w14:paraId="0991D361">
      <w:pPr>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zh-CN"/>
        </w:rPr>
        <w:t>供应商须</w:t>
      </w:r>
      <w:r>
        <w:rPr>
          <w:rFonts w:hint="eastAsia" w:ascii="宋体" w:hAnsi="宋体" w:eastAsia="宋体" w:cs="Times New Roman"/>
          <w:color w:val="auto"/>
          <w:szCs w:val="21"/>
          <w:highlight w:val="none"/>
          <w:lang w:val="zh-CN" w:eastAsia="zh-CN"/>
        </w:rPr>
        <w:t>同时</w:t>
      </w:r>
      <w:r>
        <w:rPr>
          <w:rFonts w:hint="eastAsia" w:ascii="宋体" w:hAnsi="宋体" w:eastAsia="宋体" w:cs="Times New Roman"/>
          <w:color w:val="auto"/>
          <w:szCs w:val="21"/>
          <w:highlight w:val="none"/>
          <w:lang w:val="zh-CN"/>
        </w:rPr>
        <w:t>具备由住房和城乡建设部门颁发的并在有效期内的建设工程质量检测机构资质证书（须同时涵盖见证取样检测、地基基础工程检测、主体结构工程现场检测、钢结构工程检测），或者是建设工程质量检测机构综合资质证书，或者是建设工程质量检测机构专项资质证书（须同时取得建筑材料及构配件、主体结构及装饰装修、钢结构、地基基础、市政工程材料、道路工程6个专项资质）和计量行政部门颁发的CMA计量认证证书；</w:t>
      </w:r>
    </w:p>
    <w:p w14:paraId="67B630C5">
      <w:pPr>
        <w:spacing w:line="360" w:lineRule="auto"/>
        <w:ind w:left="283" w:hanging="283" w:hangingChars="135"/>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w:t>
      </w:r>
      <w:r>
        <w:rPr>
          <w:rFonts w:hint="eastAsia" w:ascii="宋体" w:hAnsi="宋体" w:eastAsia="宋体"/>
          <w:color w:val="auto"/>
          <w:szCs w:val="21"/>
          <w:highlight w:val="none"/>
        </w:rPr>
        <w:t>资格业绩【</w:t>
      </w:r>
      <w:r>
        <w:rPr>
          <w:rFonts w:hint="eastAsia" w:ascii="宋体" w:hAnsi="宋体" w:eastAsia="宋体"/>
          <w:b/>
          <w:bCs/>
          <w:color w:val="auto"/>
          <w:szCs w:val="21"/>
          <w:highlight w:val="none"/>
        </w:rPr>
        <w:t>供应商自2020年1月1日至今，在国内完成一项市政工程检测业绩，业绩的时间以合同签订的日期为准</w:t>
      </w:r>
      <w:r>
        <w:rPr>
          <w:rFonts w:hint="eastAsia" w:ascii="宋体" w:hAnsi="宋体" w:eastAsia="宋体"/>
          <w:color w:val="auto"/>
          <w:szCs w:val="21"/>
          <w:highlight w:val="none"/>
        </w:rPr>
        <w:t>，资格业绩证明材料提交要求详见</w:t>
      </w:r>
      <w:r>
        <w:rPr>
          <w:rFonts w:hint="eastAsia" w:ascii="宋体" w:hAnsi="宋体" w:eastAsia="宋体"/>
          <w:color w:val="auto"/>
          <w:szCs w:val="21"/>
          <w:highlight w:val="none"/>
          <w:lang w:val="en-US" w:eastAsia="zh-CN"/>
        </w:rPr>
        <w:t>谈判</w:t>
      </w:r>
      <w:r>
        <w:rPr>
          <w:rFonts w:hint="eastAsia" w:ascii="宋体" w:hAnsi="宋体" w:eastAsia="宋体"/>
          <w:color w:val="auto"/>
          <w:szCs w:val="21"/>
          <w:highlight w:val="none"/>
        </w:rPr>
        <w:t>文件第六篇</w:t>
      </w:r>
      <w:r>
        <w:rPr>
          <w:rFonts w:hint="eastAsia" w:ascii="宋体" w:hAnsi="宋体" w:eastAsia="宋体"/>
          <w:color w:val="auto"/>
          <w:szCs w:val="21"/>
          <w:highlight w:val="none"/>
          <w:lang w:val="en-US" w:eastAsia="zh-CN"/>
        </w:rPr>
        <w:t>响应</w:t>
      </w:r>
      <w:r>
        <w:rPr>
          <w:rFonts w:hint="eastAsia" w:ascii="宋体" w:hAnsi="宋体" w:eastAsia="宋体"/>
          <w:color w:val="auto"/>
          <w:szCs w:val="21"/>
          <w:highlight w:val="none"/>
        </w:rPr>
        <w:t>文件格式】</w:t>
      </w:r>
    </w:p>
    <w:p w14:paraId="0D31742D">
      <w:pPr>
        <w:spacing w:line="360" w:lineRule="auto"/>
        <w:ind w:left="283" w:hanging="283" w:hangingChars="135"/>
        <w:rPr>
          <w:rFonts w:hint="eastAsia" w:ascii="宋体" w:hAnsi="宋体" w:eastAsia="宋体" w:cs="Times New Roman"/>
          <w:color w:val="auto"/>
          <w:sz w:val="21"/>
          <w:szCs w:val="21"/>
          <w:highlight w:val="none"/>
          <w:lang w:val="zh-CN"/>
        </w:rPr>
      </w:pPr>
      <w:r>
        <w:rPr>
          <w:rFonts w:hint="eastAsia" w:ascii="宋体" w:hAnsi="宋体" w:eastAsia="宋体"/>
          <w:color w:val="auto"/>
          <w:szCs w:val="21"/>
          <w:highlight w:val="none"/>
          <w:lang w:val="en-US" w:eastAsia="zh-CN"/>
        </w:rPr>
        <w:t>6）最近3年响应供应商牵涉的其他（失信和违法）处罚说明</w:t>
      </w:r>
      <w:r>
        <w:rPr>
          <w:rFonts w:hint="eastAsia" w:ascii="宋体" w:hAnsi="宋体" w:eastAsia="宋体" w:cs="Times New Roman"/>
          <w:color w:val="auto"/>
          <w:sz w:val="21"/>
          <w:szCs w:val="21"/>
          <w:highlight w:val="none"/>
          <w:lang w:val="zh-CN"/>
        </w:rPr>
        <w:t>；</w:t>
      </w:r>
    </w:p>
    <w:p w14:paraId="45304FFF">
      <w:pPr>
        <w:spacing w:line="360" w:lineRule="auto"/>
        <w:ind w:left="283" w:hanging="283" w:hangingChars="135"/>
        <w:rPr>
          <w:rFonts w:hint="default" w:ascii="宋体" w:hAnsi="宋体" w:eastAsia="宋体"/>
          <w:color w:val="auto"/>
          <w:szCs w:val="21"/>
          <w:highlight w:val="none"/>
          <w:lang w:val="en-US"/>
        </w:rPr>
      </w:pPr>
      <w:r>
        <w:rPr>
          <w:rFonts w:hint="eastAsia" w:ascii="宋体" w:hAnsi="宋体" w:eastAsia="宋体" w:cstheme="minorBidi"/>
          <w:b w:val="0"/>
          <w:color w:val="auto"/>
          <w:kern w:val="2"/>
          <w:sz w:val="21"/>
          <w:szCs w:val="21"/>
          <w:highlight w:val="none"/>
          <w:lang w:val="en-US" w:eastAsia="zh-CN"/>
        </w:rPr>
        <w:t>7）</w:t>
      </w:r>
      <w:r>
        <w:rPr>
          <w:rFonts w:hint="eastAsia" w:ascii="宋体" w:hAnsi="宋体" w:eastAsia="宋体" w:cstheme="minorBidi"/>
          <w:b w:val="0"/>
          <w:color w:val="auto"/>
          <w:kern w:val="2"/>
          <w:sz w:val="21"/>
          <w:szCs w:val="21"/>
          <w:highlight w:val="none"/>
          <w:lang w:eastAsia="zh-CN"/>
        </w:rPr>
        <w:t>供应商</w:t>
      </w:r>
      <w:r>
        <w:rPr>
          <w:rFonts w:hint="default" w:ascii="宋体" w:hAnsi="宋体" w:eastAsia="宋体" w:cstheme="minorBidi"/>
          <w:b w:val="0"/>
          <w:color w:val="auto"/>
          <w:kern w:val="2"/>
          <w:sz w:val="21"/>
          <w:szCs w:val="21"/>
          <w:highlight w:val="none"/>
        </w:rPr>
        <w:t>“东莞市工程质量检测监管平台”完成注册备案相关网页截图或中标后在7个工作日内完成备案的承诺函</w:t>
      </w:r>
    </w:p>
    <w:p w14:paraId="1F2A8F8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）供应商基本情况一览表；</w:t>
      </w:r>
    </w:p>
    <w:p w14:paraId="5E381D6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合同条款响应程度（合同条款偏离表）；</w:t>
      </w:r>
    </w:p>
    <w:p w14:paraId="4DFA65B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）响应保证金汇入情况说明；</w:t>
      </w:r>
    </w:p>
    <w:p w14:paraId="174A6169">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）响应供应商资格证明文件以外的其他资质证书、知识产权证书及获得的相关获奖、认证证书、社会评价资料证明文件复印件等响应供应商认为有需要证明其具备为本次</w:t>
      </w:r>
      <w:r>
        <w:rPr>
          <w:rFonts w:hint="eastAsia" w:ascii="宋体" w:hAnsi="宋体" w:eastAsia="宋体" w:cs="Times New Roman"/>
          <w:color w:val="auto"/>
          <w:kern w:val="0"/>
          <w:szCs w:val="21"/>
          <w:highlight w:val="none"/>
        </w:rPr>
        <w:t>采购</w:t>
      </w:r>
      <w:r>
        <w:rPr>
          <w:rFonts w:hint="eastAsia" w:ascii="宋体" w:hAnsi="宋体" w:eastAsia="宋体" w:cs="宋体"/>
          <w:color w:val="auto"/>
          <w:szCs w:val="21"/>
          <w:highlight w:val="none"/>
          <w:lang w:val="zh-CN"/>
        </w:rPr>
        <w:t>项目提供货物和服务能力的有关其它商务文件（不做强制要求）。</w:t>
      </w:r>
    </w:p>
    <w:p w14:paraId="28479791">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63E90ABB">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429406FD">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2469F369">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总体实施方案（供应商自行编写）</w:t>
      </w:r>
      <w:r>
        <w:rPr>
          <w:rFonts w:hint="eastAsia" w:ascii="宋体" w:hAnsi="宋体" w:eastAsia="宋体" w:cs="Times New Roman"/>
          <w:color w:val="auto"/>
          <w:kern w:val="0"/>
          <w:szCs w:val="21"/>
          <w:highlight w:val="none"/>
          <w:lang w:val="zh-CN"/>
        </w:rPr>
        <w:t>；</w:t>
      </w:r>
    </w:p>
    <w:p w14:paraId="63BDF693">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进度保障措施（供应商自行编写）</w:t>
      </w:r>
      <w:r>
        <w:rPr>
          <w:rFonts w:hint="eastAsia" w:ascii="宋体" w:hAnsi="宋体" w:eastAsia="宋体" w:cs="宋体"/>
          <w:color w:val="auto"/>
          <w:kern w:val="0"/>
          <w:szCs w:val="21"/>
          <w:highlight w:val="none"/>
        </w:rPr>
        <w:t>；</w:t>
      </w:r>
    </w:p>
    <w:p w14:paraId="05E551C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）应急处理方案（供应商自行编写）</w:t>
      </w:r>
      <w:r>
        <w:rPr>
          <w:rFonts w:hint="eastAsia" w:ascii="宋体" w:hAnsi="宋体" w:eastAsia="宋体" w:cs="宋体"/>
          <w:color w:val="auto"/>
          <w:kern w:val="0"/>
          <w:szCs w:val="21"/>
          <w:highlight w:val="none"/>
        </w:rPr>
        <w:t>；</w:t>
      </w:r>
    </w:p>
    <w:p w14:paraId="566EE2FC">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售后服务方案（供应商自行编写）</w:t>
      </w:r>
      <w:r>
        <w:rPr>
          <w:rFonts w:hint="eastAsia" w:ascii="宋体" w:hAnsi="宋体" w:eastAsia="宋体" w:cs="宋体"/>
          <w:color w:val="auto"/>
          <w:kern w:val="0"/>
          <w:szCs w:val="21"/>
          <w:highlight w:val="none"/>
        </w:rPr>
        <w:t>；</w:t>
      </w:r>
    </w:p>
    <w:p w14:paraId="3F6AAB5D">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）响应供应商认为有必要提供的其它材料（不做强制要求）。</w:t>
      </w:r>
    </w:p>
    <w:p w14:paraId="658701AE">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首次报价信封</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2D32FCF0">
      <w:pPr>
        <w:autoSpaceDE w:val="0"/>
        <w:autoSpaceDN w:val="0"/>
        <w:adjustRightInd w:val="0"/>
        <w:spacing w:line="360" w:lineRule="auto"/>
        <w:ind w:left="35" w:leftChars="-118" w:hanging="283" w:hangingChars="1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Times New Roman"/>
          <w:b/>
          <w:color w:val="auto"/>
          <w:szCs w:val="21"/>
          <w:highlight w:val="none"/>
          <w:u w:val="single"/>
          <w:lang w:val="en-US" w:eastAsia="zh-CN"/>
        </w:rPr>
        <w:t>首轮响应报价表</w:t>
      </w:r>
    </w:p>
    <w:p w14:paraId="13C8491E">
      <w:pPr>
        <w:numPr>
          <w:ilvl w:val="0"/>
          <w:numId w:val="3"/>
        </w:numPr>
        <w:autoSpaceDE w:val="0"/>
        <w:autoSpaceDN w:val="0"/>
        <w:adjustRightInd w:val="0"/>
        <w:spacing w:line="360" w:lineRule="auto"/>
        <w:ind w:left="37" w:leftChars="-118" w:hanging="285" w:hangingChars="135"/>
        <w:rPr>
          <w:rFonts w:hint="eastAsia" w:ascii="宋体" w:hAnsi="宋体" w:eastAsia="宋体" w:cs="宋体"/>
          <w:color w:val="auto"/>
          <w:kern w:val="0"/>
          <w:szCs w:val="21"/>
          <w:highlight w:val="none"/>
        </w:rPr>
      </w:pPr>
      <w:r>
        <w:rPr>
          <w:rFonts w:hint="eastAsia" w:ascii="宋体" w:hAnsi="宋体" w:eastAsia="宋体" w:cs="Times New Roman"/>
          <w:b/>
          <w:color w:val="auto"/>
          <w:szCs w:val="21"/>
          <w:highlight w:val="none"/>
          <w:u w:val="single"/>
          <w:lang w:val="en-US" w:eastAsia="zh-CN"/>
        </w:rPr>
        <w:t>响应保证金汇入情况说明</w:t>
      </w:r>
    </w:p>
    <w:p w14:paraId="36F20787">
      <w:pPr>
        <w:numPr>
          <w:ilvl w:val="0"/>
          <w:numId w:val="3"/>
        </w:numPr>
        <w:autoSpaceDE w:val="0"/>
        <w:autoSpaceDN w:val="0"/>
        <w:adjustRightInd w:val="0"/>
        <w:spacing w:line="360" w:lineRule="auto"/>
        <w:ind w:left="37" w:leftChars="-118" w:hanging="285" w:hangingChars="135"/>
        <w:rPr>
          <w:rFonts w:hint="eastAsia" w:ascii="宋体" w:hAnsi="宋体" w:eastAsia="宋体" w:cs="宋体"/>
          <w:color w:val="auto"/>
          <w:kern w:val="0"/>
          <w:szCs w:val="21"/>
          <w:highlight w:val="none"/>
        </w:rPr>
      </w:pPr>
      <w:r>
        <w:rPr>
          <w:rFonts w:hint="eastAsia" w:ascii="宋体" w:hAnsi="宋体" w:eastAsia="宋体" w:cs="Times New Roman"/>
          <w:b/>
          <w:color w:val="auto"/>
          <w:szCs w:val="21"/>
          <w:highlight w:val="none"/>
          <w:u w:val="single"/>
          <w:lang w:val="en-US" w:eastAsia="zh-CN"/>
        </w:rPr>
        <w:t>基本存款账户</w:t>
      </w:r>
    </w:p>
    <w:p w14:paraId="4A4E7075">
      <w:pPr>
        <w:numPr>
          <w:ilvl w:val="0"/>
          <w:numId w:val="3"/>
        </w:numPr>
        <w:autoSpaceDE w:val="0"/>
        <w:autoSpaceDN w:val="0"/>
        <w:adjustRightInd w:val="0"/>
        <w:spacing w:line="360" w:lineRule="auto"/>
        <w:ind w:left="37" w:leftChars="-118" w:hanging="285" w:hangingChars="135"/>
        <w:rPr>
          <w:rFonts w:hint="eastAsia" w:ascii="宋体" w:hAnsi="宋体" w:eastAsia="宋体" w:cs="宋体"/>
          <w:color w:val="auto"/>
          <w:kern w:val="0"/>
          <w:szCs w:val="21"/>
          <w:highlight w:val="none"/>
        </w:rPr>
      </w:pPr>
      <w:r>
        <w:rPr>
          <w:rFonts w:hint="eastAsia" w:ascii="宋体" w:hAnsi="宋体" w:eastAsia="宋体" w:cs="Times New Roman"/>
          <w:b/>
          <w:color w:val="auto"/>
          <w:szCs w:val="21"/>
          <w:highlight w:val="none"/>
          <w:u w:val="single"/>
          <w:lang w:val="zh-CN"/>
        </w:rPr>
        <w:t>响应文件电子文件（</w:t>
      </w:r>
      <w:r>
        <w:rPr>
          <w:rFonts w:hint="eastAsia" w:ascii="宋体" w:hAnsi="宋体" w:eastAsia="宋体" w:cs="宋体"/>
          <w:color w:val="auto"/>
          <w:kern w:val="0"/>
          <w:szCs w:val="21"/>
          <w:highlight w:val="none"/>
        </w:rPr>
        <w:t>签字、盖章后的响应文件扫描版PDF格式电子文件</w:t>
      </w:r>
      <w:r>
        <w:rPr>
          <w:rFonts w:hint="eastAsia" w:ascii="宋体" w:hAnsi="宋体" w:eastAsia="宋体" w:cs="Times New Roman"/>
          <w:b/>
          <w:color w:val="auto"/>
          <w:szCs w:val="21"/>
          <w:highlight w:val="none"/>
          <w:u w:val="single"/>
          <w:lang w:val="zh-CN"/>
        </w:rPr>
        <w:t>）</w:t>
      </w:r>
      <w:r>
        <w:rPr>
          <w:rFonts w:hint="eastAsia" w:ascii="宋体" w:hAnsi="宋体" w:eastAsia="宋体" w:cs="宋体"/>
          <w:color w:val="auto"/>
          <w:kern w:val="0"/>
          <w:szCs w:val="21"/>
          <w:highlight w:val="none"/>
        </w:rPr>
        <w:t>。</w:t>
      </w:r>
    </w:p>
    <w:p w14:paraId="75E9112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响应供应商按照响应文件的组成目录编制响应文件应包括上述内容，但不限于上述内容。谈判文件提供了相关格式的，严格按照谈判文件的要求编制，响应文件未含格式的，响应供应商自行编制。响应文件编制中要求的复印件可为该资料扫描件的打印件。</w:t>
      </w:r>
    </w:p>
    <w:p w14:paraId="0B7BD72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响应文件中相关证件、证书、合同、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签字、盖章真实，否则视为无效证明材料；响应文件中存在外文资料的，响应供应商必须同时提供中文译本，且必须保证中文译本的准确，否则采购人不予认可，视为无效材料；响应供应商须承担因此对应造成响应无效，或评审时因无效证明材料不予认可，或拒绝接受响应的风险</w:t>
      </w:r>
      <w:r>
        <w:rPr>
          <w:rFonts w:hint="eastAsia" w:ascii="宋体" w:hAnsi="宋体" w:eastAsia="宋体" w:cs="宋体"/>
          <w:color w:val="auto"/>
          <w:szCs w:val="21"/>
          <w:highlight w:val="none"/>
          <w:lang w:val="zh-CN"/>
        </w:rPr>
        <w:t>。</w:t>
      </w:r>
    </w:p>
    <w:p w14:paraId="2D35A04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3E55899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2" w:name="_Toc160099444"/>
      <w:bookmarkStart w:id="83" w:name="_Toc450662860"/>
      <w:bookmarkStart w:id="84" w:name="_Toc8675_WPSOffice_Level3"/>
      <w:bookmarkStart w:id="85" w:name="_Toc486167674"/>
      <w:bookmarkStart w:id="86" w:name="_Toc3275"/>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响应函</w:t>
      </w:r>
      <w:bookmarkEnd w:id="82"/>
      <w:bookmarkEnd w:id="83"/>
      <w:bookmarkEnd w:id="84"/>
      <w:bookmarkEnd w:id="85"/>
      <w:bookmarkEnd w:id="86"/>
    </w:p>
    <w:p w14:paraId="22CCE3C1">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响应供应商应完整填写响应文件格式中规定的响应函。</w:t>
      </w:r>
    </w:p>
    <w:p w14:paraId="2021A8AD">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407D310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7" w:name="_Toc160099445"/>
      <w:bookmarkStart w:id="88" w:name="_Toc450662861"/>
      <w:bookmarkStart w:id="89" w:name="_Toc4385_WPSOffice_Level3"/>
      <w:bookmarkStart w:id="90" w:name="_Toc486167675"/>
      <w:bookmarkStart w:id="91" w:name="_Toc17607"/>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响应报价</w:t>
      </w:r>
      <w:bookmarkEnd w:id="87"/>
      <w:bookmarkEnd w:id="88"/>
      <w:bookmarkEnd w:id="89"/>
      <w:bookmarkEnd w:id="90"/>
      <w:bookmarkEnd w:id="91"/>
    </w:p>
    <w:p w14:paraId="424D29EB">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本项目最终报价只允许有一个报价价格</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响应报价将不予接受，</w:t>
      </w:r>
      <w:r>
        <w:rPr>
          <w:rFonts w:hint="eastAsia" w:ascii="宋体" w:hAnsi="宋体" w:eastAsia="宋体" w:cs="Times New Roman"/>
          <w:b/>
          <w:color w:val="auto"/>
          <w:kern w:val="0"/>
          <w:szCs w:val="21"/>
          <w:highlight w:val="none"/>
          <w:lang w:val="zh-CN"/>
        </w:rPr>
        <w:t>作为非实质性响应响应而予以拒绝。</w:t>
      </w:r>
      <w:r>
        <w:rPr>
          <w:rFonts w:hint="eastAsia" w:ascii="宋体" w:hAnsi="宋体" w:eastAsia="宋体" w:cs="Times New Roman"/>
          <w:b/>
          <w:color w:val="auto"/>
          <w:kern w:val="0"/>
          <w:szCs w:val="21"/>
          <w:highlight w:val="none"/>
          <w:lang w:eastAsia="zh-CN"/>
        </w:rPr>
        <w:t>供应商</w:t>
      </w:r>
      <w:r>
        <w:rPr>
          <w:rFonts w:hint="eastAsia" w:ascii="宋体" w:hAnsi="宋体" w:eastAsia="宋体" w:cs="Times New Roman"/>
          <w:b/>
          <w:color w:val="auto"/>
          <w:kern w:val="0"/>
          <w:szCs w:val="21"/>
          <w:highlight w:val="none"/>
        </w:rPr>
        <w:t>不得以低于企业自身成本的价格竞投</w:t>
      </w:r>
      <w:r>
        <w:rPr>
          <w:rFonts w:hint="eastAsia" w:ascii="宋体" w:hAnsi="宋体" w:eastAsia="宋体" w:cs="宋体"/>
          <w:b/>
          <w:color w:val="auto"/>
          <w:szCs w:val="21"/>
          <w:highlight w:val="none"/>
          <w:lang w:val="zh-CN"/>
        </w:rPr>
        <w:t>。</w:t>
      </w:r>
    </w:p>
    <w:p w14:paraId="68C0CB11">
      <w:pPr>
        <w:tabs>
          <w:tab w:val="left" w:pos="567"/>
        </w:tabs>
        <w:autoSpaceDE w:val="0"/>
        <w:autoSpaceDN w:val="0"/>
        <w:adjustRightInd w:val="0"/>
        <w:spacing w:line="360" w:lineRule="auto"/>
        <w:ind w:left="420" w:leftChars="200" w:firstLine="272" w:firstLineChars="12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供应商出现超低报价，有可能影响服务质量和不能诚信履约的，谈判小组将要求该供应商作出书面说明并提供相关证明材料，以确定供应商是否以低于企业成本价报价。若供应商不能合理说明或不能提供相关证明材料的，谈判小组将认定其</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lang w:val="zh-CN"/>
        </w:rPr>
        <w:t>报价低于成本，同时否决其</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lang w:val="zh-CN"/>
        </w:rPr>
        <w:t>。</w:t>
      </w:r>
    </w:p>
    <w:p w14:paraId="54E1B0D3">
      <w:pPr>
        <w:tabs>
          <w:tab w:val="left" w:pos="567"/>
        </w:tabs>
        <w:autoSpaceDE w:val="0"/>
        <w:autoSpaceDN w:val="0"/>
        <w:adjustRightInd w:val="0"/>
        <w:spacing w:line="360" w:lineRule="auto"/>
        <w:ind w:left="420" w:leftChars="200" w:firstLine="272" w:firstLineChars="129"/>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lang w:val="zh-CN"/>
        </w:rPr>
        <w:t>文件，谈判小组成员将以记名方式表决，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的供应商才有资格进入下一阶段的评审，否则将按无效</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lang w:val="zh-CN"/>
        </w:rPr>
        <w:t>处理。</w:t>
      </w:r>
    </w:p>
    <w:p w14:paraId="593E87C2">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p>
    <w:p w14:paraId="165B2F0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本项目响应报价为</w:t>
      </w:r>
      <w:r>
        <w:rPr>
          <w:rFonts w:hint="eastAsia" w:ascii="宋体" w:hAnsi="宋体" w:eastAsia="宋体" w:cs="Times New Roman"/>
          <w:b/>
          <w:color w:val="auto"/>
          <w:szCs w:val="21"/>
          <w:highlight w:val="none"/>
          <w:u w:val="single"/>
          <w:lang w:val="en-US" w:eastAsia="zh-CN"/>
        </w:rPr>
        <w:t>不</w:t>
      </w:r>
      <w:r>
        <w:rPr>
          <w:rFonts w:hint="eastAsia" w:ascii="宋体" w:hAnsi="宋体" w:eastAsia="宋体" w:cs="Times New Roman"/>
          <w:b/>
          <w:color w:val="auto"/>
          <w:szCs w:val="21"/>
          <w:highlight w:val="none"/>
          <w:u w:val="single"/>
          <w:lang w:val="zh-CN"/>
        </w:rPr>
        <w:t>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谈判文件所称的不含税价和不含税合同价是指不含本采购项目供应商的销项税额，包含了响应供应商完成合同义务（含响应供应商代缴代扣）的其他全部费用。本采购项目的销项税额由采购人承担，不计入响应报价。</w:t>
      </w:r>
      <w:r>
        <w:rPr>
          <w:rFonts w:hint="eastAsia" w:ascii="宋体" w:hAnsi="宋体" w:eastAsia="宋体" w:cs="宋体"/>
          <w:color w:val="auto"/>
          <w:kern w:val="0"/>
          <w:szCs w:val="21"/>
          <w:highlight w:val="none"/>
        </w:rPr>
        <w:t>本采购项目</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报价已含响应供应商履行本</w:t>
      </w:r>
      <w:r>
        <w:rPr>
          <w:rFonts w:hint="eastAsia" w:ascii="宋体" w:hAnsi="宋体" w:eastAsia="宋体" w:cs="Times New Roman"/>
          <w:color w:val="auto"/>
          <w:kern w:val="0"/>
          <w:szCs w:val="21"/>
          <w:highlight w:val="none"/>
        </w:rPr>
        <w:t>采购</w:t>
      </w:r>
      <w:r>
        <w:rPr>
          <w:rFonts w:hint="eastAsia" w:ascii="宋体" w:hAnsi="宋体" w:eastAsia="宋体" w:cs="宋体"/>
          <w:color w:val="auto"/>
          <w:kern w:val="0"/>
          <w:szCs w:val="21"/>
          <w:highlight w:val="none"/>
        </w:rPr>
        <w:t xml:space="preserve">内容全部义务的一切费用，包括但不限于： </w:t>
      </w:r>
    </w:p>
    <w:p w14:paraId="005FBDBD">
      <w:pPr>
        <w:autoSpaceDE/>
        <w:autoSpaceDN/>
        <w:adjustRightInd w:val="0"/>
        <w:snapToGrid w:val="0"/>
        <w:spacing w:line="360" w:lineRule="auto"/>
        <w:ind w:left="0" w:leftChars="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rPr>
        <w:t>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检测人销项税额以外的税金等，报价过程产生的费用、交易（成交）服务费、办理履约担保费用、水电及进退场、差旅、驻地、办公设施、用品、食宿费、交通、通讯、施工配合费、保险费、风险费、检测方案的审查及专家论证费等完成本项目服务相关的直接及间接费用。除另有约定外，本工程检测（试验）的不含税综合单价在合同实施期间不因任何因素而调整（包括但不限于工程的工期延长、检测工作量变化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及项目业主也不承担任何额外费用。检测时，如需土建施工单位配合或向其租借设备时，</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自行与施工单位协调，配合及租借费用已包括在不含税综合单价内。</w:t>
      </w:r>
    </w:p>
    <w:p w14:paraId="0EACCF6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响应供应商根据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所报的价格分项仅供谈判小组评审时使用；在任何情况下不限制响应供应商以不同的条件成交的权利。</w:t>
      </w:r>
    </w:p>
    <w:p w14:paraId="2B223C89">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1E7449D5">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合同项下，采购人需要的货物及服务所需的费用，响应供应商都应计入响应报价总价。</w:t>
      </w:r>
    </w:p>
    <w:p w14:paraId="30AD5510">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u w:val="single"/>
          <w:lang w:val="en-US" w:eastAsia="zh-CN"/>
        </w:rPr>
        <w:t>本项目报价方式</w:t>
      </w:r>
      <w:r>
        <w:rPr>
          <w:rFonts w:hint="eastAsia" w:ascii="宋体" w:hAnsi="宋体" w:eastAsia="宋体" w:cs="Times New Roman"/>
          <w:b/>
          <w:bCs/>
          <w:color w:val="auto"/>
          <w:szCs w:val="21"/>
          <w:highlight w:val="none"/>
          <w:u w:val="single"/>
        </w:rPr>
        <w:t>为检测服务系数，报价人填报的检测服务系数≤0.80（保留小数点后2位</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lang w:val="en-US" w:eastAsia="zh-CN"/>
        </w:rPr>
        <w:t>且不能为0.00或负数</w:t>
      </w:r>
      <w:r>
        <w:rPr>
          <w:rFonts w:hint="eastAsia" w:ascii="宋体" w:hAnsi="宋体" w:eastAsia="宋体" w:cs="Times New Roman"/>
          <w:b/>
          <w:bCs/>
          <w:color w:val="auto"/>
          <w:szCs w:val="21"/>
          <w:highlight w:val="none"/>
          <w:u w:val="single"/>
        </w:rPr>
        <w:t>）</w:t>
      </w:r>
      <w:r>
        <w:rPr>
          <w:rFonts w:hint="eastAsia" w:ascii="宋体" w:hAnsi="宋体" w:eastAsia="宋体" w:cs="Times New Roman"/>
          <w:b/>
          <w:bCs/>
          <w:color w:val="auto"/>
          <w:szCs w:val="21"/>
          <w:highlight w:val="none"/>
          <w:u w:val="single"/>
          <w:lang w:eastAsia="zh-CN"/>
        </w:rPr>
        <w:t>。</w:t>
      </w:r>
      <w:r>
        <w:rPr>
          <w:rFonts w:hint="eastAsia" w:ascii="宋体" w:hAnsi="宋体" w:eastAsia="宋体" w:cs="宋体"/>
          <w:b/>
          <w:color w:val="auto"/>
          <w:szCs w:val="21"/>
          <w:highlight w:val="none"/>
          <w:u w:val="single"/>
          <w:lang w:val="zh-CN"/>
        </w:rPr>
        <w:t>响应供应商</w:t>
      </w:r>
      <w:r>
        <w:rPr>
          <w:rFonts w:hint="eastAsia" w:ascii="宋体" w:hAnsi="宋体" w:eastAsia="宋体" w:cs="Times New Roman"/>
          <w:b/>
          <w:bCs/>
          <w:color w:val="auto"/>
          <w:kern w:val="0"/>
          <w:szCs w:val="24"/>
          <w:highlight w:val="none"/>
          <w:u w:val="single"/>
        </w:rPr>
        <w:t>的</w:t>
      </w:r>
      <w:r>
        <w:rPr>
          <w:rFonts w:hint="eastAsia" w:ascii="宋体" w:hAnsi="宋体" w:eastAsia="宋体" w:cs="Times New Roman"/>
          <w:b/>
          <w:bCs/>
          <w:color w:val="auto"/>
          <w:kern w:val="0"/>
          <w:szCs w:val="24"/>
          <w:highlight w:val="none"/>
          <w:u w:val="single"/>
          <w:lang w:eastAsia="zh-CN"/>
        </w:rPr>
        <w:t>响应</w:t>
      </w:r>
      <w:r>
        <w:rPr>
          <w:rFonts w:hint="eastAsia" w:ascii="宋体" w:hAnsi="宋体" w:eastAsia="宋体" w:cs="Times New Roman"/>
          <w:b/>
          <w:bCs/>
          <w:color w:val="auto"/>
          <w:kern w:val="0"/>
          <w:szCs w:val="24"/>
          <w:highlight w:val="none"/>
          <w:u w:val="single"/>
        </w:rPr>
        <w:t>报价高于</w:t>
      </w:r>
      <w:r>
        <w:rPr>
          <w:rFonts w:hint="eastAsia" w:ascii="宋体" w:hAnsi="宋体" w:eastAsia="宋体" w:cs="Times New Roman"/>
          <w:b/>
          <w:bCs/>
          <w:color w:val="auto"/>
          <w:kern w:val="0"/>
          <w:szCs w:val="24"/>
          <w:highlight w:val="none"/>
          <w:u w:val="single"/>
          <w:lang w:eastAsia="zh-CN"/>
        </w:rPr>
        <w:t>响应</w:t>
      </w:r>
      <w:r>
        <w:rPr>
          <w:rFonts w:hint="eastAsia" w:ascii="宋体" w:hAnsi="宋体" w:eastAsia="宋体" w:cs="Times New Roman"/>
          <w:b/>
          <w:bCs/>
          <w:color w:val="auto"/>
          <w:kern w:val="0"/>
          <w:szCs w:val="24"/>
          <w:highlight w:val="none"/>
          <w:u w:val="single"/>
        </w:rPr>
        <w:t>最高限价的，该响应供应商的响应文件将被视为无效</w:t>
      </w:r>
      <w:r>
        <w:rPr>
          <w:rFonts w:hint="eastAsia" w:ascii="宋体" w:hAnsi="宋体" w:eastAsia="宋体" w:cs="Times New Roman"/>
          <w:b/>
          <w:bCs/>
          <w:color w:val="auto"/>
          <w:kern w:val="0"/>
          <w:szCs w:val="24"/>
          <w:highlight w:val="none"/>
          <w:u w:val="single"/>
          <w:lang w:eastAsia="zh-CN"/>
        </w:rPr>
        <w:t>响应</w:t>
      </w:r>
      <w:r>
        <w:rPr>
          <w:rFonts w:hint="eastAsia" w:ascii="宋体" w:hAnsi="宋体" w:eastAsia="宋体" w:cs="Times New Roman"/>
          <w:b/>
          <w:bCs/>
          <w:color w:val="auto"/>
          <w:kern w:val="0"/>
          <w:szCs w:val="24"/>
          <w:highlight w:val="none"/>
          <w:u w:val="single"/>
          <w:lang w:val="en-US" w:eastAsia="zh-CN"/>
        </w:rPr>
        <w:t>文件</w:t>
      </w:r>
      <w:r>
        <w:rPr>
          <w:rFonts w:hint="eastAsia" w:ascii="宋体" w:hAnsi="宋体" w:eastAsia="宋体" w:cs="宋体"/>
          <w:b/>
          <w:color w:val="auto"/>
          <w:szCs w:val="21"/>
          <w:highlight w:val="none"/>
          <w:u w:val="single"/>
          <w:lang w:val="zh-CN"/>
        </w:rPr>
        <w:t>。本项目</w:t>
      </w:r>
      <w:r>
        <w:rPr>
          <w:rFonts w:hint="eastAsia" w:ascii="宋体" w:hAnsi="宋体" w:eastAsia="宋体" w:cs="宋体"/>
          <w:b/>
          <w:color w:val="auto"/>
          <w:szCs w:val="21"/>
          <w:highlight w:val="none"/>
          <w:u w:val="single"/>
          <w:lang w:val="en-US" w:eastAsia="zh-CN"/>
        </w:rPr>
        <w:t>不含税</w:t>
      </w:r>
      <w:r>
        <w:rPr>
          <w:rFonts w:hint="eastAsia" w:ascii="宋体" w:hAnsi="宋体" w:eastAsia="宋体" w:cs="宋体"/>
          <w:b/>
          <w:color w:val="auto"/>
          <w:szCs w:val="21"/>
          <w:highlight w:val="none"/>
          <w:u w:val="single"/>
          <w:lang w:val="zh-CN"/>
        </w:rPr>
        <w:t>总</w:t>
      </w:r>
      <w:r>
        <w:rPr>
          <w:rFonts w:hint="eastAsia" w:ascii="宋体" w:hAnsi="宋体" w:eastAsia="宋体" w:cs="宋体"/>
          <w:b/>
          <w:color w:val="auto"/>
          <w:szCs w:val="21"/>
          <w:highlight w:val="none"/>
          <w:u w:val="single"/>
          <w:lang w:val="en-US" w:eastAsia="zh-CN"/>
        </w:rPr>
        <w:t>采购</w:t>
      </w:r>
      <w:r>
        <w:rPr>
          <w:rFonts w:hint="eastAsia" w:ascii="宋体" w:hAnsi="宋体" w:eastAsia="宋体" w:cs="宋体"/>
          <w:b/>
          <w:color w:val="auto"/>
          <w:szCs w:val="21"/>
          <w:highlight w:val="none"/>
          <w:u w:val="single"/>
          <w:lang w:val="zh-CN"/>
        </w:rPr>
        <w:t>限价为：914,978.96元（已按0.8折扣系数计算）</w:t>
      </w:r>
      <w:r>
        <w:rPr>
          <w:rFonts w:hint="eastAsia"/>
          <w:color w:val="auto"/>
          <w:highlight w:val="none"/>
          <w:lang w:eastAsia="zh-CN"/>
        </w:rPr>
        <w:t>，</w:t>
      </w:r>
      <w:r>
        <w:rPr>
          <w:rFonts w:hint="eastAsia" w:ascii="宋体" w:hAnsi="宋体" w:eastAsia="宋体" w:cs="宋体"/>
          <w:b/>
          <w:color w:val="auto"/>
          <w:szCs w:val="21"/>
          <w:highlight w:val="none"/>
          <w:u w:val="single"/>
          <w:lang w:val="zh-CN"/>
        </w:rPr>
        <w:t>。</w:t>
      </w:r>
    </w:p>
    <w:p w14:paraId="3371498C">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DA95DF3">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92" w:name="_Toc30042_WPSOffice_Level3"/>
      <w:bookmarkStart w:id="93" w:name="_Toc450662862"/>
      <w:bookmarkStart w:id="94" w:name="_Toc486167676"/>
      <w:bookmarkStart w:id="95" w:name="_Toc160099446"/>
      <w:bookmarkStart w:id="96" w:name="_Toc13994"/>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响应报价货币</w:t>
      </w:r>
      <w:bookmarkEnd w:id="92"/>
      <w:bookmarkEnd w:id="93"/>
      <w:bookmarkEnd w:id="94"/>
      <w:bookmarkEnd w:id="95"/>
      <w:bookmarkEnd w:id="96"/>
    </w:p>
    <w:p w14:paraId="05A95A0C">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响应</w:t>
      </w:r>
      <w:r>
        <w:rPr>
          <w:rFonts w:hint="eastAsia" w:ascii="宋体" w:hAnsi="宋体" w:eastAsia="宋体" w:cs="Times New Roman"/>
          <w:b/>
          <w:color w:val="auto"/>
          <w:szCs w:val="21"/>
          <w:highlight w:val="none"/>
          <w:lang w:val="zh-CN"/>
        </w:rPr>
        <w:t>报价须以人民币报价，以其它货币标价的响应将予以拒绝</w:t>
      </w:r>
      <w:r>
        <w:rPr>
          <w:rFonts w:hint="eastAsia" w:ascii="宋体" w:hAnsi="宋体" w:eastAsia="宋体" w:cs="宋体"/>
          <w:b/>
          <w:color w:val="auto"/>
          <w:szCs w:val="21"/>
          <w:highlight w:val="none"/>
          <w:lang w:val="zh-CN"/>
        </w:rPr>
        <w:t>。</w:t>
      </w:r>
    </w:p>
    <w:p w14:paraId="79E04DD1">
      <w:pPr>
        <w:autoSpaceDE w:val="0"/>
        <w:autoSpaceDN w:val="0"/>
        <w:adjustRightInd w:val="0"/>
        <w:spacing w:line="360" w:lineRule="auto"/>
        <w:ind w:left="265" w:leftChars="119" w:hanging="15"/>
        <w:rPr>
          <w:rFonts w:ascii="宋体" w:hAnsi="宋体" w:eastAsia="宋体" w:cs="宋体"/>
          <w:color w:val="auto"/>
          <w:szCs w:val="21"/>
          <w:highlight w:val="none"/>
        </w:rPr>
      </w:pPr>
    </w:p>
    <w:p w14:paraId="06864064">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7" w:name="_Toc9411_WPSOffice_Level3"/>
      <w:bookmarkStart w:id="98" w:name="_Toc486167677"/>
      <w:bookmarkStart w:id="99" w:name="_Toc450662863"/>
      <w:bookmarkStart w:id="100" w:name="_Toc160099447"/>
      <w:bookmarkStart w:id="101" w:name="_Toc8169"/>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证明响应供应商的合格性和资格的声明文件</w:t>
      </w:r>
      <w:bookmarkEnd w:id="97"/>
      <w:bookmarkEnd w:id="98"/>
      <w:bookmarkEnd w:id="99"/>
      <w:bookmarkEnd w:id="100"/>
      <w:bookmarkEnd w:id="101"/>
    </w:p>
    <w:p w14:paraId="7F9744E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根据第2条、第13.2款规定，响应供应商须提交证明其有资格进行响应和有能力履行合同的文件，作为响应文件的一部分。</w:t>
      </w:r>
    </w:p>
    <w:p w14:paraId="34F025C4">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13.2 </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供应商提供的履行合同的资格声明文件应符合：</w:t>
      </w:r>
    </w:p>
    <w:p w14:paraId="22826CFB">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val="zh-CN"/>
        </w:rPr>
        <w:t>文件合格供应商应当具备的条件；</w:t>
      </w:r>
    </w:p>
    <w:p w14:paraId="51641C88">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供应商具有履行本项目所必须的证明文件；</w:t>
      </w:r>
    </w:p>
    <w:p w14:paraId="668F753A">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供应商证明其相应资格符合或优于</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val="zh-CN"/>
        </w:rPr>
        <w:t>文件要求的其它文件。</w:t>
      </w:r>
    </w:p>
    <w:p w14:paraId="0181744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w:t>
      </w: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响应供应商</w:t>
      </w:r>
      <w:r>
        <w:rPr>
          <w:rFonts w:hint="eastAsia" w:ascii="宋体" w:hAnsi="宋体" w:eastAsia="宋体" w:cs="Times New Roman"/>
          <w:color w:val="auto"/>
          <w:szCs w:val="21"/>
          <w:highlight w:val="none"/>
          <w:lang w:val="zh-CN"/>
        </w:rPr>
        <w:t>根据谈判文件载明的货物和服务要求的实际情况，拟在成交后将成交项目的非主体、非关键性专业工作交由他人完成的，应当在响应文件中载明，并提供他人的资质、能力证明材料</w:t>
      </w:r>
      <w:r>
        <w:rPr>
          <w:rFonts w:hint="eastAsia" w:ascii="宋体" w:hAnsi="宋体" w:eastAsia="宋体" w:cs="宋体"/>
          <w:color w:val="auto"/>
          <w:szCs w:val="21"/>
          <w:highlight w:val="none"/>
          <w:lang w:val="zh-CN"/>
        </w:rPr>
        <w:t>。</w:t>
      </w:r>
    </w:p>
    <w:p w14:paraId="1AC4E0E8">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3BE5937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 w:name="_Toc16937"/>
      <w:bookmarkStart w:id="103" w:name="_Toc160099448"/>
      <w:bookmarkStart w:id="104" w:name="_Toc27771_WPSOffice_Level3"/>
      <w:bookmarkStart w:id="105" w:name="_Toc450662864"/>
      <w:bookmarkStart w:id="106" w:name="_Toc48616767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证明货物和服务的合格性并符合谈判文件规定的声明文件</w:t>
      </w:r>
      <w:bookmarkEnd w:id="102"/>
      <w:bookmarkEnd w:id="103"/>
      <w:bookmarkEnd w:id="104"/>
      <w:bookmarkEnd w:id="105"/>
      <w:bookmarkEnd w:id="106"/>
    </w:p>
    <w:p w14:paraId="05E630AD">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条规定，响应供应商须提交证明其拟供货物的合格性并符合谈判文件规定的声明文件，作为响应文件的一部分。</w:t>
      </w:r>
    </w:p>
    <w:p w14:paraId="12448C5E">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w:t>
      </w:r>
      <w:r>
        <w:rPr>
          <w:rFonts w:hint="eastAsia" w:ascii="宋体" w:hAnsi="宋体" w:eastAsia="宋体" w:cs="宋体"/>
          <w:color w:val="auto"/>
          <w:szCs w:val="21"/>
          <w:highlight w:val="none"/>
          <w:lang w:val="zh-CN"/>
        </w:rPr>
        <w:t>和服务与谈判文件的要求相一致的文件可以是文字资料、图纸和数据资料。</w:t>
      </w:r>
    </w:p>
    <w:p w14:paraId="4F86B126">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供应商应注意本竞争性谈判文件在《用户需求书》中对服务要求的说明只是概括性的，不能理解为所需要的全部服务的要求，供应商应按国家、行业相关技术标准、规范和以往的服务经验，合格优质的完成采购内容和包含的全部服务。凡标有“★”的地方均被视为重要的技术指标要求或性能要求。供应商要特别加以注意，必须对此回答并完全满足这些要求，否则若有一项带“★”的条款未响应或不满足，将按无效响应处理。</w:t>
      </w:r>
    </w:p>
    <w:p w14:paraId="4B356FC5">
      <w:pPr>
        <w:autoSpaceDE w:val="0"/>
        <w:autoSpaceDN w:val="0"/>
        <w:adjustRightInd w:val="0"/>
        <w:spacing w:line="360" w:lineRule="auto"/>
        <w:rPr>
          <w:rFonts w:ascii="宋体" w:hAnsi="宋体" w:eastAsia="宋体" w:cs="Times New Roman"/>
          <w:color w:val="auto"/>
          <w:kern w:val="0"/>
          <w:sz w:val="24"/>
          <w:szCs w:val="24"/>
          <w:highlight w:val="none"/>
        </w:rPr>
      </w:pPr>
    </w:p>
    <w:p w14:paraId="330D594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7" w:name="_Toc12647"/>
      <w:bookmarkStart w:id="108" w:name="_Toc160099449"/>
      <w:bookmarkStart w:id="109" w:name="_Toc486167679"/>
      <w:bookmarkStart w:id="110" w:name="_Toc5356_WPSOffice_Level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响应保证金</w:t>
      </w:r>
      <w:bookmarkEnd w:id="107"/>
      <w:bookmarkEnd w:id="108"/>
      <w:bookmarkEnd w:id="109"/>
      <w:bookmarkEnd w:id="110"/>
    </w:p>
    <w:p w14:paraId="4C452F6B">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lang w:eastAsia="zh-CN"/>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供应商响应时须附有响应保证金</w:t>
      </w:r>
      <w:r>
        <w:rPr>
          <w:rFonts w:hint="eastAsia" w:ascii="宋体" w:hAnsi="宋体" w:eastAsia="宋体" w:cs="宋体"/>
          <w:b/>
          <w:bCs/>
          <w:color w:val="auto"/>
          <w:kern w:val="0"/>
          <w:szCs w:val="21"/>
          <w:highlight w:val="none"/>
          <w:u w:val="single"/>
        </w:rPr>
        <w:t>1</w:t>
      </w:r>
      <w:r>
        <w:rPr>
          <w:rFonts w:hint="eastAsia" w:ascii="宋体" w:hAnsi="宋体" w:eastAsia="宋体" w:cs="宋体"/>
          <w:b/>
          <w:bCs/>
          <w:color w:val="auto"/>
          <w:kern w:val="0"/>
          <w:szCs w:val="21"/>
          <w:highlight w:val="none"/>
          <w:u w:val="single"/>
          <w:lang w:val="en-US" w:eastAsia="zh-CN"/>
        </w:rPr>
        <w:t>8</w:t>
      </w:r>
      <w:r>
        <w:rPr>
          <w:rFonts w:hint="eastAsia" w:ascii="宋体" w:hAnsi="宋体" w:eastAsia="宋体" w:cs="宋体"/>
          <w:b/>
          <w:bCs/>
          <w:color w:val="auto"/>
          <w:kern w:val="0"/>
          <w:szCs w:val="21"/>
          <w:highlight w:val="none"/>
          <w:u w:val="single"/>
        </w:rPr>
        <w:t>000</w:t>
      </w:r>
      <w:r>
        <w:rPr>
          <w:rFonts w:hint="eastAsia" w:ascii="宋体" w:hAnsi="宋体" w:eastAsia="宋体" w:cs="宋体"/>
          <w:b/>
          <w:bCs/>
          <w:color w:val="auto"/>
          <w:kern w:val="0"/>
          <w:szCs w:val="21"/>
          <w:highlight w:val="none"/>
          <w:u w:val="single"/>
          <w:lang w:val="en-US" w:eastAsia="zh-CN"/>
        </w:rPr>
        <w:t>.00</w:t>
      </w:r>
      <w:r>
        <w:rPr>
          <w:rFonts w:hint="eastAsia" w:ascii="宋体" w:hAnsi="宋体" w:eastAsia="宋体" w:cs="宋体"/>
          <w:b/>
          <w:bCs/>
          <w:color w:val="auto"/>
          <w:kern w:val="0"/>
          <w:szCs w:val="21"/>
          <w:highlight w:val="none"/>
          <w:u w:val="single"/>
          <w:lang w:val="zh-CN"/>
        </w:rPr>
        <w:t xml:space="preserve"> </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eastAsia="zh-CN"/>
        </w:rPr>
        <w:t>壹万</w:t>
      </w:r>
      <w:r>
        <w:rPr>
          <w:rFonts w:hint="eastAsia" w:ascii="宋体" w:hAnsi="宋体" w:eastAsia="宋体" w:cs="宋体"/>
          <w:b/>
          <w:color w:val="auto"/>
          <w:kern w:val="0"/>
          <w:szCs w:val="21"/>
          <w:highlight w:val="none"/>
          <w:u w:val="single"/>
          <w:lang w:val="en-US" w:eastAsia="zh-CN"/>
        </w:rPr>
        <w:t>捌</w:t>
      </w:r>
      <w:r>
        <w:rPr>
          <w:rFonts w:hint="eastAsia" w:ascii="宋体" w:hAnsi="宋体" w:eastAsia="宋体" w:cs="宋体"/>
          <w:b/>
          <w:color w:val="auto"/>
          <w:kern w:val="0"/>
          <w:szCs w:val="21"/>
          <w:highlight w:val="none"/>
          <w:u w:val="single"/>
          <w:lang w:eastAsia="zh-CN"/>
        </w:rPr>
        <w:t>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lang w:eastAsia="zh-CN"/>
        </w:rPr>
        <w:t>。</w:t>
      </w:r>
    </w:p>
    <w:p w14:paraId="47360069">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供应商</w:t>
      </w:r>
      <w:r>
        <w:rPr>
          <w:rFonts w:hint="eastAsia" w:ascii="宋体" w:hAnsi="宋体" w:eastAsia="宋体" w:cs="宋体"/>
          <w:color w:val="auto"/>
          <w:kern w:val="0"/>
          <w:szCs w:val="21"/>
          <w:highlight w:val="none"/>
        </w:rPr>
        <w:t>应按要求提交</w:t>
      </w:r>
      <w:r>
        <w:rPr>
          <w:rFonts w:hint="eastAsia" w:ascii="宋体" w:hAnsi="宋体" w:eastAsia="宋体" w:cs="宋体"/>
          <w:color w:val="auto"/>
          <w:kern w:val="0"/>
          <w:szCs w:val="21"/>
          <w:highlight w:val="none"/>
          <w:lang w:eastAsia="zh-CN"/>
        </w:rPr>
        <w:t>响应保证金</w:t>
      </w:r>
      <w:r>
        <w:rPr>
          <w:rFonts w:hint="eastAsia" w:ascii="宋体" w:hAnsi="宋体" w:eastAsia="宋体" w:cs="宋体"/>
          <w:color w:val="auto"/>
          <w:kern w:val="0"/>
          <w:szCs w:val="21"/>
          <w:highlight w:val="none"/>
        </w:rPr>
        <w:t>，</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必须通过本单位银行基本账户采用银行转账、电汇形式缴交，</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与交款人名称必须一致，非</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缴纳的或未通过其基本账户提交的</w:t>
      </w:r>
      <w:r>
        <w:rPr>
          <w:rFonts w:hint="eastAsia" w:ascii="宋体" w:hAnsi="宋体" w:eastAsia="宋体" w:cs="Times New Roman"/>
          <w:b/>
          <w:color w:val="auto"/>
          <w:kern w:val="0"/>
          <w:szCs w:val="21"/>
          <w:highlight w:val="none"/>
          <w:u w:val="single"/>
          <w:lang w:eastAsia="zh-CN"/>
        </w:rPr>
        <w:t>响应保证金</w:t>
      </w:r>
      <w:r>
        <w:rPr>
          <w:rFonts w:hint="eastAsia" w:ascii="宋体" w:hAnsi="宋体" w:eastAsia="宋体" w:cs="Times New Roman"/>
          <w:b/>
          <w:color w:val="auto"/>
          <w:kern w:val="0"/>
          <w:szCs w:val="21"/>
          <w:highlight w:val="none"/>
          <w:u w:val="single"/>
        </w:rPr>
        <w:t>无效</w:t>
      </w:r>
      <w:r>
        <w:rPr>
          <w:rFonts w:hint="eastAsia" w:ascii="宋体" w:hAnsi="宋体" w:eastAsia="宋体" w:cs="宋体"/>
          <w:b/>
          <w:color w:val="auto"/>
          <w:kern w:val="0"/>
          <w:szCs w:val="21"/>
          <w:highlight w:val="none"/>
        </w:rPr>
        <w:t>。</w:t>
      </w:r>
    </w:p>
    <w:p w14:paraId="692E6245">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27A7DEB0">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并注明采购编号</w:t>
      </w:r>
      <w:r>
        <w:rPr>
          <w:rFonts w:hint="eastAsia" w:ascii="宋体" w:hAnsi="宋体" w:eastAsia="宋体" w:cs="宋体"/>
          <w:color w:val="auto"/>
          <w:kern w:val="0"/>
          <w:szCs w:val="21"/>
          <w:highlight w:val="none"/>
        </w:rPr>
        <w:t>。</w:t>
      </w:r>
    </w:p>
    <w:p w14:paraId="7AFD9D38">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rPr>
        <w:t>开户名称：</w:t>
      </w:r>
      <w:r>
        <w:rPr>
          <w:rFonts w:hint="eastAsia" w:ascii="宋体" w:hAnsi="宋体" w:eastAsia="宋体" w:cs="宋体"/>
          <w:b/>
          <w:color w:val="auto"/>
          <w:kern w:val="0"/>
          <w:szCs w:val="21"/>
          <w:highlight w:val="none"/>
          <w:lang w:eastAsia="zh-CN"/>
        </w:rPr>
        <w:t>东莞市水务环境投资控股集团建设管理有限公司</w:t>
      </w:r>
    </w:p>
    <w:p w14:paraId="46542A6F">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w:t>
      </w:r>
      <w:r>
        <w:rPr>
          <w:rFonts w:hint="eastAsia" w:ascii="宋体" w:hAnsi="宋体" w:eastAsia="宋体" w:cs="宋体"/>
          <w:color w:val="auto"/>
          <w:szCs w:val="21"/>
          <w:highlight w:val="none"/>
        </w:rPr>
        <w:t>2010021309200628330</w:t>
      </w:r>
    </w:p>
    <w:p w14:paraId="4AF626F4">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w:t>
      </w:r>
      <w:r>
        <w:rPr>
          <w:rFonts w:hint="eastAsia" w:ascii="宋体" w:hAnsi="宋体" w:eastAsia="宋体" w:cs="宋体"/>
          <w:color w:val="auto"/>
          <w:szCs w:val="21"/>
          <w:highlight w:val="none"/>
        </w:rPr>
        <w:t>中国工商银行股份有限公司东莞分行</w:t>
      </w:r>
    </w:p>
    <w:p w14:paraId="5057C415">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lang w:eastAsia="zh-CN"/>
        </w:rPr>
        <w:t>响应保证金</w:t>
      </w:r>
      <w:r>
        <w:rPr>
          <w:rFonts w:hint="eastAsia" w:ascii="宋体" w:hAnsi="宋体" w:eastAsia="宋体" w:cs="宋体"/>
          <w:b/>
          <w:color w:val="auto"/>
          <w:kern w:val="0"/>
          <w:szCs w:val="21"/>
          <w:highlight w:val="none"/>
          <w:u w:val="single"/>
        </w:rPr>
        <w:t>未按规定时间到达指定账户或提交金额不足的，将被视为无效</w:t>
      </w:r>
      <w:r>
        <w:rPr>
          <w:rFonts w:hint="eastAsia" w:ascii="宋体" w:hAnsi="宋体" w:eastAsia="宋体" w:cs="宋体"/>
          <w:b/>
          <w:color w:val="auto"/>
          <w:kern w:val="0"/>
          <w:szCs w:val="21"/>
          <w:highlight w:val="none"/>
          <w:u w:val="single"/>
          <w:lang w:eastAsia="zh-CN"/>
        </w:rPr>
        <w:t>响应保证金</w:t>
      </w:r>
      <w:r>
        <w:rPr>
          <w:rFonts w:hint="eastAsia" w:ascii="宋体" w:hAnsi="宋体" w:eastAsia="宋体" w:cs="宋体"/>
          <w:b/>
          <w:color w:val="auto"/>
          <w:kern w:val="0"/>
          <w:szCs w:val="21"/>
          <w:highlight w:val="none"/>
        </w:rPr>
        <w:t>。</w:t>
      </w:r>
    </w:p>
    <w:p w14:paraId="6B7880D7">
      <w:pPr>
        <w:autoSpaceDE w:val="0"/>
        <w:autoSpaceDN w:val="0"/>
        <w:adjustRightInd w:val="0"/>
        <w:spacing w:line="360" w:lineRule="auto"/>
        <w:ind w:left="357" w:leftChars="-100" w:hanging="567" w:hangingChars="270"/>
        <w:jc w:val="left"/>
        <w:rPr>
          <w:rFonts w:hint="eastAsia" w:ascii="宋体" w:hAnsi="宋体" w:eastAsia="宋体" w:cs="宋体"/>
          <w:b/>
          <w:bCs/>
          <w:color w:val="auto"/>
          <w:kern w:val="0"/>
          <w:szCs w:val="24"/>
          <w:highlight w:val="none"/>
          <w:lang w:eastAsia="zh-CN"/>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w:t>
      </w:r>
      <w:r>
        <w:rPr>
          <w:rFonts w:hint="eastAsia" w:ascii="宋体" w:hAnsi="宋体" w:eastAsia="宋体" w:cs="宋体"/>
          <w:b/>
          <w:color w:val="auto"/>
          <w:kern w:val="0"/>
          <w:szCs w:val="24"/>
          <w:highlight w:val="none"/>
          <w:u w:val="single"/>
          <w:lang w:eastAsia="zh-CN"/>
        </w:rPr>
        <w:t>响应保证金</w:t>
      </w:r>
      <w:r>
        <w:rPr>
          <w:rFonts w:hint="eastAsia" w:ascii="宋体" w:hAnsi="宋体" w:eastAsia="宋体" w:cs="宋体"/>
          <w:b/>
          <w:color w:val="auto"/>
          <w:kern w:val="0"/>
          <w:szCs w:val="24"/>
          <w:highlight w:val="none"/>
          <w:u w:val="single"/>
        </w:rPr>
        <w:t>的</w:t>
      </w:r>
      <w:r>
        <w:rPr>
          <w:rFonts w:hint="eastAsia" w:ascii="宋体" w:hAnsi="宋体" w:eastAsia="宋体" w:cs="宋体"/>
          <w:b/>
          <w:color w:val="auto"/>
          <w:kern w:val="0"/>
          <w:szCs w:val="24"/>
          <w:highlight w:val="none"/>
          <w:u w:val="single"/>
          <w:lang w:val="en-US" w:eastAsia="zh-CN"/>
        </w:rPr>
        <w:t>响应</w:t>
      </w:r>
      <w:r>
        <w:rPr>
          <w:rFonts w:hint="eastAsia" w:ascii="宋体" w:hAnsi="宋体" w:eastAsia="宋体" w:cs="宋体"/>
          <w:b/>
          <w:color w:val="auto"/>
          <w:kern w:val="0"/>
          <w:szCs w:val="24"/>
          <w:highlight w:val="none"/>
          <w:u w:val="single"/>
        </w:rPr>
        <w:t>，将被视为无效</w:t>
      </w:r>
      <w:r>
        <w:rPr>
          <w:rFonts w:hint="eastAsia" w:ascii="宋体" w:hAnsi="宋体" w:eastAsia="宋体" w:cs="宋体"/>
          <w:b/>
          <w:color w:val="auto"/>
          <w:kern w:val="0"/>
          <w:szCs w:val="24"/>
          <w:highlight w:val="none"/>
          <w:u w:val="single"/>
          <w:lang w:val="en-US" w:eastAsia="zh-CN"/>
        </w:rPr>
        <w:t>响应</w:t>
      </w:r>
      <w:r>
        <w:rPr>
          <w:rFonts w:hint="eastAsia" w:ascii="宋体" w:hAnsi="宋体" w:eastAsia="宋体" w:cs="宋体"/>
          <w:b/>
          <w:color w:val="auto"/>
          <w:kern w:val="0"/>
          <w:szCs w:val="24"/>
          <w:highlight w:val="none"/>
        </w:rPr>
        <w:t>。为更快捷将响应保证金关联到本项目，供应商应在转账时注明采购编号及号，否则因此导致的无法识别响应保证金对应项目及等不利后果将由供应商承担</w:t>
      </w:r>
      <w:r>
        <w:rPr>
          <w:rFonts w:hint="eastAsia" w:ascii="宋体" w:hAnsi="宋体" w:eastAsia="宋体" w:cs="宋体"/>
          <w:b/>
          <w:color w:val="auto"/>
          <w:kern w:val="0"/>
          <w:szCs w:val="24"/>
          <w:highlight w:val="none"/>
          <w:lang w:eastAsia="zh-CN"/>
        </w:rPr>
        <w:t>。</w:t>
      </w:r>
    </w:p>
    <w:p w14:paraId="43901EF0">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成交</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响应保证金</w:t>
      </w:r>
      <w:r>
        <w:rPr>
          <w:rFonts w:hint="eastAsia" w:ascii="宋体" w:hAnsi="宋体" w:eastAsia="宋体" w:cs="宋体"/>
          <w:color w:val="auto"/>
          <w:kern w:val="0"/>
          <w:szCs w:val="21"/>
          <w:highlight w:val="none"/>
        </w:rPr>
        <w:t>，最迟应在本项目的书面合同签订后5日内，按照其</w:t>
      </w:r>
      <w:r>
        <w:rPr>
          <w:rFonts w:hint="eastAsia" w:ascii="宋体" w:hAnsi="宋体" w:eastAsia="宋体" w:cs="宋体"/>
          <w:color w:val="auto"/>
          <w:kern w:val="0"/>
          <w:szCs w:val="21"/>
          <w:highlight w:val="none"/>
          <w:lang w:eastAsia="zh-CN"/>
        </w:rPr>
        <w:t>响应保证金</w:t>
      </w:r>
      <w:r>
        <w:rPr>
          <w:rFonts w:hint="eastAsia" w:ascii="宋体" w:hAnsi="宋体" w:eastAsia="宋体" w:cs="宋体"/>
          <w:color w:val="auto"/>
          <w:kern w:val="0"/>
          <w:szCs w:val="21"/>
          <w:highlight w:val="none"/>
        </w:rPr>
        <w:t>支付凭证上注明的收款人名称和账号予以退还，除非</w:t>
      </w:r>
      <w:r>
        <w:rPr>
          <w:rFonts w:hint="eastAsia" w:ascii="宋体" w:hAnsi="宋体" w:eastAsia="宋体" w:cs="Times New Roman"/>
          <w:color w:val="auto"/>
          <w:kern w:val="0"/>
          <w:szCs w:val="21"/>
          <w:highlight w:val="none"/>
          <w:lang w:eastAsia="zh-CN"/>
        </w:rPr>
        <w:t>响应保证金</w:t>
      </w:r>
      <w:r>
        <w:rPr>
          <w:rFonts w:hint="eastAsia" w:ascii="宋体" w:hAnsi="宋体" w:eastAsia="宋体" w:cs="宋体"/>
          <w:color w:val="auto"/>
          <w:kern w:val="0"/>
          <w:szCs w:val="21"/>
          <w:highlight w:val="none"/>
        </w:rPr>
        <w:t>有效期已延长。</w:t>
      </w:r>
    </w:p>
    <w:p w14:paraId="31B9F56A">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响应保证金</w:t>
      </w:r>
      <w:r>
        <w:rPr>
          <w:rFonts w:hint="eastAsia" w:ascii="宋体" w:hAnsi="宋体" w:eastAsia="宋体" w:cs="宋体"/>
          <w:color w:val="auto"/>
          <w:kern w:val="0"/>
          <w:szCs w:val="21"/>
          <w:highlight w:val="none"/>
        </w:rPr>
        <w:t>，满足下列要求，并最迟应在本项目的书面合同签订后5日内退还。</w:t>
      </w:r>
    </w:p>
    <w:p w14:paraId="3D5C62D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szCs w:val="21"/>
          <w:highlight w:val="none"/>
          <w:lang w:val="zh-CN"/>
        </w:rPr>
        <w:t>提交了履约担保；</w:t>
      </w:r>
    </w:p>
    <w:p w14:paraId="3918D99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val="zh-CN"/>
        </w:rPr>
        <w:t>过程中</w:t>
      </w:r>
      <w:r>
        <w:rPr>
          <w:rFonts w:hint="eastAsia" w:ascii="宋体" w:hAnsi="宋体" w:eastAsia="宋体" w:cs="宋体"/>
          <w:color w:val="auto"/>
          <w:kern w:val="0"/>
          <w:szCs w:val="21"/>
          <w:highlight w:val="none"/>
        </w:rPr>
        <w:t>不存在违反本</w:t>
      </w:r>
      <w:r>
        <w:rPr>
          <w:rFonts w:hint="eastAsia" w:ascii="宋体" w:hAnsi="宋体" w:eastAsia="宋体" w:cs="宋体"/>
          <w:color w:val="auto"/>
          <w:kern w:val="0"/>
          <w:szCs w:val="21"/>
          <w:highlight w:val="none"/>
          <w:lang w:val="en-US" w:eastAsia="zh-CN"/>
        </w:rPr>
        <w:t>谈判</w:t>
      </w:r>
      <w:r>
        <w:rPr>
          <w:rFonts w:hint="eastAsia" w:ascii="宋体" w:hAnsi="宋体" w:eastAsia="宋体" w:cs="宋体"/>
          <w:color w:val="auto"/>
          <w:kern w:val="0"/>
          <w:szCs w:val="21"/>
          <w:highlight w:val="none"/>
        </w:rPr>
        <w:t>文件或《中华人民共和国招标投标法》及其实施条例等规定的行为。</w:t>
      </w:r>
    </w:p>
    <w:p w14:paraId="1EE67243">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w:t>
      </w:r>
      <w:r>
        <w:rPr>
          <w:rFonts w:hint="eastAsia" w:ascii="宋体" w:hAnsi="宋体" w:eastAsia="宋体" w:cs="宋体"/>
          <w:color w:val="auto"/>
          <w:kern w:val="0"/>
          <w:szCs w:val="20"/>
          <w:highlight w:val="none"/>
          <w:lang w:eastAsia="zh-CN"/>
        </w:rPr>
        <w:t>采购人</w:t>
      </w:r>
      <w:r>
        <w:rPr>
          <w:rFonts w:hint="eastAsia" w:ascii="宋体" w:hAnsi="宋体" w:eastAsia="宋体" w:cs="宋体"/>
          <w:color w:val="auto"/>
          <w:kern w:val="0"/>
          <w:szCs w:val="20"/>
          <w:highlight w:val="none"/>
        </w:rPr>
        <w:t>在书面通知</w:t>
      </w:r>
      <w:r>
        <w:rPr>
          <w:rFonts w:hint="eastAsia" w:ascii="宋体" w:hAnsi="宋体" w:eastAsia="宋体" w:cs="宋体"/>
          <w:color w:val="auto"/>
          <w:kern w:val="0"/>
          <w:szCs w:val="20"/>
          <w:highlight w:val="none"/>
          <w:lang w:eastAsia="zh-CN"/>
        </w:rPr>
        <w:t>供应商</w:t>
      </w:r>
      <w:r>
        <w:rPr>
          <w:rFonts w:hint="eastAsia" w:ascii="宋体" w:hAnsi="宋体" w:eastAsia="宋体" w:cs="宋体"/>
          <w:color w:val="auto"/>
          <w:kern w:val="0"/>
          <w:szCs w:val="20"/>
          <w:highlight w:val="none"/>
        </w:rPr>
        <w:t>（或</w:t>
      </w:r>
      <w:r>
        <w:rPr>
          <w:rFonts w:hint="eastAsia" w:ascii="宋体" w:hAnsi="宋体" w:eastAsia="宋体" w:cs="宋体"/>
          <w:color w:val="auto"/>
          <w:kern w:val="0"/>
          <w:szCs w:val="20"/>
          <w:highlight w:val="none"/>
          <w:lang w:eastAsia="zh-CN"/>
        </w:rPr>
        <w:t>成交人</w:t>
      </w:r>
      <w:r>
        <w:rPr>
          <w:rFonts w:hint="eastAsia" w:ascii="宋体" w:hAnsi="宋体" w:eastAsia="宋体" w:cs="宋体"/>
          <w:color w:val="auto"/>
          <w:kern w:val="0"/>
          <w:szCs w:val="20"/>
          <w:highlight w:val="none"/>
        </w:rPr>
        <w:t>）后有权不予退还</w:t>
      </w:r>
      <w:r>
        <w:rPr>
          <w:rFonts w:hint="eastAsia" w:ascii="宋体" w:hAnsi="宋体" w:eastAsia="宋体" w:cs="宋体"/>
          <w:color w:val="auto"/>
          <w:kern w:val="0"/>
          <w:szCs w:val="20"/>
          <w:highlight w:val="none"/>
          <w:lang w:eastAsia="zh-CN"/>
        </w:rPr>
        <w:t>响应保证金</w:t>
      </w:r>
      <w:r>
        <w:rPr>
          <w:rFonts w:hint="eastAsia" w:ascii="宋体" w:hAnsi="宋体" w:eastAsia="宋体" w:cs="宋体"/>
          <w:color w:val="auto"/>
          <w:kern w:val="0"/>
          <w:szCs w:val="20"/>
          <w:highlight w:val="none"/>
        </w:rPr>
        <w:t>：</w:t>
      </w:r>
    </w:p>
    <w:p w14:paraId="45B186AC">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w:t>
      </w:r>
      <w:r>
        <w:rPr>
          <w:rFonts w:hint="eastAsia" w:ascii="宋体" w:hAnsi="宋体" w:eastAsia="宋体" w:cs="宋体"/>
          <w:color w:val="auto"/>
          <w:kern w:val="0"/>
          <w:szCs w:val="24"/>
          <w:highlight w:val="none"/>
          <w:lang w:eastAsia="zh-CN"/>
        </w:rPr>
        <w:t>供应商</w:t>
      </w:r>
      <w:r>
        <w:rPr>
          <w:rFonts w:hint="eastAsia" w:ascii="宋体" w:hAnsi="宋体" w:eastAsia="宋体" w:cs="宋体"/>
          <w:color w:val="auto"/>
          <w:kern w:val="0"/>
          <w:szCs w:val="24"/>
          <w:highlight w:val="none"/>
        </w:rPr>
        <w:t>（或</w:t>
      </w:r>
      <w:r>
        <w:rPr>
          <w:rFonts w:hint="eastAsia" w:ascii="宋体" w:hAnsi="宋体" w:eastAsia="宋体" w:cs="宋体"/>
          <w:color w:val="auto"/>
          <w:kern w:val="0"/>
          <w:szCs w:val="24"/>
          <w:highlight w:val="none"/>
          <w:lang w:eastAsia="zh-CN"/>
        </w:rPr>
        <w:t>成交</w:t>
      </w:r>
      <w:r>
        <w:rPr>
          <w:rFonts w:hint="eastAsia" w:ascii="宋体" w:hAnsi="宋体" w:eastAsia="宋体" w:cs="宋体"/>
          <w:color w:val="auto"/>
          <w:kern w:val="0"/>
          <w:szCs w:val="24"/>
          <w:highlight w:val="none"/>
        </w:rPr>
        <w:t>人）：</w:t>
      </w:r>
    </w:p>
    <w:p w14:paraId="57A5BD8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szCs w:val="21"/>
          <w:highlight w:val="none"/>
          <w:lang w:val="zh-CN"/>
        </w:rPr>
        <w:t>在规定的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截止时间后至</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有效期满之前撤销或修改其响应文件；</w:t>
      </w:r>
    </w:p>
    <w:p w14:paraId="166F4D9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（2）成交人未能在规定期限内提交履约担保；</w:t>
      </w:r>
    </w:p>
    <w:p w14:paraId="19A6595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4E072C4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val="zh-CN"/>
        </w:rPr>
        <w:t>项目转让给他人，或者在响应文件中未说明，且未经采购人同意，将</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val="zh-CN"/>
        </w:rPr>
        <w:t>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26D5CEB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）提供虚假响应文件</w:t>
      </w:r>
      <w:r>
        <w:rPr>
          <w:rFonts w:hint="eastAsia" w:ascii="宋体" w:hAnsi="宋体" w:eastAsia="宋体" w:cs="宋体"/>
          <w:color w:val="auto"/>
          <w:kern w:val="0"/>
          <w:szCs w:val="21"/>
          <w:highlight w:val="none"/>
        </w:rPr>
        <w:t>或虚假补充文件的，或违反《中华人民共和国招标投标法》等有关法律、法规、规章及</w:t>
      </w:r>
      <w:r>
        <w:rPr>
          <w:rFonts w:hint="eastAsia" w:ascii="宋体" w:hAnsi="宋体" w:eastAsia="宋体" w:cs="宋体"/>
          <w:color w:val="auto"/>
          <w:kern w:val="0"/>
          <w:szCs w:val="21"/>
          <w:highlight w:val="none"/>
          <w:lang w:val="en-US" w:eastAsia="zh-CN"/>
        </w:rPr>
        <w:t>谈判</w:t>
      </w:r>
      <w:r>
        <w:rPr>
          <w:rFonts w:hint="eastAsia" w:ascii="宋体" w:hAnsi="宋体" w:eastAsia="宋体" w:cs="宋体"/>
          <w:color w:val="auto"/>
          <w:kern w:val="0"/>
          <w:szCs w:val="21"/>
          <w:highlight w:val="none"/>
        </w:rPr>
        <w:t>相关规定的行为。</w:t>
      </w:r>
    </w:p>
    <w:p w14:paraId="38213220">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8FF7C9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1" w:name="_Toc160099450"/>
      <w:bookmarkStart w:id="112" w:name="_Toc450662865"/>
      <w:bookmarkStart w:id="113" w:name="_Toc22649_WPSOffice_Level3"/>
      <w:bookmarkStart w:id="114" w:name="_Toc20961"/>
      <w:bookmarkStart w:id="115" w:name="_Toc48616768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响应有效期</w:t>
      </w:r>
      <w:bookmarkEnd w:id="111"/>
      <w:bookmarkEnd w:id="112"/>
      <w:bookmarkEnd w:id="113"/>
      <w:bookmarkEnd w:id="114"/>
      <w:bookmarkEnd w:id="115"/>
    </w:p>
    <w:p w14:paraId="66FA7625">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响应文件的有效期为从响应文件提交截止之日起90</w:t>
      </w:r>
      <w:r>
        <w:rPr>
          <w:rFonts w:hint="eastAsia" w:ascii="宋体" w:hAnsi="宋体" w:eastAsia="宋体" w:cs="宋体"/>
          <w:b/>
          <w:bCs/>
          <w:color w:val="auto"/>
          <w:szCs w:val="21"/>
          <w:highlight w:val="none"/>
          <w:u w:val="single"/>
          <w:lang w:val="en-US" w:eastAsia="zh-CN"/>
        </w:rPr>
        <w:t>个</w:t>
      </w:r>
      <w:r>
        <w:rPr>
          <w:rFonts w:hint="eastAsia" w:ascii="宋体" w:hAnsi="宋体" w:eastAsia="宋体" w:cs="宋体"/>
          <w:b/>
          <w:bCs/>
          <w:color w:val="auto"/>
          <w:szCs w:val="21"/>
          <w:highlight w:val="none"/>
          <w:u w:val="single"/>
          <w:lang w:val="zh-CN"/>
        </w:rPr>
        <w:t>日历天。响应有效期比规定时间短的可以视为无效响应</w:t>
      </w:r>
      <w:r>
        <w:rPr>
          <w:rFonts w:hint="eastAsia" w:ascii="宋体" w:hAnsi="宋体" w:eastAsia="宋体" w:cs="宋体"/>
          <w:b/>
          <w:bCs/>
          <w:color w:val="auto"/>
          <w:szCs w:val="21"/>
          <w:highlight w:val="none"/>
          <w:lang w:val="zh-CN"/>
        </w:rPr>
        <w:t>。</w:t>
      </w:r>
    </w:p>
    <w:p w14:paraId="36EDFC3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成交人的响应文件作为合同附件，合同失效时同时失效。</w:t>
      </w:r>
    </w:p>
    <w:p w14:paraId="11A9D9E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在特殊情况下，采购代理机构可于响应有效期满之前要求响应供应商同意延长响应文件有效期。要求与答复均应为书面形式往来。响应供应商可以拒绝上述要求</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采购人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其响应保证金。对于同意该要求的响应供应商，既不要求也不允许其修改响应文件，但将要求其相应延长响应保证金的有效期。第15条响应保证金的有关规定在响应保证金延长期内仍适用。</w:t>
      </w:r>
    </w:p>
    <w:p w14:paraId="14EE0C94">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5CC3E91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6" w:name="_Toc160099451"/>
      <w:bookmarkStart w:id="117" w:name="_Toc486167681"/>
      <w:bookmarkStart w:id="118" w:name="_Toc450662866"/>
      <w:bookmarkStart w:id="119" w:name="_Toc5444"/>
      <w:bookmarkStart w:id="120" w:name="_Toc25637_WPSOffice_Level3"/>
      <w:bookmarkStart w:id="121" w:name="_Toc22356_WPSOffice_Level2"/>
      <w:bookmarkStart w:id="122" w:name="_Toc160099452"/>
      <w:bookmarkStart w:id="123" w:name="_Toc450662867"/>
      <w:bookmarkStart w:id="124" w:name="_Toc486167682"/>
      <w:bookmarkStart w:id="125" w:name="_Toc14059689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响应文件的式样和签署</w:t>
      </w:r>
      <w:bookmarkEnd w:id="116"/>
      <w:bookmarkEnd w:id="117"/>
      <w:bookmarkEnd w:id="118"/>
      <w:bookmarkEnd w:id="119"/>
      <w:bookmarkEnd w:id="120"/>
    </w:p>
    <w:p w14:paraId="6B81CD8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响应供应商应准备</w:t>
      </w:r>
      <w:r>
        <w:rPr>
          <w:rFonts w:hint="eastAsia" w:ascii="宋体" w:hAnsi="宋体" w:eastAsia="宋体" w:cs="Times New Roman"/>
          <w:b/>
          <w:color w:val="auto"/>
          <w:szCs w:val="21"/>
          <w:highlight w:val="none"/>
          <w:u w:val="single"/>
          <w:lang w:val="zh-CN"/>
        </w:rPr>
        <w:t>一份</w:t>
      </w:r>
      <w:r>
        <w:rPr>
          <w:rFonts w:hint="eastAsia" w:ascii="宋体" w:hAnsi="宋体" w:eastAsia="宋体" w:cs="Times New Roman"/>
          <w:b/>
          <w:color w:val="auto"/>
          <w:szCs w:val="21"/>
          <w:highlight w:val="none"/>
          <w:u w:val="single"/>
          <w:lang w:val="en-US" w:eastAsia="zh-CN"/>
        </w:rPr>
        <w:t>首次报价信封</w:t>
      </w:r>
      <w:r>
        <w:rPr>
          <w:rFonts w:hint="eastAsia" w:ascii="宋体" w:hAnsi="宋体" w:eastAsia="宋体" w:cs="Times New Roman"/>
          <w:b/>
          <w:color w:val="auto"/>
          <w:szCs w:val="21"/>
          <w:highlight w:val="none"/>
          <w:u w:val="single"/>
          <w:lang w:val="zh-CN"/>
        </w:rPr>
        <w:t>、</w:t>
      </w:r>
      <w:r>
        <w:rPr>
          <w:rFonts w:hint="eastAsia" w:ascii="宋体" w:hAnsi="宋体" w:eastAsia="宋体" w:cs="宋体"/>
          <w:b/>
          <w:color w:val="auto"/>
          <w:szCs w:val="21"/>
          <w:highlight w:val="none"/>
          <w:u w:val="single"/>
          <w:lang w:val="zh-CN"/>
        </w:rPr>
        <w:t>一份正本和五份副本“响应文件”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在每一份纸质响应文件上编上目录（目录内的页码必须与实际内容对应）、页次，装订成册（不允许使用活页夹），并要明确注明“正本”或“副本”，一旦正本和副本发现差异，以正本为准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4B7211A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响应文件正本和副本须打印或用不褪色墨水书写，谈判文件提供的格式文件或响应文件中明确要求签署的，由响应供应商法定代表人或其授权代表签字（或盖私章），后者须将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以书面形式附在响应文件中。</w:t>
      </w:r>
      <w:r>
        <w:rPr>
          <w:rFonts w:hint="eastAsia" w:ascii="宋体" w:hAnsi="宋体" w:eastAsia="宋体" w:cs="Times New Roman"/>
          <w:color w:val="auto"/>
          <w:szCs w:val="21"/>
          <w:highlight w:val="none"/>
          <w:lang w:val="zh-CN"/>
        </w:rPr>
        <w:t>副本文件可由正本文件复印而成。</w:t>
      </w:r>
    </w:p>
    <w:p w14:paraId="7D7D428F">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除响应供应商对错处作必要修改外，响应文件中不许有加行、涂抹或改写。</w:t>
      </w:r>
      <w:r>
        <w:rPr>
          <w:rFonts w:hint="eastAsia" w:ascii="宋体" w:hAnsi="宋体" w:eastAsia="宋体" w:cs="宋体"/>
          <w:bCs/>
          <w:color w:val="auto"/>
          <w:szCs w:val="21"/>
          <w:highlight w:val="none"/>
          <w:lang w:val="zh-CN"/>
        </w:rPr>
        <w:t>若有修改须由签署响应文件的人进行签字（或盖私章），并加盖响应供应商</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429FC459">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响应文件的封面应注明“项目名称、采购编号、响应供应商名称、响应日期等”。</w:t>
      </w:r>
    </w:p>
    <w:p w14:paraId="5509D463">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响应文件</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内（若电子文件单独密封，其包装封面需注明项目名称、采购编号、响应供应商单位名称，并加盖响应供应商法人公章）</w:t>
      </w:r>
      <w:r>
        <w:rPr>
          <w:rFonts w:hint="eastAsia" w:ascii="宋体" w:hAnsi="宋体" w:eastAsia="宋体" w:cs="宋体"/>
          <w:color w:val="auto"/>
          <w:szCs w:val="21"/>
          <w:highlight w:val="none"/>
          <w:lang w:val="zh-CN"/>
        </w:rPr>
        <w:t>。</w:t>
      </w:r>
    </w:p>
    <w:p w14:paraId="2428510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lang w:val="zh-CN"/>
        </w:rPr>
        <w:t>概不接受。</w:t>
      </w:r>
    </w:p>
    <w:p w14:paraId="2D5069F9">
      <w:pPr>
        <w:autoSpaceDE w:val="0"/>
        <w:autoSpaceDN w:val="0"/>
        <w:adjustRightInd w:val="0"/>
        <w:jc w:val="left"/>
        <w:rPr>
          <w:rFonts w:ascii="宋体" w:hAnsi="宋体" w:eastAsia="宋体" w:cs="宋体"/>
          <w:color w:val="auto"/>
          <w:kern w:val="0"/>
          <w:sz w:val="24"/>
          <w:szCs w:val="24"/>
          <w:highlight w:val="none"/>
        </w:rPr>
      </w:pPr>
    </w:p>
    <w:p w14:paraId="1F0349EB">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26" w:name="_Toc20056"/>
      <w:r>
        <w:rPr>
          <w:rFonts w:hint="eastAsia" w:ascii="宋体" w:hAnsi="宋体" w:eastAsia="宋体" w:cs="宋体"/>
          <w:b/>
          <w:bCs/>
          <w:color w:val="auto"/>
          <w:kern w:val="44"/>
          <w:szCs w:val="21"/>
          <w:highlight w:val="none"/>
          <w:lang w:val="zh-CN"/>
        </w:rPr>
        <w:t>四、响应文件的递交</w:t>
      </w:r>
      <w:bookmarkEnd w:id="121"/>
      <w:bookmarkEnd w:id="122"/>
      <w:bookmarkEnd w:id="123"/>
      <w:bookmarkEnd w:id="124"/>
      <w:bookmarkEnd w:id="125"/>
      <w:bookmarkEnd w:id="126"/>
    </w:p>
    <w:p w14:paraId="6DF4857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7" w:name="_Toc160099453"/>
      <w:bookmarkStart w:id="128" w:name="_Toc1106"/>
      <w:bookmarkStart w:id="129" w:name="_Toc12192_WPSOffice_Level3"/>
      <w:bookmarkStart w:id="130" w:name="_Toc486167683"/>
      <w:bookmarkStart w:id="131" w:name="_Toc45066286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响应文件的密封和标记</w:t>
      </w:r>
      <w:bookmarkEnd w:id="127"/>
      <w:bookmarkEnd w:id="128"/>
      <w:bookmarkEnd w:id="129"/>
      <w:bookmarkEnd w:id="130"/>
      <w:bookmarkEnd w:id="131"/>
    </w:p>
    <w:p w14:paraId="169984D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响应供应商应将正本和副本响应文件密封在不透明的外层封装中。</w:t>
      </w:r>
    </w:p>
    <w:p w14:paraId="1CA2CE7F">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响应文件密封封装标记：</w:t>
      </w:r>
    </w:p>
    <w:p w14:paraId="6807B331">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）外层密封封装表面应正确注明项目名称、采购编号、响应供应商单位名称、并注明响应文件递交截止时间之前不得开封（在封口位置的封条上标注注明），封口位置的封条上须加盖响应供应商法人公章；</w:t>
      </w:r>
    </w:p>
    <w:p w14:paraId="25858202">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）响应文件已密封但不按前述标志封包，由此而引起的提前开封或错放责任由响应供应商承担；</w:t>
      </w:r>
    </w:p>
    <w:p w14:paraId="0A0647A7">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（3）不足以造成响应文件可以从外包装内散出而导致响应文件泄密的，不认定为响应文件未密封。</w:t>
      </w:r>
    </w:p>
    <w:p w14:paraId="66DB944D">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18.3</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密封封装未按本款规定密封和标记，采购代理机构对响应文件的误投或提前拆封不负责任。</w:t>
      </w:r>
    </w:p>
    <w:p w14:paraId="57261D8E">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5F0A2EF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2" w:name="_Toc160099454"/>
      <w:bookmarkStart w:id="133" w:name="_Toc486167684"/>
      <w:bookmarkStart w:id="134" w:name="_Toc15857"/>
      <w:bookmarkStart w:id="135" w:name="_Toc29665_WPSOffice_Level3"/>
      <w:bookmarkStart w:id="136" w:name="_Toc450662869"/>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递交响应文件的截止日期</w:t>
      </w:r>
      <w:bookmarkEnd w:id="132"/>
      <w:bookmarkEnd w:id="133"/>
      <w:bookmarkEnd w:id="134"/>
      <w:bookmarkEnd w:id="135"/>
      <w:bookmarkEnd w:id="136"/>
    </w:p>
    <w:p w14:paraId="0A622C1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采购代理机构</w:t>
      </w:r>
      <w:r>
        <w:rPr>
          <w:rFonts w:hint="eastAsia" w:ascii="宋体" w:hAnsi="宋体" w:eastAsia="宋体" w:cs="Times New Roman"/>
          <w:color w:val="auto"/>
          <w:szCs w:val="21"/>
          <w:highlight w:val="none"/>
          <w:lang w:val="zh-CN"/>
        </w:rPr>
        <w:t>收到响应文件的时间不得迟于第一篇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竞争性谈判公告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5602109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采购代理机构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条的规定修改谈判文件并酌情延长递交响应文件的截止时间，因此，已规定的采购代理机构和响应供应商的一切权利和义务将按延期后的递交响应文件截止时间履行</w:t>
      </w:r>
      <w:r>
        <w:rPr>
          <w:rFonts w:hint="eastAsia" w:ascii="宋体" w:hAnsi="宋体" w:eastAsia="宋体" w:cs="宋体"/>
          <w:color w:val="auto"/>
          <w:szCs w:val="21"/>
          <w:highlight w:val="none"/>
          <w:lang w:val="zh-CN"/>
        </w:rPr>
        <w:t>。</w:t>
      </w:r>
    </w:p>
    <w:p w14:paraId="6B382A93">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6A6817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37" w:name="_Toc16604"/>
      <w:bookmarkStart w:id="138" w:name="_Toc160099455"/>
      <w:bookmarkStart w:id="139" w:name="_Toc486167685"/>
      <w:bookmarkStart w:id="140" w:name="_Toc22431_WPSOffice_Level3"/>
      <w:bookmarkStart w:id="141" w:name="_Toc450662870"/>
      <w:r>
        <w:rPr>
          <w:rFonts w:hint="eastAsia" w:ascii="宋体" w:hAnsi="宋体" w:eastAsia="宋体" w:cs="宋体"/>
          <w:color w:val="auto"/>
          <w:szCs w:val="21"/>
          <w:highlight w:val="none"/>
          <w:lang w:val="zh-CN"/>
        </w:rPr>
        <w:t>20 迟交的响应文件</w:t>
      </w:r>
      <w:bookmarkEnd w:id="137"/>
      <w:bookmarkEnd w:id="138"/>
      <w:bookmarkEnd w:id="139"/>
      <w:bookmarkEnd w:id="140"/>
      <w:bookmarkEnd w:id="141"/>
    </w:p>
    <w:p w14:paraId="0A2083F1">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根据第19条规定，采购代理机构将拒绝任何晚于递交响应文件的截止时间交到的响应文件。</w:t>
      </w:r>
    </w:p>
    <w:p w14:paraId="17AD8102">
      <w:pPr>
        <w:autoSpaceDE w:val="0"/>
        <w:autoSpaceDN w:val="0"/>
        <w:adjustRightInd w:val="0"/>
        <w:jc w:val="left"/>
        <w:rPr>
          <w:rFonts w:ascii="宋体" w:hAnsi="宋体" w:eastAsia="宋体" w:cs="宋体"/>
          <w:color w:val="auto"/>
          <w:kern w:val="0"/>
          <w:sz w:val="24"/>
          <w:szCs w:val="24"/>
          <w:highlight w:val="none"/>
        </w:rPr>
      </w:pPr>
    </w:p>
    <w:p w14:paraId="53F1C71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2" w:name="_Toc160099456"/>
      <w:bookmarkStart w:id="143" w:name="_Toc4883_WPSOffice_Level3"/>
      <w:bookmarkStart w:id="144" w:name="_Toc486167686"/>
      <w:bookmarkStart w:id="145" w:name="_Toc450662871"/>
      <w:bookmarkStart w:id="146" w:name="_Toc8568"/>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响应文件的修改和撤回</w:t>
      </w:r>
      <w:bookmarkEnd w:id="142"/>
      <w:bookmarkEnd w:id="143"/>
      <w:bookmarkEnd w:id="144"/>
      <w:bookmarkEnd w:id="145"/>
      <w:bookmarkEnd w:id="146"/>
    </w:p>
    <w:p w14:paraId="4A127FF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响应供应商在提交响应文件后可对其响应文件进行修改或撤回，但采购代理机构须在提交响应文件截止时间前收到该修改或撤回的书面通知。</w:t>
      </w:r>
    </w:p>
    <w:p w14:paraId="0C195A0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响应供应商对响应文件的修改或撤回的通知应按第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1B5853C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递交响应文件截止时间后不得修改响应文件。</w:t>
      </w:r>
    </w:p>
    <w:p w14:paraId="370424D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响应供应商不得在递交响应文件截止时间起至第16条规定的响应文件有效期期满前撤销响应文件。</w:t>
      </w:r>
      <w:r>
        <w:rPr>
          <w:rFonts w:hint="eastAsia" w:ascii="宋体" w:hAnsi="宋体" w:eastAsia="宋体" w:cs="宋体"/>
          <w:color w:val="auto"/>
          <w:szCs w:val="21"/>
          <w:highlight w:val="none"/>
          <w:lang w:val="en-US" w:eastAsia="zh-CN"/>
        </w:rPr>
        <w:t xml:space="preserve">     </w:t>
      </w:r>
    </w:p>
    <w:p w14:paraId="110EBBA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ADC533C">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47" w:name="_Toc486167687"/>
      <w:bookmarkStart w:id="148" w:name="_Toc450662872"/>
      <w:bookmarkStart w:id="149" w:name="_Toc1049_WPSOffice_Level2"/>
      <w:bookmarkStart w:id="150" w:name="_Toc140596896"/>
      <w:bookmarkStart w:id="151" w:name="_Toc160099457"/>
      <w:bookmarkStart w:id="152" w:name="_Toc6525"/>
      <w:r>
        <w:rPr>
          <w:rFonts w:hint="eastAsia" w:ascii="宋体" w:hAnsi="宋体" w:eastAsia="宋体" w:cs="宋体"/>
          <w:b/>
          <w:bCs/>
          <w:color w:val="auto"/>
          <w:kern w:val="44"/>
          <w:szCs w:val="21"/>
          <w:highlight w:val="none"/>
          <w:lang w:val="zh-CN"/>
        </w:rPr>
        <w:t>五、</w:t>
      </w:r>
      <w:bookmarkEnd w:id="147"/>
      <w:bookmarkEnd w:id="148"/>
      <w:bookmarkEnd w:id="149"/>
      <w:bookmarkEnd w:id="150"/>
      <w:bookmarkEnd w:id="151"/>
      <w:r>
        <w:rPr>
          <w:rFonts w:hint="eastAsia" w:ascii="宋体" w:hAnsi="宋体" w:eastAsia="宋体" w:cs="宋体"/>
          <w:b/>
          <w:bCs/>
          <w:color w:val="auto"/>
          <w:kern w:val="44"/>
          <w:szCs w:val="21"/>
          <w:highlight w:val="none"/>
          <w:lang w:val="zh-CN"/>
        </w:rPr>
        <w:t>竞争性谈判流程</w:t>
      </w:r>
      <w:bookmarkEnd w:id="152"/>
    </w:p>
    <w:p w14:paraId="3F3B83E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bookmarkStart w:id="153" w:name="_Toc144_WPSOffice_Level3"/>
      <w:bookmarkStart w:id="154" w:name="_Toc486167688"/>
      <w:bookmarkStart w:id="155" w:name="_Toc450662873"/>
      <w:bookmarkStart w:id="156" w:name="_Toc16009945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bookmarkEnd w:id="153"/>
      <w:bookmarkEnd w:id="154"/>
      <w:bookmarkEnd w:id="155"/>
      <w:bookmarkEnd w:id="156"/>
      <w:r>
        <w:rPr>
          <w:rFonts w:hint="eastAsia" w:ascii="宋体" w:hAnsi="宋体" w:eastAsia="宋体" w:cs="宋体"/>
          <w:color w:val="auto"/>
          <w:szCs w:val="21"/>
          <w:highlight w:val="none"/>
          <w:lang w:val="zh-CN"/>
        </w:rPr>
        <w:t>响应文件密封性检查</w:t>
      </w:r>
    </w:p>
    <w:p w14:paraId="6C417DE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采购代理机构在供应商代表自愿出席的情况下，在第一篇“竞争性谈判公告”规定的地点和时 间进行响应文件密封性检查，出席代表需登记以示出席。</w:t>
      </w:r>
    </w:p>
    <w:p w14:paraId="1A43FE7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供应商对响应文件密封性检查有异议的，应当在密封性检查现场提出，采购代理机构应当当场作出答复，并制作记录。</w:t>
      </w:r>
    </w:p>
    <w:p w14:paraId="5A83B9E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采购代理机构将做密封性检查记录，记录包括第22.2款发生的异议及答复的全部内容</w:t>
      </w:r>
    </w:p>
    <w:p w14:paraId="3A8D2BE7">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B0FB3D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谈判过程的保密性</w:t>
      </w:r>
    </w:p>
    <w:p w14:paraId="2D9A8E1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递交响应文件后，直至向成交人授予合同时止，凡与审查、澄清、谈判、评估和比较响应报价 的有关资料以及意见等，均不得向供应商及与谈判无关的其他人透露，否则追究有关当事人的 法律责任。</w:t>
      </w:r>
    </w:p>
    <w:p w14:paraId="3D4FD81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在谈判过程中，如果供应商试图在响应文件审查、澄清、谈判、比较及授予合同方面向采购代 理机构和采购人施加任何影响，其响应文件将被拒绝。</w:t>
      </w:r>
    </w:p>
    <w:p w14:paraId="4E774A68">
      <w:pPr>
        <w:tabs>
          <w:tab w:val="left" w:pos="567"/>
        </w:tabs>
        <w:autoSpaceDE w:val="0"/>
        <w:autoSpaceDN w:val="0"/>
        <w:adjustRightInd w:val="0"/>
        <w:spacing w:line="360" w:lineRule="auto"/>
        <w:ind w:right="15" w:rightChars="7"/>
        <w:rPr>
          <w:rFonts w:ascii="宋体" w:hAnsi="宋体" w:eastAsia="宋体" w:cs="宋体"/>
          <w:color w:val="auto"/>
          <w:szCs w:val="21"/>
          <w:highlight w:val="none"/>
          <w:lang w:val="zh-CN"/>
        </w:rPr>
      </w:pPr>
    </w:p>
    <w:p w14:paraId="325135D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7" w:name="_Toc450662875"/>
      <w:bookmarkStart w:id="158" w:name="_Toc160099460"/>
      <w:bookmarkStart w:id="159" w:name="_Toc486167690"/>
      <w:bookmarkStart w:id="160" w:name="_Toc8720"/>
      <w:bookmarkStart w:id="161" w:name="_Toc15565_WPSOffice_Level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谈判小组</w:t>
      </w:r>
      <w:bookmarkEnd w:id="157"/>
      <w:bookmarkEnd w:id="158"/>
      <w:bookmarkEnd w:id="159"/>
      <w:bookmarkEnd w:id="160"/>
      <w:bookmarkEnd w:id="161"/>
    </w:p>
    <w:p w14:paraId="165B5AC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依法组建谈判小组。谈判小组的成员在评审过程中必须严格遵守国家及地方</w:t>
      </w:r>
      <w:r>
        <w:rPr>
          <w:rFonts w:hint="eastAsia" w:ascii="宋体" w:hAnsi="宋体" w:eastAsia="宋体" w:cs="宋体"/>
          <w:color w:val="auto"/>
          <w:szCs w:val="21"/>
          <w:highlight w:val="none"/>
          <w:lang w:val="en-US" w:eastAsia="zh-CN"/>
        </w:rPr>
        <w:t>招标投标</w:t>
      </w:r>
      <w:r>
        <w:rPr>
          <w:rFonts w:hint="eastAsia" w:ascii="宋体" w:hAnsi="宋体" w:eastAsia="宋体" w:cs="宋体"/>
          <w:color w:val="auto"/>
          <w:szCs w:val="21"/>
          <w:highlight w:val="none"/>
          <w:lang w:val="zh-CN"/>
        </w:rPr>
        <w:t>的有关规定。</w:t>
      </w:r>
    </w:p>
    <w:p w14:paraId="06C2579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谈判小组依法根据谈判文件的规定，进行响应文件的评审、得出评审结果，并向采购人推荐成交候选人。</w:t>
      </w:r>
    </w:p>
    <w:p w14:paraId="42E5263B">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741A5F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62" w:name="_Toc450662876"/>
      <w:bookmarkStart w:id="163" w:name="_Toc486167691"/>
      <w:bookmarkStart w:id="164" w:name="_Toc15327"/>
      <w:bookmarkStart w:id="165" w:name="_Toc28910_WPSOffice_Level3"/>
      <w:bookmarkStart w:id="166" w:name="_Toc16009946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响应文件的初审</w:t>
      </w:r>
      <w:bookmarkEnd w:id="162"/>
      <w:bookmarkEnd w:id="163"/>
      <w:bookmarkEnd w:id="164"/>
      <w:bookmarkEnd w:id="165"/>
      <w:bookmarkEnd w:id="166"/>
    </w:p>
    <w:p w14:paraId="6B24B1EC">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资格性检查：依据法律法规和谈判文件的规定，对响应文件中的资格证明、响应保证金等进行审查，以确定响应供应商是否具备响应资格。</w:t>
      </w:r>
    </w:p>
    <w:p w14:paraId="71E6C997">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符合性检查：依据谈判文件的规定，从响应文件的有效性、完整性和对谈判文件的响应程度进行审查，以确定是否对谈判文件的实质性要求作出响应。</w:t>
      </w:r>
    </w:p>
    <w:p w14:paraId="3E7796C4">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2F4AE9A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7" w:name="_Toc486167692"/>
      <w:bookmarkStart w:id="168" w:name="_Toc338_WPSOffice_Level3"/>
      <w:bookmarkStart w:id="169" w:name="_Toc160099462"/>
      <w:bookmarkStart w:id="170" w:name="_Toc450662877"/>
      <w:bookmarkStart w:id="171" w:name="_Toc906"/>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响应文件的澄清</w:t>
      </w:r>
      <w:bookmarkEnd w:id="167"/>
      <w:bookmarkEnd w:id="168"/>
      <w:bookmarkEnd w:id="169"/>
      <w:bookmarkEnd w:id="170"/>
      <w:bookmarkEnd w:id="171"/>
    </w:p>
    <w:p w14:paraId="3C3A7C1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响应文件中含义不明确、同类问题表述不一致或者有明显文字和计算错误的内容，谈判小组可以书面形式（应当由谈判小组专家签字）要求响应供应商作出必要的澄清、说明或者纠正。响应供应商的澄清、说明或者补正应当采用书面形式，由其授权的代表签字，并不得超出响应文件的范围或者改变响应文件的实质性内容。</w:t>
      </w:r>
    </w:p>
    <w:p w14:paraId="37A6A5F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ascii="宋体" w:hAnsi="宋体" w:eastAsia="宋体" w:cs="宋体"/>
          <w:color w:val="auto"/>
          <w:szCs w:val="21"/>
          <w:highlight w:val="none"/>
          <w:lang w:val="zh-CN"/>
        </w:rPr>
        <w:t>26.2</w:t>
      </w:r>
      <w:bookmarkStart w:id="172" w:name="_Toc450662879"/>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评审结果公示前，响应供应商法定代表人或法定代表人授权书列明的被授权人的联系电话应保持开机状态，以便在评审期间，谈判小组要求响应供应商对响应文件进行澄清时能够收到有关通知，否则视为响应供应商放弃澄清的权利，对谈判小组就该项内容的评审意见无异议</w:t>
      </w:r>
      <w:r>
        <w:rPr>
          <w:rFonts w:hint="eastAsia" w:ascii="宋体" w:hAnsi="宋体" w:eastAsia="宋体" w:cs="宋体"/>
          <w:color w:val="auto"/>
          <w:szCs w:val="21"/>
          <w:highlight w:val="none"/>
          <w:lang w:val="zh-CN"/>
        </w:rPr>
        <w:t>。</w:t>
      </w:r>
    </w:p>
    <w:bookmarkEnd w:id="172"/>
    <w:p w14:paraId="02936DEA">
      <w:pPr>
        <w:tabs>
          <w:tab w:val="left" w:pos="525"/>
        </w:tabs>
        <w:autoSpaceDE w:val="0"/>
        <w:autoSpaceDN w:val="0"/>
        <w:adjustRightInd w:val="0"/>
        <w:spacing w:line="360" w:lineRule="auto"/>
        <w:ind w:left="357" w:leftChars="-100" w:hanging="567"/>
        <w:jc w:val="left"/>
        <w:outlineLvl w:val="9"/>
        <w:rPr>
          <w:rFonts w:ascii="宋体" w:hAnsi="宋体" w:eastAsia="宋体" w:cs="宋体"/>
          <w:color w:val="auto"/>
          <w:szCs w:val="21"/>
          <w:highlight w:val="none"/>
          <w:lang w:val="zh-CN"/>
        </w:rPr>
      </w:pPr>
      <w:bookmarkStart w:id="173" w:name="_Toc18368_WPSOffice_Level3"/>
      <w:bookmarkStart w:id="174" w:name="_Toc522047355"/>
      <w:bookmarkStart w:id="175" w:name="_Toc521918096"/>
    </w:p>
    <w:p w14:paraId="4252277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6" w:name="_Toc7732"/>
      <w:bookmarkStart w:id="177" w:name="_Toc160099463"/>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bookmarkEnd w:id="173"/>
      <w:bookmarkEnd w:id="174"/>
      <w:bookmarkEnd w:id="175"/>
      <w:r>
        <w:rPr>
          <w:rFonts w:hint="eastAsia" w:ascii="宋体" w:hAnsi="宋体" w:eastAsia="宋体" w:cs="宋体"/>
          <w:color w:val="auto"/>
          <w:szCs w:val="21"/>
          <w:highlight w:val="none"/>
          <w:lang w:val="zh-CN"/>
        </w:rPr>
        <w:t>谈判</w:t>
      </w:r>
      <w:bookmarkEnd w:id="176"/>
      <w:bookmarkEnd w:id="177"/>
    </w:p>
    <w:p w14:paraId="0690D27B">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谈判小组所有成员应当集中与单一供应商分别进行谈判，并给予所有参加谈判的供应商平等的谈判机会。</w:t>
      </w:r>
    </w:p>
    <w:p w14:paraId="2DA4D1C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在谈判过程中，谈判小组可以根据谈判文件和谈判情况实质性变动采购需求中的技术、服务要求以及合同草案条款，但不得变动谈判文件中的其他内容。实质性变动的内容，须经采购人代表确认。</w:t>
      </w:r>
    </w:p>
    <w:p w14:paraId="3FA8376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对谈判文件作出的实质性变动是谈判文件的有效组成部分，谈判小组应当及时、同时通知所有参加谈判的供应商。</w:t>
      </w:r>
    </w:p>
    <w:p w14:paraId="5E01AE2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供应商应当按照谈判文件的变动情况和谈判小组的要求进行最终报价或重新提交响应文件，并由其法定代表人或授权代表签字或者加盖公章。</w:t>
      </w:r>
    </w:p>
    <w:p w14:paraId="4F875698">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178" w:name="_Toc522047356"/>
      <w:bookmarkStart w:id="179" w:name="_Toc521918097"/>
    </w:p>
    <w:p w14:paraId="45AC0A1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0" w:name="_Toc21460_WPSOffice_Level3"/>
      <w:bookmarkStart w:id="181" w:name="_Toc9832"/>
      <w:bookmarkStart w:id="182" w:name="_Toc16009946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bookmarkEnd w:id="178"/>
      <w:bookmarkEnd w:id="179"/>
      <w:bookmarkEnd w:id="180"/>
      <w:r>
        <w:rPr>
          <w:rFonts w:hint="eastAsia" w:ascii="宋体" w:hAnsi="宋体" w:eastAsia="宋体" w:cs="宋体"/>
          <w:color w:val="auto"/>
          <w:szCs w:val="21"/>
          <w:highlight w:val="none"/>
          <w:lang w:val="zh-CN"/>
        </w:rPr>
        <w:t>最后报价</w:t>
      </w:r>
      <w:bookmarkEnd w:id="181"/>
      <w:bookmarkEnd w:id="182"/>
    </w:p>
    <w:p w14:paraId="1DE6513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谈判结束后，谈判小组应当要求所有实质性响应的供应商在规定时间内提交最后报价。每一轮报价不能高于前一轮报价。最后报价是供应商响应文件的有效组成部分。</w:t>
      </w:r>
    </w:p>
    <w:p w14:paraId="1E3405E4">
      <w:pPr>
        <w:tabs>
          <w:tab w:val="left" w:pos="360"/>
        </w:tabs>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谈判结束后，已提交响应文件的供应商，</w:t>
      </w:r>
      <w:r>
        <w:rPr>
          <w:rFonts w:hint="eastAsia" w:ascii="宋体" w:hAnsi="宋体" w:eastAsia="宋体" w:cs="宋体"/>
          <w:b/>
          <w:bCs/>
          <w:color w:val="auto"/>
          <w:szCs w:val="21"/>
          <w:highlight w:val="none"/>
          <w:lang w:val="zh-CN"/>
        </w:rPr>
        <w:t>如无实质性变动采购需求中的技术、服务要求以及合同草案条款的，供应商若不参与二次报价环节的，则默认第一次报价为最后报价。</w:t>
      </w:r>
      <w:r>
        <w:rPr>
          <w:rFonts w:hint="eastAsia" w:ascii="宋体" w:hAnsi="宋体" w:eastAsia="宋体" w:cs="宋体"/>
          <w:color w:val="auto"/>
          <w:szCs w:val="21"/>
          <w:highlight w:val="none"/>
          <w:lang w:val="zh-CN"/>
        </w:rPr>
        <w:t>如有实质性变动采购需求中的技术、服务要求以及合同草案条款的，在提交最后报价之前，供应商可以根据谈判情况退出谈判。</w:t>
      </w:r>
    </w:p>
    <w:p w14:paraId="3DFEB4C0">
      <w:pPr>
        <w:tabs>
          <w:tab w:val="left" w:pos="360"/>
        </w:tabs>
        <w:spacing w:line="360" w:lineRule="auto"/>
        <w:ind w:left="330" w:leftChars="-100" w:right="44" w:rightChars="21" w:hanging="540"/>
        <w:rPr>
          <w:rFonts w:hint="eastAsia" w:ascii="宋体" w:hAnsi="宋体" w:eastAsia="宋体" w:cs="宋体"/>
          <w:b w:val="0"/>
          <w:bCs w:val="0"/>
          <w:color w:val="FF0000"/>
          <w:szCs w:val="21"/>
          <w:highlight w:val="none"/>
          <w:lang w:val="zh-CN"/>
        </w:rPr>
      </w:pPr>
      <w:r>
        <w:rPr>
          <w:rFonts w:hint="eastAsia" w:ascii="宋体" w:hAnsi="宋体" w:cs="宋体"/>
          <w:color w:val="auto"/>
          <w:sz w:val="21"/>
          <w:szCs w:val="21"/>
          <w:highlight w:val="none"/>
          <w:lang w:val="zh-CN"/>
        </w:rPr>
        <w:t>28.3</w:t>
      </w:r>
      <w:r>
        <w:rPr>
          <w:rFonts w:hint="eastAsia"/>
          <w:b/>
          <w:bCs/>
          <w:color w:val="auto"/>
          <w:sz w:val="21"/>
          <w:szCs w:val="21"/>
          <w:highlight w:val="none"/>
        </w:rPr>
        <w:t xml:space="preserve"> </w:t>
      </w:r>
      <w:r>
        <w:rPr>
          <w:rFonts w:hint="eastAsia" w:ascii="宋体" w:hAnsi="宋体" w:eastAsia="宋体" w:cs="宋体"/>
          <w:b/>
          <w:bCs/>
          <w:color w:val="auto"/>
          <w:szCs w:val="21"/>
          <w:highlight w:val="none"/>
          <w:lang w:val="zh-CN"/>
        </w:rPr>
        <w:t>若本次采购过程中有效响应供应商不足三家的，本项目竞争性谈判失败。但经</w:t>
      </w:r>
      <w:r>
        <w:rPr>
          <w:rFonts w:hint="eastAsia" w:ascii="宋体" w:hAnsi="宋体" w:eastAsia="宋体" w:cs="宋体"/>
          <w:b/>
          <w:bCs/>
          <w:color w:val="auto"/>
          <w:szCs w:val="21"/>
          <w:highlight w:val="none"/>
          <w:lang w:val="en-US" w:eastAsia="zh-CN"/>
        </w:rPr>
        <w:t>谈判小组</w:t>
      </w:r>
      <w:r>
        <w:rPr>
          <w:rFonts w:hint="eastAsia" w:ascii="宋体" w:hAnsi="宋体" w:eastAsia="宋体" w:cs="宋体"/>
          <w:b/>
          <w:bCs/>
          <w:color w:val="auto"/>
          <w:szCs w:val="21"/>
          <w:highlight w:val="none"/>
          <w:lang w:val="zh-CN"/>
        </w:rPr>
        <w:t>论证，采购文件没有不合理条款、采购程序符合规定的，当有效供应商只有2家时，经招标人代表和作出实质性响应的投标人代表同意后，可以维续进行谈判</w:t>
      </w:r>
      <w:r>
        <w:rPr>
          <w:rFonts w:hint="eastAsia" w:ascii="宋体" w:hAnsi="宋体" w:eastAsia="宋体" w:cs="宋体"/>
          <w:b w:val="0"/>
          <w:bCs w:val="0"/>
          <w:color w:val="FF0000"/>
          <w:szCs w:val="21"/>
          <w:highlight w:val="none"/>
          <w:lang w:val="zh-CN"/>
        </w:rPr>
        <w:t>。</w:t>
      </w:r>
    </w:p>
    <w:p w14:paraId="6EDE546B">
      <w:pPr>
        <w:tabs>
          <w:tab w:val="left" w:pos="360"/>
        </w:tabs>
        <w:autoSpaceDE w:val="0"/>
        <w:autoSpaceDN w:val="0"/>
        <w:adjustRightInd w:val="0"/>
        <w:spacing w:line="360" w:lineRule="auto"/>
        <w:ind w:left="0" w:leftChars="0" w:right="44" w:rightChars="21" w:firstLine="0"/>
        <w:rPr>
          <w:rFonts w:ascii="宋体" w:hAnsi="宋体" w:eastAsia="宋体" w:cs="宋体"/>
          <w:color w:val="auto"/>
          <w:szCs w:val="21"/>
          <w:highlight w:val="none"/>
          <w:lang w:val="zh-CN"/>
        </w:rPr>
      </w:pPr>
    </w:p>
    <w:p w14:paraId="5B29FAC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3" w:name="_Toc486167694"/>
      <w:bookmarkStart w:id="184" w:name="_Toc32498_WPSOffice_Level3"/>
      <w:bookmarkStart w:id="185" w:name="_Toc465358969"/>
      <w:bookmarkStart w:id="186" w:name="_Toc160099465"/>
      <w:bookmarkStart w:id="187" w:name="_Toc466882017"/>
      <w:bookmarkStart w:id="188" w:name="_Toc1577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评审结果公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w:t>
      </w:r>
      <w:r>
        <w:rPr>
          <w:rFonts w:hint="eastAsia" w:ascii="宋体" w:hAnsi="宋体" w:eastAsia="宋体" w:cs="宋体"/>
          <w:color w:val="auto"/>
          <w:szCs w:val="21"/>
          <w:highlight w:val="none"/>
          <w:lang w:val="en-US" w:eastAsia="zh-CN"/>
        </w:rPr>
        <w:t>质疑</w:t>
      </w:r>
      <w:r>
        <w:rPr>
          <w:rFonts w:hint="eastAsia" w:ascii="宋体" w:hAnsi="宋体" w:eastAsia="宋体" w:cs="宋体"/>
          <w:color w:val="auto"/>
          <w:szCs w:val="21"/>
          <w:highlight w:val="none"/>
          <w:lang w:val="zh-CN"/>
        </w:rPr>
        <w:t>、投诉</w:t>
      </w:r>
      <w:bookmarkEnd w:id="183"/>
      <w:bookmarkEnd w:id="184"/>
      <w:bookmarkEnd w:id="185"/>
      <w:bookmarkEnd w:id="186"/>
      <w:bookmarkEnd w:id="187"/>
      <w:bookmarkEnd w:id="188"/>
    </w:p>
    <w:p w14:paraId="7203AC2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采购代理机构将以书面形式通知响应供应商评审结果。响应供应商或者其他利害关系人对评审结果有</w:t>
      </w:r>
      <w:r>
        <w:rPr>
          <w:rFonts w:hint="eastAsia" w:ascii="宋体" w:hAnsi="宋体" w:eastAsia="宋体" w:cs="Times New Roman"/>
          <w:color w:val="auto"/>
          <w:szCs w:val="21"/>
          <w:highlight w:val="none"/>
          <w:lang w:val="en-US" w:eastAsia="zh-CN"/>
        </w:rPr>
        <w:t>质疑</w:t>
      </w:r>
      <w:r>
        <w:rPr>
          <w:rFonts w:hint="eastAsia" w:ascii="宋体" w:hAnsi="宋体" w:eastAsia="宋体" w:cs="Times New Roman"/>
          <w:color w:val="auto"/>
          <w:szCs w:val="21"/>
          <w:highlight w:val="none"/>
          <w:lang w:val="zh-CN"/>
        </w:rPr>
        <w:t>的，应当在</w:t>
      </w:r>
      <w:r>
        <w:rPr>
          <w:rFonts w:hint="eastAsia" w:ascii="宋体" w:hAnsi="宋体" w:eastAsia="宋体" w:cs="Times New Roman"/>
          <w:color w:val="auto"/>
          <w:szCs w:val="21"/>
          <w:highlight w:val="none"/>
        </w:rPr>
        <w:t>评审结果通知的规定时间内</w:t>
      </w:r>
      <w:r>
        <w:rPr>
          <w:rFonts w:hint="eastAsia" w:ascii="宋体" w:hAnsi="宋体" w:eastAsia="宋体" w:cs="Times New Roman"/>
          <w:color w:val="auto"/>
          <w:szCs w:val="21"/>
          <w:highlight w:val="none"/>
          <w:lang w:val="zh-CN"/>
        </w:rPr>
        <w:t>向采购代理机构以书面形式提出，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w:t>
      </w:r>
      <w:r>
        <w:rPr>
          <w:rFonts w:hint="eastAsia" w:ascii="宋体" w:hAnsi="宋体" w:eastAsia="宋体" w:cs="Times New Roman"/>
          <w:color w:val="auto"/>
          <w:szCs w:val="21"/>
          <w:highlight w:val="none"/>
          <w:lang w:val="en-US" w:eastAsia="zh-CN"/>
        </w:rPr>
        <w:t>质疑</w:t>
      </w:r>
      <w:r>
        <w:rPr>
          <w:rFonts w:hint="eastAsia" w:ascii="宋体" w:hAnsi="宋体" w:eastAsia="宋体" w:cs="Times New Roman"/>
          <w:color w:val="auto"/>
          <w:szCs w:val="21"/>
          <w:highlight w:val="none"/>
          <w:lang w:val="zh-CN"/>
        </w:rPr>
        <w:t>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达采购代理机构，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对评审结果无</w:t>
      </w:r>
      <w:r>
        <w:rPr>
          <w:rFonts w:hint="eastAsia" w:ascii="宋体" w:hAnsi="宋体" w:eastAsia="宋体" w:cs="Times New Roman"/>
          <w:color w:val="auto"/>
          <w:szCs w:val="21"/>
          <w:highlight w:val="none"/>
          <w:lang w:val="en-US" w:eastAsia="zh-CN"/>
        </w:rPr>
        <w:t>质疑</w:t>
      </w:r>
      <w:r>
        <w:rPr>
          <w:rFonts w:hint="eastAsia" w:ascii="宋体" w:hAnsi="宋体" w:eastAsia="宋体" w:cs="Times New Roman"/>
          <w:color w:val="auto"/>
          <w:szCs w:val="21"/>
          <w:highlight w:val="none"/>
          <w:lang w:val="zh-CN"/>
        </w:rPr>
        <w:t>。超出提交</w:t>
      </w:r>
      <w:r>
        <w:rPr>
          <w:rFonts w:hint="eastAsia" w:ascii="宋体" w:hAnsi="宋体" w:eastAsia="宋体" w:cs="Times New Roman"/>
          <w:color w:val="auto"/>
          <w:szCs w:val="21"/>
          <w:highlight w:val="none"/>
          <w:lang w:val="en-US" w:eastAsia="zh-CN"/>
        </w:rPr>
        <w:t>质疑</w:t>
      </w:r>
      <w:r>
        <w:rPr>
          <w:rFonts w:hint="eastAsia" w:ascii="宋体" w:hAnsi="宋体" w:eastAsia="宋体" w:cs="Times New Roman"/>
          <w:color w:val="auto"/>
          <w:szCs w:val="21"/>
          <w:highlight w:val="none"/>
          <w:lang w:val="zh-CN"/>
        </w:rPr>
        <w:t>截止时间而提出的任何疑问，采购代理机构可不予答复</w:t>
      </w:r>
      <w:r>
        <w:rPr>
          <w:rFonts w:hint="eastAsia" w:ascii="宋体" w:hAnsi="宋体" w:eastAsia="宋体" w:cs="宋体"/>
          <w:color w:val="auto"/>
          <w:szCs w:val="21"/>
          <w:highlight w:val="none"/>
          <w:lang w:val="zh-CN"/>
        </w:rPr>
        <w:t>。</w:t>
      </w:r>
    </w:p>
    <w:p w14:paraId="7D4AE983">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采购代理机构将拒收未能提供完整书面材料的质疑，完整的质疑书面材料必须同时包含：质疑书（加盖法人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，并注明联系人、联系电话、联系地址）、授权提交质疑的法定代表人授权书原件、反映质疑人主体资格的营业执照复印件（加盖法人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220D318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 响应供应商或者其他利害关系人认为采购活动不符合法律、行政法规规定的，可以自知道或者应当知道之日起10日内，按程序向采购人采购活动的监督部门投诉。投诉应当提供纸质投诉书及必要的证明材料。投诉书应当包括下列内容：</w:t>
      </w:r>
    </w:p>
    <w:p w14:paraId="50BA337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CC956B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（二）质疑和质疑答复情况说明及相关证明材料；</w:t>
      </w:r>
    </w:p>
    <w:p w14:paraId="14B378E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87FE3F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FF7018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62C5991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737187F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3B0201D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投诉人投诉的事项不得超出已质疑事项的范围，但基于质疑答复内容提出的投诉事项除外。</w:t>
      </w:r>
    </w:p>
    <w:p w14:paraId="23B9F1C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监督部门：东莞市水务环境投资控股集团有限公司，联系人：莫先生，联系电话：0769-28823251。</w:t>
      </w:r>
    </w:p>
    <w:p w14:paraId="4C4C6496">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3E360E4C">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189" w:name="_Toc160099466"/>
      <w:bookmarkStart w:id="190" w:name="_Toc32548"/>
      <w:bookmarkStart w:id="191" w:name="_Toc466882018"/>
      <w:bookmarkStart w:id="192" w:name="_Toc1848_WPSOffice_Level3"/>
      <w:bookmarkStart w:id="193" w:name="_Toc486167695"/>
      <w:bookmarkStart w:id="194" w:name="_Toc46535897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189"/>
      <w:bookmarkEnd w:id="190"/>
      <w:bookmarkEnd w:id="191"/>
      <w:bookmarkEnd w:id="192"/>
      <w:bookmarkEnd w:id="193"/>
      <w:bookmarkEnd w:id="194"/>
    </w:p>
    <w:p w14:paraId="07C1C83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授予合同前，采购人（或其委托的采购代理机构）、或谈判小组有权组织对响应供应商的真实性审查</w:t>
      </w: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rPr>
        <w:t>包括对响应供应商的资格证明文件、业绩证明文件、对谈判文件实质性条款响应文件、履约能力证明文件的原件真实性进行核查。采购人</w:t>
      </w:r>
      <w:r>
        <w:rPr>
          <w:rFonts w:hint="eastAsia" w:ascii="宋体" w:hAnsi="宋体" w:eastAsia="宋体" w:cs="Times New Roman"/>
          <w:b/>
          <w:color w:val="auto"/>
          <w:szCs w:val="21"/>
          <w:highlight w:val="none"/>
          <w:lang w:val="zh-CN"/>
        </w:rPr>
        <w:t>如有需要，响应供应商有义务提供响应文件外其他相关证明资料原件（包括但不限于业绩合同对应的发票等）供采购人核查。</w:t>
      </w:r>
      <w:r>
        <w:rPr>
          <w:rFonts w:hint="eastAsia" w:ascii="宋体" w:hAnsi="宋体" w:eastAsia="宋体" w:cs="Times New Roman"/>
          <w:b/>
          <w:color w:val="auto"/>
          <w:kern w:val="0"/>
          <w:szCs w:val="21"/>
          <w:highlight w:val="none"/>
        </w:rPr>
        <w:t>若发现响应供应商提供虚假证明文件、虚假响应文件等弄虚作假行为的，或经审查确认其经营、财务状况发生较大变化（或者存在违法行为）导致无法按照响应文件的承诺履约的，或其明确表示不按照响应文件承诺履约的，等影响</w:t>
      </w:r>
      <w:r>
        <w:rPr>
          <w:rFonts w:hint="eastAsia" w:ascii="宋体" w:hAnsi="宋体" w:eastAsia="宋体" w:cs="Times New Roman"/>
          <w:b/>
          <w:color w:val="auto"/>
          <w:kern w:val="0"/>
          <w:szCs w:val="21"/>
          <w:highlight w:val="none"/>
          <w:lang w:eastAsia="zh-CN"/>
        </w:rPr>
        <w:t>成交</w:t>
      </w:r>
      <w:r>
        <w:rPr>
          <w:rFonts w:hint="eastAsia" w:ascii="宋体" w:hAnsi="宋体" w:eastAsia="宋体" w:cs="Times New Roman"/>
          <w:b/>
          <w:color w:val="auto"/>
          <w:kern w:val="0"/>
          <w:szCs w:val="21"/>
          <w:highlight w:val="none"/>
        </w:rPr>
        <w:t>结果的行为，采购人有权按照谈判小组提出的成交候选人名单排序依次确定其他成交候选人为成交人或重新采购</w:t>
      </w:r>
      <w:r>
        <w:rPr>
          <w:rFonts w:hint="eastAsia" w:ascii="宋体" w:hAnsi="宋体" w:eastAsia="宋体" w:cs="宋体"/>
          <w:b/>
          <w:color w:val="auto"/>
          <w:szCs w:val="21"/>
          <w:highlight w:val="none"/>
        </w:rPr>
        <w:t>。</w:t>
      </w:r>
    </w:p>
    <w:p w14:paraId="46A2943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响应供应商</w:t>
      </w:r>
      <w:r>
        <w:rPr>
          <w:rFonts w:hint="eastAsia" w:ascii="宋体" w:hAnsi="宋体" w:eastAsia="宋体" w:cs="Times New Roman"/>
          <w:b/>
          <w:color w:val="auto"/>
          <w:kern w:val="0"/>
          <w:szCs w:val="21"/>
          <w:highlight w:val="none"/>
        </w:rPr>
        <w:t>在采购人（或其委托的采购代理机构）、或谈判小组通知其提供</w:t>
      </w:r>
      <w:r>
        <w:rPr>
          <w:rFonts w:hint="eastAsia" w:ascii="宋体" w:hAnsi="宋体" w:eastAsia="宋体" w:cs="Times New Roman"/>
          <w:b/>
          <w:color w:val="auto"/>
          <w:szCs w:val="21"/>
          <w:highlight w:val="none"/>
          <w:lang w:val="zh-CN"/>
        </w:rPr>
        <w:t>上述响应文件或响应文件外其他相关（包括但不限于业绩合同对应的发票等）的证明资料原件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进行核查的要求后，未能在约定的时间内提供原件进行核查的，视为响应供应商无法提供真实的资料，采购人有权按照谈判小组提出的成交候选人名单排序依次确定其他成交候选人为成交人或重新采购</w:t>
      </w:r>
      <w:r>
        <w:rPr>
          <w:rFonts w:hint="eastAsia" w:ascii="宋体" w:hAnsi="宋体" w:eastAsia="宋体" w:cs="宋体"/>
          <w:b/>
          <w:color w:val="auto"/>
          <w:szCs w:val="21"/>
          <w:highlight w:val="none"/>
        </w:rPr>
        <w:t>。</w:t>
      </w:r>
    </w:p>
    <w:p w14:paraId="79123EB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若响应供应商在</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谈判文件要求等弄虚作假行为，</w:t>
      </w:r>
      <w:r>
        <w:rPr>
          <w:rFonts w:ascii="宋体" w:hAnsi="宋体" w:eastAsia="宋体" w:cs="宋体"/>
          <w:b/>
          <w:color w:val="auto"/>
          <w:szCs w:val="21"/>
          <w:highlight w:val="none"/>
        </w:rPr>
        <w:t>或不按照响应文件承诺履约</w:t>
      </w:r>
      <w:r>
        <w:rPr>
          <w:rFonts w:hint="eastAsia" w:ascii="宋体" w:hAnsi="宋体" w:eastAsia="宋体" w:cs="宋体"/>
          <w:b/>
          <w:color w:val="auto"/>
          <w:szCs w:val="21"/>
          <w:highlight w:val="none"/>
        </w:rPr>
        <w:t>或撤回</w:t>
      </w:r>
      <w:r>
        <w:rPr>
          <w:rFonts w:hint="eastAsia" w:ascii="宋体" w:hAnsi="宋体" w:eastAsia="宋体" w:cs="宋体"/>
          <w:b/>
          <w:color w:val="auto"/>
          <w:szCs w:val="21"/>
          <w:highlight w:val="none"/>
          <w:lang w:val="en-US" w:eastAsia="zh-CN"/>
        </w:rPr>
        <w:t>响应文件</w:t>
      </w:r>
      <w:r>
        <w:rPr>
          <w:rFonts w:hint="eastAsia" w:ascii="宋体" w:hAnsi="宋体" w:eastAsia="宋体" w:cs="宋体"/>
          <w:b/>
          <w:color w:val="auto"/>
          <w:szCs w:val="21"/>
          <w:highlight w:val="none"/>
        </w:rPr>
        <w:t>或放弃</w:t>
      </w:r>
      <w:r>
        <w:rPr>
          <w:rFonts w:hint="eastAsia" w:ascii="宋体" w:hAnsi="宋体" w:eastAsia="宋体" w:cs="宋体"/>
          <w:b/>
          <w:color w:val="auto"/>
          <w:szCs w:val="21"/>
          <w:highlight w:val="none"/>
          <w:lang w:val="en-US" w:eastAsia="zh-CN"/>
        </w:rPr>
        <w:t>成交</w:t>
      </w:r>
      <w:r>
        <w:rPr>
          <w:rFonts w:hint="eastAsia" w:ascii="宋体" w:hAnsi="宋体" w:eastAsia="宋体" w:cs="宋体"/>
          <w:b/>
          <w:color w:val="auto"/>
          <w:szCs w:val="21"/>
          <w:highlight w:val="none"/>
        </w:rPr>
        <w:t>资格或</w:t>
      </w:r>
      <w:r>
        <w:rPr>
          <w:rFonts w:ascii="宋体" w:hAnsi="宋体" w:eastAsia="宋体" w:cs="宋体"/>
          <w:b/>
          <w:color w:val="auto"/>
          <w:szCs w:val="21"/>
          <w:highlight w:val="none"/>
        </w:rPr>
        <w:t>不按要求与采购人签订合同等影响</w:t>
      </w:r>
      <w:r>
        <w:rPr>
          <w:rFonts w:hint="eastAsia" w:ascii="宋体" w:hAnsi="宋体" w:eastAsia="宋体" w:cs="宋体"/>
          <w:b/>
          <w:color w:val="auto"/>
          <w:szCs w:val="21"/>
          <w:highlight w:val="none"/>
          <w:lang w:eastAsia="zh-CN"/>
        </w:rPr>
        <w:t>成交</w:t>
      </w:r>
      <w:r>
        <w:rPr>
          <w:rFonts w:ascii="宋体" w:hAnsi="宋体" w:eastAsia="宋体" w:cs="宋体"/>
          <w:b/>
          <w:color w:val="auto"/>
          <w:szCs w:val="21"/>
          <w:highlight w:val="none"/>
        </w:rPr>
        <w:t>结果的行为</w:t>
      </w:r>
      <w:r>
        <w:rPr>
          <w:rFonts w:hint="eastAsia" w:ascii="宋体" w:hAnsi="宋体" w:eastAsia="宋体" w:cs="宋体"/>
          <w:b/>
          <w:color w:val="auto"/>
          <w:szCs w:val="21"/>
          <w:highlight w:val="none"/>
        </w:rPr>
        <w:t>，采购人有权将响应供应商纳入</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（含其全资子公司、控股公司、由其管理的参股公司）</w:t>
      </w:r>
      <w:r>
        <w:rPr>
          <w:rFonts w:hint="eastAsia" w:ascii="宋体" w:hAnsi="宋体" w:eastAsia="宋体" w:cs="宋体"/>
          <w:b/>
          <w:color w:val="auto"/>
          <w:szCs w:val="21"/>
          <w:highlight w:val="none"/>
          <w:lang w:val="en-US" w:eastAsia="zh-CN"/>
        </w:rPr>
        <w:t>谈判</w:t>
      </w:r>
      <w:r>
        <w:rPr>
          <w:rFonts w:hint="eastAsia" w:ascii="宋体" w:hAnsi="宋体" w:eastAsia="宋体" w:cs="宋体"/>
          <w:b/>
          <w:color w:val="auto"/>
          <w:szCs w:val="21"/>
          <w:highlight w:val="none"/>
        </w:rPr>
        <w:t>、采购、征集供应商或合作方采购的‘黑名单’中，因此导致响应供应商无法参与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w:t>
      </w:r>
      <w:r>
        <w:rPr>
          <w:rFonts w:hint="eastAsia" w:ascii="宋体" w:hAnsi="宋体" w:eastAsia="宋体" w:cs="宋体"/>
          <w:b/>
          <w:color w:val="auto"/>
          <w:szCs w:val="21"/>
          <w:highlight w:val="none"/>
          <w:lang w:val="en-US" w:eastAsia="zh-CN"/>
        </w:rPr>
        <w:t>谈判</w:t>
      </w:r>
      <w:r>
        <w:rPr>
          <w:rFonts w:hint="eastAsia" w:ascii="宋体" w:hAnsi="宋体" w:eastAsia="宋体" w:cs="宋体"/>
          <w:b/>
          <w:color w:val="auto"/>
          <w:szCs w:val="21"/>
          <w:highlight w:val="none"/>
        </w:rPr>
        <w:t>采购等活动的，由响应供应商自行承担全部后果。</w:t>
      </w:r>
    </w:p>
    <w:p w14:paraId="18914F04">
      <w:pPr>
        <w:autoSpaceDE w:val="0"/>
        <w:autoSpaceDN w:val="0"/>
        <w:adjustRightInd w:val="0"/>
        <w:snapToGrid w:val="0"/>
        <w:spacing w:line="360" w:lineRule="auto"/>
        <w:jc w:val="left"/>
        <w:rPr>
          <w:rFonts w:ascii="宋体" w:hAnsi="宋体" w:eastAsia="宋体" w:cs="宋体"/>
          <w:color w:val="auto"/>
          <w:szCs w:val="21"/>
          <w:highlight w:val="none"/>
        </w:rPr>
      </w:pPr>
      <w:bookmarkStart w:id="195" w:name="_Toc465358971"/>
      <w:bookmarkStart w:id="196" w:name="_Toc466882019"/>
    </w:p>
    <w:p w14:paraId="63B1BFCC">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197" w:name="_Toc8449"/>
      <w:bookmarkStart w:id="198" w:name="_Toc486167696"/>
      <w:bookmarkStart w:id="199" w:name="_Toc160099467"/>
      <w:bookmarkStart w:id="200"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谈判小组和采购人接受或拒绝任何响应或所有响应的权利</w:t>
      </w:r>
      <w:bookmarkEnd w:id="195"/>
      <w:bookmarkEnd w:id="196"/>
      <w:bookmarkEnd w:id="197"/>
      <w:bookmarkEnd w:id="198"/>
      <w:bookmarkEnd w:id="199"/>
      <w:bookmarkEnd w:id="200"/>
    </w:p>
    <w:p w14:paraId="084625D5">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在授予合同前的任何时候，采购人仍保留接受或拒绝任何</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，宣布采购程序无效或拒绝所有</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的权利，无需向受影响的响应供应商承担任何责任。</w:t>
      </w:r>
    </w:p>
    <w:p w14:paraId="2FFAB831">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01" w:name="_Toc450662880"/>
    </w:p>
    <w:p w14:paraId="1049E936">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2" w:name="_Toc160099468"/>
      <w:bookmarkStart w:id="203" w:name="_Toc16848_WPSOffice_Level2"/>
      <w:bookmarkStart w:id="204" w:name="_Toc21611"/>
      <w:bookmarkStart w:id="205" w:name="_Toc486167697"/>
      <w:bookmarkStart w:id="206" w:name="_Toc140596907"/>
      <w:r>
        <w:rPr>
          <w:rFonts w:hint="eastAsia" w:ascii="宋体" w:hAnsi="宋体" w:eastAsia="宋体" w:cs="宋体"/>
          <w:b/>
          <w:bCs/>
          <w:color w:val="auto"/>
          <w:kern w:val="44"/>
          <w:szCs w:val="21"/>
          <w:highlight w:val="none"/>
          <w:lang w:val="zh-CN"/>
        </w:rPr>
        <w:t>六、授予合同</w:t>
      </w:r>
      <w:bookmarkEnd w:id="201"/>
      <w:bookmarkEnd w:id="202"/>
      <w:bookmarkEnd w:id="203"/>
      <w:bookmarkEnd w:id="204"/>
      <w:bookmarkEnd w:id="205"/>
      <w:bookmarkEnd w:id="206"/>
    </w:p>
    <w:p w14:paraId="12A65C9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7" w:name="_Toc486167698"/>
      <w:bookmarkStart w:id="208" w:name="_Toc19100"/>
      <w:bookmarkStart w:id="209" w:name="_Toc160099469"/>
      <w:bookmarkStart w:id="210" w:name="_Toc450662881"/>
      <w:bookmarkStart w:id="211" w:name="_Toc6401_WPSOffice_Level3"/>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07"/>
      <w:bookmarkEnd w:id="208"/>
      <w:bookmarkEnd w:id="209"/>
      <w:bookmarkEnd w:id="210"/>
      <w:bookmarkEnd w:id="211"/>
    </w:p>
    <w:p w14:paraId="15F4C84D">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条规定外，采购人将合同授予其响应文件符合谈判文件要求，并且能承诺履行合同，对采购人最为有利的响应供应商。</w:t>
      </w:r>
    </w:p>
    <w:p w14:paraId="07A15F5C">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采购人依法</w:t>
      </w:r>
      <w:r>
        <w:rPr>
          <w:rFonts w:hint="eastAsia" w:ascii="宋体" w:hAnsi="宋体" w:eastAsia="宋体" w:cs="宋体"/>
          <w:color w:val="auto"/>
          <w:kern w:val="0"/>
          <w:szCs w:val="21"/>
          <w:highlight w:val="none"/>
        </w:rPr>
        <w:t>按照评审报告中推荐的成交候选人顺序</w:t>
      </w:r>
      <w:r>
        <w:rPr>
          <w:rFonts w:hint="eastAsia" w:ascii="宋体" w:hAnsi="宋体" w:eastAsia="宋体" w:cs="宋体"/>
          <w:color w:val="auto"/>
          <w:szCs w:val="21"/>
          <w:highlight w:val="none"/>
          <w:lang w:val="zh-CN"/>
        </w:rPr>
        <w:t>确定成交人。</w:t>
      </w:r>
    </w:p>
    <w:p w14:paraId="735DF4A6">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或约定时间内与采购人签订合同、成交人放弃成交、成交资格被依法确认无效的，采购人可以按照谈判小组提出的成交候选人名单排序依次确定其他成交候选人为成交人或重新采购</w:t>
      </w:r>
      <w:r>
        <w:rPr>
          <w:rFonts w:hint="eastAsia" w:ascii="宋体" w:hAnsi="宋体" w:eastAsia="宋体" w:cs="宋体"/>
          <w:b w:val="0"/>
          <w:bCs/>
          <w:color w:val="auto"/>
          <w:kern w:val="0"/>
          <w:szCs w:val="21"/>
          <w:highlight w:val="none"/>
        </w:rPr>
        <w:t>。</w:t>
      </w:r>
    </w:p>
    <w:p w14:paraId="738BED4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12" w:name="_Toc450662885"/>
    </w:p>
    <w:p w14:paraId="4548F5AA">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3" w:name="_Toc6726_WPSOffice_Level3"/>
      <w:bookmarkStart w:id="214" w:name="_Toc160099470"/>
      <w:bookmarkStart w:id="215" w:name="_Toc486167699"/>
      <w:bookmarkStart w:id="216" w:name="_Toc25705"/>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成交通知</w:t>
      </w:r>
      <w:bookmarkEnd w:id="212"/>
      <w:bookmarkEnd w:id="213"/>
      <w:bookmarkEnd w:id="214"/>
      <w:bookmarkEnd w:id="215"/>
      <w:bookmarkEnd w:id="216"/>
    </w:p>
    <w:p w14:paraId="5BDB8FE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17"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采购代理机构向成交人发出书面通知，成交通知书是合同的一个组成部分。</w:t>
      </w:r>
    </w:p>
    <w:p w14:paraId="75B99DC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采购代理机构向成交人发出书面通知的同时，采购代理机构通知落选的响应供应商其响应文件未被接受而不提原因。</w:t>
      </w:r>
    </w:p>
    <w:p w14:paraId="5A52299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51671C7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8" w:name="_Toc160099471"/>
      <w:bookmarkStart w:id="219" w:name="_Toc9694_WPSOffice_Level3"/>
      <w:bookmarkStart w:id="220" w:name="_Toc486167700"/>
      <w:bookmarkStart w:id="221" w:name="_Toc22735"/>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217"/>
      <w:bookmarkEnd w:id="218"/>
      <w:bookmarkEnd w:id="219"/>
      <w:bookmarkEnd w:id="220"/>
      <w:bookmarkEnd w:id="221"/>
    </w:p>
    <w:p w14:paraId="310ABDF1">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成交人在自成交通知书发出之日起30日内，按照竞争性谈判文件和成交人的响应文件的约定</w:t>
      </w:r>
      <w:r>
        <w:rPr>
          <w:rFonts w:hint="eastAsia" w:ascii="宋体" w:hAnsi="宋体" w:eastAsia="宋体" w:cs="宋体"/>
          <w:b w:val="0"/>
          <w:bCs w:val="0"/>
          <w:color w:val="auto"/>
          <w:szCs w:val="21"/>
          <w:highlight w:val="none"/>
          <w:lang w:val="zh-CN"/>
        </w:rPr>
        <w:t>（详见用户需求书），</w:t>
      </w:r>
      <w:r>
        <w:rPr>
          <w:rFonts w:hint="eastAsia" w:ascii="宋体" w:hAnsi="宋体" w:eastAsia="宋体" w:cs="宋体"/>
          <w:b/>
          <w:bCs/>
          <w:color w:val="auto"/>
          <w:szCs w:val="21"/>
          <w:highlight w:val="none"/>
          <w:lang w:val="zh-CN"/>
        </w:rPr>
        <w:t>与采购人签订书面合同，具体签订方式以采购人通知为准。否则采购人有权取消成交资格并按竞争性谈判文件及法律、法规的规定进行处理。</w:t>
      </w:r>
    </w:p>
    <w:p w14:paraId="7DD4E5E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在签署合同前，采购人可对成交人响应报价明细及附表内的算术性错误进行修正，修正原则为：</w:t>
      </w:r>
    </w:p>
    <w:p w14:paraId="62C9B504">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总报价金额与按综合单价计算的总价不一致的，以综合单价计算结果为准，单项金额小数点有明显错位的，应以总价为准，并修正综合单价金额；（3）按前述修正原则排序依次进行修正至唯一值后的报价表经双方确认后，作为合同文件的组成部分。</w:t>
      </w:r>
    </w:p>
    <w:p w14:paraId="5AE9679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B65EC3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2" w:name="_Toc20839"/>
      <w:bookmarkStart w:id="223" w:name="_Toc10513_WPSOffice_Level3"/>
      <w:bookmarkStart w:id="224" w:name="_Toc450662887"/>
      <w:bookmarkStart w:id="225" w:name="_Toc486167701"/>
      <w:bookmarkStart w:id="226" w:name="_Toc160099472"/>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222"/>
      <w:bookmarkEnd w:id="223"/>
      <w:bookmarkEnd w:id="224"/>
      <w:bookmarkEnd w:id="225"/>
      <w:bookmarkEnd w:id="226"/>
    </w:p>
    <w:p w14:paraId="67C865CC">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227" w:name="_Toc465358977"/>
      <w:bookmarkStart w:id="228"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成交人应在签订合同前，按本谈判文件规定金额及形式要求，向采购人提交不可撤销银行履约保函（或履约保证金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或担保公司履约担保书），作为履约担保（所需费用由成交人自行承担），</w:t>
      </w:r>
      <w:r>
        <w:rPr>
          <w:rFonts w:ascii="宋体" w:hAnsi="宋体" w:eastAsia="宋体" w:cs="Arial"/>
          <w:b/>
          <w:bCs/>
          <w:color w:val="auto"/>
          <w:kern w:val="0"/>
          <w:szCs w:val="24"/>
          <w:highlight w:val="none"/>
          <w:u w:val="single"/>
        </w:rPr>
        <w:t>否则采购人可取消成交人的</w:t>
      </w:r>
      <w:r>
        <w:rPr>
          <w:rFonts w:hint="eastAsia" w:ascii="宋体" w:hAnsi="宋体" w:eastAsia="宋体" w:cs="Arial"/>
          <w:b/>
          <w:bCs/>
          <w:color w:val="auto"/>
          <w:kern w:val="0"/>
          <w:szCs w:val="24"/>
          <w:highlight w:val="none"/>
          <w:u w:val="single"/>
          <w:lang w:eastAsia="zh-CN"/>
        </w:rPr>
        <w:t>成交</w:t>
      </w:r>
      <w:r>
        <w:rPr>
          <w:rFonts w:ascii="宋体" w:hAnsi="宋体" w:eastAsia="宋体" w:cs="Arial"/>
          <w:b/>
          <w:bCs/>
          <w:color w:val="auto"/>
          <w:kern w:val="0"/>
          <w:szCs w:val="24"/>
          <w:highlight w:val="none"/>
          <w:u w:val="single"/>
        </w:rPr>
        <w:t>资格</w:t>
      </w:r>
      <w:r>
        <w:rPr>
          <w:rFonts w:hint="eastAsia" w:ascii="宋体" w:hAnsi="宋体" w:eastAsia="宋体" w:cs="Arial"/>
          <w:b/>
          <w:bCs/>
          <w:color w:val="auto"/>
          <w:kern w:val="0"/>
          <w:szCs w:val="24"/>
          <w:highlight w:val="none"/>
          <w:u w:val="single"/>
        </w:rPr>
        <w:t>。</w:t>
      </w:r>
      <w:r>
        <w:rPr>
          <w:rFonts w:hint="eastAsia" w:ascii="宋体" w:hAnsi="宋体" w:eastAsia="宋体" w:cs="Times New Roman"/>
          <w:b/>
          <w:bCs/>
          <w:color w:val="auto"/>
          <w:szCs w:val="21"/>
          <w:highlight w:val="none"/>
          <w:u w:val="single"/>
          <w:lang w:val="zh-CN"/>
        </w:rPr>
        <w:t>其中，履约保证金，金额为暂定总合同价款价税合计的5%；银行履约保函，金额为暂定总合同价款价税合计的8%；保险公司出具的建筑工程履约保证保险，金额为暂定总合同价款价税合计的8%；履约担保书，金额为签约暂定总合同价款价税合计的10%。</w:t>
      </w:r>
      <w:r>
        <w:rPr>
          <w:rFonts w:hint="eastAsia" w:ascii="宋体" w:hAnsi="宋体" w:eastAsia="宋体" w:cs="Arial"/>
          <w:bCs/>
          <w:color w:val="auto"/>
          <w:kern w:val="0"/>
          <w:szCs w:val="24"/>
          <w:highlight w:val="none"/>
        </w:rPr>
        <w:t>合同履行过程中，成交人</w:t>
      </w:r>
      <w:r>
        <w:rPr>
          <w:rFonts w:hint="eastAsia" w:ascii="宋体" w:hAnsi="宋体" w:eastAsia="宋体" w:cs="Arial"/>
          <w:color w:val="auto"/>
          <w:kern w:val="0"/>
          <w:szCs w:val="24"/>
          <w:highlight w:val="none"/>
        </w:rPr>
        <w:t>给采购人造成的损失超过履约担保数额的，成交人还应当对超过部分予以赔偿，采购人并依法追究成交人的相应责任。</w:t>
      </w:r>
    </w:p>
    <w:p w14:paraId="6169322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履约担保用于补偿采购人因成交人不能完全履行其合同义务而蒙受的损失或其他合同约定的事项。如发生下列任一情况时，采购人有权依合同追究违约责任外，同时有权提取履约担保并进行相应处理</w:t>
      </w:r>
      <w:r>
        <w:rPr>
          <w:rFonts w:hint="eastAsia" w:ascii="宋体" w:hAnsi="宋体" w:eastAsia="宋体" w:cs="宋体"/>
          <w:color w:val="auto"/>
          <w:kern w:val="0"/>
          <w:szCs w:val="21"/>
          <w:highlight w:val="none"/>
        </w:rPr>
        <w:t>：</w:t>
      </w:r>
    </w:p>
    <w:p w14:paraId="2790B06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成交人将合同项下成交人的权利义务全部转让给第三方，或未经采购人书面同意将部分权利义务转让给第三方的，采购人有权没收其履约担保。</w:t>
      </w:r>
    </w:p>
    <w:p w14:paraId="56EF7F3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2）在合同履行期间，因成交人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服务质量问题造成损害、侵权损失（包括但不限于采购人经济损失、第三人人身财产损失等）、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拖欠原材料供应商货款或与其所雇用员工发生劳资纠纷、上访、闹事或其他影响采购人生产经营等情况而其未及时妥善处理的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采购人有权使用履约担保予以支付或作出相应处理，由此产生的一切法律后果由成交人承担。</w:t>
      </w:r>
    </w:p>
    <w:p w14:paraId="0BB5001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）在合同履行期间，成交人违约产生的违约金、赔偿、罚款或其他应付费用等款项，采购人有权直接从未付款项中直接扣除或启用履约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5573924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ascii="宋体" w:hAnsi="宋体" w:eastAsia="宋体" w:cs="Times New Roman"/>
          <w:color w:val="auto"/>
          <w:kern w:val="0"/>
          <w:szCs w:val="21"/>
          <w:highlight w:val="none"/>
        </w:rPr>
        <w:t>）合同期内，成交人不能及时完成合同某项义务的，采购人有权提取履约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5DE95A4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ascii="宋体" w:hAnsi="宋体" w:eastAsia="宋体" w:cs="Times New Roman"/>
          <w:color w:val="auto"/>
          <w:kern w:val="0"/>
          <w:szCs w:val="21"/>
          <w:highlight w:val="none"/>
        </w:rPr>
        <w:t>）其他根据本项目合同约定或法律规定，采购人可启用履约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297F6EFF">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EDD4E3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支行一级以上机构，并经采购人同意，执行本款时所发生的费用由成交人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066A198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履约担保格式应采用谈判文件中提供的（格式参见第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响应供应商如以履约保函（或履约保证保险或担保公司履约担保书）形式提供履约担保的，</w:t>
      </w:r>
      <w:r>
        <w:rPr>
          <w:rFonts w:hint="eastAsia" w:ascii="宋体" w:hAnsi="宋体" w:eastAsia="宋体" w:cs="Times New Roman"/>
          <w:color w:val="auto"/>
          <w:kern w:val="0"/>
          <w:szCs w:val="21"/>
          <w:highlight w:val="none"/>
          <w:lang w:eastAsia="zh-CN"/>
        </w:rPr>
        <w:t>响应</w:t>
      </w:r>
      <w:r>
        <w:rPr>
          <w:rFonts w:hint="eastAsia" w:ascii="宋体" w:hAnsi="宋体" w:eastAsia="宋体" w:cs="Times New Roman"/>
          <w:color w:val="auto"/>
          <w:kern w:val="0"/>
          <w:szCs w:val="21"/>
          <w:highlight w:val="none"/>
        </w:rPr>
        <w:t>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或担保）机构落实履约保函（或履约保证保险或担保公司履约担保书）格式情况，以确保能按本谈判文件规定的格式提供保函。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，须事先经采购人的书面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9FC595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本市国有企业，或政府性融资担保机构（成交人须提供能证明其属于政府性融资担保机构的证明文件），并经采购人同意，执行本款时所发生的费用由成交人承担。如采购人合同条款接受担保公司预付款担保函的，对担保机构要求参照本条执行</w:t>
      </w:r>
      <w:r>
        <w:rPr>
          <w:rFonts w:ascii="宋体" w:hAnsi="宋体" w:eastAsia="宋体" w:cs="Times New Roman"/>
          <w:color w:val="auto"/>
          <w:kern w:val="0"/>
          <w:szCs w:val="21"/>
          <w:highlight w:val="none"/>
        </w:rPr>
        <w:t>。</w:t>
      </w:r>
    </w:p>
    <w:p w14:paraId="1023F5A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成交人</w:t>
      </w:r>
      <w:r>
        <w:rPr>
          <w:rFonts w:ascii="宋体" w:hAnsi="宋体" w:eastAsia="宋体" w:cs="Times New Roman"/>
          <w:color w:val="auto"/>
          <w:kern w:val="0"/>
          <w:szCs w:val="21"/>
          <w:highlight w:val="none"/>
        </w:rPr>
        <w:t>提交的履约担保的有效期届满时间先于谈判文件、合同文件要求的，</w:t>
      </w:r>
      <w:r>
        <w:rPr>
          <w:rFonts w:hint="eastAsia" w:ascii="宋体" w:hAnsi="宋体" w:eastAsia="宋体" w:cs="Times New Roman"/>
          <w:color w:val="auto"/>
          <w:kern w:val="0"/>
          <w:szCs w:val="21"/>
          <w:highlight w:val="none"/>
        </w:rPr>
        <w:t>成交人</w:t>
      </w:r>
      <w:r>
        <w:rPr>
          <w:rFonts w:ascii="宋体" w:hAnsi="宋体" w:eastAsia="宋体" w:cs="Times New Roman"/>
          <w:color w:val="auto"/>
          <w:kern w:val="0"/>
          <w:szCs w:val="21"/>
          <w:highlight w:val="none"/>
        </w:rPr>
        <w:t>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符合采购人要求的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成交人</w:t>
      </w:r>
      <w:r>
        <w:rPr>
          <w:rFonts w:ascii="宋体" w:hAnsi="宋体" w:eastAsia="宋体" w:cs="Times New Roman"/>
          <w:color w:val="auto"/>
          <w:kern w:val="0"/>
          <w:szCs w:val="21"/>
          <w:highlight w:val="none"/>
        </w:rPr>
        <w:t>违约，</w:t>
      </w:r>
      <w:r>
        <w:rPr>
          <w:rFonts w:hint="eastAsia" w:ascii="宋体" w:hAnsi="宋体" w:eastAsia="宋体" w:cs="Times New Roman"/>
          <w:color w:val="auto"/>
          <w:kern w:val="0"/>
          <w:szCs w:val="21"/>
          <w:highlight w:val="none"/>
        </w:rPr>
        <w:t>采购人</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在不可撤销银行履约保函（或履约保证保险或担保公司履约担保书）到期后成交人未按采购人要求重新提供的，采购人有权要求成交人以履约担保金额为限承担违约金，违约金可直接从未付合同款中扣除</w:t>
      </w:r>
      <w:r>
        <w:rPr>
          <w:rFonts w:ascii="宋体" w:hAnsi="宋体" w:eastAsia="宋体" w:cs="Times New Roman"/>
          <w:color w:val="auto"/>
          <w:kern w:val="0"/>
          <w:szCs w:val="21"/>
          <w:highlight w:val="none"/>
        </w:rPr>
        <w:t>。</w:t>
      </w:r>
    </w:p>
    <w:p w14:paraId="136B442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）在合同履行过程中，不论何种原因导致履约保</w:t>
      </w:r>
      <w:r>
        <w:rPr>
          <w:rFonts w:hint="eastAsia" w:ascii="宋体" w:hAnsi="宋体" w:eastAsia="宋体" w:cs="Times New Roman"/>
          <w:color w:val="auto"/>
          <w:kern w:val="0"/>
          <w:szCs w:val="21"/>
          <w:highlight w:val="none"/>
          <w:lang w:val="en-US" w:eastAsia="zh-CN"/>
        </w:rPr>
        <w:t>证</w:t>
      </w:r>
      <w:r>
        <w:rPr>
          <w:rFonts w:hint="eastAsia" w:ascii="宋体" w:hAnsi="宋体" w:eastAsia="宋体" w:cs="Times New Roman"/>
          <w:color w:val="auto"/>
          <w:kern w:val="0"/>
          <w:szCs w:val="21"/>
          <w:highlight w:val="none"/>
        </w:rPr>
        <w:t>金数额不符合谈判文件要求的，成交人应当在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采购人有权按需补足的金额要求成交人承担违约金，并要求限期补足。如成交人仍不补足的，采购人有权单方解除合同，违约金可直接从未付合同款或履约担保中扣除。</w:t>
      </w:r>
    </w:p>
    <w:p w14:paraId="36305F6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w:t>
      </w:r>
      <w:r>
        <w:rPr>
          <w:rFonts w:hint="eastAsia" w:ascii="宋体" w:hAnsi="宋体" w:eastAsia="宋体" w:cs="Times New Roman"/>
          <w:color w:val="auto"/>
          <w:kern w:val="0"/>
          <w:szCs w:val="21"/>
          <w:highlight w:val="none"/>
        </w:rPr>
        <w:t>（或履约保证保险或担保公司履约担保书）应</w:t>
      </w:r>
      <w:r>
        <w:rPr>
          <w:rFonts w:hint="eastAsia" w:ascii="宋体" w:hAnsi="宋体" w:eastAsia="宋体" w:cs="宋体"/>
          <w:b w:val="0"/>
          <w:bCs w:val="0"/>
          <w:color w:val="auto"/>
          <w:kern w:val="0"/>
          <w:sz w:val="21"/>
          <w:szCs w:val="21"/>
          <w:highlight w:val="none"/>
          <w:lang w:val="en-US" w:eastAsia="zh-CN" w:bidi="ar"/>
        </w:rPr>
        <w:t>从合同签订之日起至合同期限届满并完成合同全部服务义务后二十八（28）日内保持有效</w:t>
      </w:r>
      <w:r>
        <w:rPr>
          <w:rFonts w:hint="eastAsia" w:ascii="宋体" w:hAnsi="宋体" w:eastAsia="宋体" w:cs="宋体"/>
          <w:color w:val="auto"/>
          <w:kern w:val="0"/>
          <w:szCs w:val="21"/>
          <w:highlight w:val="none"/>
        </w:rPr>
        <w:t>。</w:t>
      </w:r>
    </w:p>
    <w:p w14:paraId="03EB110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w:t>
      </w:r>
      <w:r>
        <w:rPr>
          <w:rFonts w:hint="eastAsia" w:ascii="宋体" w:hAnsi="宋体" w:eastAsia="宋体" w:cs="宋体"/>
          <w:color w:val="auto"/>
          <w:kern w:val="0"/>
          <w:szCs w:val="21"/>
          <w:highlight w:val="none"/>
          <w:lang w:val="en-US" w:eastAsia="zh-CN"/>
        </w:rPr>
        <w:t>证金</w:t>
      </w:r>
      <w:r>
        <w:rPr>
          <w:rFonts w:hint="eastAsia" w:ascii="宋体" w:hAnsi="宋体" w:eastAsia="宋体" w:cs="宋体"/>
          <w:color w:val="auto"/>
          <w:kern w:val="0"/>
          <w:szCs w:val="21"/>
          <w:highlight w:val="none"/>
        </w:rPr>
        <w:t>应用本合同货币。</w:t>
      </w:r>
    </w:p>
    <w:p w14:paraId="03BCA45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成交人</w:t>
      </w:r>
      <w:r>
        <w:rPr>
          <w:rFonts w:ascii="宋体" w:hAnsi="宋体" w:eastAsia="宋体" w:cs="Times New Roman"/>
          <w:color w:val="auto"/>
          <w:kern w:val="0"/>
          <w:szCs w:val="21"/>
          <w:highlight w:val="none"/>
        </w:rPr>
        <w:t>也可以按谈判文件约定的额度和时间，向采购人交纳同等数额的履约保证金作为履约担保。如成交人提交的履约保证金是其分支机构以转账形式转入的，要提交</w:t>
      </w:r>
      <w:r>
        <w:rPr>
          <w:rFonts w:hint="eastAsia" w:ascii="宋体" w:hAnsi="宋体" w:eastAsia="宋体" w:cs="Times New Roman"/>
          <w:color w:val="auto"/>
          <w:kern w:val="0"/>
          <w:szCs w:val="21"/>
          <w:highlight w:val="none"/>
        </w:rPr>
        <w:t>成交人</w:t>
      </w:r>
      <w:r>
        <w:rPr>
          <w:rFonts w:ascii="宋体" w:hAnsi="宋体" w:eastAsia="宋体" w:cs="Times New Roman"/>
          <w:color w:val="auto"/>
          <w:kern w:val="0"/>
          <w:szCs w:val="21"/>
          <w:highlight w:val="none"/>
        </w:rPr>
        <w:t>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。履约保证金应以存入采购人指定的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0EFC62FD">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（特别提醒，本账户非响应保证金汇入账户）</w:t>
      </w:r>
    </w:p>
    <w:p w14:paraId="3FBD939C">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rPr>
        <w:t>开户名称：</w:t>
      </w:r>
      <w:r>
        <w:rPr>
          <w:rFonts w:hint="eastAsia" w:ascii="宋体" w:hAnsi="宋体" w:eastAsia="宋体" w:cs="宋体"/>
          <w:b/>
          <w:color w:val="auto"/>
          <w:kern w:val="0"/>
          <w:szCs w:val="21"/>
          <w:highlight w:val="none"/>
          <w:lang w:eastAsia="zh-CN"/>
        </w:rPr>
        <w:t>东莞市水务环境投资控股集团建设管理有限公司</w:t>
      </w:r>
    </w:p>
    <w:p w14:paraId="51A634AB">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w:t>
      </w:r>
      <w:r>
        <w:rPr>
          <w:rFonts w:hint="eastAsia" w:ascii="宋体" w:hAnsi="宋体" w:eastAsia="宋体" w:cs="宋体"/>
          <w:color w:val="auto"/>
          <w:szCs w:val="21"/>
          <w:highlight w:val="none"/>
        </w:rPr>
        <w:t>2010021309200628330</w:t>
      </w:r>
    </w:p>
    <w:p w14:paraId="7BC7E7C9">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w:t>
      </w:r>
      <w:r>
        <w:rPr>
          <w:rFonts w:hint="eastAsia" w:ascii="宋体" w:hAnsi="宋体" w:eastAsia="宋体" w:cs="宋体"/>
          <w:color w:val="auto"/>
          <w:szCs w:val="21"/>
          <w:highlight w:val="none"/>
        </w:rPr>
        <w:t>中国工商银行股份有限公司东莞分行</w:t>
      </w:r>
    </w:p>
    <w:p w14:paraId="13666CDD">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成交人</w:t>
      </w:r>
      <w:r>
        <w:rPr>
          <w:rFonts w:hint="eastAsia" w:ascii="宋体" w:hAnsi="宋体" w:eastAsia="宋体" w:cs="Times New Roman"/>
          <w:color w:val="auto"/>
          <w:kern w:val="0"/>
          <w:szCs w:val="24"/>
          <w:highlight w:val="none"/>
        </w:rPr>
        <w:t>提交了履约担保后，当履约保证金转达采购人履约保证金账户后，</w:t>
      </w:r>
      <w:r>
        <w:rPr>
          <w:rFonts w:hint="eastAsia" w:ascii="宋体" w:hAnsi="宋体" w:eastAsia="宋体" w:cs="Times New Roman"/>
          <w:color w:val="auto"/>
          <w:szCs w:val="21"/>
          <w:highlight w:val="none"/>
          <w:lang w:val="zh-CN"/>
        </w:rPr>
        <w:t>成交人</w:t>
      </w:r>
      <w:r>
        <w:rPr>
          <w:rFonts w:hint="eastAsia" w:ascii="宋体" w:hAnsi="宋体" w:eastAsia="宋体" w:cs="Times New Roman"/>
          <w:color w:val="auto"/>
          <w:kern w:val="0"/>
          <w:szCs w:val="24"/>
          <w:highlight w:val="none"/>
        </w:rPr>
        <w:t>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采购编号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成交人</w:t>
      </w:r>
      <w:r>
        <w:rPr>
          <w:rFonts w:hint="eastAsia" w:ascii="宋体" w:hAnsi="宋体" w:eastAsia="宋体" w:cs="Times New Roman"/>
          <w:color w:val="auto"/>
          <w:kern w:val="0"/>
          <w:szCs w:val="24"/>
          <w:highlight w:val="none"/>
        </w:rPr>
        <w:t>的公章送采购代理机构，[或当成交人采取不可撤销银行履约保函（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或担保公司履约担保书）的方式缴纳履约担保时，成交人将不可撤销银行履约保函（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交给采购人，由采购人在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注明“原件已收”及签收人、日期后，成交人在每份复印件上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成交人</w:t>
      </w:r>
      <w:r>
        <w:rPr>
          <w:rFonts w:hint="eastAsia" w:ascii="宋体" w:hAnsi="宋体" w:eastAsia="宋体" w:cs="Times New Roman"/>
          <w:color w:val="auto"/>
          <w:kern w:val="0"/>
          <w:szCs w:val="24"/>
          <w:highlight w:val="none"/>
        </w:rPr>
        <w:t>的公章，送采购代理机构]</w:t>
      </w:r>
      <w:r>
        <w:rPr>
          <w:rFonts w:hint="eastAsia" w:ascii="宋体" w:hAnsi="宋体" w:eastAsia="宋体" w:cs="宋体"/>
          <w:color w:val="auto"/>
          <w:kern w:val="0"/>
          <w:szCs w:val="21"/>
          <w:highlight w:val="none"/>
        </w:rPr>
        <w:t>。</w:t>
      </w:r>
    </w:p>
    <w:p w14:paraId="605ADBA3">
      <w:pPr>
        <w:autoSpaceDE w:val="0"/>
        <w:autoSpaceDN w:val="0"/>
        <w:adjustRightInd w:val="0"/>
        <w:spacing w:line="360" w:lineRule="auto"/>
        <w:ind w:left="420" w:leftChars="-100" w:hanging="630" w:hangingChars="30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Times New Roman"/>
          <w:color w:val="auto"/>
          <w:kern w:val="0"/>
          <w:szCs w:val="24"/>
          <w:highlight w:val="none"/>
        </w:rPr>
        <w:t>成交人以履约保证金（银行转账形式）提供履约担保的，在</w:t>
      </w:r>
      <w:r>
        <w:rPr>
          <w:rFonts w:hint="eastAsia" w:ascii="宋体" w:hAnsi="宋体" w:eastAsia="宋体" w:cs="宋体"/>
          <w:b w:val="0"/>
          <w:bCs w:val="0"/>
          <w:color w:val="auto"/>
          <w:kern w:val="0"/>
          <w:sz w:val="21"/>
          <w:szCs w:val="21"/>
          <w:highlight w:val="none"/>
          <w:lang w:val="en-US" w:eastAsia="zh-CN" w:bidi="ar"/>
        </w:rPr>
        <w:t>从合同签订之日起至合同项目最终整体竣工验收合格</w:t>
      </w:r>
      <w:r>
        <w:rPr>
          <w:rFonts w:hint="eastAsia" w:ascii="宋体" w:hAnsi="宋体" w:eastAsia="宋体" w:cs="Times New Roman"/>
          <w:color w:val="auto"/>
          <w:kern w:val="0"/>
          <w:szCs w:val="24"/>
          <w:highlight w:val="none"/>
        </w:rPr>
        <w:t>后经采购人确认，成交人可向采购人提交退回履约担保的申请。采购人审核无异议后，办理履约担保退还手续，履约保证金形式提交的履约担保退回时一律以银行转账的形式无息退回到成交人的账户。</w:t>
      </w:r>
    </w:p>
    <w:p w14:paraId="14D2D14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72AABC8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9" w:name="_Toc21686"/>
      <w:bookmarkStart w:id="230" w:name="_Toc486167702"/>
      <w:bookmarkStart w:id="231" w:name="_Toc16009947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27"/>
      <w:bookmarkEnd w:id="228"/>
      <w:bookmarkEnd w:id="229"/>
      <w:bookmarkEnd w:id="230"/>
      <w:bookmarkEnd w:id="231"/>
    </w:p>
    <w:p w14:paraId="0E0F13D5">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采购人在合同约定的范围内，采购人有权根据项目实际情况及有关法律法规、政策的规定对采购范围进行变更调整，变更采购范围后，响应供应商应遵照执行。</w:t>
      </w:r>
    </w:p>
    <w:p w14:paraId="74455B7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32" w:name="_Toc450662888"/>
    </w:p>
    <w:p w14:paraId="60D7A8F0">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3" w:name="_Toc28921_WPSOffice_Level3"/>
      <w:bookmarkStart w:id="234" w:name="_Toc30777"/>
      <w:bookmarkStart w:id="235" w:name="_Toc160099474"/>
      <w:bookmarkStart w:id="236" w:name="_Toc48616770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成交服务费</w:t>
      </w:r>
      <w:bookmarkEnd w:id="232"/>
      <w:bookmarkEnd w:id="233"/>
      <w:bookmarkEnd w:id="234"/>
      <w:bookmarkEnd w:id="235"/>
      <w:bookmarkEnd w:id="236"/>
    </w:p>
    <w:p w14:paraId="5C5F6E8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37.1 成交</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应按向招标代理机构一次性交纳成交服务费（成交服务费参照国家计委《关于印发〈招标代理服务收费管理暂行办法〉的通知》（计价格〔2002〕1980号）及《国家发展改革委关于降低部分建设项目收费标准规范收费行为等有关问题的通知》（发改价格〔2011〕534号）等标准的80%计算。本项目以成交价作为计费额，本项目业务性质：按服务类招标代理服务收费。</w:t>
      </w:r>
    </w:p>
    <w:p w14:paraId="0FEAEECA">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成交</w:t>
      </w:r>
      <w:r>
        <w:rPr>
          <w:rFonts w:hint="eastAsia" w:ascii="宋体" w:hAnsi="宋体" w:eastAsia="宋体" w:cs="宋体"/>
          <w:color w:val="auto"/>
          <w:szCs w:val="21"/>
          <w:highlight w:val="none"/>
        </w:rPr>
        <w:t>人收到</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通知后，须在15日内向招标代理机构交纳</w:t>
      </w:r>
      <w:r>
        <w:rPr>
          <w:rFonts w:hint="eastAsia" w:ascii="宋体" w:hAnsi="宋体" w:eastAsia="宋体" w:cs="宋体"/>
          <w:color w:val="auto"/>
          <w:szCs w:val="21"/>
          <w:highlight w:val="none"/>
          <w:lang w:val="zh-CN"/>
        </w:rPr>
        <w:t>成交</w:t>
      </w:r>
      <w:r>
        <w:rPr>
          <w:rFonts w:hint="eastAsia" w:ascii="宋体" w:hAnsi="宋体" w:eastAsia="宋体" w:cs="宋体"/>
          <w:color w:val="auto"/>
          <w:szCs w:val="21"/>
          <w:highlight w:val="none"/>
        </w:rPr>
        <w:t>服务费用。</w:t>
      </w:r>
    </w:p>
    <w:p w14:paraId="577A4E4F">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成交</w:t>
      </w:r>
      <w:r>
        <w:rPr>
          <w:rFonts w:hint="eastAsia" w:ascii="宋体" w:hAnsi="宋体" w:eastAsia="宋体" w:cs="宋体"/>
          <w:color w:val="auto"/>
          <w:szCs w:val="21"/>
          <w:highlight w:val="none"/>
        </w:rPr>
        <w:t>服务费只接受以银行转账、电汇方式交纳。</w:t>
      </w:r>
    </w:p>
    <w:p w14:paraId="4F1F5BC1">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成交</w:t>
      </w:r>
      <w:r>
        <w:rPr>
          <w:rFonts w:hint="eastAsia" w:ascii="宋体" w:hAnsi="宋体" w:eastAsia="宋体" w:cs="宋体"/>
          <w:color w:val="auto"/>
          <w:szCs w:val="21"/>
          <w:highlight w:val="none"/>
        </w:rPr>
        <w:t>服务费汇入账号（特别提醒，本账户非</w:t>
      </w:r>
      <w:r>
        <w:rPr>
          <w:rFonts w:hint="eastAsia" w:ascii="宋体" w:hAnsi="宋体" w:eastAsia="宋体" w:cs="宋体"/>
          <w:color w:val="auto"/>
          <w:szCs w:val="21"/>
          <w:highlight w:val="none"/>
          <w:lang w:eastAsia="zh-CN"/>
        </w:rPr>
        <w:t>响应保证金</w:t>
      </w:r>
      <w:r>
        <w:rPr>
          <w:rFonts w:hint="eastAsia" w:ascii="宋体" w:hAnsi="宋体" w:eastAsia="宋体" w:cs="宋体"/>
          <w:color w:val="auto"/>
          <w:szCs w:val="21"/>
          <w:highlight w:val="none"/>
        </w:rPr>
        <w:t>汇入账户)：</w:t>
      </w:r>
    </w:p>
    <w:p w14:paraId="76DF2FA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olor w:val="auto"/>
          <w:szCs w:val="21"/>
          <w:highlight w:val="none"/>
        </w:rPr>
        <w:t>广东华迪工程管理有限公司</w:t>
      </w:r>
      <w:r>
        <w:rPr>
          <w:rFonts w:hint="eastAsia" w:ascii="宋体" w:hAnsi="宋体" w:eastAsia="宋体" w:cs="宋体"/>
          <w:color w:val="auto"/>
          <w:szCs w:val="21"/>
          <w:highlight w:val="none"/>
        </w:rPr>
        <w:t xml:space="preserve">                                          </w:t>
      </w:r>
    </w:p>
    <w:p w14:paraId="4BBCF728">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银行帐号：101001519010001135                                   </w:t>
      </w:r>
    </w:p>
    <w:p w14:paraId="16A9E8F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w:t>
      </w:r>
      <w:r>
        <w:rPr>
          <w:rFonts w:hint="eastAsia" w:ascii="宋体" w:hAnsi="宋体" w:eastAsia="宋体"/>
          <w:color w:val="auto"/>
          <w:szCs w:val="21"/>
          <w:highlight w:val="none"/>
        </w:rPr>
        <w:t>广发银行股份有限公司广州广发大厦支行</w:t>
      </w:r>
      <w:r>
        <w:rPr>
          <w:rFonts w:hint="eastAsia" w:ascii="宋体" w:hAnsi="宋体" w:eastAsia="宋体" w:cs="宋体"/>
          <w:color w:val="auto"/>
          <w:szCs w:val="21"/>
          <w:highlight w:val="none"/>
        </w:rPr>
        <w:t xml:space="preserve">                                     </w:t>
      </w:r>
    </w:p>
    <w:p w14:paraId="0ADF2D57">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如未按第3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.2款规定办理，将不予退还其</w:t>
      </w:r>
      <w:r>
        <w:rPr>
          <w:rFonts w:hint="eastAsia" w:ascii="宋体" w:hAnsi="宋体" w:eastAsia="宋体" w:cs="宋体"/>
          <w:color w:val="auto"/>
          <w:szCs w:val="21"/>
          <w:highlight w:val="none"/>
          <w:lang w:eastAsia="zh-CN"/>
        </w:rPr>
        <w:t>响应保证金</w:t>
      </w:r>
      <w:r>
        <w:rPr>
          <w:rFonts w:hint="eastAsia" w:ascii="宋体" w:hAnsi="宋体" w:eastAsia="宋体" w:cs="宋体"/>
          <w:color w:val="auto"/>
          <w:szCs w:val="21"/>
          <w:highlight w:val="none"/>
        </w:rPr>
        <w:t>。</w:t>
      </w:r>
    </w:p>
    <w:p w14:paraId="75C34AF2">
      <w:pPr>
        <w:autoSpaceDE w:val="0"/>
        <w:autoSpaceDN w:val="0"/>
        <w:adjustRightInd w:val="0"/>
        <w:snapToGrid w:val="0"/>
        <w:spacing w:line="360" w:lineRule="auto"/>
        <w:jc w:val="left"/>
        <w:rPr>
          <w:rFonts w:ascii="宋体" w:hAnsi="宋体" w:eastAsia="宋体" w:cs="宋体"/>
          <w:color w:val="auto"/>
          <w:szCs w:val="21"/>
          <w:highlight w:val="none"/>
          <w:lang w:val="zh-CN"/>
        </w:rPr>
      </w:pPr>
      <w:bookmarkStart w:id="237" w:name="_Toc450662889"/>
    </w:p>
    <w:p w14:paraId="1589900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8" w:name="_Toc486167704"/>
      <w:bookmarkStart w:id="239" w:name="_Toc160099475"/>
      <w:bookmarkStart w:id="240" w:name="_Toc6764_WPSOffice_Level3"/>
      <w:bookmarkStart w:id="241" w:name="_Toc26447"/>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237"/>
      <w:bookmarkEnd w:id="238"/>
      <w:bookmarkEnd w:id="239"/>
      <w:bookmarkEnd w:id="240"/>
      <w:bookmarkEnd w:id="241"/>
    </w:p>
    <w:p w14:paraId="207F9F7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该项目获得成交的成交人在执行合同过程中，向采购人（或采购人的权属</w:t>
      </w:r>
      <w:r>
        <w:rPr>
          <w:rFonts w:hint="eastAsia" w:ascii="宋体" w:hAnsi="宋体" w:eastAsia="宋体" w:cs="Times New Roman"/>
          <w:color w:val="auto"/>
          <w:szCs w:val="21"/>
          <w:highlight w:val="none"/>
        </w:rPr>
        <w:t>子</w:t>
      </w:r>
      <w:r>
        <w:rPr>
          <w:rFonts w:hint="eastAsia" w:ascii="宋体" w:hAnsi="宋体" w:eastAsia="宋体" w:cs="Times New Roman"/>
          <w:color w:val="auto"/>
          <w:szCs w:val="21"/>
          <w:highlight w:val="none"/>
          <w:lang w:val="zh-CN"/>
        </w:rPr>
        <w:t>公司）出具的发票必须是由成交人开具，不得以其他单位或个人名义出具，本项目成交人向采购人（或采购人的权属子公司）出具的发票类型为</w:t>
      </w:r>
      <w:r>
        <w:rPr>
          <w:rFonts w:hint="eastAsia" w:ascii="宋体" w:hAnsi="宋体" w:eastAsia="宋体" w:cs="Times New Roman"/>
          <w:color w:val="auto"/>
          <w:szCs w:val="21"/>
          <w:highlight w:val="none"/>
          <w:lang w:val="zh-CN" w:eastAsia="zh-CN"/>
        </w:rPr>
        <w:t>增值税</w:t>
      </w:r>
      <w:r>
        <w:rPr>
          <w:rFonts w:hint="eastAsia" w:ascii="宋体" w:hAnsi="宋体" w:eastAsia="宋体" w:cs="宋体"/>
          <w:bCs/>
          <w:color w:val="auto"/>
          <w:sz w:val="21"/>
          <w:szCs w:val="21"/>
          <w:highlight w:val="none"/>
        </w:rPr>
        <w:t>专用</w:t>
      </w:r>
      <w:r>
        <w:rPr>
          <w:rFonts w:hint="eastAsia" w:ascii="宋体" w:hAnsi="宋体" w:eastAsia="宋体" w:cs="Times New Roman"/>
          <w:color w:val="auto"/>
          <w:szCs w:val="21"/>
          <w:highlight w:val="none"/>
          <w:lang w:val="zh-CN"/>
        </w:rPr>
        <w:t>发票。</w:t>
      </w:r>
      <w:bookmarkStart w:id="242" w:name="_Toc486167705"/>
      <w:bookmarkStart w:id="243" w:name="_Toc31106_WPSOffice_Level3"/>
    </w:p>
    <w:p w14:paraId="413FF456">
      <w:pPr>
        <w:tabs>
          <w:tab w:val="left" w:pos="360"/>
        </w:tabs>
        <w:autoSpaceDE w:val="0"/>
        <w:autoSpaceDN w:val="0"/>
        <w:adjustRightInd w:val="0"/>
        <w:spacing w:line="360" w:lineRule="auto"/>
        <w:ind w:left="357" w:leftChars="-100" w:hanging="567"/>
        <w:jc w:val="left"/>
        <w:outlineLvl w:val="9"/>
        <w:rPr>
          <w:rFonts w:ascii="宋体" w:hAnsi="宋体" w:eastAsia="宋体" w:cs="宋体"/>
          <w:b/>
          <w:color w:val="auto"/>
          <w:szCs w:val="21"/>
          <w:highlight w:val="none"/>
        </w:rPr>
      </w:pPr>
      <w:bookmarkStart w:id="244" w:name="_Toc24547"/>
      <w:bookmarkStart w:id="245" w:name="_Toc142508356"/>
      <w:bookmarkStart w:id="246" w:name="_Toc8619"/>
      <w:bookmarkStart w:id="247" w:name="_Toc27075"/>
    </w:p>
    <w:p w14:paraId="7709EEEE">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248" w:name="_Toc10074"/>
      <w:r>
        <w:rPr>
          <w:rFonts w:ascii="宋体" w:hAnsi="宋体" w:eastAsia="宋体" w:cs="宋体"/>
          <w:b/>
          <w:color w:val="auto"/>
          <w:szCs w:val="21"/>
          <w:highlight w:val="none"/>
        </w:rPr>
        <w:t xml:space="preserve">39 </w:t>
      </w:r>
      <w:r>
        <w:rPr>
          <w:rFonts w:hint="eastAsia" w:ascii="宋体" w:hAnsi="宋体" w:eastAsia="宋体" w:cs="宋体"/>
          <w:b/>
          <w:color w:val="auto"/>
          <w:szCs w:val="21"/>
          <w:highlight w:val="none"/>
          <w:lang w:eastAsia="zh-CN"/>
        </w:rPr>
        <w:t>采购</w:t>
      </w:r>
      <w:r>
        <w:rPr>
          <w:rFonts w:ascii="宋体" w:hAnsi="宋体" w:eastAsia="宋体" w:cs="宋体"/>
          <w:b/>
          <w:color w:val="auto"/>
          <w:szCs w:val="21"/>
          <w:highlight w:val="none"/>
        </w:rPr>
        <w:t>相关补充约定</w:t>
      </w:r>
      <w:bookmarkEnd w:id="244"/>
      <w:bookmarkEnd w:id="245"/>
      <w:bookmarkEnd w:id="246"/>
      <w:bookmarkEnd w:id="247"/>
      <w:bookmarkEnd w:id="248"/>
    </w:p>
    <w:p w14:paraId="79FCEC78">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w:t>
      </w:r>
      <w:r>
        <w:rPr>
          <w:rFonts w:hint="eastAsia" w:ascii="宋体" w:hAnsi="宋体" w:eastAsia="宋体" w:cs="Times New Roman"/>
          <w:b/>
          <w:color w:val="auto"/>
          <w:szCs w:val="21"/>
          <w:highlight w:val="none"/>
          <w:lang w:eastAsia="zh-CN"/>
        </w:rPr>
        <w:t>供应商</w:t>
      </w:r>
      <w:r>
        <w:rPr>
          <w:rFonts w:ascii="宋体" w:hAnsi="宋体" w:eastAsia="宋体" w:cs="Times New Roman"/>
          <w:b/>
          <w:color w:val="auto"/>
          <w:szCs w:val="21"/>
          <w:highlight w:val="none"/>
        </w:rPr>
        <w:t>须知第2条所述行政处罚信息，以</w:t>
      </w:r>
      <w:r>
        <w:rPr>
          <w:rFonts w:hint="eastAsia" w:ascii="宋体" w:hAnsi="宋体" w:eastAsia="宋体" w:cs="Times New Roman"/>
          <w:b/>
          <w:color w:val="auto"/>
          <w:szCs w:val="21"/>
          <w:highlight w:val="none"/>
          <w:lang w:val="en-US" w:eastAsia="zh-CN"/>
        </w:rPr>
        <w:t>谈判当天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w:t>
      </w:r>
      <w:r>
        <w:rPr>
          <w:rFonts w:hint="eastAsia" w:ascii="宋体" w:hAnsi="宋体" w:eastAsia="宋体" w:cs="Times New Roman"/>
          <w:b/>
          <w:color w:val="auto"/>
          <w:szCs w:val="21"/>
          <w:highlight w:val="none"/>
          <w:lang w:eastAsia="zh-CN"/>
        </w:rPr>
        <w:t>，</w:t>
      </w:r>
      <w:r>
        <w:rPr>
          <w:rFonts w:hint="eastAsia" w:ascii="宋体" w:hAnsi="宋体" w:eastAsia="宋体" w:cs="Times New Roman"/>
          <w:b/>
          <w:color w:val="auto"/>
          <w:szCs w:val="21"/>
          <w:highlight w:val="none"/>
        </w:rPr>
        <w:t>时间以认定文件的落款时间为准</w:t>
      </w:r>
      <w:r>
        <w:rPr>
          <w:rFonts w:ascii="宋体" w:hAnsi="宋体" w:eastAsia="宋体" w:cs="Times New Roman"/>
          <w:b/>
          <w:color w:val="auto"/>
          <w:szCs w:val="21"/>
          <w:highlight w:val="none"/>
        </w:rPr>
        <w:t>。</w:t>
      </w:r>
      <w:r>
        <w:rPr>
          <w:rFonts w:hint="eastAsia" w:ascii="宋体" w:hAnsi="宋体" w:eastAsia="宋体" w:cs="Times New Roman"/>
          <w:b/>
          <w:color w:val="auto"/>
          <w:szCs w:val="21"/>
          <w:highlight w:val="none"/>
          <w:lang w:val="en-US" w:eastAsia="zh-CN"/>
        </w:rPr>
        <w:t>谈判</w:t>
      </w:r>
      <w:r>
        <w:rPr>
          <w:rFonts w:ascii="宋体" w:hAnsi="宋体" w:eastAsia="宋体" w:cs="Times New Roman"/>
          <w:b/>
          <w:color w:val="auto"/>
          <w:szCs w:val="21"/>
          <w:highlight w:val="none"/>
        </w:rPr>
        <w:t>结束后，有关</w:t>
      </w:r>
      <w:r>
        <w:rPr>
          <w:rFonts w:hint="eastAsia" w:ascii="宋体" w:hAnsi="宋体" w:eastAsia="宋体" w:cs="Times New Roman"/>
          <w:b/>
          <w:color w:val="auto"/>
          <w:szCs w:val="21"/>
          <w:highlight w:val="none"/>
          <w:lang w:eastAsia="zh-CN"/>
        </w:rPr>
        <w:t>供应商</w:t>
      </w:r>
      <w:r>
        <w:rPr>
          <w:rFonts w:ascii="宋体" w:hAnsi="宋体" w:eastAsia="宋体" w:cs="Times New Roman"/>
          <w:b/>
          <w:color w:val="auto"/>
          <w:szCs w:val="21"/>
          <w:highlight w:val="none"/>
        </w:rPr>
        <w:t>的行政处罚信息，以</w:t>
      </w:r>
      <w:r>
        <w:rPr>
          <w:rFonts w:hint="eastAsia" w:ascii="宋体" w:hAnsi="宋体" w:eastAsia="宋体" w:cs="Times New Roman"/>
          <w:b/>
          <w:color w:val="auto"/>
          <w:szCs w:val="21"/>
          <w:highlight w:val="none"/>
          <w:lang w:val="en-US" w:eastAsia="zh-CN"/>
        </w:rPr>
        <w:t>谈判当天查询</w:t>
      </w:r>
      <w:r>
        <w:rPr>
          <w:rFonts w:ascii="宋体" w:hAnsi="宋体" w:eastAsia="宋体" w:cs="Times New Roman"/>
          <w:b/>
          <w:color w:val="auto"/>
          <w:szCs w:val="21"/>
          <w:highlight w:val="none"/>
        </w:rPr>
        <w:t>结果为准；结果公示期间，如</w:t>
      </w:r>
      <w:r>
        <w:rPr>
          <w:rFonts w:hint="eastAsia" w:ascii="宋体" w:hAnsi="宋体" w:eastAsia="宋体" w:cs="Times New Roman"/>
          <w:b/>
          <w:color w:val="auto"/>
          <w:szCs w:val="21"/>
          <w:highlight w:val="none"/>
          <w:lang w:eastAsia="zh-CN"/>
        </w:rPr>
        <w:t>供应商</w:t>
      </w:r>
      <w:r>
        <w:rPr>
          <w:rFonts w:ascii="宋体" w:hAnsi="宋体" w:eastAsia="宋体" w:cs="Times New Roman"/>
          <w:b/>
          <w:color w:val="auto"/>
          <w:szCs w:val="21"/>
          <w:highlight w:val="none"/>
        </w:rPr>
        <w:t>对有关</w:t>
      </w:r>
      <w:r>
        <w:rPr>
          <w:rFonts w:hint="eastAsia" w:ascii="宋体" w:hAnsi="宋体" w:eastAsia="宋体" w:cs="Times New Roman"/>
          <w:b/>
          <w:color w:val="auto"/>
          <w:szCs w:val="21"/>
          <w:highlight w:val="none"/>
          <w:lang w:eastAsia="zh-CN"/>
        </w:rPr>
        <w:t>供应商</w:t>
      </w:r>
      <w:r>
        <w:rPr>
          <w:rFonts w:ascii="宋体" w:hAnsi="宋体" w:eastAsia="宋体" w:cs="Times New Roman"/>
          <w:b/>
          <w:color w:val="auto"/>
          <w:szCs w:val="21"/>
          <w:highlight w:val="none"/>
        </w:rPr>
        <w:t>的行政处罚信息存在异议，但不涉及第一</w:t>
      </w:r>
      <w:r>
        <w:rPr>
          <w:rFonts w:hint="eastAsia" w:ascii="宋体" w:hAnsi="宋体" w:eastAsia="宋体" w:cs="Times New Roman"/>
          <w:b/>
          <w:color w:val="auto"/>
          <w:szCs w:val="21"/>
          <w:highlight w:val="none"/>
          <w:lang w:eastAsia="zh-CN"/>
        </w:rPr>
        <w:t>成交</w:t>
      </w:r>
      <w:r>
        <w:rPr>
          <w:rFonts w:ascii="宋体" w:hAnsi="宋体" w:eastAsia="宋体" w:cs="Times New Roman"/>
          <w:b/>
          <w:color w:val="auto"/>
          <w:szCs w:val="21"/>
          <w:highlight w:val="none"/>
        </w:rPr>
        <w:t>候选人的，视为对</w:t>
      </w:r>
      <w:r>
        <w:rPr>
          <w:rFonts w:hint="eastAsia" w:ascii="宋体" w:hAnsi="宋体" w:eastAsia="宋体" w:cs="Times New Roman"/>
          <w:b/>
          <w:color w:val="auto"/>
          <w:szCs w:val="21"/>
          <w:highlight w:val="none"/>
          <w:lang w:eastAsia="zh-CN"/>
        </w:rPr>
        <w:t>成交</w:t>
      </w:r>
      <w:r>
        <w:rPr>
          <w:rFonts w:ascii="宋体" w:hAnsi="宋体" w:eastAsia="宋体" w:cs="Times New Roman"/>
          <w:b/>
          <w:color w:val="auto"/>
          <w:szCs w:val="21"/>
          <w:highlight w:val="none"/>
        </w:rPr>
        <w:t>结果没有造成实质影响。</w:t>
      </w:r>
    </w:p>
    <w:p w14:paraId="07C21E89">
      <w:pPr>
        <w:outlineLvl w:val="9"/>
        <w:rPr>
          <w:color w:val="auto"/>
          <w:highlight w:val="none"/>
          <w:lang w:val="zh-CN"/>
        </w:rPr>
      </w:pPr>
    </w:p>
    <w:p w14:paraId="0A7CF7C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249" w:name="_Toc160099476"/>
      <w:bookmarkStart w:id="250" w:name="_Toc12482"/>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 xml:space="preserve"> 本次采购活动的最终解释权归采购代理机构及采购人所有。</w:t>
      </w:r>
      <w:bookmarkEnd w:id="242"/>
      <w:bookmarkEnd w:id="243"/>
      <w:bookmarkEnd w:id="249"/>
      <w:bookmarkEnd w:id="250"/>
    </w:p>
    <w:p w14:paraId="4DA2C58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251" w:name="_Toc9125"/>
      <w:bookmarkStart w:id="252" w:name="_Toc486167706"/>
      <w:bookmarkStart w:id="253" w:name="_Toc27939_WPSOffice_Level1"/>
      <w:bookmarkStart w:id="254" w:name="_Toc450662891"/>
      <w:bookmarkStart w:id="255" w:name="_Toc160099477"/>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251"/>
      <w:bookmarkEnd w:id="252"/>
      <w:bookmarkEnd w:id="253"/>
      <w:bookmarkEnd w:id="254"/>
      <w:bookmarkEnd w:id="255"/>
    </w:p>
    <w:p w14:paraId="7E64555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一、项目概况</w:t>
      </w:r>
    </w:p>
    <w:p w14:paraId="11187E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东莞市大朗蔡边水质净化厂工程</w:t>
      </w:r>
      <w:r>
        <w:rPr>
          <w:rFonts w:hint="eastAsia" w:ascii="宋体" w:hAnsi="宋体" w:eastAsia="宋体" w:cs="宋体"/>
          <w:color w:val="auto"/>
          <w:highlight w:val="none"/>
          <w:lang w:eastAsia="zh-CN"/>
        </w:rPr>
        <w:t>位于</w:t>
      </w:r>
      <w:r>
        <w:rPr>
          <w:rFonts w:hint="eastAsia" w:ascii="宋体" w:hAnsi="宋体" w:eastAsia="宋体" w:cs="宋体"/>
          <w:color w:val="auto"/>
          <w:highlight w:val="none"/>
        </w:rPr>
        <w:t>东莞市大朗镇蔡边村文城工业园东侧地块 ，建设规模为4.0万m3/d，Kz=1.62，地上式污水处理厂。建设项目估算总投资为20467.66万元，其中：工程费用为14753.13万元。本工程业主单位为东莞市石鼓净水有限公司，代建单位为</w:t>
      </w:r>
      <w:r>
        <w:rPr>
          <w:rFonts w:hint="eastAsia" w:ascii="宋体" w:hAnsi="宋体" w:eastAsia="宋体" w:cs="宋体"/>
          <w:color w:val="auto"/>
          <w:highlight w:val="none"/>
          <w:lang w:eastAsia="zh-CN"/>
        </w:rPr>
        <w:t>东莞市水务环境投资控股集团建设管理有限公司</w:t>
      </w:r>
      <w:r>
        <w:rPr>
          <w:rFonts w:hint="eastAsia" w:ascii="宋体" w:hAnsi="宋体" w:eastAsia="宋体" w:cs="宋体"/>
          <w:color w:val="auto"/>
          <w:highlight w:val="none"/>
        </w:rPr>
        <w:t>。</w:t>
      </w:r>
    </w:p>
    <w:p w14:paraId="598403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建设内容包括厂区内主要建（构）筑物有粗格栅及提升泵房、AOA池、高效沉淀池、纤维板框滤池、紫外消毒渠、污泥脱水车间及加药间等，用地面积约19265平方米，建筑面积约3337.35平方米。</w:t>
      </w:r>
    </w:p>
    <w:p w14:paraId="2D1A78F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二、总体服务要求</w:t>
      </w:r>
    </w:p>
    <w:p w14:paraId="70EAAFF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（一）检测周期</w:t>
      </w:r>
    </w:p>
    <w:p w14:paraId="19A9FE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自东莞市大朗蔡边水质净化厂工程开工至完成约定的各项检测及相关技术工作为止。</w:t>
      </w:r>
    </w:p>
    <w:p w14:paraId="1116A8B1">
      <w:pPr>
        <w:adjustRightInd w:val="0"/>
        <w:snapToGrid w:val="0"/>
        <w:spacing w:line="360" w:lineRule="auto"/>
        <w:ind w:firstLine="420" w:firstLineChars="200"/>
        <w:rPr>
          <w:rFonts w:hint="eastAsia" w:ascii="宋体" w:hAnsi="宋体" w:eastAsia="宋体" w:cs="宋体"/>
          <w:color w:val="auto"/>
          <w:sz w:val="21"/>
          <w:szCs w:val="21"/>
          <w:highlight w:val="none"/>
        </w:rPr>
      </w:pPr>
      <w:bookmarkStart w:id="256" w:name="_Toc46812559"/>
      <w:r>
        <w:rPr>
          <w:rFonts w:hint="eastAsia" w:ascii="宋体" w:hAnsi="宋体" w:eastAsia="宋体" w:cs="宋体"/>
          <w:color w:val="auto"/>
          <w:sz w:val="21"/>
          <w:szCs w:val="21"/>
          <w:highlight w:val="none"/>
        </w:rPr>
        <w:t>（二）检测依据</w:t>
      </w:r>
      <w:bookmarkEnd w:id="256"/>
    </w:p>
    <w:p w14:paraId="4B9FC082">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1、《建筑地基基础检测规范》（DBJ/T 15-60-2019）（广东省）；</w:t>
      </w:r>
    </w:p>
    <w:p w14:paraId="7F143CA7">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2、《建筑地基处理技术规范》（DBJ/T 15-38-2019）（广东省）；</w:t>
      </w:r>
    </w:p>
    <w:p w14:paraId="619A7A74">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3、《建筑地基检测技术规范》（JGJ 340-2015）；</w:t>
      </w:r>
    </w:p>
    <w:p w14:paraId="36571077">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4、《建筑基坑工程技术规程》（DBJ/T 15-20-2016）（广东省）；</w:t>
      </w:r>
    </w:p>
    <w:p w14:paraId="248F79D8">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5、《建筑地基基础设计规范》（DBJ 15-31-2016）</w:t>
      </w:r>
    </w:p>
    <w:p w14:paraId="50A3722B">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6、《钢结构工程施工质量验收标准》（GB 50205-2020）；</w:t>
      </w:r>
    </w:p>
    <w:p w14:paraId="78035C2E">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7、《混凝土结构工程施工质量验收规范》（GB 50204-2015）；</w:t>
      </w:r>
    </w:p>
    <w:p w14:paraId="0609DA78">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8、《城镇道路路面设计规范》（GJJ 169-2012）；</w:t>
      </w:r>
    </w:p>
    <w:p w14:paraId="7EA563B6">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9、《城镇道路工程施工与质量验收规范》（GJJ 1-2008）；</w:t>
      </w:r>
    </w:p>
    <w:p w14:paraId="4424F8D8">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10、《通用硅酸盐水泥》（GB 175-2007）；</w:t>
      </w:r>
    </w:p>
    <w:p w14:paraId="0F2349B2">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11、《建筑砂浆基本性能试验方法标准》（JGJ/T 70-2009）；</w:t>
      </w:r>
    </w:p>
    <w:p w14:paraId="606A601D">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12、《普通混凝土配合比设计规程》（JGJ 55-2011）；</w:t>
      </w:r>
    </w:p>
    <w:p w14:paraId="47321EE8">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13、《混凝土物理力学性能试验方法标准》（GB/T 50081-2019）；</w:t>
      </w:r>
    </w:p>
    <w:p w14:paraId="0094CF09">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14、《普通混凝土长期性能和耐久性能试验方法标准》</w:t>
      </w:r>
      <w:bookmarkStart w:id="257" w:name="OLE_LINK35"/>
      <w:r>
        <w:rPr>
          <w:rFonts w:hint="eastAsia" w:ascii="宋体" w:hAnsi="宋体" w:eastAsia="宋体" w:cs="宋体"/>
          <w:color w:val="auto"/>
          <w:sz w:val="21"/>
          <w:szCs w:val="21"/>
          <w:highlight w:val="none"/>
        </w:rPr>
        <w:t>（</w:t>
      </w:r>
      <w:bookmarkEnd w:id="257"/>
      <w:r>
        <w:rPr>
          <w:rFonts w:hint="eastAsia" w:ascii="宋体" w:hAnsi="宋体" w:eastAsia="宋体" w:cs="宋体"/>
          <w:color w:val="auto"/>
          <w:sz w:val="21"/>
          <w:szCs w:val="21"/>
          <w:highlight w:val="none"/>
        </w:rPr>
        <w:t>GB/T 50082-2009）；</w:t>
      </w:r>
    </w:p>
    <w:p w14:paraId="7B44A9C7">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15、《砌筑砂浆配合比设计规程》（JGJ/T 98-2010）；</w:t>
      </w:r>
    </w:p>
    <w:p w14:paraId="27D1568E">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16、《用于水泥和混凝土中的粉煤灰》（GB/T1596-2017）；</w:t>
      </w:r>
    </w:p>
    <w:p w14:paraId="03718260">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17、《普通混凝土用砂、石质量及检验方法标准》（JGJ52-2006）；</w:t>
      </w:r>
    </w:p>
    <w:p w14:paraId="2CB2C95B">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18、《建设用砂》（GB/T 14684-2022）；</w:t>
      </w:r>
    </w:p>
    <w:p w14:paraId="4825DBA3">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19、《建设用卵石、碎石》（GB/T 14685-2022）；</w:t>
      </w:r>
    </w:p>
    <w:p w14:paraId="3DD16BB2">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20、《混凝土外加剂》（GB 8076-2008）；</w:t>
      </w:r>
    </w:p>
    <w:p w14:paraId="78216285">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21、《喷射混凝土用速凝剂》（JC/T 477-2005）；</w:t>
      </w:r>
    </w:p>
    <w:p w14:paraId="5F8412FA">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22、《喷射混凝土用速凝剂》（GB/T 35159-2017）；</w:t>
      </w:r>
    </w:p>
    <w:p w14:paraId="049A222D">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23、《混凝土膨胀剂》（GB 23439-2009）；</w:t>
      </w:r>
    </w:p>
    <w:p w14:paraId="11D1F9D7">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24、《钢筋混凝土用钢 第1部分：热轧光圆钢筋》（GB/T 1499.1-2017）；</w:t>
      </w:r>
    </w:p>
    <w:p w14:paraId="6C578756">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25、《钢筋混凝土用钢 第2部分：热轧带肋钢筋》（GB/T 1499.2-2018）；</w:t>
      </w:r>
    </w:p>
    <w:p w14:paraId="1A7585E7">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26、《钢筋焊接接头试验方法标准》（JGJ/T27-2014）；</w:t>
      </w:r>
    </w:p>
    <w:p w14:paraId="5A54AD22">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27、《钢筋机械连接用套筒》（JG/T 163-2013）；</w:t>
      </w:r>
    </w:p>
    <w:p w14:paraId="2470A122">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28、《金属材料 拉伸试验 第1部分:室温试验方法》（GB/T 228.1-2021）；</w:t>
      </w:r>
    </w:p>
    <w:p w14:paraId="06D05438">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29、《合成树脂乳液外墙涂料》（GB/T 9755-2014）；</w:t>
      </w:r>
    </w:p>
    <w:p w14:paraId="1ACC9D49">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30、《钢结构防火涂料》（GB 14907-2018）；</w:t>
      </w:r>
    </w:p>
    <w:p w14:paraId="42FAB364">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31、《聚氨酯防水涂料》（GB/T 19250-2013）；</w:t>
      </w:r>
    </w:p>
    <w:p w14:paraId="4AD197DD">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32、《聚合物水泥防水涂料》（GB/T 23445-2009）；</w:t>
      </w:r>
    </w:p>
    <w:p w14:paraId="686D19FC">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33、《塑料绝缘控制电缆》（GB/T9330-2020）；</w:t>
      </w:r>
    </w:p>
    <w:p w14:paraId="7D891613">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34、《电缆和光缆在火焰条件下的燃烧试验 第12部分：单根绝缘电线电缆火焰垂直蔓延试验 1 kW 预混合型火焰试验方法》（GB/T18380.12-2022）；</w:t>
      </w:r>
    </w:p>
    <w:p w14:paraId="1D3015D1">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35、《家用和类似用途固定式电气装置的开关 第1部分：通用要求》（GB/T 16915.1-2014）；</w:t>
      </w:r>
    </w:p>
    <w:p w14:paraId="5A9CA783">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36、《电工电子产品着火危险试验 第11部分：灼热丝/热丝基本试验方法 成品的灼热丝可燃性试验方法(GWEPT)》（GB/T 5169.11-2017）；</w:t>
      </w:r>
    </w:p>
    <w:p w14:paraId="4015F45F">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37、《家用和类似用途插头插座 第1部分：通用要求》（GB/T 2099.1-2021）；</w:t>
      </w:r>
    </w:p>
    <w:p w14:paraId="7675EC18">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38、《混凝土接缝密封嵌缝板》 （JC/T 2255-2014）；</w:t>
      </w:r>
    </w:p>
    <w:p w14:paraId="5E1A0322">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39、《高分子防水材料 第2部分：止水带》（GB/T 18173.2-2014）；</w:t>
      </w:r>
    </w:p>
    <w:p w14:paraId="1387D0E3">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40、《建筑地基工程施工质量验收标准》（GB 50202-2018）；</w:t>
      </w:r>
    </w:p>
    <w:p w14:paraId="726E5ADF">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41、《混凝土结构工程施工质量验收规范》（GB 50204-2015）；</w:t>
      </w:r>
    </w:p>
    <w:p w14:paraId="24BAC0B3">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42、《回弹法检测混凝土抗压强度技术规程》（JGJ/T 23-2011）；</w:t>
      </w:r>
    </w:p>
    <w:p w14:paraId="07434A4A">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43、《混凝土中钢筋检测技术标准》（JGJ/T 152-2019）；</w:t>
      </w:r>
    </w:p>
    <w:p w14:paraId="53A45C9F">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44、《焊缝无损检测 超声检测技术、检测等级和评定》（GB/T 11345-2013）；</w:t>
      </w:r>
    </w:p>
    <w:p w14:paraId="0DCD7C00">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45、《焊缝无损检测 射线检测 第1部分：X和伽玛射线的胶片技术》（GB／T 3323.1-2019）；</w:t>
      </w:r>
    </w:p>
    <w:p w14:paraId="05DF84CC">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46、《东莞市建设工程质量检测服务手册》（第一版）；</w:t>
      </w:r>
    </w:p>
    <w:p w14:paraId="31C8C8D6">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47、《东莞市建设工程检测行业参考收费标准（2023版）》；</w:t>
      </w:r>
    </w:p>
    <w:p w14:paraId="49805DB7">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48、《广东省房屋建筑和市政工程工程质量安全检测收费指导价》（粤建检协[2015]8号）；</w:t>
      </w:r>
    </w:p>
    <w:p w14:paraId="3AC22C22">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49、其他相关合同等文件资料及相关法律法规。</w:t>
      </w:r>
    </w:p>
    <w:p w14:paraId="4B5430A2">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50、国家及省市建设主管部门的相关文件和规范；</w:t>
      </w:r>
    </w:p>
    <w:p w14:paraId="3440EB0F">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51、设计资料等。</w:t>
      </w:r>
    </w:p>
    <w:p w14:paraId="2E2B859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14:paraId="4301C88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（三）检测内容</w:t>
      </w:r>
    </w:p>
    <w:p w14:paraId="551FAE8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本工程检测包含平行检测，平行检测按《东莞市建设工程平行检测实施细则》执行，由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委托平行检测单位实施，检测费用由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承担。</w:t>
      </w:r>
    </w:p>
    <w:p w14:paraId="7FB009C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检测内容包括但不限于：</w:t>
      </w:r>
    </w:p>
    <w:p w14:paraId="2928811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1、地基基础工程质量检测，开展：低应变、钻芯法、压实度等检测。</w:t>
      </w:r>
    </w:p>
    <w:p w14:paraId="1A3190F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2、钢结构焊缝检测及涂层厚度检测，开展：焊缝的质量情况,以及防腐厚度等检测。</w:t>
      </w:r>
    </w:p>
    <w:p w14:paraId="38B4677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3、原材料、道路等实体检测，开展：混凝土原材料、道路工程、钻芯法检测混凝土强度、室内环境、防雷、外墙节能厚度钻芯、隔声噪声、后锚固件抗拔、饰面砖粘结强度等检测。</w:t>
      </w:r>
    </w:p>
    <w:p w14:paraId="5BC0E37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4、其它根据工程实际需要委托的检测项目。</w:t>
      </w:r>
    </w:p>
    <w:p w14:paraId="28DDA51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5、根据相关法律、法规及主管部门的规定，必须另行独立</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的项目不包含在本次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 xml:space="preserve">范围之内。 </w:t>
      </w:r>
    </w:p>
    <w:p w14:paraId="0E9E144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（四）质量要求</w:t>
      </w:r>
    </w:p>
    <w:p w14:paraId="46ACB71E">
      <w:pPr>
        <w:adjustRightInd w:val="0"/>
        <w:snapToGrid w:val="0"/>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hr-HR"/>
        </w:rPr>
        <w:t>工程检测质量要求</w:t>
      </w:r>
    </w:p>
    <w:p w14:paraId="1C8DAEF2">
      <w:pPr>
        <w:adjustRightInd w:val="0"/>
        <w:snapToGrid w:val="0"/>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lang w:val="hr-HR"/>
        </w:rPr>
        <w:t>提供检定合格、手续完备的检测（试验）仪器，及时出具具有法律</w:t>
      </w:r>
      <w:r>
        <w:rPr>
          <w:rFonts w:hint="eastAsia" w:ascii="宋体" w:hAnsi="宋体" w:eastAsia="宋体" w:cs="宋体"/>
          <w:color w:val="auto"/>
          <w:sz w:val="21"/>
          <w:szCs w:val="21"/>
          <w:highlight w:val="none"/>
        </w:rPr>
        <w:t>效力</w:t>
      </w:r>
      <w:r>
        <w:rPr>
          <w:rFonts w:hint="eastAsia" w:ascii="宋体" w:hAnsi="宋体" w:eastAsia="宋体" w:cs="宋体"/>
          <w:color w:val="auto"/>
          <w:sz w:val="21"/>
          <w:szCs w:val="21"/>
          <w:highlight w:val="none"/>
          <w:lang w:val="hr-HR"/>
        </w:rPr>
        <w:t>的检测（试验）报告。</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lang w:val="hr-HR"/>
        </w:rPr>
        <w:t>须保证检测（试验）成果质量，对技术成果负完全责任，如因检测（试验）不实，造成</w:t>
      </w:r>
      <w:r>
        <w:rPr>
          <w:rFonts w:hint="eastAsia" w:ascii="宋体" w:hAnsi="宋体" w:eastAsia="宋体" w:cs="宋体"/>
          <w:color w:val="auto"/>
          <w:sz w:val="21"/>
          <w:szCs w:val="21"/>
          <w:highlight w:val="none"/>
          <w:lang w:val="hr-HR" w:eastAsia="zh-CN"/>
        </w:rPr>
        <w:t>采购人</w:t>
      </w:r>
      <w:r>
        <w:rPr>
          <w:rFonts w:hint="eastAsia" w:ascii="宋体" w:hAnsi="宋体" w:eastAsia="宋体" w:cs="宋体"/>
          <w:color w:val="auto"/>
          <w:sz w:val="21"/>
          <w:szCs w:val="21"/>
          <w:highlight w:val="none"/>
          <w:lang w:val="hr-HR"/>
        </w:rPr>
        <w:t>经济损失费用全部由</w:t>
      </w:r>
      <w:r>
        <w:rPr>
          <w:rFonts w:hint="eastAsia" w:ascii="宋体" w:hAnsi="宋体" w:eastAsia="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hr-HR"/>
        </w:rPr>
        <w:t>承担，并应负责重检。</w:t>
      </w:r>
    </w:p>
    <w:p w14:paraId="07139C00">
      <w:pPr>
        <w:adjustRightInd w:val="0"/>
        <w:snapToGrid w:val="0"/>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hr-HR"/>
        </w:rPr>
        <w:t>执行国家、广东省以及东莞市有关工程检测（试验）的标准规范的规定。</w:t>
      </w:r>
    </w:p>
    <w:p w14:paraId="7B6F6AC1">
      <w:pPr>
        <w:adjustRightInd w:val="0"/>
        <w:snapToGrid w:val="0"/>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hr-HR"/>
        </w:rPr>
        <w:t>其他质量要求</w:t>
      </w:r>
    </w:p>
    <w:p w14:paraId="33EBD928">
      <w:pPr>
        <w:adjustRightInd w:val="0"/>
        <w:snapToGrid w:val="0"/>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hr-HR" w:eastAsia="zh-CN"/>
        </w:rPr>
        <w:t>成交人</w:t>
      </w:r>
      <w:r>
        <w:rPr>
          <w:rFonts w:hint="eastAsia" w:ascii="宋体" w:hAnsi="宋体" w:eastAsia="宋体" w:cs="宋体"/>
          <w:color w:val="auto"/>
          <w:sz w:val="21"/>
          <w:szCs w:val="21"/>
          <w:highlight w:val="none"/>
          <w:lang w:val="hr-HR"/>
        </w:rPr>
        <w:t>须根据国家标准及其它相关行业规程的要求，结合本工程施工图、预算文件及东莞市建筑工程质量安全监督站相关规定，制定检测方案。完成本工程检测方案内项目及数量，出具合法有效且符合检测规范要求的检测报告，为工程进度控制提供依据；提供检测咨询服务，为保证工程质量提供保障。</w:t>
      </w:r>
    </w:p>
    <w:p w14:paraId="4AB3C0AB">
      <w:pPr>
        <w:adjustRightInd w:val="0"/>
        <w:snapToGrid w:val="0"/>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hr-HR" w:eastAsia="zh-CN"/>
        </w:rPr>
        <w:t>成交人</w:t>
      </w:r>
      <w:r>
        <w:rPr>
          <w:rFonts w:hint="eastAsia" w:ascii="宋体" w:hAnsi="宋体" w:eastAsia="宋体" w:cs="宋体"/>
          <w:color w:val="auto"/>
          <w:sz w:val="21"/>
          <w:szCs w:val="21"/>
          <w:highlight w:val="none"/>
          <w:lang w:val="hr-HR"/>
        </w:rPr>
        <w:t>应负责按东莞市建设工程质量安全监督站要求，根据本工程质量安全监督计划及相关规范编制并完善本工程的检测方案，并完成检测方案的审查备案、检测工作根据备案确认后的方案执行。</w:t>
      </w:r>
    </w:p>
    <w:p w14:paraId="16A16D1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应当建立健全并落实各项管理制度，保证检测项目工作正常进行，并接受</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及有关主管部门对项目服务质量的监督检查。</w:t>
      </w:r>
    </w:p>
    <w:p w14:paraId="582109E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应建立并实施符合本项目各项要求的质量管理体系。</w:t>
      </w:r>
    </w:p>
    <w:p w14:paraId="19695A2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代表有权在工作时间内进入</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的工作地点检查其质量手册、质量计划及其它与质量相关的文件的实施情况。</w:t>
      </w:r>
    </w:p>
    <w:p w14:paraId="00E7C84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（五）成果要求</w:t>
      </w:r>
    </w:p>
    <w:p w14:paraId="338B529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1、合同签订后15天内，</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应根据批准的工程施工组织设计、工程设计文件、市政工程建设标准、国家及行业规范等制定并向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提交详细的可实施的检测方案1份。</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lang w:val="hr-HR"/>
        </w:rPr>
        <w:t>应积极配合</w:t>
      </w:r>
      <w:r>
        <w:rPr>
          <w:rFonts w:hint="eastAsia" w:ascii="宋体" w:hAnsi="宋体" w:eastAsia="宋体" w:cs="宋体"/>
          <w:color w:val="auto"/>
          <w:sz w:val="21"/>
          <w:szCs w:val="21"/>
          <w:highlight w:val="none"/>
          <w:lang w:val="hr-HR" w:eastAsia="zh-CN"/>
        </w:rPr>
        <w:t>采购人</w:t>
      </w:r>
      <w:r>
        <w:rPr>
          <w:rFonts w:hint="eastAsia" w:ascii="宋体" w:hAnsi="宋体" w:eastAsia="宋体" w:cs="宋体"/>
          <w:color w:val="auto"/>
          <w:sz w:val="21"/>
          <w:szCs w:val="21"/>
          <w:highlight w:val="none"/>
          <w:lang w:val="hr-HR"/>
        </w:rPr>
        <w:t>调整优化检测方案，并提交</w:t>
      </w:r>
      <w:r>
        <w:rPr>
          <w:rFonts w:hint="eastAsia" w:ascii="宋体" w:hAnsi="宋体" w:eastAsia="宋体" w:cs="宋体"/>
          <w:color w:val="auto"/>
          <w:sz w:val="21"/>
          <w:szCs w:val="21"/>
          <w:highlight w:val="none"/>
          <w:lang w:val="hr-HR" w:eastAsia="zh-CN"/>
        </w:rPr>
        <w:t>采购人</w:t>
      </w:r>
      <w:r>
        <w:rPr>
          <w:rFonts w:hint="eastAsia" w:ascii="宋体" w:hAnsi="宋体" w:eastAsia="宋体" w:cs="宋体"/>
          <w:color w:val="auto"/>
          <w:sz w:val="21"/>
          <w:szCs w:val="21"/>
          <w:highlight w:val="none"/>
          <w:lang w:val="hr-HR"/>
        </w:rPr>
        <w:t>确认。</w:t>
      </w:r>
    </w:p>
    <w:p w14:paraId="75E6F7B1">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在各项检测工作完成后应提交检测报告一式三份（含纸质版及电子档），检测报告包含但不限于：项目概况、检测位置、检测结果与结论、各类原始记录等内容，具体以相关规范为准。</w:t>
      </w:r>
      <w:r>
        <w:rPr>
          <w:rFonts w:hint="eastAsia" w:ascii="宋体" w:hAnsi="宋体" w:eastAsia="宋体" w:cs="宋体"/>
          <w:color w:val="auto"/>
          <w:sz w:val="21"/>
          <w:szCs w:val="21"/>
          <w:highlight w:val="none"/>
          <w:lang w:val="en-US" w:eastAsia="zh-CN"/>
        </w:rPr>
        <w:t>检测报告出具时间要求详见下表：</w:t>
      </w:r>
    </w:p>
    <w:tbl>
      <w:tblPr>
        <w:tblStyle w:val="46"/>
        <w:tblW w:w="0" w:type="auto"/>
        <w:tblInd w:w="8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996"/>
        <w:gridCol w:w="5215"/>
        <w:gridCol w:w="1350"/>
      </w:tblGrid>
      <w:tr w14:paraId="6CE6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2ED6DE0">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default"/>
                <w:color w:val="auto"/>
                <w:highlight w:val="none"/>
                <w:vertAlign w:val="baseline"/>
                <w:lang w:val="en-US" w:eastAsia="zh-CN"/>
              </w:rPr>
              <w:t>序号</w:t>
            </w:r>
          </w:p>
        </w:tc>
        <w:tc>
          <w:tcPr>
            <w:tcW w:w="1996" w:type="dxa"/>
            <w:vAlign w:val="center"/>
          </w:tcPr>
          <w:p w14:paraId="3F3673FB">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default"/>
                <w:color w:val="auto"/>
                <w:highlight w:val="none"/>
                <w:vertAlign w:val="baseline"/>
                <w:lang w:val="en-US" w:eastAsia="zh-CN"/>
              </w:rPr>
              <w:t>项目名称</w:t>
            </w:r>
          </w:p>
        </w:tc>
        <w:tc>
          <w:tcPr>
            <w:tcW w:w="5215" w:type="dxa"/>
            <w:vAlign w:val="center"/>
          </w:tcPr>
          <w:p w14:paraId="3732527C">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default"/>
                <w:color w:val="auto"/>
                <w:highlight w:val="none"/>
                <w:vertAlign w:val="baseline"/>
                <w:lang w:val="en-US" w:eastAsia="zh-CN"/>
              </w:rPr>
              <w:t>取样（送检）数量</w:t>
            </w:r>
          </w:p>
        </w:tc>
        <w:tc>
          <w:tcPr>
            <w:tcW w:w="1350" w:type="dxa"/>
            <w:vAlign w:val="center"/>
          </w:tcPr>
          <w:p w14:paraId="449EF776">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default"/>
                <w:color w:val="auto"/>
                <w:highlight w:val="none"/>
                <w:vertAlign w:val="baseline"/>
                <w:lang w:val="en-US" w:eastAsia="zh-CN"/>
              </w:rPr>
              <w:t>出具报告时限</w:t>
            </w:r>
            <w:r>
              <w:rPr>
                <w:rFonts w:hint="eastAsia"/>
                <w:color w:val="auto"/>
                <w:highlight w:val="none"/>
                <w:vertAlign w:val="baseline"/>
                <w:lang w:val="en-US" w:eastAsia="zh-CN"/>
              </w:rPr>
              <w:t>（工作日）</w:t>
            </w:r>
          </w:p>
        </w:tc>
      </w:tr>
      <w:tr w14:paraId="603E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6F22A5A">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996" w:type="dxa"/>
            <w:vAlign w:val="center"/>
          </w:tcPr>
          <w:p w14:paraId="71606766">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单桩抗压承载力</w:t>
            </w:r>
          </w:p>
        </w:tc>
        <w:tc>
          <w:tcPr>
            <w:tcW w:w="5215" w:type="dxa"/>
            <w:vAlign w:val="center"/>
          </w:tcPr>
          <w:p w14:paraId="4FF580E3">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抽检总桩数的1%且不少于3根，总桩数少于50根时抽检不少于2根。</w:t>
            </w:r>
          </w:p>
        </w:tc>
        <w:tc>
          <w:tcPr>
            <w:tcW w:w="1350" w:type="dxa"/>
            <w:vAlign w:val="center"/>
          </w:tcPr>
          <w:p w14:paraId="41278E06">
            <w:pPr>
              <w:pStyle w:val="2"/>
              <w:keepNext w:val="0"/>
              <w:keepLines w:val="0"/>
              <w:suppressLineNumbers w:val="0"/>
              <w:spacing w:before="0" w:beforeAutospacing="0" w:after="0" w:afterAutospacing="0"/>
              <w:ind w:left="0" w:leftChars="0" w:right="0" w:firstLine="0" w:firstLineChars="0"/>
              <w:jc w:val="center"/>
              <w:rPr>
                <w:rFonts w:hint="eastAsia"/>
                <w:b w:val="0"/>
                <w:bCs w:val="0"/>
                <w:color w:val="auto"/>
                <w:sz w:val="22"/>
                <w:szCs w:val="28"/>
                <w:highlight w:val="none"/>
                <w:vertAlign w:val="baseline"/>
                <w:lang w:val="en-US" w:eastAsia="zh-CN"/>
              </w:rPr>
            </w:pPr>
            <w:r>
              <w:rPr>
                <w:rFonts w:hint="eastAsia"/>
                <w:b w:val="0"/>
                <w:bCs w:val="0"/>
                <w:color w:val="auto"/>
                <w:sz w:val="22"/>
                <w:szCs w:val="28"/>
                <w:highlight w:val="none"/>
                <w:vertAlign w:val="baseline"/>
                <w:lang w:val="en-US" w:eastAsia="zh-CN"/>
              </w:rPr>
              <w:t>12</w:t>
            </w:r>
          </w:p>
          <w:p w14:paraId="4207C40B">
            <w:pPr>
              <w:pStyle w:val="2"/>
              <w:keepNext w:val="0"/>
              <w:keepLines w:val="0"/>
              <w:suppressLineNumbers w:val="0"/>
              <w:spacing w:before="0" w:beforeAutospacing="0" w:after="0" w:afterAutospacing="0"/>
              <w:ind w:left="0" w:leftChars="0" w:right="0" w:firstLine="0" w:firstLineChars="0"/>
              <w:jc w:val="both"/>
              <w:rPr>
                <w:rFonts w:hint="default"/>
                <w:color w:val="auto"/>
                <w:sz w:val="16"/>
                <w:szCs w:val="20"/>
                <w:highlight w:val="none"/>
                <w:vertAlign w:val="baseline"/>
                <w:lang w:val="en-US" w:eastAsia="zh-CN"/>
              </w:rPr>
            </w:pPr>
          </w:p>
        </w:tc>
      </w:tr>
      <w:tr w14:paraId="6A6B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11D6B49">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1996" w:type="dxa"/>
            <w:vAlign w:val="center"/>
          </w:tcPr>
          <w:p w14:paraId="73C3E182">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单桩抗拔承载力</w:t>
            </w:r>
          </w:p>
        </w:tc>
        <w:tc>
          <w:tcPr>
            <w:tcW w:w="5215" w:type="dxa"/>
            <w:vAlign w:val="center"/>
          </w:tcPr>
          <w:p w14:paraId="4B2A9BEE">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抽检总桩数的1%且不少于3根，总桩数少于50根时抽检不少于2根。</w:t>
            </w:r>
          </w:p>
        </w:tc>
        <w:tc>
          <w:tcPr>
            <w:tcW w:w="1350" w:type="dxa"/>
            <w:vAlign w:val="center"/>
          </w:tcPr>
          <w:p w14:paraId="1F3A3E1F">
            <w:pPr>
              <w:pStyle w:val="2"/>
              <w:keepNext w:val="0"/>
              <w:keepLines w:val="0"/>
              <w:suppressLineNumbers w:val="0"/>
              <w:spacing w:before="0" w:beforeAutospacing="0" w:after="0" w:afterAutospacing="0"/>
              <w:ind w:left="0" w:leftChars="0" w:right="0" w:firstLine="0" w:firstLineChars="0"/>
              <w:jc w:val="center"/>
              <w:rPr>
                <w:rFonts w:hint="default"/>
                <w:color w:val="auto"/>
                <w:sz w:val="16"/>
                <w:szCs w:val="20"/>
                <w:highlight w:val="none"/>
                <w:vertAlign w:val="baseline"/>
                <w:lang w:val="en-US" w:eastAsia="zh-CN"/>
              </w:rPr>
            </w:pPr>
            <w:r>
              <w:rPr>
                <w:rFonts w:hint="eastAsia"/>
                <w:b w:val="0"/>
                <w:bCs w:val="0"/>
                <w:color w:val="auto"/>
                <w:sz w:val="22"/>
                <w:szCs w:val="28"/>
                <w:highlight w:val="none"/>
                <w:vertAlign w:val="baseline"/>
                <w:lang w:val="en-US" w:eastAsia="zh-CN"/>
              </w:rPr>
              <w:t>12</w:t>
            </w:r>
          </w:p>
        </w:tc>
      </w:tr>
      <w:tr w14:paraId="3ADD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E95E694">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1996" w:type="dxa"/>
            <w:vAlign w:val="center"/>
          </w:tcPr>
          <w:p w14:paraId="7EDCA17D">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楼板和墙体空气声隔声性能</w:t>
            </w:r>
          </w:p>
        </w:tc>
        <w:tc>
          <w:tcPr>
            <w:tcW w:w="5215" w:type="dxa"/>
            <w:vAlign w:val="center"/>
          </w:tcPr>
          <w:p w14:paraId="48D964A3">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抽检量不得少于房间总数的3%，每个建筑单体不得少于3间。</w:t>
            </w:r>
          </w:p>
        </w:tc>
        <w:tc>
          <w:tcPr>
            <w:tcW w:w="1350" w:type="dxa"/>
            <w:vAlign w:val="center"/>
          </w:tcPr>
          <w:p w14:paraId="617A32DF">
            <w:pPr>
              <w:pStyle w:val="2"/>
              <w:keepNext w:val="0"/>
              <w:keepLines w:val="0"/>
              <w:suppressLineNumbers w:val="0"/>
              <w:spacing w:before="0" w:beforeAutospacing="0" w:after="0" w:afterAutospacing="0"/>
              <w:ind w:left="0" w:leftChars="0" w:right="0" w:firstLine="0" w:firstLineChars="0"/>
              <w:jc w:val="center"/>
              <w:rPr>
                <w:rFonts w:hint="default"/>
                <w:color w:val="auto"/>
                <w:sz w:val="16"/>
                <w:szCs w:val="20"/>
                <w:highlight w:val="none"/>
                <w:vertAlign w:val="baseline"/>
                <w:lang w:val="en-US" w:eastAsia="zh-CN"/>
              </w:rPr>
            </w:pPr>
            <w:r>
              <w:rPr>
                <w:rFonts w:hint="eastAsia"/>
                <w:b w:val="0"/>
                <w:bCs w:val="0"/>
                <w:color w:val="auto"/>
                <w:sz w:val="22"/>
                <w:szCs w:val="28"/>
                <w:highlight w:val="none"/>
                <w:vertAlign w:val="baseline"/>
                <w:lang w:val="en-US" w:eastAsia="zh-CN"/>
              </w:rPr>
              <w:t>12</w:t>
            </w:r>
          </w:p>
        </w:tc>
      </w:tr>
      <w:tr w14:paraId="604A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55FC65DF">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1996" w:type="dxa"/>
            <w:vAlign w:val="center"/>
          </w:tcPr>
          <w:p w14:paraId="4EFDB079">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室内环境检测（氡、甲醛、氨、苯、TVO、甲苯、二甲苯）</w:t>
            </w:r>
          </w:p>
        </w:tc>
        <w:tc>
          <w:tcPr>
            <w:tcW w:w="5215" w:type="dxa"/>
            <w:vAlign w:val="center"/>
          </w:tcPr>
          <w:p w14:paraId="5FCF1180">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default"/>
                <w:color w:val="auto"/>
                <w:highlight w:val="none"/>
                <w:vertAlign w:val="baseline"/>
                <w:lang w:val="en-US" w:eastAsia="zh-CN"/>
              </w:rPr>
              <w:t>应抽检每个建筑单体有代表性的房间室内环境污染物浓度，甲醛、氨、氡、苯、TVOC的抽检量不得少于房间总数的5%，每个建筑单体不得少于3间，当房间总数少于3间时，应全数检测。</w:t>
            </w:r>
          </w:p>
        </w:tc>
        <w:tc>
          <w:tcPr>
            <w:tcW w:w="1350" w:type="dxa"/>
            <w:vAlign w:val="center"/>
          </w:tcPr>
          <w:p w14:paraId="624C48A2">
            <w:pPr>
              <w:pStyle w:val="2"/>
              <w:keepNext w:val="0"/>
              <w:keepLines w:val="0"/>
              <w:suppressLineNumbers w:val="0"/>
              <w:spacing w:before="0" w:beforeAutospacing="0" w:after="0" w:afterAutospacing="0"/>
              <w:ind w:left="0" w:leftChars="0" w:right="0" w:firstLine="0" w:firstLineChars="0"/>
              <w:jc w:val="center"/>
              <w:rPr>
                <w:rFonts w:hint="default"/>
                <w:color w:val="auto"/>
                <w:sz w:val="16"/>
                <w:szCs w:val="20"/>
                <w:highlight w:val="none"/>
                <w:vertAlign w:val="baseline"/>
                <w:lang w:val="en-US" w:eastAsia="zh-CN"/>
              </w:rPr>
            </w:pPr>
            <w:r>
              <w:rPr>
                <w:rFonts w:hint="eastAsia"/>
                <w:b w:val="0"/>
                <w:bCs w:val="0"/>
                <w:color w:val="auto"/>
                <w:sz w:val="22"/>
                <w:szCs w:val="28"/>
                <w:highlight w:val="none"/>
                <w:vertAlign w:val="baseline"/>
                <w:lang w:val="en-US" w:eastAsia="zh-CN"/>
              </w:rPr>
              <w:t>10</w:t>
            </w:r>
          </w:p>
        </w:tc>
      </w:tr>
      <w:tr w14:paraId="6FE4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5604E963">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1996" w:type="dxa"/>
            <w:vAlign w:val="center"/>
          </w:tcPr>
          <w:p w14:paraId="7694903B">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钢结构、管道焊缝超声波检测</w:t>
            </w:r>
          </w:p>
        </w:tc>
        <w:tc>
          <w:tcPr>
            <w:tcW w:w="5215" w:type="dxa"/>
            <w:vAlign w:val="center"/>
          </w:tcPr>
          <w:p w14:paraId="2350602C">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20%抽检。</w:t>
            </w:r>
          </w:p>
        </w:tc>
        <w:tc>
          <w:tcPr>
            <w:tcW w:w="1350" w:type="dxa"/>
            <w:vAlign w:val="center"/>
          </w:tcPr>
          <w:p w14:paraId="78B5F919">
            <w:pPr>
              <w:pStyle w:val="2"/>
              <w:keepNext w:val="0"/>
              <w:keepLines w:val="0"/>
              <w:suppressLineNumbers w:val="0"/>
              <w:spacing w:before="0" w:beforeAutospacing="0" w:after="0" w:afterAutospacing="0"/>
              <w:ind w:left="0" w:leftChars="0" w:right="0" w:firstLine="0" w:firstLineChars="0"/>
              <w:jc w:val="center"/>
              <w:rPr>
                <w:rFonts w:hint="default"/>
                <w:color w:val="auto"/>
                <w:sz w:val="16"/>
                <w:szCs w:val="20"/>
                <w:highlight w:val="none"/>
                <w:vertAlign w:val="baseline"/>
                <w:lang w:val="en-US" w:eastAsia="zh-CN"/>
              </w:rPr>
            </w:pPr>
            <w:r>
              <w:rPr>
                <w:rFonts w:hint="eastAsia"/>
                <w:b w:val="0"/>
                <w:bCs w:val="0"/>
                <w:color w:val="auto"/>
                <w:sz w:val="22"/>
                <w:szCs w:val="28"/>
                <w:highlight w:val="none"/>
                <w:vertAlign w:val="baseline"/>
                <w:lang w:val="en-US" w:eastAsia="zh-CN"/>
              </w:rPr>
              <w:t>7</w:t>
            </w:r>
          </w:p>
        </w:tc>
      </w:tr>
      <w:tr w14:paraId="4F37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58A69472">
            <w:pPr>
              <w:pStyle w:val="2"/>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6</w:t>
            </w:r>
          </w:p>
        </w:tc>
        <w:tc>
          <w:tcPr>
            <w:tcW w:w="1996" w:type="dxa"/>
            <w:vAlign w:val="center"/>
          </w:tcPr>
          <w:p w14:paraId="7C768BEE">
            <w:pPr>
              <w:pStyle w:val="2"/>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钢结构、管道内防腐涂层</w:t>
            </w:r>
          </w:p>
        </w:tc>
        <w:tc>
          <w:tcPr>
            <w:tcW w:w="5215" w:type="dxa"/>
            <w:vAlign w:val="center"/>
          </w:tcPr>
          <w:p w14:paraId="37DC4618">
            <w:pPr>
              <w:pStyle w:val="2"/>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10%抽检。</w:t>
            </w:r>
          </w:p>
        </w:tc>
        <w:tc>
          <w:tcPr>
            <w:tcW w:w="1350" w:type="dxa"/>
            <w:vAlign w:val="center"/>
          </w:tcPr>
          <w:p w14:paraId="64E7DCD6">
            <w:pPr>
              <w:pStyle w:val="2"/>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宋体" w:cs="Times New Roman"/>
                <w:color w:val="auto"/>
                <w:kern w:val="2"/>
                <w:sz w:val="16"/>
                <w:szCs w:val="20"/>
                <w:highlight w:val="none"/>
                <w:vertAlign w:val="baseline"/>
                <w:lang w:val="en-US" w:eastAsia="zh-CN" w:bidi="ar-SA"/>
              </w:rPr>
            </w:pPr>
            <w:r>
              <w:rPr>
                <w:rFonts w:hint="eastAsia"/>
                <w:b w:val="0"/>
                <w:bCs w:val="0"/>
                <w:color w:val="auto"/>
                <w:sz w:val="22"/>
                <w:szCs w:val="28"/>
                <w:highlight w:val="none"/>
                <w:vertAlign w:val="baseline"/>
                <w:lang w:val="en-US" w:eastAsia="zh-CN"/>
              </w:rPr>
              <w:t>7</w:t>
            </w:r>
          </w:p>
        </w:tc>
      </w:tr>
      <w:tr w14:paraId="6219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9E581DC">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7</w:t>
            </w:r>
          </w:p>
        </w:tc>
        <w:tc>
          <w:tcPr>
            <w:tcW w:w="1996" w:type="dxa"/>
            <w:vAlign w:val="center"/>
          </w:tcPr>
          <w:p w14:paraId="432D17E4">
            <w:pPr>
              <w:pStyle w:val="2"/>
              <w:keepNext w:val="0"/>
              <w:keepLines w:val="0"/>
              <w:suppressLineNumbers w:val="0"/>
              <w:spacing w:before="0" w:beforeAutospacing="0" w:after="0" w:afterAutospacing="0"/>
              <w:ind w:left="0" w:leftChars="0" w:right="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螺纹钢筋（重量偏差、力学性能）</w:t>
            </w:r>
          </w:p>
        </w:tc>
        <w:tc>
          <w:tcPr>
            <w:tcW w:w="5215" w:type="dxa"/>
            <w:vAlign w:val="center"/>
          </w:tcPr>
          <w:p w14:paraId="3508BC1E">
            <w:pPr>
              <w:pStyle w:val="2"/>
              <w:keepNext w:val="0"/>
              <w:keepLines w:val="0"/>
              <w:suppressLineNumbers w:val="0"/>
              <w:spacing w:before="0" w:beforeAutospacing="0" w:after="0" w:afterAutospacing="0"/>
              <w:ind w:left="0" w:leftChars="0" w:right="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1.钢筋应按批进行检查和验收，每批由同一牌号、同一炉罐号、同一尺寸的钢筋组成。每批通常不大于60t。超过60t的部分，每增加40t(或不足40t的余数)，增加一个拉伸试验试样和一个弯曲试验试样:2.允许由同一牌号、同一冶炼方法、同一浇注方法的不 同炉罐号组成混合批。各炉罐号含碳量之差不大于0.02%,含锰量之差不大于0.15%。混合批的重量不大于60t。</w:t>
            </w:r>
          </w:p>
        </w:tc>
        <w:tc>
          <w:tcPr>
            <w:tcW w:w="1350" w:type="dxa"/>
            <w:vAlign w:val="center"/>
          </w:tcPr>
          <w:p w14:paraId="55E0FA5B">
            <w:pPr>
              <w:pStyle w:val="2"/>
              <w:keepNext w:val="0"/>
              <w:keepLines w:val="0"/>
              <w:suppressLineNumbers w:val="0"/>
              <w:spacing w:before="0" w:beforeAutospacing="0" w:after="0" w:afterAutospacing="0"/>
              <w:ind w:left="0" w:leftChars="0" w:right="0" w:firstLine="0" w:firstLineChars="0"/>
              <w:jc w:val="center"/>
              <w:rPr>
                <w:rFonts w:hint="default"/>
                <w:color w:val="auto"/>
                <w:sz w:val="16"/>
                <w:szCs w:val="20"/>
                <w:highlight w:val="none"/>
                <w:vertAlign w:val="baseline"/>
                <w:lang w:val="en-US" w:eastAsia="zh-CN"/>
              </w:rPr>
            </w:pPr>
            <w:r>
              <w:rPr>
                <w:rFonts w:hint="eastAsia"/>
                <w:b w:val="0"/>
                <w:bCs w:val="0"/>
                <w:color w:val="auto"/>
                <w:sz w:val="22"/>
                <w:szCs w:val="28"/>
                <w:highlight w:val="none"/>
                <w:vertAlign w:val="baseline"/>
                <w:lang w:val="en-US" w:eastAsia="zh-CN"/>
              </w:rPr>
              <w:t>7</w:t>
            </w:r>
          </w:p>
        </w:tc>
      </w:tr>
      <w:tr w14:paraId="45A6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56E0F21C">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8</w:t>
            </w:r>
          </w:p>
        </w:tc>
        <w:tc>
          <w:tcPr>
            <w:tcW w:w="1996" w:type="dxa"/>
            <w:vAlign w:val="center"/>
          </w:tcPr>
          <w:p w14:paraId="11B39873">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default"/>
                <w:color w:val="auto"/>
                <w:highlight w:val="none"/>
                <w:vertAlign w:val="baseline"/>
                <w:lang w:val="en-US" w:eastAsia="zh-CN"/>
              </w:rPr>
              <w:t>混凝土强度</w:t>
            </w:r>
          </w:p>
        </w:tc>
        <w:tc>
          <w:tcPr>
            <w:tcW w:w="5215" w:type="dxa"/>
            <w:vAlign w:val="center"/>
          </w:tcPr>
          <w:p w14:paraId="47AA6CEB">
            <w:pPr>
              <w:pStyle w:val="2"/>
              <w:keepNext w:val="0"/>
              <w:keepLines w:val="0"/>
              <w:suppressLineNumbers w:val="0"/>
              <w:spacing w:before="0" w:beforeAutospacing="0" w:after="0" w:afterAutospacing="0"/>
              <w:ind w:left="0" w:leftChars="0" w:right="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用于检验混凝土强度的试件应在浇筑地点随机抽取。检查数量：对同一配合比混凝土，取样与试件留置应符合下列规定：1、每拌制100盘且不超过100m³时，取样不得少于一次；2、每工作班拌制不足100盘时，取样不得少于一次；3、连续浇筑超过1000m³时，每200m³取样不得少于一次；4、每一楼层取样不得少于一次。</w:t>
            </w:r>
          </w:p>
        </w:tc>
        <w:tc>
          <w:tcPr>
            <w:tcW w:w="1350" w:type="dxa"/>
            <w:vAlign w:val="center"/>
          </w:tcPr>
          <w:p w14:paraId="6EC38E83">
            <w:pPr>
              <w:pStyle w:val="2"/>
              <w:keepNext w:val="0"/>
              <w:keepLines w:val="0"/>
              <w:suppressLineNumbers w:val="0"/>
              <w:spacing w:before="0" w:beforeAutospacing="0" w:after="0" w:afterAutospacing="0"/>
              <w:ind w:left="0" w:leftChars="0" w:right="0" w:firstLine="0" w:firstLineChars="0"/>
              <w:jc w:val="center"/>
              <w:rPr>
                <w:rFonts w:hint="default"/>
                <w:color w:val="auto"/>
                <w:sz w:val="16"/>
                <w:szCs w:val="20"/>
                <w:highlight w:val="none"/>
                <w:vertAlign w:val="baseline"/>
                <w:lang w:val="en-US" w:eastAsia="zh-CN"/>
              </w:rPr>
            </w:pPr>
            <w:r>
              <w:rPr>
                <w:rFonts w:hint="eastAsia"/>
                <w:b w:val="0"/>
                <w:bCs w:val="0"/>
                <w:color w:val="auto"/>
                <w:sz w:val="22"/>
                <w:szCs w:val="28"/>
                <w:highlight w:val="none"/>
                <w:vertAlign w:val="baseline"/>
                <w:lang w:val="en-US" w:eastAsia="zh-CN"/>
              </w:rPr>
              <w:t>7</w:t>
            </w:r>
          </w:p>
        </w:tc>
      </w:tr>
      <w:tr w14:paraId="7C90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7059AB2E">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9</w:t>
            </w:r>
          </w:p>
        </w:tc>
        <w:tc>
          <w:tcPr>
            <w:tcW w:w="1996" w:type="dxa"/>
            <w:vAlign w:val="center"/>
          </w:tcPr>
          <w:p w14:paraId="74DE80B9">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地基平板荷载试验</w:t>
            </w:r>
          </w:p>
        </w:tc>
        <w:tc>
          <w:tcPr>
            <w:tcW w:w="5215" w:type="dxa"/>
            <w:vAlign w:val="center"/>
          </w:tcPr>
          <w:p w14:paraId="67591A0B">
            <w:pPr>
              <w:pStyle w:val="2"/>
              <w:keepNext w:val="0"/>
              <w:keepLines w:val="0"/>
              <w:suppressLineNumbers w:val="0"/>
              <w:spacing w:before="0" w:beforeAutospacing="0" w:after="0" w:afterAutospacing="0"/>
              <w:ind w:left="0" w:leftChars="0" w:right="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每500㎡不应少于1个点，且不得少于3点。</w:t>
            </w:r>
          </w:p>
        </w:tc>
        <w:tc>
          <w:tcPr>
            <w:tcW w:w="1350" w:type="dxa"/>
            <w:vAlign w:val="center"/>
          </w:tcPr>
          <w:p w14:paraId="3D769B4B">
            <w:pPr>
              <w:pStyle w:val="2"/>
              <w:keepNext w:val="0"/>
              <w:keepLines w:val="0"/>
              <w:suppressLineNumbers w:val="0"/>
              <w:spacing w:before="0" w:beforeAutospacing="0" w:after="0" w:afterAutospacing="0"/>
              <w:ind w:left="0" w:leftChars="0" w:right="0" w:firstLine="0" w:firstLineChars="0"/>
              <w:jc w:val="center"/>
              <w:rPr>
                <w:rFonts w:hint="default"/>
                <w:color w:val="auto"/>
                <w:sz w:val="16"/>
                <w:szCs w:val="20"/>
                <w:highlight w:val="none"/>
                <w:vertAlign w:val="baseline"/>
                <w:lang w:val="en-US" w:eastAsia="zh-CN"/>
              </w:rPr>
            </w:pPr>
            <w:r>
              <w:rPr>
                <w:rFonts w:hint="eastAsia"/>
                <w:b w:val="0"/>
                <w:bCs w:val="0"/>
                <w:color w:val="auto"/>
                <w:sz w:val="22"/>
                <w:szCs w:val="28"/>
                <w:highlight w:val="none"/>
                <w:vertAlign w:val="baseline"/>
                <w:lang w:val="en-US" w:eastAsia="zh-CN"/>
              </w:rPr>
              <w:t>12</w:t>
            </w:r>
          </w:p>
        </w:tc>
      </w:tr>
      <w:tr w14:paraId="425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8E38A7A">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10</w:t>
            </w:r>
          </w:p>
        </w:tc>
        <w:tc>
          <w:tcPr>
            <w:tcW w:w="1996" w:type="dxa"/>
            <w:vAlign w:val="center"/>
          </w:tcPr>
          <w:p w14:paraId="02197E8F">
            <w:pPr>
              <w:pStyle w:val="2"/>
              <w:keepNext w:val="0"/>
              <w:keepLines w:val="0"/>
              <w:suppressLineNumbers w:val="0"/>
              <w:spacing w:before="0" w:beforeAutospacing="0" w:after="0" w:afterAutospacing="0"/>
              <w:ind w:left="0" w:leftChars="0" w:right="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管道基坑回填压实度</w:t>
            </w:r>
          </w:p>
        </w:tc>
        <w:tc>
          <w:tcPr>
            <w:tcW w:w="5215" w:type="dxa"/>
            <w:vAlign w:val="center"/>
          </w:tcPr>
          <w:p w14:paraId="12BD65AD">
            <w:pPr>
              <w:pStyle w:val="2"/>
              <w:keepNext w:val="0"/>
              <w:keepLines w:val="0"/>
              <w:suppressLineNumbers w:val="0"/>
              <w:spacing w:before="0" w:beforeAutospacing="0" w:after="0" w:afterAutospacing="0"/>
              <w:ind w:left="0" w:leftChars="0" w:right="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（1）每1000㎡一个检测点，（2）监测点：每层每侧一组（一组三点）</w:t>
            </w:r>
          </w:p>
        </w:tc>
        <w:tc>
          <w:tcPr>
            <w:tcW w:w="1350" w:type="dxa"/>
            <w:vAlign w:val="center"/>
          </w:tcPr>
          <w:p w14:paraId="2EAAAE92">
            <w:pPr>
              <w:pStyle w:val="2"/>
              <w:keepNext w:val="0"/>
              <w:keepLines w:val="0"/>
              <w:suppressLineNumbers w:val="0"/>
              <w:spacing w:before="0" w:beforeAutospacing="0" w:after="0" w:afterAutospacing="0"/>
              <w:ind w:left="0" w:leftChars="0" w:right="0" w:firstLine="0" w:firstLineChars="0"/>
              <w:jc w:val="center"/>
              <w:rPr>
                <w:rFonts w:hint="default"/>
                <w:color w:val="auto"/>
                <w:sz w:val="16"/>
                <w:szCs w:val="20"/>
                <w:highlight w:val="none"/>
                <w:vertAlign w:val="baseline"/>
                <w:lang w:val="en-US" w:eastAsia="zh-CN"/>
              </w:rPr>
            </w:pPr>
            <w:r>
              <w:rPr>
                <w:rFonts w:hint="eastAsia"/>
                <w:b w:val="0"/>
                <w:bCs w:val="0"/>
                <w:color w:val="auto"/>
                <w:sz w:val="22"/>
                <w:szCs w:val="28"/>
                <w:highlight w:val="none"/>
                <w:vertAlign w:val="baseline"/>
                <w:lang w:val="en-US" w:eastAsia="zh-CN"/>
              </w:rPr>
              <w:t>12</w:t>
            </w:r>
          </w:p>
        </w:tc>
      </w:tr>
      <w:tr w14:paraId="3DD6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1" w:type="dxa"/>
            <w:gridSpan w:val="4"/>
          </w:tcPr>
          <w:p w14:paraId="42B7918A">
            <w:pPr>
              <w:pStyle w:val="2"/>
              <w:keepNext w:val="0"/>
              <w:keepLines w:val="0"/>
              <w:suppressLineNumbers w:val="0"/>
              <w:spacing w:before="0" w:beforeAutospacing="0" w:after="0" w:afterAutospacing="0"/>
              <w:ind w:left="0" w:leftChars="0" w:right="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备注：</w:t>
            </w:r>
          </w:p>
          <w:p w14:paraId="519BE115">
            <w:pPr>
              <w:pStyle w:val="2"/>
              <w:keepNext w:val="0"/>
              <w:keepLines w:val="0"/>
              <w:suppressLineNumbers w:val="0"/>
              <w:spacing w:before="0" w:beforeAutospacing="0" w:after="0" w:afterAutospacing="0"/>
              <w:ind w:left="0" w:leftChars="0" w:right="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1.现场实际委托单有其他约定完成时限的，以现场实际委托单约定为准。</w:t>
            </w:r>
          </w:p>
          <w:p w14:paraId="59B9B13E">
            <w:pPr>
              <w:pStyle w:val="2"/>
              <w:keepNext w:val="0"/>
              <w:keepLines w:val="0"/>
              <w:suppressLineNumbers w:val="0"/>
              <w:spacing w:before="0" w:beforeAutospacing="0" w:after="0" w:afterAutospacing="0"/>
              <w:ind w:left="0" w:leftChars="0" w:right="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2.其他未列检测项目的检测报告出具时间以现场实际委托单约定的时间为准。</w:t>
            </w:r>
          </w:p>
          <w:p w14:paraId="61E1BA97">
            <w:pPr>
              <w:pStyle w:val="2"/>
              <w:keepNext w:val="0"/>
              <w:keepLines w:val="0"/>
              <w:suppressLineNumbers w:val="0"/>
              <w:spacing w:before="0" w:beforeAutospacing="0" w:after="0" w:afterAutospacing="0"/>
              <w:ind w:left="0" w:leftChars="0" w:right="0"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3.出具报告时间，指在检验检测工作完成后，影响报告出具的支撑资料齐全后起计。</w:t>
            </w:r>
          </w:p>
        </w:tc>
      </w:tr>
    </w:tbl>
    <w:p w14:paraId="66577AEA">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33F4691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提交正式、合法的检测报告书，并同时加盖资质认定标志（即CMA印章）和</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检验检测报告专用章。</w:t>
      </w:r>
    </w:p>
    <w:p w14:paraId="41A1E57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所提供给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的成果资料所有权由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享有，未经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许可，</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不得将成果泄露给第三方。</w:t>
      </w:r>
    </w:p>
    <w:p w14:paraId="31AEBD9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须保证检测成果质量，对技术成果负完全责任，如因检测不实，造成</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经济损失费用全部由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承担，并应负责重检。</w:t>
      </w:r>
    </w:p>
    <w:p w14:paraId="697B85E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（六）安全要求</w:t>
      </w:r>
    </w:p>
    <w:p w14:paraId="3EF745F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应做好服务的安全防护措施，服务过程中出现的安全事故由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自行承担。</w:t>
      </w:r>
    </w:p>
    <w:p w14:paraId="77F1DCE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必须做好安全防护工作，由于</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自身的原因发生的任何伤害（包括人身伤害），均由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自行承担。</w:t>
      </w:r>
    </w:p>
    <w:p w14:paraId="28FA625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（七）其他要求</w:t>
      </w:r>
    </w:p>
    <w:p w14:paraId="6F0E07E2">
      <w:pPr>
        <w:adjustRightInd w:val="0"/>
        <w:snapToGrid w:val="0"/>
        <w:spacing w:line="360" w:lineRule="auto"/>
        <w:ind w:firstLine="422" w:firstLineChars="200"/>
        <w:rPr>
          <w:rFonts w:hint="eastAsia" w:ascii="宋体" w:hAnsi="宋体" w:eastAsia="宋体" w:cs="宋体"/>
          <w:color w:val="auto"/>
          <w:sz w:val="21"/>
          <w:szCs w:val="21"/>
          <w:highlight w:val="none"/>
          <w:lang w:val="en-US"/>
        </w:rPr>
      </w:pPr>
      <w:r>
        <w:rPr>
          <w:rFonts w:hint="eastAsia" w:ascii="宋体" w:hAnsi="宋体" w:eastAsia="宋体" w:cs="宋体"/>
          <w:b/>
          <w:color w:val="auto"/>
          <w:sz w:val="21"/>
          <w:szCs w:val="21"/>
          <w:highlight w:val="none"/>
          <w:u w:val="single"/>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en-US"/>
        </w:rPr>
        <w:t>须严格按照东莞市住房和城乡建设局规定，使用“东莞市工程质量检测监管平台”开展相关检测工作，</w:t>
      </w:r>
      <w:r>
        <w:rPr>
          <w:rFonts w:hint="eastAsia" w:ascii="宋体" w:hAnsi="宋体" w:eastAsia="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en-US"/>
        </w:rPr>
        <w:t>须在“东莞市工程质量检测监管平台”完成注册备案，并提供相关网页截图。（须在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rPr>
        <w:t>时提供已备案网页截图，或在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rPr>
        <w:t>时提供</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rPr>
        <w:t>后须在7个工作日内完成备案的承诺函）</w:t>
      </w:r>
    </w:p>
    <w:p w14:paraId="31537C3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派出的检测人员应具备相应的专业知识及技术水平，有足够能力完成本项目检测服务工作。</w:t>
      </w:r>
    </w:p>
    <w:p w14:paraId="49FBA75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需配备1名项目负责人、1名技术负责人及数量充足的检测工作人员，保证检测工作有序、顺利完成。</w:t>
      </w:r>
    </w:p>
    <w:p w14:paraId="520FA0B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应配备完成本项目所必须的检测设备，其性能良好并符合国家规定。同时配备数量充足的交通警示标志和施工</w:t>
      </w:r>
      <w:r>
        <w:rPr>
          <w:rFonts w:hint="eastAsia" w:ascii="宋体" w:hAnsi="宋体" w:eastAsia="宋体" w:cs="宋体"/>
          <w:color w:val="auto"/>
          <w:sz w:val="21"/>
          <w:szCs w:val="21"/>
          <w:highlight w:val="none"/>
          <w:lang w:eastAsia="zh-CN"/>
        </w:rPr>
        <w:t>围挡</w:t>
      </w:r>
      <w:r>
        <w:rPr>
          <w:rFonts w:hint="eastAsia" w:ascii="宋体" w:hAnsi="宋体" w:eastAsia="宋体" w:cs="宋体"/>
          <w:color w:val="auto"/>
          <w:sz w:val="21"/>
          <w:szCs w:val="21"/>
          <w:highlight w:val="none"/>
        </w:rPr>
        <w:t>，以及检测仪器、无线通讯设备、劳动防护用品等其它必须使用的工具。</w:t>
      </w:r>
    </w:p>
    <w:p w14:paraId="3BB3F1F3">
      <w:pPr>
        <w:adjustRightInd w:val="0"/>
        <w:snapToGrid w:val="0"/>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hr-HR"/>
        </w:rPr>
        <w:t>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、建设单位、上级行政主管部门</w:t>
      </w:r>
      <w:r>
        <w:rPr>
          <w:rFonts w:hint="eastAsia" w:ascii="宋体" w:hAnsi="宋体" w:eastAsia="宋体" w:cs="宋体"/>
          <w:color w:val="auto"/>
          <w:sz w:val="21"/>
          <w:szCs w:val="21"/>
          <w:highlight w:val="none"/>
          <w:lang w:val="hr-HR"/>
        </w:rPr>
        <w:t>要求（</w:t>
      </w:r>
      <w:r>
        <w:rPr>
          <w:rFonts w:hint="eastAsia" w:ascii="宋体" w:hAnsi="宋体" w:eastAsia="宋体" w:cs="宋体"/>
          <w:color w:val="auto"/>
          <w:sz w:val="21"/>
          <w:szCs w:val="21"/>
          <w:highlight w:val="none"/>
        </w:rPr>
        <w:t>含政策变动</w:t>
      </w:r>
      <w:r>
        <w:rPr>
          <w:rFonts w:hint="eastAsia" w:ascii="宋体" w:hAnsi="宋体" w:eastAsia="宋体" w:cs="宋体"/>
          <w:color w:val="auto"/>
          <w:sz w:val="21"/>
          <w:szCs w:val="21"/>
          <w:highlight w:val="none"/>
          <w:lang w:val="hr-HR"/>
        </w:rPr>
        <w:t>）</w:t>
      </w:r>
      <w:r>
        <w:rPr>
          <w:rFonts w:hint="eastAsia" w:ascii="宋体" w:hAnsi="宋体" w:eastAsia="宋体" w:cs="宋体"/>
          <w:color w:val="auto"/>
          <w:sz w:val="21"/>
          <w:szCs w:val="21"/>
          <w:highlight w:val="none"/>
        </w:rPr>
        <w:t>检测</w:t>
      </w:r>
      <w:r>
        <w:rPr>
          <w:rFonts w:hint="eastAsia" w:ascii="宋体" w:hAnsi="宋体" w:eastAsia="宋体" w:cs="宋体"/>
          <w:color w:val="auto"/>
          <w:sz w:val="21"/>
          <w:szCs w:val="21"/>
          <w:highlight w:val="none"/>
          <w:lang w:val="hr-HR"/>
        </w:rPr>
        <w:t>内容和频次增加或减少，</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必须无条件</w:t>
      </w:r>
      <w:r>
        <w:rPr>
          <w:rFonts w:hint="eastAsia" w:ascii="宋体" w:hAnsi="宋体" w:eastAsia="宋体" w:cs="宋体"/>
          <w:color w:val="auto"/>
          <w:sz w:val="21"/>
          <w:szCs w:val="21"/>
          <w:highlight w:val="none"/>
          <w:lang w:val="hr-HR"/>
        </w:rPr>
        <w:t>遵守执行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hr-HR"/>
        </w:rPr>
        <w:t>实际检测量以</w:t>
      </w:r>
      <w:r>
        <w:rPr>
          <w:rFonts w:hint="eastAsia" w:ascii="宋体" w:hAnsi="宋体" w:eastAsia="宋体" w:cs="宋体"/>
          <w:color w:val="auto"/>
          <w:sz w:val="21"/>
          <w:szCs w:val="21"/>
          <w:highlight w:val="none"/>
          <w:lang w:val="hr-HR" w:eastAsia="zh-CN"/>
        </w:rPr>
        <w:t>采购人</w:t>
      </w:r>
      <w:r>
        <w:rPr>
          <w:rFonts w:hint="eastAsia" w:ascii="宋体" w:hAnsi="宋体" w:eastAsia="宋体" w:cs="宋体"/>
          <w:color w:val="auto"/>
          <w:sz w:val="21"/>
          <w:szCs w:val="21"/>
          <w:highlight w:val="none"/>
          <w:lang w:val="hr-HR"/>
        </w:rPr>
        <w:t>审核为准。</w:t>
      </w:r>
    </w:p>
    <w:p w14:paraId="3E7D08BF">
      <w:pPr>
        <w:adjustRightInd w:val="0"/>
        <w:snapToGrid w:val="0"/>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hr-HR"/>
        </w:rPr>
        <w:t>若特殊项目</w:t>
      </w:r>
      <w:r>
        <w:rPr>
          <w:rFonts w:hint="eastAsia" w:ascii="宋体" w:hAnsi="宋体" w:eastAsia="宋体" w:cs="宋体"/>
          <w:color w:val="auto"/>
          <w:sz w:val="21"/>
          <w:szCs w:val="21"/>
          <w:highlight w:val="none"/>
          <w:lang w:val="hr-HR" w:eastAsia="zh-CN"/>
        </w:rPr>
        <w:t>成交人</w:t>
      </w:r>
      <w:r>
        <w:rPr>
          <w:rFonts w:hint="eastAsia" w:ascii="宋体" w:hAnsi="宋体" w:eastAsia="宋体" w:cs="宋体"/>
          <w:color w:val="auto"/>
          <w:sz w:val="21"/>
          <w:szCs w:val="21"/>
          <w:highlight w:val="none"/>
          <w:lang w:val="hr-HR"/>
        </w:rPr>
        <w:t>无相应资质的，必须经</w:t>
      </w:r>
      <w:r>
        <w:rPr>
          <w:rFonts w:hint="eastAsia" w:ascii="宋体" w:hAnsi="宋体" w:eastAsia="宋体" w:cs="宋体"/>
          <w:color w:val="auto"/>
          <w:sz w:val="21"/>
          <w:szCs w:val="21"/>
          <w:highlight w:val="none"/>
          <w:lang w:val="hr-HR" w:eastAsia="zh-CN"/>
        </w:rPr>
        <w:t>采购人</w:t>
      </w:r>
      <w:r>
        <w:rPr>
          <w:rFonts w:hint="eastAsia" w:ascii="宋体" w:hAnsi="宋体" w:eastAsia="宋体" w:cs="宋体"/>
          <w:color w:val="auto"/>
          <w:sz w:val="21"/>
          <w:szCs w:val="21"/>
          <w:highlight w:val="none"/>
          <w:lang w:val="hr-HR"/>
        </w:rPr>
        <w:t>批准后送符合条件（具备相应资质）的分包单位进行检测，并出具相应的检测报告，否则将视为</w:t>
      </w:r>
      <w:r>
        <w:rPr>
          <w:rFonts w:hint="eastAsia" w:ascii="宋体" w:hAnsi="宋体" w:eastAsia="宋体" w:cs="宋体"/>
          <w:color w:val="auto"/>
          <w:sz w:val="21"/>
          <w:szCs w:val="21"/>
          <w:highlight w:val="none"/>
          <w:lang w:val="hr-HR" w:eastAsia="zh-CN"/>
        </w:rPr>
        <w:t>成交人</w:t>
      </w:r>
      <w:r>
        <w:rPr>
          <w:rFonts w:hint="eastAsia" w:ascii="宋体" w:hAnsi="宋体" w:eastAsia="宋体" w:cs="宋体"/>
          <w:color w:val="auto"/>
          <w:sz w:val="21"/>
          <w:szCs w:val="21"/>
          <w:highlight w:val="none"/>
          <w:lang w:val="hr-HR"/>
        </w:rPr>
        <w:t>违约，出具的报告不予承认。</w:t>
      </w:r>
    </w:p>
    <w:p w14:paraId="3BAEA069">
      <w:pPr>
        <w:adjustRightInd w:val="0"/>
        <w:snapToGrid w:val="0"/>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hr-HR"/>
        </w:rPr>
        <w:t>在合同服务期内</w:t>
      </w:r>
      <w:r>
        <w:rPr>
          <w:rFonts w:hint="eastAsia" w:ascii="宋体" w:hAnsi="宋体" w:eastAsia="宋体" w:cs="宋体"/>
          <w:color w:val="auto"/>
          <w:sz w:val="21"/>
          <w:szCs w:val="21"/>
          <w:highlight w:val="none"/>
          <w:lang w:val="hr-HR" w:eastAsia="zh-CN"/>
        </w:rPr>
        <w:t>成交人</w:t>
      </w:r>
      <w:r>
        <w:rPr>
          <w:rFonts w:hint="eastAsia" w:ascii="宋体" w:hAnsi="宋体" w:eastAsia="宋体" w:cs="宋体"/>
          <w:color w:val="auto"/>
          <w:sz w:val="21"/>
          <w:szCs w:val="21"/>
          <w:highlight w:val="none"/>
          <w:lang w:val="hr-HR"/>
        </w:rPr>
        <w:t>不得因实际检测点过少或其他理由，而要求</w:t>
      </w:r>
      <w:r>
        <w:rPr>
          <w:rFonts w:hint="eastAsia" w:ascii="宋体" w:hAnsi="宋体" w:eastAsia="宋体" w:cs="宋体"/>
          <w:color w:val="auto"/>
          <w:sz w:val="21"/>
          <w:szCs w:val="21"/>
          <w:highlight w:val="none"/>
          <w:lang w:val="hr-HR" w:eastAsia="zh-CN"/>
        </w:rPr>
        <w:t>采购人</w:t>
      </w:r>
      <w:r>
        <w:rPr>
          <w:rFonts w:hint="eastAsia" w:ascii="宋体" w:hAnsi="宋体" w:eastAsia="宋体" w:cs="宋体"/>
          <w:color w:val="auto"/>
          <w:sz w:val="21"/>
          <w:szCs w:val="21"/>
          <w:highlight w:val="none"/>
          <w:lang w:val="hr-HR"/>
        </w:rPr>
        <w:t>提供任何形式的补偿或赔偿，或要求</w:t>
      </w:r>
      <w:r>
        <w:rPr>
          <w:rFonts w:hint="eastAsia" w:ascii="宋体" w:hAnsi="宋体" w:eastAsia="宋体" w:cs="宋体"/>
          <w:color w:val="auto"/>
          <w:sz w:val="21"/>
          <w:szCs w:val="21"/>
          <w:highlight w:val="none"/>
          <w:lang w:val="hr-HR" w:eastAsia="zh-CN"/>
        </w:rPr>
        <w:t>采购人</w:t>
      </w:r>
      <w:r>
        <w:rPr>
          <w:rFonts w:hint="eastAsia" w:ascii="宋体" w:hAnsi="宋体" w:eastAsia="宋体" w:cs="宋体"/>
          <w:color w:val="auto"/>
          <w:sz w:val="21"/>
          <w:szCs w:val="21"/>
          <w:highlight w:val="none"/>
          <w:lang w:val="hr-HR"/>
        </w:rPr>
        <w:t>所有的项目必须开展检测服务。</w:t>
      </w:r>
    </w:p>
    <w:p w14:paraId="2A832ACB">
      <w:pPr>
        <w:adjustRightInd w:val="0"/>
        <w:snapToGrid w:val="0"/>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lang w:val="hr-HR"/>
        </w:rPr>
        <w:t>自行解决现场检测（试验）所需辅助劳务及相关费用。</w:t>
      </w:r>
    </w:p>
    <w:p w14:paraId="218F51A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9、服务过程中涉及的设备、工具，由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自行解决。</w:t>
      </w:r>
    </w:p>
    <w:p w14:paraId="250EBBE2">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10、服务过程中涉及的用水、用电由成交人自行接入，成交人需做好用水、用电安全防护措施并无条件接受采购人监督</w:t>
      </w:r>
    </w:p>
    <w:p w14:paraId="3A2E78F9">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成交人</w:t>
      </w:r>
      <w:r>
        <w:rPr>
          <w:rFonts w:hint="eastAsia" w:ascii="宋体" w:hAnsi="宋体" w:eastAsia="宋体" w:cs="宋体"/>
          <w:color w:val="auto"/>
          <w:sz w:val="21"/>
          <w:szCs w:val="21"/>
          <w:highlight w:val="none"/>
        </w:rPr>
        <w:t>须无条件配合在施工单位自检合格后立即开展水压试验检测活动，充分利用施工单位已实施的自检措施，提升水压试验检测工作效率。</w:t>
      </w:r>
    </w:p>
    <w:p w14:paraId="600EECD6">
      <w:pPr>
        <w:widowControl w:val="0"/>
        <w:adjustRightInd w:val="0"/>
        <w:snapToGrid w:val="0"/>
        <w:spacing w:line="360" w:lineRule="auto"/>
        <w:ind w:firstLine="422" w:firstLineChars="200"/>
        <w:jc w:val="both"/>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三、合同价款</w:t>
      </w:r>
    </w:p>
    <w:p w14:paraId="418B14F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工程量清单计价表》（详见附件）的计费标准参照《东莞市建设工程检测行业参考收费标准（2023版）》（东检协字（2023）3号）的参考单价，计费标准未包含的部分参照《广东省房屋建筑和市政工程质量安全检测收费指导价》（粤建检协[2015]8号）。暂定总合同价款按照</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文件所附《工程量清单计价表》（详见附件）的不含税综合单价（不含税综合单价=参考单价÷1.06）×检测服务系数×检测工作量计算所得</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最终结算价不得超出暂定总合同价款（含税）</w:t>
      </w:r>
      <w:r>
        <w:rPr>
          <w:rFonts w:hint="eastAsia" w:ascii="宋体" w:hAnsi="宋体" w:eastAsia="宋体" w:cs="宋体"/>
          <w:color w:val="auto"/>
          <w:sz w:val="21"/>
          <w:szCs w:val="21"/>
          <w:highlight w:val="none"/>
        </w:rPr>
        <w:t>。</w:t>
      </w:r>
    </w:p>
    <w:p w14:paraId="4242382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含税综合单价包含为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检测人销项税额以外的税金等，报价过程产生的费用、交易（成交）服务费、办理履约担保费用、水电及进退场、差旅、驻地、办公设施、用品、食宿费、交通、通讯、施工配合费、保险费、风险费、检测方案的审查及专家论证费等完成本项目服务相关的直接及间接费用。除另有约定外，本工程检测（试验）的不含税综合单价在合同实施期间不因任何因素而调整（包括但不限于工程的工期延长、检测工作量变化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及项目业主也不承担任何额外费用。检测时，如需土建施工单位配合或向其租借设备时，</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自行与施工单位协调，配合及租借费用已包括在不含税综合单价内。</w:t>
      </w:r>
    </w:p>
    <w:p w14:paraId="216962B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3、《工程量清单计价表》不作为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最终服务范围及业务承接数量的保证，</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有权根据实际需求对检测工程量进行优化调整。在合同服务期内，</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不得因实际检测项目数量及服务费用的增减而要求</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提供任何形式的补偿或赔偿，或只按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暂定的《工程量清单计价表》提供相应的对应服务。否则，视为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有权依据合同约定追究</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的违约责任。</w:t>
      </w:r>
    </w:p>
    <w:p w14:paraId="2FBFA05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4、对于《工程量清单计价表》外新增的检测项目，不含税综合单价按以下方法计算：</w:t>
      </w:r>
    </w:p>
    <w:p w14:paraId="14474AF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（1）《东莞市建设工程检测行业参考收费标准 (2023版)》（东检协字（2023）3号）对应项参考单价÷1.06×检测服务系数；</w:t>
      </w:r>
    </w:p>
    <w:p w14:paraId="1A7E2E6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（2）《东莞市建设工程检测行业参考收费标准 (2023版)》（东检协字（2023）3号）中无对应项，则按照《广东省房屋建筑和市政工程工程质量安全检测收费指导价》（粤建检协〔2015〕8号）对应项单价÷1.06×检测服务系数；</w:t>
      </w:r>
    </w:p>
    <w:p w14:paraId="761916A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（3）《东莞市建设工程检测行业参考收费标准 (2023版)》（东检协字（2023）3号）与《广东省房屋建筑和市政工程工程质量安全检测收费指导价》（粤建检协〔2015〕8号）均无对应项的，由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结合本地及周边同类城市市场询价的不含税综合单价×检测服务系数。</w:t>
      </w:r>
    </w:p>
    <w:p w14:paraId="1C1B563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以上不含税综合单价均保留两位小数。</w:t>
      </w:r>
    </w:p>
    <w:p w14:paraId="75C0B1D5">
      <w:pPr>
        <w:widowControl w:val="0"/>
        <w:adjustRightInd w:val="0"/>
        <w:snapToGrid w:val="0"/>
        <w:spacing w:line="360" w:lineRule="auto"/>
        <w:ind w:firstLine="422" w:firstLineChars="200"/>
        <w:jc w:val="both"/>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四、费用支付</w:t>
      </w:r>
    </w:p>
    <w:p w14:paraId="57B53BC6">
      <w:pPr>
        <w:adjustRightInd w:val="0"/>
        <w:snapToGrid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成交人向采购人、项目业主承诺，项目业主有权直接向成交人支付合同价款，也有权委托采购人向成交人代付价款，具体支付方式以采购人通知为准，成交人对此不持异议。如项目业主委托采购人向成交人代付合同价款的，因采购人系受项目业主委托代付，成交人承诺不得就合同款项问题向采购人主张任何权利，成交人同意采购人亦无需承担任何责任；如因款项支付产生纠纷的(包括但不限于诉讼等)，由成交人与项目业主协调处理，与采购人无关。</w:t>
      </w:r>
    </w:p>
    <w:p w14:paraId="476B2BD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、以季度为单位，即按季度计量支付进度款，</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提供相应的正式检测报告，经监理人及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审核通过后，项目业主</w:t>
      </w:r>
      <w:r>
        <w:rPr>
          <w:rFonts w:hint="eastAsia" w:ascii="宋体" w:hAnsi="宋体" w:eastAsia="宋体" w:cs="宋体"/>
          <w:color w:val="auto"/>
          <w:sz w:val="21"/>
          <w:szCs w:val="21"/>
          <w:highlight w:val="none"/>
          <w:lang w:val="en-US" w:eastAsia="zh-CN"/>
        </w:rPr>
        <w:t>或采购人</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提交对应的请款报告30天内向</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支付进度款。</w:t>
      </w:r>
    </w:p>
    <w:p w14:paraId="799A914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、项目业主</w:t>
      </w:r>
      <w:r>
        <w:rPr>
          <w:rFonts w:hint="eastAsia" w:ascii="宋体" w:hAnsi="宋体" w:eastAsia="宋体" w:cs="宋体"/>
          <w:color w:val="auto"/>
          <w:sz w:val="21"/>
          <w:szCs w:val="21"/>
          <w:highlight w:val="none"/>
          <w:lang w:val="en-US" w:eastAsia="zh-CN"/>
        </w:rPr>
        <w:t>或采购人</w:t>
      </w:r>
      <w:r>
        <w:rPr>
          <w:rFonts w:hint="eastAsia" w:ascii="宋体" w:hAnsi="宋体" w:eastAsia="宋体" w:cs="宋体"/>
          <w:color w:val="auto"/>
          <w:sz w:val="21"/>
          <w:szCs w:val="21"/>
          <w:highlight w:val="none"/>
        </w:rPr>
        <w:t>以季度为单位按经监理人及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审核通过的检测报告所涉款项的80%支付本合同进度款，但项目业主</w:t>
      </w:r>
      <w:r>
        <w:rPr>
          <w:rFonts w:hint="eastAsia" w:ascii="宋体" w:hAnsi="宋体" w:eastAsia="宋体" w:cs="宋体"/>
          <w:color w:val="auto"/>
          <w:sz w:val="21"/>
          <w:szCs w:val="21"/>
          <w:highlight w:val="none"/>
          <w:lang w:val="en-US" w:eastAsia="zh-CN"/>
        </w:rPr>
        <w:t>或采购人</w:t>
      </w:r>
      <w:r>
        <w:rPr>
          <w:rFonts w:hint="eastAsia" w:ascii="宋体" w:hAnsi="宋体" w:eastAsia="宋体" w:cs="宋体"/>
          <w:color w:val="auto"/>
          <w:sz w:val="21"/>
          <w:szCs w:val="21"/>
          <w:highlight w:val="none"/>
        </w:rPr>
        <w:t>累计支付的进度款不超过暂定总合同价款价税合计的80%，待工程竣工验收合格，项目结算完毕，并提交请款报告后30天内，项目业主</w:t>
      </w:r>
      <w:r>
        <w:rPr>
          <w:rFonts w:hint="eastAsia" w:ascii="宋体" w:hAnsi="宋体" w:eastAsia="宋体" w:cs="宋体"/>
          <w:color w:val="auto"/>
          <w:sz w:val="21"/>
          <w:szCs w:val="21"/>
          <w:highlight w:val="none"/>
          <w:lang w:val="en-US" w:eastAsia="zh-CN"/>
        </w:rPr>
        <w:t>或采购人</w:t>
      </w:r>
      <w:r>
        <w:rPr>
          <w:rFonts w:hint="eastAsia" w:ascii="宋体" w:hAnsi="宋体" w:eastAsia="宋体" w:cs="宋体"/>
          <w:color w:val="auto"/>
          <w:sz w:val="21"/>
          <w:szCs w:val="21"/>
          <w:highlight w:val="none"/>
        </w:rPr>
        <w:t>按结算价一次性支付余款。</w:t>
      </w:r>
    </w:p>
    <w:p w14:paraId="003AE081">
      <w:pPr>
        <w:adjustRightInd w:val="0"/>
        <w:snapToGrid w:val="0"/>
        <w:spacing w:line="360" w:lineRule="auto"/>
        <w:ind w:firstLine="420" w:firstLineChars="200"/>
        <w:contextualSpacing/>
        <w:rPr>
          <w:rFonts w:hint="eastAsia" w:ascii="宋体" w:hAnsi="宋体" w:eastAsia="宋体" w:cs="宋体"/>
          <w:b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成交人</w:t>
      </w:r>
      <w:r>
        <w:rPr>
          <w:rFonts w:hint="eastAsia" w:ascii="宋体" w:hAnsi="宋体" w:eastAsia="宋体" w:cs="宋体"/>
          <w:bCs/>
          <w:color w:val="auto"/>
          <w:sz w:val="21"/>
          <w:szCs w:val="21"/>
          <w:highlight w:val="none"/>
        </w:rPr>
        <w:t>收取每笔款项前，在提交请款报告的同时一并提供等额有效的增值税专用发票，项目业主</w:t>
      </w:r>
      <w:r>
        <w:rPr>
          <w:rFonts w:hint="eastAsia" w:ascii="宋体" w:hAnsi="宋体" w:eastAsia="宋体" w:cs="宋体"/>
          <w:bCs/>
          <w:color w:val="auto"/>
          <w:sz w:val="21"/>
          <w:szCs w:val="21"/>
          <w:highlight w:val="none"/>
          <w:lang w:val="en-US" w:eastAsia="zh-CN"/>
        </w:rPr>
        <w:t>或采购人</w:t>
      </w:r>
      <w:r>
        <w:rPr>
          <w:rFonts w:hint="eastAsia" w:ascii="宋体" w:hAnsi="宋体" w:eastAsia="宋体" w:cs="宋体"/>
          <w:bCs/>
          <w:color w:val="auto"/>
          <w:sz w:val="21"/>
          <w:szCs w:val="21"/>
          <w:highlight w:val="none"/>
        </w:rPr>
        <w:t>在收到相关请款材料审核后支付；</w:t>
      </w:r>
      <w:r>
        <w:rPr>
          <w:rFonts w:hint="eastAsia" w:ascii="宋体" w:hAnsi="宋体" w:eastAsia="宋体" w:cs="宋体"/>
          <w:bCs/>
          <w:color w:val="auto"/>
          <w:sz w:val="21"/>
          <w:szCs w:val="21"/>
          <w:highlight w:val="none"/>
          <w:lang w:eastAsia="zh-CN"/>
        </w:rPr>
        <w:t>成交人</w:t>
      </w:r>
      <w:r>
        <w:rPr>
          <w:rFonts w:hint="eastAsia" w:ascii="宋体" w:hAnsi="宋体" w:eastAsia="宋体" w:cs="宋体"/>
          <w:bCs/>
          <w:color w:val="auto"/>
          <w:sz w:val="21"/>
          <w:szCs w:val="21"/>
          <w:highlight w:val="none"/>
        </w:rPr>
        <w:t>逾期提交请款材料或提供的发票不合格的，项目业主</w:t>
      </w:r>
      <w:r>
        <w:rPr>
          <w:rFonts w:hint="eastAsia" w:ascii="宋体" w:hAnsi="宋体" w:eastAsia="宋体" w:cs="宋体"/>
          <w:bCs/>
          <w:color w:val="auto"/>
          <w:sz w:val="21"/>
          <w:szCs w:val="21"/>
          <w:highlight w:val="none"/>
          <w:lang w:val="en-US" w:eastAsia="zh-CN"/>
        </w:rPr>
        <w:t>或采购人</w:t>
      </w:r>
      <w:r>
        <w:rPr>
          <w:rFonts w:hint="eastAsia" w:ascii="宋体" w:hAnsi="宋体" w:eastAsia="宋体" w:cs="宋体"/>
          <w:bCs/>
          <w:color w:val="auto"/>
          <w:sz w:val="21"/>
          <w:szCs w:val="21"/>
          <w:highlight w:val="none"/>
        </w:rPr>
        <w:t>的付款时间可相应顺延，且不视为违约。因支付产生的相关银行手续费用，根据有关银行规定执行，如不能明确费用承担主体的，相关手续费用由双方各承担50%。由于</w:t>
      </w:r>
      <w:r>
        <w:rPr>
          <w:rFonts w:hint="eastAsia" w:ascii="宋体" w:hAnsi="宋体" w:eastAsia="宋体" w:cs="宋体"/>
          <w:bCs/>
          <w:color w:val="auto"/>
          <w:sz w:val="21"/>
          <w:szCs w:val="21"/>
          <w:highlight w:val="none"/>
          <w:lang w:eastAsia="zh-CN"/>
        </w:rPr>
        <w:t>成交人</w:t>
      </w:r>
      <w:r>
        <w:rPr>
          <w:rFonts w:hint="eastAsia" w:ascii="宋体" w:hAnsi="宋体" w:eastAsia="宋体" w:cs="宋体"/>
          <w:bCs/>
          <w:color w:val="auto"/>
          <w:sz w:val="21"/>
          <w:szCs w:val="21"/>
          <w:highlight w:val="none"/>
        </w:rPr>
        <w:t>提供的发票不符合税法规定，给项目业主</w:t>
      </w:r>
      <w:r>
        <w:rPr>
          <w:rFonts w:hint="eastAsia" w:ascii="宋体" w:hAnsi="宋体" w:eastAsia="宋体" w:cs="宋体"/>
          <w:bCs/>
          <w:color w:val="auto"/>
          <w:sz w:val="21"/>
          <w:szCs w:val="21"/>
          <w:highlight w:val="none"/>
          <w:lang w:val="en-US" w:eastAsia="zh-CN"/>
        </w:rPr>
        <w:t>或采购人</w:t>
      </w:r>
      <w:r>
        <w:rPr>
          <w:rFonts w:hint="eastAsia" w:ascii="宋体" w:hAnsi="宋体" w:eastAsia="宋体" w:cs="宋体"/>
          <w:bCs/>
          <w:color w:val="auto"/>
          <w:sz w:val="21"/>
          <w:szCs w:val="21"/>
          <w:highlight w:val="none"/>
        </w:rPr>
        <w:t>造成的损失由</w:t>
      </w:r>
      <w:r>
        <w:rPr>
          <w:rFonts w:hint="eastAsia" w:ascii="宋体" w:hAnsi="宋体" w:eastAsia="宋体" w:cs="宋体"/>
          <w:bCs/>
          <w:color w:val="auto"/>
          <w:sz w:val="21"/>
          <w:szCs w:val="21"/>
          <w:highlight w:val="none"/>
          <w:lang w:eastAsia="zh-CN"/>
        </w:rPr>
        <w:t>成交人</w:t>
      </w:r>
      <w:r>
        <w:rPr>
          <w:rFonts w:hint="eastAsia" w:ascii="宋体" w:hAnsi="宋体" w:eastAsia="宋体" w:cs="宋体"/>
          <w:bCs/>
          <w:color w:val="auto"/>
          <w:sz w:val="21"/>
          <w:szCs w:val="21"/>
          <w:highlight w:val="none"/>
        </w:rPr>
        <w:t>承担赔偿责任。</w:t>
      </w:r>
    </w:p>
    <w:p w14:paraId="28559200">
      <w:pPr>
        <w:widowControl w:val="0"/>
        <w:adjustRightInd w:val="0"/>
        <w:snapToGrid w:val="0"/>
        <w:spacing w:line="360" w:lineRule="auto"/>
        <w:ind w:firstLine="422" w:firstLineChars="200"/>
        <w:jc w:val="both"/>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五、考核制度</w:t>
      </w:r>
    </w:p>
    <w:p w14:paraId="63232AE4">
      <w:pPr>
        <w:adjustRightInd w:val="0"/>
        <w:snapToGrid w:val="0"/>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每季度对</w:t>
      </w:r>
      <w:r>
        <w:rPr>
          <w:rFonts w:hint="eastAsia" w:ascii="宋体" w:hAnsi="宋体" w:eastAsia="宋体" w:cs="宋体"/>
          <w:bCs/>
          <w:color w:val="auto"/>
          <w:sz w:val="21"/>
          <w:szCs w:val="21"/>
          <w:highlight w:val="none"/>
          <w:lang w:eastAsia="zh-CN"/>
        </w:rPr>
        <w:t>成交人</w:t>
      </w:r>
      <w:r>
        <w:rPr>
          <w:rFonts w:hint="eastAsia" w:ascii="宋体" w:hAnsi="宋体" w:eastAsia="宋体" w:cs="宋体"/>
          <w:bCs/>
          <w:color w:val="auto"/>
          <w:sz w:val="21"/>
          <w:szCs w:val="21"/>
          <w:highlight w:val="none"/>
        </w:rPr>
        <w:t>评价一次，出具考核评价结果。</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将严格按照考核评分标准对</w:t>
      </w:r>
      <w:r>
        <w:rPr>
          <w:rFonts w:hint="eastAsia" w:ascii="宋体" w:hAnsi="宋体" w:eastAsia="宋体" w:cs="宋体"/>
          <w:bCs/>
          <w:color w:val="auto"/>
          <w:sz w:val="21"/>
          <w:szCs w:val="21"/>
          <w:highlight w:val="none"/>
          <w:lang w:eastAsia="zh-CN"/>
        </w:rPr>
        <w:t>成交人</w:t>
      </w:r>
      <w:r>
        <w:rPr>
          <w:rFonts w:hint="eastAsia" w:ascii="宋体" w:hAnsi="宋体" w:eastAsia="宋体" w:cs="宋体"/>
          <w:bCs/>
          <w:color w:val="auto"/>
          <w:sz w:val="21"/>
          <w:szCs w:val="21"/>
          <w:highlight w:val="none"/>
        </w:rPr>
        <w:t>进行季度检查和考核。考评[70,80)分的，处相应付款周期内经</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确认的检测费的10%作为违约金，考评[60,70)分的，处相应付款周期经</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确认的检测费的20%作为违约金，考评60分以下的，处相应付款周期经</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确认的检测的30%作为违约金。上述“[”代表闭区间，“)”代表开区间，如[70,80)代表该分数段范围为大于等于70且小于80。达到相应付款周期时,如</w:t>
      </w:r>
      <w:r>
        <w:rPr>
          <w:rFonts w:hint="eastAsia" w:ascii="宋体" w:hAnsi="宋体" w:eastAsia="宋体" w:cs="宋体"/>
          <w:bCs/>
          <w:color w:val="auto"/>
          <w:sz w:val="21"/>
          <w:szCs w:val="21"/>
          <w:highlight w:val="none"/>
          <w:lang w:eastAsia="zh-CN"/>
        </w:rPr>
        <w:t>成交人</w:t>
      </w:r>
      <w:r>
        <w:rPr>
          <w:rFonts w:hint="eastAsia" w:ascii="宋体" w:hAnsi="宋体" w:eastAsia="宋体" w:cs="宋体"/>
          <w:bCs/>
          <w:color w:val="auto"/>
          <w:sz w:val="21"/>
          <w:szCs w:val="21"/>
          <w:highlight w:val="none"/>
        </w:rPr>
        <w:t xml:space="preserve">未申请支付本期费用, </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根据支付条件暂定本周期检测费并计算本周期内应缴纳的暂定违约金，</w:t>
      </w:r>
      <w:r>
        <w:rPr>
          <w:rFonts w:hint="eastAsia" w:ascii="宋体" w:hAnsi="宋体" w:eastAsia="宋体" w:cs="宋体"/>
          <w:bCs/>
          <w:color w:val="auto"/>
          <w:sz w:val="21"/>
          <w:szCs w:val="21"/>
          <w:highlight w:val="none"/>
          <w:lang w:eastAsia="zh-CN"/>
        </w:rPr>
        <w:t>成交人</w:t>
      </w:r>
      <w:r>
        <w:rPr>
          <w:rFonts w:hint="eastAsia" w:ascii="宋体" w:hAnsi="宋体" w:eastAsia="宋体" w:cs="宋体"/>
          <w:bCs/>
          <w:color w:val="auto"/>
          <w:sz w:val="21"/>
          <w:szCs w:val="21"/>
          <w:highlight w:val="none"/>
        </w:rPr>
        <w:t>应予以缴纳。下一周期仍未申请时按上述做法执行，待到</w:t>
      </w:r>
      <w:r>
        <w:rPr>
          <w:rFonts w:hint="eastAsia" w:ascii="宋体" w:hAnsi="宋体" w:eastAsia="宋体" w:cs="宋体"/>
          <w:bCs/>
          <w:color w:val="auto"/>
          <w:sz w:val="21"/>
          <w:szCs w:val="21"/>
          <w:highlight w:val="none"/>
          <w:lang w:eastAsia="zh-CN"/>
        </w:rPr>
        <w:t>成交人</w:t>
      </w:r>
      <w:r>
        <w:rPr>
          <w:rFonts w:hint="eastAsia" w:ascii="宋体" w:hAnsi="宋体" w:eastAsia="宋体" w:cs="宋体"/>
          <w:bCs/>
          <w:color w:val="auto"/>
          <w:sz w:val="21"/>
          <w:szCs w:val="21"/>
          <w:highlight w:val="none"/>
        </w:rPr>
        <w:t>申请支付费用时，根据合同付款流程确认检测费，同步对以往暂定违约金在本次一并确认并予以结算。</w:t>
      </w:r>
    </w:p>
    <w:p w14:paraId="2499985B">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检测单位履约考核评分表</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696"/>
        <w:gridCol w:w="4165"/>
        <w:gridCol w:w="520"/>
        <w:gridCol w:w="1527"/>
        <w:gridCol w:w="1041"/>
        <w:gridCol w:w="1046"/>
      </w:tblGrid>
      <w:tr w14:paraId="7D0F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864" w:type="pct"/>
            <w:gridSpan w:val="2"/>
            <w:vAlign w:val="center"/>
          </w:tcPr>
          <w:p w14:paraId="1D0AC06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检测人名称</w:t>
            </w:r>
          </w:p>
        </w:tc>
        <w:tc>
          <w:tcPr>
            <w:tcW w:w="2335" w:type="pct"/>
            <w:gridSpan w:val="2"/>
            <w:vAlign w:val="center"/>
          </w:tcPr>
          <w:p w14:paraId="1614D72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0" w:type="pct"/>
            <w:vAlign w:val="center"/>
          </w:tcPr>
          <w:p w14:paraId="7600F18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评价时间</w:t>
            </w:r>
          </w:p>
        </w:tc>
        <w:tc>
          <w:tcPr>
            <w:tcW w:w="1039" w:type="pct"/>
            <w:gridSpan w:val="2"/>
            <w:vAlign w:val="center"/>
          </w:tcPr>
          <w:p w14:paraId="1056FB8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733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7" w:type="pct"/>
            <w:vAlign w:val="center"/>
          </w:tcPr>
          <w:p w14:paraId="3921A67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评价内容</w:t>
            </w:r>
          </w:p>
        </w:tc>
        <w:tc>
          <w:tcPr>
            <w:tcW w:w="346" w:type="pct"/>
            <w:vAlign w:val="center"/>
          </w:tcPr>
          <w:p w14:paraId="7905E8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各项分值</w:t>
            </w:r>
          </w:p>
        </w:tc>
        <w:tc>
          <w:tcPr>
            <w:tcW w:w="3095" w:type="pct"/>
            <w:gridSpan w:val="3"/>
            <w:vAlign w:val="center"/>
          </w:tcPr>
          <w:p w14:paraId="52A29C2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w:t>
            </w:r>
          </w:p>
        </w:tc>
        <w:tc>
          <w:tcPr>
            <w:tcW w:w="519" w:type="pct"/>
            <w:vAlign w:val="center"/>
          </w:tcPr>
          <w:p w14:paraId="5E4EAFE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评分 </w:t>
            </w:r>
          </w:p>
          <w:p w14:paraId="0E0498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20" w:type="pct"/>
            <w:vAlign w:val="center"/>
          </w:tcPr>
          <w:p w14:paraId="16F6CCB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w:t>
            </w:r>
          </w:p>
          <w:p w14:paraId="68319B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r>
      <w:tr w14:paraId="0CC6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vAlign w:val="center"/>
          </w:tcPr>
          <w:p w14:paraId="109991B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服务响应</w:t>
            </w:r>
          </w:p>
        </w:tc>
        <w:tc>
          <w:tcPr>
            <w:tcW w:w="346" w:type="pct"/>
            <w:vAlign w:val="center"/>
          </w:tcPr>
          <w:p w14:paraId="7F884E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095" w:type="pct"/>
            <w:gridSpan w:val="3"/>
            <w:vAlign w:val="center"/>
          </w:tcPr>
          <w:p w14:paraId="75508CE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1、不积极配合协助处理服务履行中发生的争议，不主动提供真实情况，每次扣3分；</w:t>
            </w:r>
          </w:p>
          <w:p w14:paraId="74977F1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2、未能在约定时间内进驻现场的，每次扣5分；</w:t>
            </w:r>
          </w:p>
          <w:p w14:paraId="26A960A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3、因无相应资质，需另行委托分包单位进行检测的，每检测项（细项）扣5分；</w:t>
            </w:r>
          </w:p>
          <w:p w14:paraId="5ABF04D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4、未派人员参加业主要求的相关会议，每次扣5分。</w:t>
            </w:r>
          </w:p>
        </w:tc>
        <w:tc>
          <w:tcPr>
            <w:tcW w:w="519" w:type="pct"/>
            <w:vAlign w:val="center"/>
          </w:tcPr>
          <w:p w14:paraId="03D5B26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1BCCE2D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20" w:type="pct"/>
            <w:vAlign w:val="bottom"/>
          </w:tcPr>
          <w:p w14:paraId="3A3FE2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F83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17" w:type="pct"/>
            <w:vAlign w:val="center"/>
          </w:tcPr>
          <w:p w14:paraId="7C332F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设备人员配置</w:t>
            </w:r>
          </w:p>
        </w:tc>
        <w:tc>
          <w:tcPr>
            <w:tcW w:w="346" w:type="pct"/>
            <w:vAlign w:val="center"/>
          </w:tcPr>
          <w:p w14:paraId="7CF3EA3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095" w:type="pct"/>
            <w:gridSpan w:val="3"/>
            <w:vAlign w:val="center"/>
          </w:tcPr>
          <w:p w14:paraId="7F97988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1、未按我公司要求配齐相应检测人员的，每人每次扣5分；</w:t>
            </w:r>
          </w:p>
          <w:p w14:paraId="1ACF668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2、未按我公司要求配齐相应设备的，每次扣5分：</w:t>
            </w:r>
          </w:p>
          <w:p w14:paraId="43537A1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3、检测人员能力无法满足实际需要，且经我公司要求更换而未更换的，每人每次扣5分；</w:t>
            </w:r>
          </w:p>
          <w:p w14:paraId="29F1376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4、检测人员未持有效证件上岗及佩戴工作证，每人每次扣5分；</w:t>
            </w:r>
          </w:p>
          <w:p w14:paraId="6444F78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5、特种作业人员未持有效证件上岗及佩戴工作证，每人每次扣5分；</w:t>
            </w:r>
          </w:p>
          <w:p w14:paraId="46E1106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6、开展检测的设备未在检定有效期内，每台设备每次扣5分。</w:t>
            </w:r>
          </w:p>
        </w:tc>
        <w:tc>
          <w:tcPr>
            <w:tcW w:w="519" w:type="pct"/>
            <w:vAlign w:val="center"/>
          </w:tcPr>
          <w:p w14:paraId="66FED0F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7718F3A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20" w:type="pct"/>
            <w:vAlign w:val="bottom"/>
          </w:tcPr>
          <w:p w14:paraId="75F5E4E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04D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17" w:type="pct"/>
            <w:vAlign w:val="center"/>
          </w:tcPr>
          <w:p w14:paraId="6B47DF9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工作质量</w:t>
            </w:r>
          </w:p>
        </w:tc>
        <w:tc>
          <w:tcPr>
            <w:tcW w:w="346" w:type="pct"/>
            <w:vAlign w:val="center"/>
          </w:tcPr>
          <w:p w14:paraId="6C6A5E8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095" w:type="pct"/>
            <w:gridSpan w:val="3"/>
            <w:vAlign w:val="center"/>
          </w:tcPr>
          <w:p w14:paraId="6A504E2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1、实际检测协作服务未达用户需求书、合同文件要求，且经我公司要求后未配合整改至符合要求的，每处每次扣5分；</w:t>
            </w:r>
          </w:p>
          <w:p w14:paraId="04746BE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2、检测记录、数据与实际不相符的，每次扣5分；</w:t>
            </w:r>
          </w:p>
          <w:p w14:paraId="17185C6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3、检测资料管理混乱、台账不及时更新、资料不及时签字或盖章不全的，每次扣5分；</w:t>
            </w:r>
          </w:p>
          <w:p w14:paraId="1894EE6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4、未按《关于加强东莞市建设工程质量检测机构监督管理的通知》的规定进行拍照或录像的，每次扣5分；</w:t>
            </w:r>
          </w:p>
          <w:p w14:paraId="6A2F066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5、检测报告的准确率，如出现报告的工程部位、工程名称、数据等错误的，每份报告扣5分；</w:t>
            </w:r>
          </w:p>
          <w:p w14:paraId="65E7771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6、检测结果不合格未及时反馈或通报的，每次扣10分。</w:t>
            </w:r>
          </w:p>
        </w:tc>
        <w:tc>
          <w:tcPr>
            <w:tcW w:w="519" w:type="pct"/>
            <w:vAlign w:val="center"/>
          </w:tcPr>
          <w:p w14:paraId="1261B13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2D07E4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20" w:type="pct"/>
            <w:vAlign w:val="bottom"/>
          </w:tcPr>
          <w:p w14:paraId="7F8D41E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895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17" w:type="pct"/>
            <w:vAlign w:val="center"/>
          </w:tcPr>
          <w:p w14:paraId="6B5A321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服务进度</w:t>
            </w:r>
          </w:p>
        </w:tc>
        <w:tc>
          <w:tcPr>
            <w:tcW w:w="346" w:type="pct"/>
            <w:vAlign w:val="center"/>
          </w:tcPr>
          <w:p w14:paraId="329085F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095" w:type="pct"/>
            <w:gridSpan w:val="3"/>
            <w:vAlign w:val="center"/>
          </w:tcPr>
          <w:p w14:paraId="5E4C2C4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1、没有在规定时间内完成检测协作服务工作的，每处每次扣5分；</w:t>
            </w:r>
          </w:p>
          <w:p w14:paraId="00A29EA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2、没有按照合同规定时间内出具检测报告的，每份报告扣5分。</w:t>
            </w:r>
          </w:p>
        </w:tc>
        <w:tc>
          <w:tcPr>
            <w:tcW w:w="519" w:type="pct"/>
            <w:vAlign w:val="center"/>
          </w:tcPr>
          <w:p w14:paraId="211EB42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1076C9E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20" w:type="pct"/>
            <w:vAlign w:val="bottom"/>
          </w:tcPr>
          <w:p w14:paraId="3236D93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834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17" w:type="pct"/>
            <w:vAlign w:val="center"/>
          </w:tcPr>
          <w:p w14:paraId="15B8945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安全文明管理</w:t>
            </w:r>
          </w:p>
        </w:tc>
        <w:tc>
          <w:tcPr>
            <w:tcW w:w="346" w:type="pct"/>
            <w:vAlign w:val="center"/>
          </w:tcPr>
          <w:p w14:paraId="56E5339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095" w:type="pct"/>
            <w:gridSpan w:val="3"/>
            <w:vAlign w:val="center"/>
          </w:tcPr>
          <w:p w14:paraId="22888CC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1、未按要求进行安全防护或安全防护不到位，我公司或上级部门检查中发现的，每处扣5分；</w:t>
            </w:r>
          </w:p>
          <w:p w14:paraId="151ABEB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2、涉及有限空间作业未按照相关流程制度审批的，每次扣5分；</w:t>
            </w:r>
          </w:p>
          <w:p w14:paraId="3CB9757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3、发生一般安全事故的，每次扣10分；</w:t>
            </w:r>
          </w:p>
          <w:p w14:paraId="0E1BDCB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4、发生较大安全事故的，每次扣20分。</w:t>
            </w:r>
          </w:p>
        </w:tc>
        <w:tc>
          <w:tcPr>
            <w:tcW w:w="519" w:type="pct"/>
            <w:vAlign w:val="center"/>
          </w:tcPr>
          <w:p w14:paraId="561567B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安全管理部</w:t>
            </w:r>
          </w:p>
        </w:tc>
        <w:tc>
          <w:tcPr>
            <w:tcW w:w="520" w:type="pct"/>
            <w:vAlign w:val="bottom"/>
          </w:tcPr>
          <w:p w14:paraId="30CF6EC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E18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17" w:type="pct"/>
            <w:vAlign w:val="center"/>
          </w:tcPr>
          <w:p w14:paraId="03EDBBD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服务态度</w:t>
            </w:r>
          </w:p>
        </w:tc>
        <w:tc>
          <w:tcPr>
            <w:tcW w:w="346" w:type="pct"/>
            <w:vAlign w:val="center"/>
          </w:tcPr>
          <w:p w14:paraId="6424E76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095" w:type="pct"/>
            <w:gridSpan w:val="3"/>
            <w:vAlign w:val="center"/>
          </w:tcPr>
          <w:p w14:paraId="0D32CC2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对检测协作服务单位日常工作的服务态度，以及甲方、上级主管部门、</w:t>
            </w:r>
            <w:r>
              <w:rPr>
                <w:rFonts w:hint="eastAsia" w:ascii="宋体" w:hAnsi="宋体" w:eastAsia="宋体" w:cs="宋体"/>
                <w:color w:val="auto"/>
                <w:sz w:val="21"/>
                <w:szCs w:val="21"/>
                <w:highlight w:val="none"/>
                <w:lang w:eastAsia="zh-CN"/>
              </w:rPr>
              <w:t>项目业主</w:t>
            </w:r>
            <w:r>
              <w:rPr>
                <w:rFonts w:hint="eastAsia" w:ascii="宋体" w:hAnsi="宋体" w:eastAsia="宋体" w:cs="宋体"/>
                <w:color w:val="auto"/>
                <w:sz w:val="21"/>
                <w:szCs w:val="21"/>
                <w:highlight w:val="none"/>
              </w:rPr>
              <w:t>检查中配合情况、服务投诉情况进行评价。每收到投诉一次扣5分。</w:t>
            </w:r>
          </w:p>
        </w:tc>
        <w:tc>
          <w:tcPr>
            <w:tcW w:w="519" w:type="pct"/>
            <w:vAlign w:val="center"/>
          </w:tcPr>
          <w:p w14:paraId="2567C1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4CE2DD7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20" w:type="pct"/>
            <w:vAlign w:val="bottom"/>
          </w:tcPr>
          <w:p w14:paraId="78EFE5B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B94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960" w:type="pct"/>
            <w:gridSpan w:val="5"/>
            <w:vAlign w:val="center"/>
          </w:tcPr>
          <w:p w14:paraId="00031C3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039" w:type="pct"/>
            <w:gridSpan w:val="2"/>
            <w:vAlign w:val="center"/>
          </w:tcPr>
          <w:p w14:paraId="3D12E26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A05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5000" w:type="pct"/>
            <w:gridSpan w:val="7"/>
            <w:vAlign w:val="center"/>
          </w:tcPr>
          <w:p w14:paraId="18BEE94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考核评分须知：</w:t>
            </w:r>
          </w:p>
          <w:p w14:paraId="73AF70F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1、委托人每季度对检测人评价一次，出具考核评价结果。</w:t>
            </w:r>
          </w:p>
          <w:p w14:paraId="661CF9F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2、委托人将严格按照考核评分标准对检测人进行季度检查和考核。</w:t>
            </w:r>
          </w:p>
          <w:p w14:paraId="7E75B34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3、考评[70,80)分的，处相应付款周期内经委托人确认的检测费的10%作为违约金，考评[60,70)分的，处相应付款周期经委托人确认的检测费的20%作为违约金，考评60分以下的，处相应付款周期经委托人确认的检测</w:t>
            </w:r>
            <w:r>
              <w:rPr>
                <w:rFonts w:hint="eastAsia" w:ascii="宋体" w:hAnsi="宋体" w:eastAsia="宋体" w:cs="宋体"/>
                <w:b w:val="0"/>
                <w:bCs w:val="0"/>
                <w:color w:val="auto"/>
                <w:sz w:val="21"/>
                <w:szCs w:val="21"/>
                <w:highlight w:val="none"/>
                <w:lang w:val="en-US" w:eastAsia="zh-CN"/>
              </w:rPr>
              <w:t>费</w:t>
            </w:r>
            <w:r>
              <w:rPr>
                <w:rFonts w:hint="eastAsia" w:ascii="宋体" w:hAnsi="宋体" w:eastAsia="宋体" w:cs="宋体"/>
                <w:b w:val="0"/>
                <w:bCs w:val="0"/>
                <w:color w:val="auto"/>
                <w:sz w:val="21"/>
                <w:szCs w:val="21"/>
                <w:highlight w:val="none"/>
              </w:rPr>
              <w:t>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p>
        </w:tc>
      </w:tr>
      <w:tr w14:paraId="7E6D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64" w:type="pct"/>
            <w:gridSpan w:val="2"/>
            <w:vAlign w:val="center"/>
          </w:tcPr>
          <w:p w14:paraId="546E072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评价人员签名</w:t>
            </w:r>
          </w:p>
        </w:tc>
        <w:tc>
          <w:tcPr>
            <w:tcW w:w="2076" w:type="pct"/>
            <w:vAlign w:val="center"/>
          </w:tcPr>
          <w:p w14:paraId="69FC2B9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19" w:type="pct"/>
            <w:gridSpan w:val="2"/>
            <w:vAlign w:val="center"/>
          </w:tcPr>
          <w:p w14:paraId="756835E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评价日期</w:t>
            </w:r>
          </w:p>
        </w:tc>
        <w:tc>
          <w:tcPr>
            <w:tcW w:w="1039" w:type="pct"/>
            <w:gridSpan w:val="2"/>
            <w:vAlign w:val="center"/>
          </w:tcPr>
          <w:p w14:paraId="64C9BFB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4272A4BA">
      <w:pPr>
        <w:spacing w:line="360" w:lineRule="auto"/>
        <w:outlineLvl w:val="9"/>
        <w:rPr>
          <w:rFonts w:hint="eastAsia" w:ascii="宋体" w:hAnsi="宋体" w:eastAsia="宋体" w:cs="宋体"/>
          <w:color w:val="auto"/>
          <w:sz w:val="21"/>
          <w:szCs w:val="21"/>
          <w:highlight w:val="none"/>
        </w:rPr>
      </w:pPr>
    </w:p>
    <w:p w14:paraId="08A5E542">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附件：检测工程量清单计价表（不含基桩承载力检测）</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另附</w:t>
      </w:r>
      <w:r>
        <w:rPr>
          <w:rFonts w:hint="eastAsia" w:ascii="宋体" w:hAnsi="宋体" w:eastAsia="宋体" w:cs="宋体"/>
          <w:bCs/>
          <w:color w:val="auto"/>
          <w:sz w:val="21"/>
          <w:szCs w:val="21"/>
          <w:highlight w:val="none"/>
          <w:lang w:eastAsia="zh-CN"/>
        </w:rPr>
        <w:t>）</w:t>
      </w:r>
    </w:p>
    <w:p w14:paraId="64FB1E96">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bookmarkStart w:id="258" w:name="_Toc518657825"/>
      <w:bookmarkStart w:id="259" w:name="_Toc513280030"/>
      <w:bookmarkStart w:id="260" w:name="_Toc513109871"/>
      <w:bookmarkStart w:id="261" w:name="_Toc515871321"/>
    </w:p>
    <w:bookmarkEnd w:id="258"/>
    <w:bookmarkEnd w:id="259"/>
    <w:bookmarkEnd w:id="260"/>
    <w:bookmarkEnd w:id="261"/>
    <w:p w14:paraId="64FC0EEC">
      <w:pPr>
        <w:keepNext w:val="0"/>
        <w:keepLines w:val="0"/>
        <w:pageBreakBefore w:val="0"/>
        <w:kinsoku/>
        <w:wordWrap/>
        <w:overflowPunct/>
        <w:topLinePunct w:val="0"/>
        <w:bidi w:val="0"/>
        <w:spacing w:line="360" w:lineRule="auto"/>
        <w:ind w:firstLine="420" w:firstLineChars="200"/>
        <w:textAlignment w:val="auto"/>
        <w:rPr>
          <w:rFonts w:hint="eastAsia"/>
          <w:color w:val="auto"/>
          <w:highlight w:val="none"/>
        </w:rPr>
      </w:pPr>
    </w:p>
    <w:p w14:paraId="58DC541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262" w:name="_Toc6811"/>
      <w:bookmarkStart w:id="263" w:name="_Toc486167707"/>
      <w:bookmarkStart w:id="264" w:name="_Toc160099479"/>
      <w:bookmarkStart w:id="265" w:name="_Toc450662892"/>
      <w:bookmarkStart w:id="266" w:name="_Toc11281_WPSOffice_Level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262"/>
      <w:bookmarkEnd w:id="263"/>
      <w:bookmarkEnd w:id="264"/>
      <w:bookmarkEnd w:id="265"/>
      <w:bookmarkEnd w:id="266"/>
    </w:p>
    <w:p w14:paraId="010DE32F">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4F60429">
      <w:pPr>
        <w:spacing w:line="360" w:lineRule="auto"/>
        <w:jc w:val="center"/>
        <w:rPr>
          <w:rFonts w:hint="eastAsia" w:ascii="宋体" w:hAnsi="宋体" w:eastAsia="宋体" w:cs="宋体"/>
          <w:color w:val="auto"/>
          <w:highlight w:val="none"/>
        </w:rPr>
      </w:pPr>
    </w:p>
    <w:p w14:paraId="780E3860">
      <w:pPr>
        <w:autoSpaceDE w:val="0"/>
        <w:autoSpaceDN w:val="0"/>
        <w:adjustRightInd w:val="0"/>
        <w:snapToGrid w:val="0"/>
        <w:spacing w:line="360" w:lineRule="auto"/>
        <w:jc w:val="center"/>
        <w:rPr>
          <w:rFonts w:hint="eastAsia" w:ascii="宋体" w:hAnsi="宋体" w:eastAsia="宋体" w:cs="Times New Roman"/>
          <w:color w:val="auto"/>
          <w:kern w:val="0"/>
          <w:sz w:val="24"/>
          <w:szCs w:val="24"/>
          <w:highlight w:val="none"/>
        </w:rPr>
      </w:pPr>
    </w:p>
    <w:p w14:paraId="706717FD">
      <w:pPr>
        <w:spacing w:line="360" w:lineRule="auto"/>
        <w:jc w:val="both"/>
        <w:rPr>
          <w:rFonts w:hint="eastAsia" w:ascii="宋体" w:hAnsi="宋体" w:eastAsia="宋体" w:cs="宋体"/>
          <w:color w:val="auto"/>
          <w:sz w:val="44"/>
          <w:szCs w:val="44"/>
          <w:highlight w:val="none"/>
        </w:rPr>
      </w:pPr>
    </w:p>
    <w:p w14:paraId="07A18E0E">
      <w:pPr>
        <w:autoSpaceDE w:val="0"/>
        <w:autoSpaceDN w:val="0"/>
        <w:adjustRightInd w:val="0"/>
        <w:spacing w:line="360" w:lineRule="auto"/>
        <w:jc w:val="center"/>
        <w:rPr>
          <w:rFonts w:hint="eastAsia" w:ascii="宋体" w:hAnsi="宋体" w:eastAsia="宋体" w:cs="宋体"/>
          <w:b/>
          <w:color w:val="auto"/>
          <w:spacing w:val="20"/>
          <w:kern w:val="0"/>
          <w:sz w:val="44"/>
          <w:szCs w:val="44"/>
          <w:highlight w:val="none"/>
          <w:lang w:eastAsia="zh-CN"/>
        </w:rPr>
      </w:pPr>
      <w:r>
        <w:rPr>
          <w:rFonts w:hint="eastAsia" w:ascii="宋体" w:hAnsi="宋体" w:eastAsia="宋体" w:cs="宋体"/>
          <w:b/>
          <w:color w:val="auto"/>
          <w:spacing w:val="20"/>
          <w:kern w:val="0"/>
          <w:sz w:val="44"/>
          <w:szCs w:val="44"/>
          <w:highlight w:val="none"/>
          <w:lang w:eastAsia="zh-CN"/>
        </w:rPr>
        <w:t>东莞市大朗蔡边水质净化厂工程第三方检测</w:t>
      </w:r>
    </w:p>
    <w:p w14:paraId="360E2704">
      <w:pPr>
        <w:autoSpaceDE w:val="0"/>
        <w:autoSpaceDN w:val="0"/>
        <w:adjustRightInd w:val="0"/>
        <w:spacing w:line="360" w:lineRule="auto"/>
        <w:jc w:val="center"/>
        <w:rPr>
          <w:rFonts w:hint="eastAsia" w:ascii="宋体" w:hAnsi="宋体" w:eastAsia="宋体" w:cs="宋体"/>
          <w:b/>
          <w:color w:val="auto"/>
          <w:spacing w:val="20"/>
          <w:kern w:val="0"/>
          <w:sz w:val="44"/>
          <w:szCs w:val="44"/>
          <w:highlight w:val="none"/>
          <w:lang w:eastAsia="zh-CN"/>
        </w:rPr>
      </w:pPr>
      <w:r>
        <w:rPr>
          <w:rFonts w:hint="eastAsia" w:ascii="宋体" w:hAnsi="宋体" w:eastAsia="宋体" w:cs="宋体"/>
          <w:b/>
          <w:color w:val="auto"/>
          <w:spacing w:val="20"/>
          <w:kern w:val="0"/>
          <w:sz w:val="44"/>
          <w:szCs w:val="44"/>
          <w:highlight w:val="none"/>
          <w:lang w:eastAsia="zh-CN"/>
        </w:rPr>
        <w:t>（不含基桩完整性检测）</w:t>
      </w:r>
      <w:r>
        <w:rPr>
          <w:rFonts w:hint="eastAsia" w:ascii="宋体" w:hAnsi="宋体" w:eastAsia="宋体" w:cs="宋体"/>
          <w:b/>
          <w:color w:val="auto"/>
          <w:spacing w:val="20"/>
          <w:kern w:val="0"/>
          <w:sz w:val="44"/>
          <w:szCs w:val="44"/>
          <w:highlight w:val="none"/>
          <w:lang w:val="en-US" w:eastAsia="zh-CN"/>
        </w:rPr>
        <w:t>合同</w:t>
      </w:r>
    </w:p>
    <w:p w14:paraId="200552B6">
      <w:pPr>
        <w:autoSpaceDE w:val="0"/>
        <w:autoSpaceDN w:val="0"/>
        <w:adjustRightInd w:val="0"/>
        <w:spacing w:before="0" w:beforeLines="-2147483648" w:after="0" w:afterLines="-2147483648" w:line="360" w:lineRule="auto"/>
        <w:jc w:val="center"/>
        <w:rPr>
          <w:rFonts w:hint="eastAsia" w:ascii="宋体" w:hAnsi="宋体" w:eastAsia="宋体" w:cs="宋体"/>
          <w:b/>
          <w:bCs/>
          <w:color w:val="auto"/>
          <w:spacing w:val="60"/>
          <w:kern w:val="0"/>
          <w:sz w:val="52"/>
          <w:szCs w:val="52"/>
          <w:highlight w:val="none"/>
        </w:rPr>
      </w:pPr>
    </w:p>
    <w:p w14:paraId="75CB2854">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456655C5">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4E08B4CB">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522C8185">
      <w:pPr>
        <w:pStyle w:val="20"/>
        <w:rPr>
          <w:rFonts w:hint="eastAsia" w:ascii="宋体" w:hAnsi="宋体" w:eastAsia="宋体" w:cs="宋体"/>
          <w:color w:val="auto"/>
          <w:highlight w:val="none"/>
        </w:rPr>
      </w:pPr>
    </w:p>
    <w:p w14:paraId="6CAFD794">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1E8FFBCF">
      <w:pPr>
        <w:pStyle w:val="194"/>
        <w:spacing w:line="600" w:lineRule="auto"/>
        <w:ind w:firstLine="1400" w:firstLineChars="500"/>
        <w:jc w:val="both"/>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甲方（委托人）：</w:t>
      </w:r>
      <w:r>
        <w:rPr>
          <w:rFonts w:hint="eastAsia" w:ascii="宋体" w:hAnsi="宋体" w:eastAsia="宋体" w:cs="宋体"/>
          <w:color w:val="auto"/>
          <w:sz w:val="28"/>
          <w:szCs w:val="28"/>
          <w:highlight w:val="none"/>
          <w:u w:val="single"/>
          <w:lang w:eastAsia="zh-CN"/>
        </w:rPr>
        <w:t>东莞市水务环境投资控股集团建设管理有限公司</w:t>
      </w:r>
    </w:p>
    <w:p w14:paraId="12763C13">
      <w:pPr>
        <w:pStyle w:val="194"/>
        <w:spacing w:line="600" w:lineRule="auto"/>
        <w:ind w:firstLine="1400" w:firstLineChars="500"/>
        <w:jc w:val="both"/>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lang w:val="en-US" w:eastAsia="zh-CN"/>
        </w:rPr>
        <w:t>检测</w:t>
      </w:r>
      <w:r>
        <w:rPr>
          <w:rFonts w:hint="eastAsia" w:ascii="宋体" w:hAnsi="宋体" w:eastAsia="宋体" w:cs="宋体"/>
          <w:color w:val="auto"/>
          <w:sz w:val="28"/>
          <w:szCs w:val="28"/>
          <w:highlight w:val="none"/>
        </w:rPr>
        <w:t xml:space="preserve">人）： </w:t>
      </w:r>
      <w:r>
        <w:rPr>
          <w:rFonts w:hint="eastAsia" w:ascii="宋体" w:hAnsi="宋体" w:eastAsia="宋体" w:cs="宋体"/>
          <w:color w:val="auto"/>
          <w:sz w:val="28"/>
          <w:szCs w:val="28"/>
          <w:highlight w:val="none"/>
          <w:u w:val="single"/>
          <w:lang w:val="en-US" w:eastAsia="zh-CN"/>
        </w:rPr>
        <w:t xml:space="preserve">                              </w:t>
      </w:r>
    </w:p>
    <w:p w14:paraId="4EA8C75A">
      <w:pPr>
        <w:pStyle w:val="194"/>
        <w:spacing w:line="600" w:lineRule="auto"/>
        <w:ind w:firstLine="1400" w:firstLineChars="500"/>
        <w:jc w:val="both"/>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丙方</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项目业主</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东莞市石鼓净水有限公司</w:t>
      </w:r>
    </w:p>
    <w:p w14:paraId="19215177">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135372FD">
      <w:pPr>
        <w:autoSpaceDE w:val="0"/>
        <w:autoSpaceDN w:val="0"/>
        <w:adjustRightInd w:val="0"/>
        <w:jc w:val="left"/>
        <w:rPr>
          <w:rFonts w:hint="eastAsia" w:ascii="宋体" w:hAnsi="宋体" w:eastAsia="宋体" w:cs="宋体"/>
          <w:b/>
          <w:bCs/>
          <w:color w:val="auto"/>
          <w:kern w:val="0"/>
          <w:sz w:val="28"/>
          <w:szCs w:val="28"/>
          <w:highlight w:val="none"/>
        </w:rPr>
      </w:pPr>
    </w:p>
    <w:p w14:paraId="21290521">
      <w:pPr>
        <w:pStyle w:val="20"/>
        <w:rPr>
          <w:rFonts w:hint="eastAsia" w:ascii="宋体" w:hAnsi="宋体" w:eastAsia="宋体" w:cs="宋体"/>
          <w:b/>
          <w:bCs/>
          <w:color w:val="auto"/>
          <w:kern w:val="0"/>
          <w:sz w:val="28"/>
          <w:szCs w:val="28"/>
          <w:highlight w:val="none"/>
        </w:rPr>
      </w:pPr>
    </w:p>
    <w:p w14:paraId="7E4AD166">
      <w:pPr>
        <w:pStyle w:val="21"/>
        <w:rPr>
          <w:rFonts w:hint="eastAsia" w:ascii="宋体" w:hAnsi="宋体" w:eastAsia="宋体" w:cs="宋体"/>
          <w:b/>
          <w:bCs/>
          <w:color w:val="auto"/>
          <w:kern w:val="0"/>
          <w:sz w:val="28"/>
          <w:szCs w:val="28"/>
          <w:highlight w:val="none"/>
        </w:rPr>
      </w:pPr>
    </w:p>
    <w:p w14:paraId="71A8DF15">
      <w:pPr>
        <w:adjustRightInd w:val="0"/>
        <w:snapToGrid w:val="0"/>
        <w:spacing w:line="360" w:lineRule="auto"/>
        <w:rPr>
          <w:rFonts w:hint="eastAsia" w:ascii="宋体" w:hAnsi="宋体" w:eastAsia="宋体" w:cs="宋体"/>
          <w:b/>
          <w:color w:val="auto"/>
          <w:sz w:val="21"/>
          <w:szCs w:val="21"/>
          <w:highlight w:val="none"/>
        </w:rPr>
      </w:pPr>
    </w:p>
    <w:p w14:paraId="582FF961">
      <w:pPr>
        <w:adjustRightInd w:val="0"/>
        <w:snapToGrid w:val="0"/>
        <w:spacing w:line="360" w:lineRule="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rPr>
        <w:t>委托人（甲方）：</w:t>
      </w:r>
      <w:r>
        <w:rPr>
          <w:rFonts w:hint="eastAsia" w:ascii="宋体" w:hAnsi="宋体" w:eastAsia="宋体" w:cs="宋体"/>
          <w:b/>
          <w:color w:val="auto"/>
          <w:sz w:val="21"/>
          <w:szCs w:val="21"/>
          <w:highlight w:val="none"/>
          <w:u w:val="single"/>
          <w:lang w:eastAsia="zh-CN"/>
        </w:rPr>
        <w:t>东莞市水务环境投资控股集团建设管理有限公司</w:t>
      </w:r>
    </w:p>
    <w:p w14:paraId="090851E1">
      <w:pPr>
        <w:adjustRightInd w:val="0"/>
        <w:snapToGrid w:val="0"/>
        <w:spacing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检测人（乙方）：</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p>
    <w:p w14:paraId="738A05B3">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项目业主（丙方）：</w:t>
      </w:r>
      <w:r>
        <w:rPr>
          <w:rFonts w:hint="eastAsia" w:ascii="宋体" w:hAnsi="宋体" w:eastAsia="宋体" w:cs="宋体"/>
          <w:b/>
          <w:color w:val="auto"/>
          <w:sz w:val="21"/>
          <w:szCs w:val="21"/>
          <w:highlight w:val="none"/>
          <w:u w:val="single"/>
          <w:lang w:eastAsia="zh-CN"/>
        </w:rPr>
        <w:t>东莞市石鼓净水有限公司</w:t>
      </w:r>
    </w:p>
    <w:p w14:paraId="40967FD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p>
    <w:p w14:paraId="7F02095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1.乙方已明确知悉：</w:t>
      </w:r>
      <w:r>
        <w:rPr>
          <w:rFonts w:hint="eastAsia" w:ascii="宋体" w:hAnsi="宋体" w:eastAsia="宋体" w:cs="宋体"/>
          <w:bCs w:val="0"/>
          <w:color w:val="auto"/>
          <w:sz w:val="21"/>
          <w:szCs w:val="21"/>
          <w:highlight w:val="none"/>
          <w:u w:val="none"/>
          <w:lang w:eastAsia="zh-CN"/>
        </w:rPr>
        <w:t>东莞市石鼓净水有限公司</w:t>
      </w:r>
      <w:r>
        <w:rPr>
          <w:rFonts w:hint="eastAsia" w:ascii="宋体" w:hAnsi="宋体" w:eastAsia="宋体" w:cs="宋体"/>
          <w:color w:val="auto"/>
          <w:sz w:val="21"/>
          <w:szCs w:val="21"/>
          <w:highlight w:val="none"/>
        </w:rPr>
        <w:t>（以下简称“丙方”）为</w:t>
      </w:r>
      <w:r>
        <w:rPr>
          <w:rFonts w:hint="eastAsia" w:ascii="宋体" w:hAnsi="宋体" w:eastAsia="宋体" w:cs="宋体"/>
          <w:color w:val="auto"/>
          <w:sz w:val="21"/>
          <w:szCs w:val="21"/>
          <w:highlight w:val="none"/>
          <w:u w:val="single"/>
          <w:lang w:eastAsia="zh-CN"/>
        </w:rPr>
        <w:t>东莞市大朗蔡边水质净化厂工程</w:t>
      </w:r>
      <w:r>
        <w:rPr>
          <w:rFonts w:hint="eastAsia" w:ascii="宋体" w:hAnsi="宋体" w:eastAsia="宋体" w:cs="宋体"/>
          <w:color w:val="auto"/>
          <w:sz w:val="21"/>
          <w:szCs w:val="21"/>
          <w:highlight w:val="none"/>
        </w:rPr>
        <w:t>的项目业主，</w:t>
      </w:r>
      <w:r>
        <w:rPr>
          <w:rFonts w:hint="eastAsia" w:ascii="宋体" w:hAnsi="宋体" w:eastAsia="宋体" w:cs="宋体"/>
          <w:color w:val="auto"/>
          <w:sz w:val="21"/>
          <w:szCs w:val="21"/>
          <w:highlight w:val="none"/>
          <w:u w:val="single"/>
          <w:lang w:eastAsia="zh-CN"/>
        </w:rPr>
        <w:t>东莞市水务环境投资控股集团建设管理有限公司</w:t>
      </w:r>
      <w:r>
        <w:rPr>
          <w:rFonts w:hint="eastAsia" w:ascii="宋体" w:hAnsi="宋体" w:eastAsia="宋体" w:cs="宋体"/>
          <w:color w:val="auto"/>
          <w:sz w:val="21"/>
          <w:szCs w:val="21"/>
          <w:highlight w:val="none"/>
        </w:rPr>
        <w:t>（以下简称“甲方”）为上述项目的代建单位。</w:t>
      </w:r>
      <w:r>
        <w:rPr>
          <w:rFonts w:hint="eastAsia" w:ascii="宋体" w:hAnsi="宋体" w:eastAsia="宋体" w:cs="宋体"/>
          <w:color w:val="auto"/>
          <w:sz w:val="21"/>
          <w:szCs w:val="21"/>
          <w:highlight w:val="none"/>
          <w:u w:val="single"/>
          <w:lang w:eastAsia="zh-CN"/>
        </w:rPr>
        <w:t>东莞市石鼓净水有限公司</w:t>
      </w:r>
      <w:r>
        <w:rPr>
          <w:rFonts w:hint="eastAsia" w:ascii="宋体" w:hAnsi="宋体" w:eastAsia="宋体" w:cs="宋体"/>
          <w:color w:val="auto"/>
          <w:sz w:val="21"/>
          <w:szCs w:val="21"/>
          <w:highlight w:val="none"/>
        </w:rPr>
        <w:t>已将</w:t>
      </w:r>
      <w:r>
        <w:rPr>
          <w:rFonts w:hint="eastAsia" w:ascii="宋体" w:hAnsi="宋体" w:eastAsia="宋体" w:cs="宋体"/>
          <w:color w:val="auto"/>
          <w:sz w:val="21"/>
          <w:szCs w:val="21"/>
          <w:highlight w:val="none"/>
          <w:u w:val="single"/>
          <w:lang w:eastAsia="zh-CN"/>
        </w:rPr>
        <w:t>东莞市大朗蔡边水质净化厂工程</w:t>
      </w:r>
      <w:r>
        <w:rPr>
          <w:rFonts w:hint="eastAsia" w:ascii="宋体" w:hAnsi="宋体" w:eastAsia="宋体" w:cs="宋体"/>
          <w:color w:val="auto"/>
          <w:sz w:val="21"/>
          <w:szCs w:val="21"/>
          <w:highlight w:val="none"/>
        </w:rPr>
        <w:t>委托给</w:t>
      </w:r>
      <w:r>
        <w:rPr>
          <w:rFonts w:hint="eastAsia" w:ascii="宋体" w:hAnsi="宋体" w:eastAsia="宋体" w:cs="宋体"/>
          <w:color w:val="auto"/>
          <w:sz w:val="21"/>
          <w:szCs w:val="21"/>
          <w:highlight w:val="none"/>
          <w:u w:val="single"/>
          <w:lang w:eastAsia="zh-CN"/>
        </w:rPr>
        <w:t>东莞市水务环境投资控股集团建设管理有限公司</w:t>
      </w:r>
      <w:r>
        <w:rPr>
          <w:rFonts w:hint="eastAsia" w:ascii="宋体" w:hAnsi="宋体" w:eastAsia="宋体" w:cs="宋体"/>
          <w:color w:val="auto"/>
          <w:sz w:val="21"/>
          <w:szCs w:val="21"/>
          <w:highlight w:val="none"/>
        </w:rPr>
        <w:t>实施代建，</w:t>
      </w:r>
      <w:r>
        <w:rPr>
          <w:rFonts w:hint="eastAsia" w:ascii="宋体" w:hAnsi="宋体" w:eastAsia="宋体" w:cs="宋体"/>
          <w:color w:val="auto"/>
          <w:sz w:val="21"/>
          <w:szCs w:val="21"/>
          <w:highlight w:val="none"/>
          <w:lang w:eastAsia="zh-CN"/>
        </w:rPr>
        <w:t>东莞市大朗蔡边水质净化厂工程第三方检测（不含基桩完整性检测）由东莞市水务环境投资控股集团建设管理有限公司实施</w:t>
      </w:r>
      <w:r>
        <w:rPr>
          <w:rFonts w:hint="eastAsia" w:ascii="宋体" w:hAnsi="宋体" w:eastAsia="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并且乙方已认真查阅、理解甲方</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文件的全部内容，并对丙方授予甲方的权利义务无任何异议。</w:t>
      </w:r>
    </w:p>
    <w:p w14:paraId="1E5F1FD9">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乙方因违反本合同约定应承担的违约责任中涉及的各类履约担保、押金、质量保证金及违约金、利息等款项及由此产生的孳息等均归甲方所有，甲方有权自行处置、使用上述款项，丙方对此予以确认并不持异议。</w:t>
      </w:r>
    </w:p>
    <w:p w14:paraId="7C50039F">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根据《中华人民共和国民法典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等相关法律法规的规定，遵循平等、自愿、公平和诚实信用的原则，三方就</w:t>
      </w:r>
      <w:r>
        <w:rPr>
          <w:rFonts w:hint="eastAsia" w:ascii="宋体" w:hAnsi="宋体" w:eastAsia="宋体" w:cs="宋体"/>
          <w:color w:val="auto"/>
          <w:sz w:val="21"/>
          <w:szCs w:val="21"/>
          <w:highlight w:val="none"/>
          <w:lang w:eastAsia="zh-CN"/>
        </w:rPr>
        <w:t>东莞市大朗蔡边水质净化厂工程第三方检测（不含基桩完整性检测）</w:t>
      </w:r>
      <w:r>
        <w:rPr>
          <w:rFonts w:hint="eastAsia" w:ascii="宋体" w:hAnsi="宋体" w:eastAsia="宋体" w:cs="宋体"/>
          <w:color w:val="auto"/>
          <w:sz w:val="21"/>
          <w:szCs w:val="21"/>
          <w:highlight w:val="none"/>
        </w:rPr>
        <w:t>有关事项协商一致，达成本合同。</w:t>
      </w:r>
    </w:p>
    <w:p w14:paraId="06352DCE">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一、工程概况</w:t>
      </w:r>
    </w:p>
    <w:p w14:paraId="5C64A5A5">
      <w:pPr>
        <w:widowControl/>
        <w:adjustRightInd w:val="0"/>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none"/>
        </w:rPr>
        <w:t xml:space="preserve"> 1.项目名称：</w:t>
      </w:r>
      <w:r>
        <w:rPr>
          <w:rFonts w:hint="eastAsia" w:ascii="宋体" w:hAnsi="宋体" w:eastAsia="宋体" w:cs="宋体"/>
          <w:color w:val="auto"/>
          <w:sz w:val="21"/>
          <w:szCs w:val="21"/>
          <w:highlight w:val="none"/>
          <w:u w:val="none"/>
          <w:lang w:eastAsia="zh-CN"/>
        </w:rPr>
        <w:t>东莞市大朗蔡边水质净化厂工程</w:t>
      </w:r>
    </w:p>
    <w:p w14:paraId="5B2E2AB1">
      <w:pPr>
        <w:adjustRightInd w:val="0"/>
        <w:snapToGrid w:val="0"/>
        <w:spacing w:line="360" w:lineRule="auto"/>
        <w:ind w:firstLine="424" w:firstLineChars="201"/>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2.建设地点：</w:t>
      </w:r>
      <w:r>
        <w:rPr>
          <w:rFonts w:hint="eastAsia" w:ascii="宋体" w:hAnsi="宋体" w:eastAsia="宋体" w:cs="宋体"/>
          <w:color w:val="auto"/>
          <w:szCs w:val="21"/>
          <w:highlight w:val="none"/>
          <w:u w:val="none"/>
          <w:lang w:eastAsia="zh-CN"/>
        </w:rPr>
        <w:t>东莞市大朗镇蔡边村文城工业园东侧地块</w:t>
      </w:r>
    </w:p>
    <w:p w14:paraId="6959891E">
      <w:pPr>
        <w:widowControl w:val="0"/>
        <w:wordWrap/>
        <w:adjustRightInd w:val="0"/>
        <w:snapToGrid w:val="0"/>
        <w:spacing w:line="360" w:lineRule="auto"/>
        <w:ind w:firstLine="422"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color w:val="auto"/>
          <w:sz w:val="21"/>
          <w:szCs w:val="21"/>
          <w:highlight w:val="none"/>
          <w:u w:val="none"/>
        </w:rPr>
        <w:t>3.项目基本情况：</w:t>
      </w:r>
      <w:r>
        <w:rPr>
          <w:rFonts w:hint="eastAsia" w:ascii="宋体" w:hAnsi="宋体" w:eastAsia="宋体" w:cs="宋体"/>
          <w:color w:val="auto"/>
          <w:sz w:val="21"/>
          <w:szCs w:val="21"/>
          <w:highlight w:val="none"/>
          <w:u w:val="none"/>
          <w:lang w:val="en-US" w:eastAsia="zh-CN"/>
        </w:rPr>
        <w:t>东莞市大朗蔡边水质净化厂工程位于东莞市大朗镇蔡边村文城工业园东侧地块 ，建设规模为4.0万m3/d，Kz=1.62，地上式污水处理厂。建设项目估算总投资为20467.66万元，其中：工程费用为14753.13万元。本工程业主单位为东莞市石鼓净水有限公司，代建单位为</w:t>
      </w:r>
      <w:r>
        <w:rPr>
          <w:rFonts w:hint="eastAsia" w:ascii="宋体" w:hAnsi="宋体" w:eastAsia="宋体" w:cs="宋体"/>
          <w:color w:val="auto"/>
          <w:szCs w:val="21"/>
          <w:highlight w:val="none"/>
          <w:u w:val="none"/>
        </w:rPr>
        <w:t>东莞市水务环境投资控股集团建设管理有限公司</w:t>
      </w:r>
      <w:r>
        <w:rPr>
          <w:rFonts w:hint="eastAsia" w:ascii="宋体" w:hAnsi="宋体" w:eastAsia="宋体" w:cs="宋体"/>
          <w:color w:val="auto"/>
          <w:sz w:val="21"/>
          <w:szCs w:val="21"/>
          <w:highlight w:val="none"/>
          <w:u w:val="none"/>
          <w:lang w:val="en-US" w:eastAsia="zh-CN"/>
        </w:rPr>
        <w:t>。</w:t>
      </w:r>
    </w:p>
    <w:p w14:paraId="46C754DE">
      <w:pPr>
        <w:widowControl w:val="0"/>
        <w:wordWrap/>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color w:val="auto"/>
          <w:sz w:val="21"/>
          <w:szCs w:val="21"/>
          <w:highlight w:val="none"/>
          <w:u w:val="none"/>
          <w:lang w:val="en-US" w:eastAsia="zh-CN"/>
        </w:rPr>
        <w:t>建设内容包括厂区内主要建（构）筑物有粗格栅及提升泵房、AOA池、高效沉淀池、纤维板框滤池、紫外消毒渠、污泥脱水车间及加药间等，用地面积约19265平方米，建筑面积约3337.35平方米。</w:t>
      </w:r>
    </w:p>
    <w:p w14:paraId="0E5B43BA">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4.检测任务（内容）和技术要求：</w:t>
      </w:r>
      <w:r>
        <w:rPr>
          <w:rFonts w:hint="eastAsia" w:ascii="宋体" w:hAnsi="宋体" w:eastAsia="宋体" w:cs="宋体"/>
          <w:color w:val="auto"/>
          <w:sz w:val="21"/>
          <w:szCs w:val="21"/>
          <w:highlight w:val="none"/>
          <w:u w:val="none"/>
        </w:rPr>
        <w:t xml:space="preserve">在服务期间执行国家、广东省以及东莞市有关市政工程检测、试验的标准规范的要求，确保检测（试验）成果客观有效，并满足竣工验收所需检测数量与频率要求。 </w:t>
      </w:r>
    </w:p>
    <w:p w14:paraId="6E0495B3">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5.承包方式：</w:t>
      </w:r>
      <w:r>
        <w:rPr>
          <w:rFonts w:hint="eastAsia" w:ascii="宋体" w:hAnsi="宋体" w:eastAsia="宋体" w:cs="宋体"/>
          <w:color w:val="auto"/>
          <w:sz w:val="21"/>
          <w:szCs w:val="21"/>
          <w:highlight w:val="none"/>
          <w:u w:val="none"/>
        </w:rPr>
        <w:t>最终实际支付的检测服务费根据经甲方（含其委托的第三方审核机构）、监理人审核确认的检测（试验）方案及甲方（含其委托的第三方审核机构）、监理人确认的实际检测（试验）工作量按实结算。</w:t>
      </w:r>
    </w:p>
    <w:p w14:paraId="3C66802B">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lang w:eastAsia="zh-CN"/>
        </w:rPr>
      </w:pPr>
      <w:r>
        <w:rPr>
          <w:rFonts w:hint="eastAsia" w:ascii="宋体" w:hAnsi="宋体" w:eastAsia="宋体" w:cs="宋体"/>
          <w:b/>
          <w:color w:val="auto"/>
          <w:sz w:val="21"/>
          <w:szCs w:val="21"/>
          <w:highlight w:val="none"/>
          <w:u w:val="none"/>
        </w:rPr>
        <w:t>6.合同服务期：</w:t>
      </w:r>
      <w:r>
        <w:rPr>
          <w:rFonts w:hint="eastAsia" w:ascii="宋体" w:hAnsi="宋体" w:eastAsia="宋体" w:cs="宋体"/>
          <w:color w:val="auto"/>
          <w:sz w:val="21"/>
          <w:szCs w:val="21"/>
          <w:highlight w:val="none"/>
          <w:u w:val="none"/>
          <w:lang w:eastAsia="zh-CN"/>
        </w:rPr>
        <w:t>自东莞市大朗蔡边水质净化厂工程开工至完成约定的各项检测及相关技术工作为止。</w:t>
      </w:r>
    </w:p>
    <w:p w14:paraId="680604E7">
      <w:pPr>
        <w:adjustRightInd w:val="0"/>
        <w:snapToGrid w:val="0"/>
        <w:spacing w:line="360" w:lineRule="auto"/>
        <w:ind w:firstLine="424" w:firstLineChars="201"/>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7.质量要求：</w:t>
      </w:r>
    </w:p>
    <w:p w14:paraId="08CB16C9">
      <w:pPr>
        <w:adjustRightInd w:val="0"/>
        <w:snapToGrid w:val="0"/>
        <w:spacing w:line="360" w:lineRule="auto"/>
        <w:ind w:firstLine="422" w:firstLineChars="201"/>
        <w:rPr>
          <w:rFonts w:hint="eastAsia" w:ascii="宋体" w:hAnsi="宋体" w:eastAsia="宋体" w:cs="宋体"/>
          <w:color w:val="auto"/>
          <w:sz w:val="21"/>
          <w:szCs w:val="21"/>
          <w:highlight w:val="none"/>
          <w:u w:val="none"/>
          <w:lang w:val="hr-HR" w:eastAsia="zh-CN"/>
        </w:rPr>
      </w:pPr>
      <w:r>
        <w:rPr>
          <w:rFonts w:hint="eastAsia" w:ascii="宋体" w:hAnsi="宋体" w:eastAsia="宋体" w:cs="宋体"/>
          <w:color w:val="auto"/>
          <w:sz w:val="21"/>
          <w:szCs w:val="21"/>
          <w:highlight w:val="none"/>
          <w:u w:val="none"/>
          <w:lang w:eastAsia="zh-CN"/>
        </w:rPr>
        <w:t>1、</w:t>
      </w:r>
      <w:r>
        <w:rPr>
          <w:rFonts w:hint="eastAsia" w:ascii="宋体" w:hAnsi="宋体" w:eastAsia="宋体" w:cs="宋体"/>
          <w:color w:val="auto"/>
          <w:sz w:val="21"/>
          <w:szCs w:val="21"/>
          <w:highlight w:val="none"/>
          <w:u w:val="none"/>
          <w:lang w:val="hr-HR" w:eastAsia="zh-CN"/>
        </w:rPr>
        <w:t>工程检测质量要求</w:t>
      </w:r>
    </w:p>
    <w:p w14:paraId="2CB04FAB">
      <w:pPr>
        <w:adjustRightInd w:val="0"/>
        <w:snapToGrid w:val="0"/>
        <w:spacing w:line="360" w:lineRule="auto"/>
        <w:ind w:firstLine="422" w:firstLineChars="201"/>
        <w:rPr>
          <w:rFonts w:hint="eastAsia" w:ascii="宋体" w:hAnsi="宋体" w:eastAsia="宋体" w:cs="宋体"/>
          <w:color w:val="auto"/>
          <w:sz w:val="21"/>
          <w:szCs w:val="21"/>
          <w:highlight w:val="none"/>
          <w:u w:val="none"/>
          <w:lang w:val="hr-HR" w:eastAsia="zh-CN"/>
        </w:rPr>
      </w:pPr>
      <w:r>
        <w:rPr>
          <w:rFonts w:hint="eastAsia" w:ascii="宋体" w:hAnsi="宋体" w:eastAsia="宋体" w:cs="宋体"/>
          <w:color w:val="auto"/>
          <w:sz w:val="21"/>
          <w:szCs w:val="21"/>
          <w:highlight w:val="none"/>
          <w:u w:val="none"/>
          <w:lang w:eastAsia="zh-CN"/>
        </w:rPr>
        <w:t>（1）乙方</w:t>
      </w:r>
      <w:r>
        <w:rPr>
          <w:rFonts w:hint="eastAsia" w:ascii="宋体" w:hAnsi="宋体" w:eastAsia="宋体" w:cs="宋体"/>
          <w:color w:val="auto"/>
          <w:sz w:val="21"/>
          <w:szCs w:val="21"/>
          <w:highlight w:val="none"/>
          <w:u w:val="none"/>
          <w:lang w:val="hr-HR" w:eastAsia="zh-CN"/>
        </w:rPr>
        <w:t>提供检定合格、手续完备的检测（试验）仪器，及时出具具有法律</w:t>
      </w:r>
      <w:r>
        <w:rPr>
          <w:rFonts w:hint="eastAsia" w:ascii="宋体" w:hAnsi="宋体" w:eastAsia="宋体" w:cs="宋体"/>
          <w:color w:val="auto"/>
          <w:sz w:val="21"/>
          <w:szCs w:val="21"/>
          <w:highlight w:val="none"/>
          <w:u w:val="none"/>
          <w:lang w:eastAsia="zh-CN"/>
        </w:rPr>
        <w:t>效力</w:t>
      </w:r>
      <w:r>
        <w:rPr>
          <w:rFonts w:hint="eastAsia" w:ascii="宋体" w:hAnsi="宋体" w:eastAsia="宋体" w:cs="宋体"/>
          <w:color w:val="auto"/>
          <w:sz w:val="21"/>
          <w:szCs w:val="21"/>
          <w:highlight w:val="none"/>
          <w:u w:val="none"/>
          <w:lang w:val="hr-HR" w:eastAsia="zh-CN"/>
        </w:rPr>
        <w:t>的检测（试验）报告。</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lang w:val="hr-HR" w:eastAsia="zh-CN"/>
        </w:rPr>
        <w:t>须保证检测（试验）成果质量，对技术成果负完全责任，如因检测（试验）不实，造成甲方经济损失费用全部由</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hr-HR" w:eastAsia="zh-CN"/>
        </w:rPr>
        <w:t>承担，并应负责重检。</w:t>
      </w:r>
    </w:p>
    <w:p w14:paraId="6467575F">
      <w:pPr>
        <w:adjustRightInd w:val="0"/>
        <w:snapToGrid w:val="0"/>
        <w:spacing w:line="360" w:lineRule="auto"/>
        <w:ind w:firstLine="422" w:firstLineChars="201"/>
        <w:rPr>
          <w:rFonts w:hint="eastAsia" w:ascii="宋体" w:hAnsi="宋体" w:eastAsia="宋体" w:cs="宋体"/>
          <w:color w:val="auto"/>
          <w:sz w:val="21"/>
          <w:szCs w:val="21"/>
          <w:highlight w:val="none"/>
          <w:u w:val="none"/>
          <w:lang w:val="hr-HR" w:eastAsia="zh-CN"/>
        </w:rPr>
      </w:pPr>
      <w:r>
        <w:rPr>
          <w:rFonts w:hint="eastAsia" w:ascii="宋体" w:hAnsi="宋体" w:eastAsia="宋体" w:cs="宋体"/>
          <w:color w:val="auto"/>
          <w:sz w:val="21"/>
          <w:szCs w:val="21"/>
          <w:highlight w:val="none"/>
          <w:u w:val="none"/>
          <w:lang w:eastAsia="zh-CN"/>
        </w:rPr>
        <w:t>（2）</w:t>
      </w:r>
      <w:r>
        <w:rPr>
          <w:rFonts w:hint="eastAsia" w:ascii="宋体" w:hAnsi="宋体" w:eastAsia="宋体" w:cs="宋体"/>
          <w:color w:val="auto"/>
          <w:sz w:val="21"/>
          <w:szCs w:val="21"/>
          <w:highlight w:val="none"/>
          <w:u w:val="none"/>
          <w:lang w:val="hr-HR" w:eastAsia="zh-CN"/>
        </w:rPr>
        <w:t>执行国家、广东省以及东莞市有关工程检测（试验）的标准规范的规定。</w:t>
      </w:r>
    </w:p>
    <w:p w14:paraId="0D4059A0">
      <w:pPr>
        <w:adjustRightInd w:val="0"/>
        <w:snapToGrid w:val="0"/>
        <w:spacing w:line="360" w:lineRule="auto"/>
        <w:ind w:firstLine="422" w:firstLineChars="201"/>
        <w:rPr>
          <w:rFonts w:hint="eastAsia" w:ascii="宋体" w:hAnsi="宋体" w:eastAsia="宋体" w:cs="宋体"/>
          <w:color w:val="auto"/>
          <w:sz w:val="21"/>
          <w:szCs w:val="21"/>
          <w:highlight w:val="none"/>
          <w:u w:val="none"/>
          <w:lang w:val="hr-HR" w:eastAsia="zh-CN"/>
        </w:rPr>
      </w:pPr>
      <w:r>
        <w:rPr>
          <w:rFonts w:hint="eastAsia" w:ascii="宋体" w:hAnsi="宋体" w:eastAsia="宋体" w:cs="宋体"/>
          <w:color w:val="auto"/>
          <w:sz w:val="21"/>
          <w:szCs w:val="21"/>
          <w:highlight w:val="none"/>
          <w:u w:val="none"/>
          <w:lang w:eastAsia="zh-CN"/>
        </w:rPr>
        <w:t>2、</w:t>
      </w:r>
      <w:r>
        <w:rPr>
          <w:rFonts w:hint="eastAsia" w:ascii="宋体" w:hAnsi="宋体" w:eastAsia="宋体" w:cs="宋体"/>
          <w:color w:val="auto"/>
          <w:sz w:val="21"/>
          <w:szCs w:val="21"/>
          <w:highlight w:val="none"/>
          <w:u w:val="none"/>
          <w:lang w:val="hr-HR" w:eastAsia="zh-CN"/>
        </w:rPr>
        <w:t>其他质量要求</w:t>
      </w:r>
    </w:p>
    <w:p w14:paraId="0984EAE1">
      <w:pPr>
        <w:adjustRightInd w:val="0"/>
        <w:snapToGrid w:val="0"/>
        <w:spacing w:line="360" w:lineRule="auto"/>
        <w:ind w:firstLine="422" w:firstLineChars="201"/>
        <w:rPr>
          <w:rFonts w:hint="eastAsia" w:ascii="宋体" w:hAnsi="宋体" w:eastAsia="宋体" w:cs="宋体"/>
          <w:color w:val="auto"/>
          <w:sz w:val="21"/>
          <w:szCs w:val="21"/>
          <w:highlight w:val="none"/>
          <w:u w:val="none"/>
          <w:lang w:val="hr-HR" w:eastAsia="zh-CN"/>
        </w:rPr>
      </w:pPr>
      <w:r>
        <w:rPr>
          <w:rFonts w:hint="eastAsia" w:ascii="宋体" w:hAnsi="宋体" w:eastAsia="宋体" w:cs="宋体"/>
          <w:color w:val="auto"/>
          <w:sz w:val="21"/>
          <w:szCs w:val="21"/>
          <w:highlight w:val="none"/>
          <w:u w:val="none"/>
          <w:lang w:eastAsia="zh-CN"/>
        </w:rPr>
        <w:t>（1）</w:t>
      </w:r>
      <w:r>
        <w:rPr>
          <w:rFonts w:hint="eastAsia" w:ascii="宋体" w:hAnsi="宋体" w:eastAsia="宋体" w:cs="宋体"/>
          <w:color w:val="auto"/>
          <w:sz w:val="21"/>
          <w:szCs w:val="21"/>
          <w:highlight w:val="none"/>
          <w:u w:val="none"/>
          <w:lang w:val="hr-HR" w:eastAsia="zh-CN"/>
        </w:rPr>
        <w:t>乙方须根据国家标准及其它相关行业规程的要求，结合本工程施工图、预算文件及东莞市建筑工程质量安全监督站相关规定，制定检测方案。完成本工程检测方案内项目及数量，出具合法有效且符合检测规范要求的检测报告，为工程进度控制提供依据；提供检测咨询服务，为保证工程质量提供保障。</w:t>
      </w:r>
    </w:p>
    <w:p w14:paraId="77620238">
      <w:pPr>
        <w:adjustRightInd w:val="0"/>
        <w:snapToGrid w:val="0"/>
        <w:spacing w:line="360" w:lineRule="auto"/>
        <w:ind w:firstLine="422" w:firstLineChars="201"/>
        <w:rPr>
          <w:rFonts w:hint="eastAsia" w:ascii="宋体" w:hAnsi="宋体" w:eastAsia="宋体" w:cs="宋体"/>
          <w:color w:val="auto"/>
          <w:sz w:val="21"/>
          <w:szCs w:val="21"/>
          <w:highlight w:val="none"/>
          <w:u w:val="none"/>
          <w:lang w:val="hr-HR" w:eastAsia="zh-CN"/>
        </w:rPr>
      </w:pPr>
      <w:r>
        <w:rPr>
          <w:rFonts w:hint="eastAsia" w:ascii="宋体" w:hAnsi="宋体" w:eastAsia="宋体" w:cs="宋体"/>
          <w:color w:val="auto"/>
          <w:sz w:val="21"/>
          <w:szCs w:val="21"/>
          <w:highlight w:val="none"/>
          <w:u w:val="none"/>
          <w:lang w:eastAsia="zh-CN"/>
        </w:rPr>
        <w:t>（2）</w:t>
      </w:r>
      <w:r>
        <w:rPr>
          <w:rFonts w:hint="eastAsia" w:ascii="宋体" w:hAnsi="宋体" w:eastAsia="宋体" w:cs="宋体"/>
          <w:color w:val="auto"/>
          <w:sz w:val="21"/>
          <w:szCs w:val="21"/>
          <w:highlight w:val="none"/>
          <w:u w:val="none"/>
          <w:lang w:val="hr-HR" w:eastAsia="zh-CN"/>
        </w:rPr>
        <w:t>乙方应负责按东莞市建设工程质量安全监督站要求，根据本工程质量安全监督计划及相关规范编制并完善本工程的检测方案，并完成检测方案的审查备案、检测工作根据备案确认后的方案执行。</w:t>
      </w:r>
    </w:p>
    <w:p w14:paraId="4CF84C83">
      <w:pPr>
        <w:adjustRightInd w:val="0"/>
        <w:snapToGrid w:val="0"/>
        <w:spacing w:line="360" w:lineRule="auto"/>
        <w:ind w:firstLine="422" w:firstLineChars="201"/>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（3）乙方应当建立健全并落实各项管理制度，保证检测项目工作正常进行，并接受</w:t>
      </w: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lang w:eastAsia="zh-CN"/>
        </w:rPr>
        <w:t>及有关主管部门对项目服务质量的监督检查。</w:t>
      </w:r>
    </w:p>
    <w:p w14:paraId="7F81E1FA">
      <w:pPr>
        <w:adjustRightInd w:val="0"/>
        <w:snapToGrid w:val="0"/>
        <w:spacing w:line="360" w:lineRule="auto"/>
        <w:ind w:firstLine="422" w:firstLineChars="201"/>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（4）乙方应建立并实施符合本项目各项要求的质量管理体系。</w:t>
      </w:r>
    </w:p>
    <w:p w14:paraId="33368F37">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（5）甲方代表有权在工作时间内进入乙方的工作地点检查其质量手册、质量计划及其它与质量相关的文件的实施情况</w:t>
      </w:r>
      <w:r>
        <w:rPr>
          <w:rFonts w:hint="eastAsia" w:ascii="宋体" w:hAnsi="宋体" w:eastAsia="宋体" w:cs="宋体"/>
          <w:color w:val="auto"/>
          <w:sz w:val="21"/>
          <w:szCs w:val="21"/>
          <w:highlight w:val="none"/>
          <w:u w:val="none"/>
          <w:lang w:val="en-US" w:eastAsia="zh-CN"/>
        </w:rPr>
        <w:t>。</w:t>
      </w:r>
    </w:p>
    <w:p w14:paraId="3D834504">
      <w:pPr>
        <w:adjustRightInd w:val="0"/>
        <w:snapToGrid w:val="0"/>
        <w:spacing w:line="360" w:lineRule="auto"/>
        <w:ind w:firstLine="424" w:firstLineChars="201"/>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en-US" w:eastAsia="zh-CN"/>
        </w:rPr>
        <w:t>8.安全要求：</w:t>
      </w:r>
    </w:p>
    <w:p w14:paraId="500334D4">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1、乙方应做好服务的安全防护措施，服务过程中出现的安全事故由乙方自行承担。</w:t>
      </w:r>
    </w:p>
    <w:p w14:paraId="4B6CBD14">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2、乙方必须做好安全防护工作，由于乙方自身的原因发生的任何伤害（包括人身伤害），均由乙方自行承担</w:t>
      </w:r>
      <w:r>
        <w:rPr>
          <w:rFonts w:hint="eastAsia" w:ascii="宋体" w:hAnsi="宋体" w:eastAsia="宋体" w:cs="宋体"/>
          <w:color w:val="auto"/>
          <w:sz w:val="21"/>
          <w:szCs w:val="21"/>
          <w:highlight w:val="none"/>
          <w:u w:val="none"/>
        </w:rPr>
        <w:t>。</w:t>
      </w:r>
    </w:p>
    <w:p w14:paraId="237E9DA6">
      <w:pPr>
        <w:adjustRightInd w:val="0"/>
        <w:snapToGrid w:val="0"/>
        <w:spacing w:line="360" w:lineRule="auto"/>
        <w:ind w:firstLine="424" w:firstLineChars="201"/>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en-US" w:eastAsia="zh-CN"/>
        </w:rPr>
        <w:t>9.其他要求：</w:t>
      </w:r>
    </w:p>
    <w:p w14:paraId="5EEF570B">
      <w:pPr>
        <w:snapToGrid w:val="0"/>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eastAsia="zh-CN"/>
        </w:rPr>
        <w:t>须严格按照东莞市住房和城乡建设局规定，使用“东莞市工程质量检测监管平台”开展相关检测工作，</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eastAsia="zh-CN"/>
        </w:rPr>
        <w:t>须在“东莞市工程质量检测监管平台”完成注册备案，并提供相关网页截图。（须提供已备案网页截图，或提供</w:t>
      </w:r>
      <w:r>
        <w:rPr>
          <w:rFonts w:hint="eastAsia" w:ascii="宋体" w:hAnsi="宋体" w:eastAsia="宋体" w:cs="宋体"/>
          <w:color w:val="auto"/>
          <w:sz w:val="21"/>
          <w:szCs w:val="21"/>
          <w:highlight w:val="none"/>
          <w:u w:val="none"/>
          <w:lang w:val="en-US" w:eastAsia="zh-CN"/>
        </w:rPr>
        <w:t>成交</w:t>
      </w:r>
      <w:r>
        <w:rPr>
          <w:rFonts w:hint="eastAsia" w:ascii="宋体" w:hAnsi="宋体" w:eastAsia="宋体" w:cs="宋体"/>
          <w:color w:val="auto"/>
          <w:sz w:val="21"/>
          <w:szCs w:val="21"/>
          <w:highlight w:val="none"/>
          <w:u w:val="none"/>
          <w:lang w:eastAsia="zh-CN"/>
        </w:rPr>
        <w:t>后须在7个工作日内完成备案的承诺函）</w:t>
      </w:r>
    </w:p>
    <w:p w14:paraId="19F4CD42">
      <w:pPr>
        <w:snapToGrid w:val="0"/>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2、乙方派出的检测人员应具备相应的专业知识及技术水平，有足够能力完成本项目检测服务工作。</w:t>
      </w:r>
    </w:p>
    <w:p w14:paraId="3F5E151C">
      <w:pPr>
        <w:snapToGrid w:val="0"/>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3、乙方需配备1名项目负责人、1名技术负责人及数量充足的检测工作人员，保证检测工作有序、顺利完成。</w:t>
      </w:r>
    </w:p>
    <w:p w14:paraId="2E6A467F">
      <w:pPr>
        <w:snapToGrid w:val="0"/>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4、乙方应配备完成本项目所必须的检测设备，其性能良好并符合国家规定。同时配备数量充足的交通警示标志和施工围挡，以及检测仪器、无线通讯设备、劳动防护用品等其它必须使用的工具。</w:t>
      </w:r>
    </w:p>
    <w:p w14:paraId="51364CD5">
      <w:pPr>
        <w:snapToGrid w:val="0"/>
        <w:spacing w:line="360" w:lineRule="auto"/>
        <w:ind w:firstLine="420" w:firstLineChars="200"/>
        <w:rPr>
          <w:rFonts w:hint="eastAsia" w:ascii="宋体" w:hAnsi="宋体" w:eastAsia="宋体" w:cs="宋体"/>
          <w:color w:val="auto"/>
          <w:sz w:val="21"/>
          <w:szCs w:val="21"/>
          <w:highlight w:val="none"/>
          <w:u w:val="none"/>
          <w:lang w:val="hr-HR" w:eastAsia="zh-CN"/>
        </w:rPr>
      </w:pPr>
      <w:r>
        <w:rPr>
          <w:rFonts w:hint="eastAsia" w:ascii="宋体" w:hAnsi="宋体" w:eastAsia="宋体" w:cs="宋体"/>
          <w:color w:val="auto"/>
          <w:sz w:val="21"/>
          <w:szCs w:val="21"/>
          <w:highlight w:val="none"/>
          <w:u w:val="none"/>
          <w:lang w:eastAsia="zh-CN"/>
        </w:rPr>
        <w:t>5、</w:t>
      </w:r>
      <w:r>
        <w:rPr>
          <w:rFonts w:hint="eastAsia" w:ascii="宋体" w:hAnsi="宋体" w:eastAsia="宋体" w:cs="宋体"/>
          <w:color w:val="auto"/>
          <w:sz w:val="21"/>
          <w:szCs w:val="21"/>
          <w:highlight w:val="none"/>
          <w:u w:val="none"/>
          <w:lang w:val="hr-HR" w:eastAsia="zh-CN"/>
        </w:rPr>
        <w:t>若</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lang w:val="en-US" w:eastAsia="zh-CN"/>
        </w:rPr>
        <w:t>丙方</w:t>
      </w:r>
      <w:r>
        <w:rPr>
          <w:rFonts w:hint="eastAsia" w:ascii="宋体" w:hAnsi="宋体" w:eastAsia="宋体" w:cs="宋体"/>
          <w:color w:val="auto"/>
          <w:sz w:val="21"/>
          <w:szCs w:val="21"/>
          <w:highlight w:val="none"/>
          <w:u w:val="none"/>
          <w:lang w:eastAsia="zh-CN"/>
        </w:rPr>
        <w:t>、上级行政主管部门</w:t>
      </w:r>
      <w:r>
        <w:rPr>
          <w:rFonts w:hint="eastAsia" w:ascii="宋体" w:hAnsi="宋体" w:eastAsia="宋体" w:cs="宋体"/>
          <w:color w:val="auto"/>
          <w:sz w:val="21"/>
          <w:szCs w:val="21"/>
          <w:highlight w:val="none"/>
          <w:u w:val="none"/>
          <w:lang w:val="hr-HR" w:eastAsia="zh-CN"/>
        </w:rPr>
        <w:t>要求（</w:t>
      </w:r>
      <w:r>
        <w:rPr>
          <w:rFonts w:hint="eastAsia" w:ascii="宋体" w:hAnsi="宋体" w:eastAsia="宋体" w:cs="宋体"/>
          <w:color w:val="auto"/>
          <w:sz w:val="21"/>
          <w:szCs w:val="21"/>
          <w:highlight w:val="none"/>
          <w:u w:val="none"/>
          <w:lang w:eastAsia="zh-CN"/>
        </w:rPr>
        <w:t>含政策变动</w:t>
      </w:r>
      <w:r>
        <w:rPr>
          <w:rFonts w:hint="eastAsia" w:ascii="宋体" w:hAnsi="宋体" w:eastAsia="宋体" w:cs="宋体"/>
          <w:color w:val="auto"/>
          <w:sz w:val="21"/>
          <w:szCs w:val="21"/>
          <w:highlight w:val="none"/>
          <w:u w:val="none"/>
          <w:lang w:val="hr-HR" w:eastAsia="zh-CN"/>
        </w:rPr>
        <w:t>）</w:t>
      </w:r>
      <w:r>
        <w:rPr>
          <w:rFonts w:hint="eastAsia" w:ascii="宋体" w:hAnsi="宋体" w:eastAsia="宋体" w:cs="宋体"/>
          <w:color w:val="auto"/>
          <w:sz w:val="21"/>
          <w:szCs w:val="21"/>
          <w:highlight w:val="none"/>
          <w:u w:val="none"/>
          <w:lang w:eastAsia="zh-CN"/>
        </w:rPr>
        <w:t>检测</w:t>
      </w:r>
      <w:r>
        <w:rPr>
          <w:rFonts w:hint="eastAsia" w:ascii="宋体" w:hAnsi="宋体" w:eastAsia="宋体" w:cs="宋体"/>
          <w:color w:val="auto"/>
          <w:sz w:val="21"/>
          <w:szCs w:val="21"/>
          <w:highlight w:val="none"/>
          <w:u w:val="none"/>
          <w:lang w:val="hr-HR" w:eastAsia="zh-CN"/>
        </w:rPr>
        <w:t>内容和频次增加或减少，</w:t>
      </w:r>
      <w:r>
        <w:rPr>
          <w:rFonts w:hint="eastAsia" w:ascii="宋体" w:hAnsi="宋体" w:eastAsia="宋体" w:cs="宋体"/>
          <w:color w:val="auto"/>
          <w:sz w:val="21"/>
          <w:szCs w:val="21"/>
          <w:highlight w:val="none"/>
          <w:u w:val="none"/>
          <w:lang w:eastAsia="zh-CN"/>
        </w:rPr>
        <w:t>乙方必须无条件</w:t>
      </w:r>
      <w:r>
        <w:rPr>
          <w:rFonts w:hint="eastAsia" w:ascii="宋体" w:hAnsi="宋体" w:eastAsia="宋体" w:cs="宋体"/>
          <w:color w:val="auto"/>
          <w:sz w:val="21"/>
          <w:szCs w:val="21"/>
          <w:highlight w:val="none"/>
          <w:u w:val="none"/>
          <w:lang w:val="hr-HR" w:eastAsia="zh-CN"/>
        </w:rPr>
        <w:t>遵守执行</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hr-HR" w:eastAsia="zh-CN"/>
        </w:rPr>
        <w:t>实际检测量以甲方审核为准。</w:t>
      </w:r>
    </w:p>
    <w:p w14:paraId="1DA1FFC7">
      <w:pPr>
        <w:snapToGrid w:val="0"/>
        <w:spacing w:line="360" w:lineRule="auto"/>
        <w:ind w:firstLine="420" w:firstLineChars="200"/>
        <w:rPr>
          <w:rFonts w:hint="eastAsia" w:ascii="宋体" w:hAnsi="宋体" w:eastAsia="宋体" w:cs="宋体"/>
          <w:color w:val="auto"/>
          <w:sz w:val="21"/>
          <w:szCs w:val="21"/>
          <w:highlight w:val="none"/>
          <w:u w:val="none"/>
          <w:lang w:val="hr-HR" w:eastAsia="zh-CN"/>
        </w:rPr>
      </w:pPr>
      <w:r>
        <w:rPr>
          <w:rFonts w:hint="eastAsia" w:ascii="宋体" w:hAnsi="宋体" w:eastAsia="宋体" w:cs="宋体"/>
          <w:color w:val="auto"/>
          <w:sz w:val="21"/>
          <w:szCs w:val="21"/>
          <w:highlight w:val="none"/>
          <w:u w:val="none"/>
          <w:lang w:eastAsia="zh-CN"/>
        </w:rPr>
        <w:t>6、</w:t>
      </w:r>
      <w:r>
        <w:rPr>
          <w:rFonts w:hint="eastAsia" w:ascii="宋体" w:hAnsi="宋体" w:eastAsia="宋体" w:cs="宋体"/>
          <w:color w:val="auto"/>
          <w:sz w:val="21"/>
          <w:szCs w:val="21"/>
          <w:highlight w:val="none"/>
          <w:u w:val="none"/>
          <w:lang w:val="hr-HR" w:eastAsia="zh-CN"/>
        </w:rPr>
        <w:t>若特殊项目乙方无相应资质的，必须经甲方批准后送符合条件（具备相应资质）的分包单位进行检测，并出具相应的检测报告，否则将视为乙方违约，出具的报告不予承认。</w:t>
      </w:r>
    </w:p>
    <w:p w14:paraId="6E4CD667">
      <w:pPr>
        <w:snapToGrid w:val="0"/>
        <w:spacing w:line="360" w:lineRule="auto"/>
        <w:ind w:firstLine="420" w:firstLineChars="200"/>
        <w:rPr>
          <w:rFonts w:hint="eastAsia" w:ascii="宋体" w:hAnsi="宋体" w:eastAsia="宋体" w:cs="宋体"/>
          <w:color w:val="auto"/>
          <w:sz w:val="21"/>
          <w:szCs w:val="21"/>
          <w:highlight w:val="none"/>
          <w:u w:val="none"/>
          <w:lang w:val="hr-HR" w:eastAsia="zh-CN"/>
        </w:rPr>
      </w:pPr>
      <w:r>
        <w:rPr>
          <w:rFonts w:hint="eastAsia" w:ascii="宋体" w:hAnsi="宋体" w:eastAsia="宋体" w:cs="宋体"/>
          <w:color w:val="auto"/>
          <w:sz w:val="21"/>
          <w:szCs w:val="21"/>
          <w:highlight w:val="none"/>
          <w:u w:val="none"/>
          <w:lang w:eastAsia="zh-CN"/>
        </w:rPr>
        <w:t>7、</w:t>
      </w:r>
      <w:r>
        <w:rPr>
          <w:rFonts w:hint="eastAsia" w:ascii="宋体" w:hAnsi="宋体" w:eastAsia="宋体" w:cs="宋体"/>
          <w:color w:val="auto"/>
          <w:sz w:val="21"/>
          <w:szCs w:val="21"/>
          <w:highlight w:val="none"/>
          <w:u w:val="none"/>
          <w:lang w:val="hr-HR" w:eastAsia="zh-CN"/>
        </w:rPr>
        <w:t>在合同服务期内乙方不得因实际检测点过少或其他理由，而要求甲方提供任何形式的补偿或赔偿，或要求甲方所有的项目必须开展检测服务。</w:t>
      </w:r>
    </w:p>
    <w:p w14:paraId="691BA12C">
      <w:pPr>
        <w:snapToGrid w:val="0"/>
        <w:spacing w:line="360" w:lineRule="auto"/>
        <w:ind w:firstLine="420" w:firstLineChars="200"/>
        <w:rPr>
          <w:rFonts w:hint="eastAsia" w:ascii="宋体" w:hAnsi="宋体" w:eastAsia="宋体" w:cs="宋体"/>
          <w:color w:val="auto"/>
          <w:sz w:val="21"/>
          <w:szCs w:val="21"/>
          <w:highlight w:val="none"/>
          <w:u w:val="none"/>
          <w:lang w:val="hr-HR" w:eastAsia="zh-CN"/>
        </w:rPr>
      </w:pPr>
      <w:r>
        <w:rPr>
          <w:rFonts w:hint="eastAsia" w:ascii="宋体" w:hAnsi="宋体" w:eastAsia="宋体" w:cs="宋体"/>
          <w:color w:val="auto"/>
          <w:sz w:val="21"/>
          <w:szCs w:val="21"/>
          <w:highlight w:val="none"/>
          <w:u w:val="none"/>
          <w:lang w:eastAsia="zh-CN"/>
        </w:rPr>
        <w:t>8、乙方</w:t>
      </w:r>
      <w:r>
        <w:rPr>
          <w:rFonts w:hint="eastAsia" w:ascii="宋体" w:hAnsi="宋体" w:eastAsia="宋体" w:cs="宋体"/>
          <w:color w:val="auto"/>
          <w:sz w:val="21"/>
          <w:szCs w:val="21"/>
          <w:highlight w:val="none"/>
          <w:u w:val="none"/>
          <w:lang w:val="hr-HR" w:eastAsia="zh-CN"/>
        </w:rPr>
        <w:t>自行解决现场检测（试验）所需辅助劳务及相关费用。</w:t>
      </w:r>
    </w:p>
    <w:p w14:paraId="14C155FA">
      <w:pPr>
        <w:snapToGrid w:val="0"/>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9、服务过程中涉及的设备、工具，由乙方自行解决。</w:t>
      </w:r>
    </w:p>
    <w:p w14:paraId="023C31B3">
      <w:pPr>
        <w:snapToGrid w:val="0"/>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10、服务过程中涉及的用水、用电由乙方自行接入，乙方需做好用水、用电安全防护措施并无条件接受甲方监督。</w:t>
      </w:r>
    </w:p>
    <w:p w14:paraId="38EC547B">
      <w:pPr>
        <w:snapToGrid w:val="0"/>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、乙方须无条件配合在施工单位自检合格后立即开展水压试验检测活动，充分利用施工单位已实施的自检措施，提升水压试验检测工作效率。</w:t>
      </w:r>
    </w:p>
    <w:p w14:paraId="32EF1CF1">
      <w:pPr>
        <w:pStyle w:val="16"/>
        <w:ind w:firstLine="480" w:firstLineChars="200"/>
        <w:rPr>
          <w:rFonts w:hint="eastAsia" w:ascii="宋体" w:hAnsi="宋体" w:eastAsia="宋体" w:cs="宋体"/>
          <w:snapToGrid/>
          <w:color w:val="auto"/>
          <w:kern w:val="2"/>
          <w:szCs w:val="21"/>
          <w:highlight w:val="none"/>
          <w:u w:val="none"/>
          <w:lang w:eastAsia="zh-CN"/>
        </w:rPr>
      </w:pPr>
      <w:r>
        <w:rPr>
          <w:rFonts w:hint="eastAsia" w:ascii="宋体" w:hAnsi="宋体" w:eastAsia="宋体" w:cs="宋体"/>
          <w:snapToGrid/>
          <w:color w:val="auto"/>
          <w:kern w:val="2"/>
          <w:szCs w:val="21"/>
          <w:highlight w:val="none"/>
          <w:u w:val="none"/>
          <w:lang w:val="en-US" w:eastAsia="zh-CN"/>
        </w:rPr>
        <w:t>12、</w:t>
      </w:r>
      <w:r>
        <w:rPr>
          <w:rFonts w:hint="eastAsia" w:ascii="宋体" w:hAnsi="宋体" w:eastAsia="宋体" w:cs="宋体"/>
          <w:snapToGrid/>
          <w:color w:val="auto"/>
          <w:kern w:val="2"/>
          <w:szCs w:val="21"/>
          <w:highlight w:val="none"/>
          <w:u w:val="none"/>
          <w:lang w:eastAsia="zh-CN"/>
        </w:rPr>
        <w:t>检测人代表</w:t>
      </w:r>
    </w:p>
    <w:p w14:paraId="6A21DB4B">
      <w:pPr>
        <w:pStyle w:val="16"/>
        <w:ind w:firstLine="480" w:firstLineChars="200"/>
        <w:rPr>
          <w:rFonts w:hint="eastAsia" w:ascii="宋体" w:hAnsi="宋体" w:eastAsia="宋体" w:cs="宋体"/>
          <w:snapToGrid/>
          <w:color w:val="auto"/>
          <w:kern w:val="2"/>
          <w:szCs w:val="21"/>
          <w:highlight w:val="none"/>
          <w:u w:val="none"/>
          <w:lang w:eastAsia="zh-CN"/>
        </w:rPr>
      </w:pPr>
      <w:r>
        <w:rPr>
          <w:rFonts w:hint="eastAsia" w:ascii="宋体" w:hAnsi="宋体" w:eastAsia="宋体" w:cs="宋体"/>
          <w:snapToGrid/>
          <w:color w:val="auto"/>
          <w:kern w:val="2"/>
          <w:szCs w:val="21"/>
          <w:highlight w:val="none"/>
          <w:u w:val="none"/>
          <w:lang w:eastAsia="zh-CN"/>
        </w:rPr>
        <w:t>12.1 项目负责人</w:t>
      </w:r>
    </w:p>
    <w:p w14:paraId="5277BC96">
      <w:pPr>
        <w:pStyle w:val="16"/>
        <w:ind w:firstLine="480" w:firstLineChars="200"/>
        <w:rPr>
          <w:rFonts w:hint="eastAsia" w:ascii="宋体" w:hAnsi="宋体" w:eastAsia="宋体" w:cs="宋体"/>
          <w:snapToGrid/>
          <w:color w:val="auto"/>
          <w:kern w:val="2"/>
          <w:szCs w:val="21"/>
          <w:highlight w:val="none"/>
          <w:u w:val="none"/>
          <w:lang w:eastAsia="zh-CN"/>
        </w:rPr>
      </w:pPr>
      <w:r>
        <w:rPr>
          <w:rFonts w:hint="eastAsia" w:ascii="宋体" w:hAnsi="宋体" w:eastAsia="宋体" w:cs="宋体"/>
          <w:snapToGrid/>
          <w:color w:val="auto"/>
          <w:kern w:val="2"/>
          <w:szCs w:val="21"/>
          <w:highlight w:val="none"/>
          <w:u w:val="none"/>
          <w:lang w:eastAsia="zh-CN"/>
        </w:rPr>
        <w:t>执业资格及等级：                 ；</w:t>
      </w:r>
    </w:p>
    <w:p w14:paraId="4D94C46D">
      <w:pPr>
        <w:pStyle w:val="16"/>
        <w:ind w:firstLine="480" w:firstLineChars="200"/>
        <w:rPr>
          <w:rFonts w:hint="eastAsia" w:ascii="宋体" w:hAnsi="宋体" w:eastAsia="宋体" w:cs="宋体"/>
          <w:snapToGrid/>
          <w:color w:val="auto"/>
          <w:kern w:val="2"/>
          <w:szCs w:val="21"/>
          <w:highlight w:val="none"/>
          <w:u w:val="none"/>
          <w:lang w:eastAsia="zh-CN"/>
        </w:rPr>
      </w:pPr>
      <w:r>
        <w:rPr>
          <w:rFonts w:hint="eastAsia" w:ascii="宋体" w:hAnsi="宋体" w:eastAsia="宋体" w:cs="宋体"/>
          <w:snapToGrid/>
          <w:color w:val="auto"/>
          <w:kern w:val="2"/>
          <w:szCs w:val="21"/>
          <w:highlight w:val="none"/>
          <w:u w:val="none"/>
          <w:lang w:eastAsia="zh-CN"/>
        </w:rPr>
        <w:t>注册证书号：                     ；</w:t>
      </w:r>
    </w:p>
    <w:p w14:paraId="6CA6AC27">
      <w:pPr>
        <w:pStyle w:val="16"/>
        <w:ind w:firstLine="480" w:firstLineChars="200"/>
        <w:rPr>
          <w:rFonts w:hint="eastAsia" w:ascii="宋体" w:hAnsi="宋体" w:eastAsia="宋体" w:cs="宋体"/>
          <w:snapToGrid/>
          <w:color w:val="auto"/>
          <w:kern w:val="2"/>
          <w:szCs w:val="21"/>
          <w:highlight w:val="none"/>
          <w:u w:val="none"/>
          <w:lang w:eastAsia="zh-CN"/>
        </w:rPr>
      </w:pPr>
      <w:r>
        <w:rPr>
          <w:rFonts w:hint="eastAsia" w:ascii="宋体" w:hAnsi="宋体" w:eastAsia="宋体" w:cs="宋体"/>
          <w:snapToGrid/>
          <w:color w:val="auto"/>
          <w:kern w:val="2"/>
          <w:szCs w:val="21"/>
          <w:highlight w:val="none"/>
          <w:u w:val="none"/>
          <w:lang w:eastAsia="zh-CN"/>
        </w:rPr>
        <w:t>联系电话：                       ；</w:t>
      </w:r>
    </w:p>
    <w:p w14:paraId="383B89BF">
      <w:pPr>
        <w:pStyle w:val="16"/>
        <w:ind w:firstLine="480" w:firstLineChars="200"/>
        <w:rPr>
          <w:rFonts w:hint="eastAsia" w:ascii="宋体" w:hAnsi="宋体" w:eastAsia="宋体" w:cs="宋体"/>
          <w:snapToGrid/>
          <w:color w:val="auto"/>
          <w:kern w:val="2"/>
          <w:szCs w:val="21"/>
          <w:highlight w:val="none"/>
          <w:u w:val="none"/>
          <w:lang w:eastAsia="zh-CN"/>
        </w:rPr>
      </w:pPr>
      <w:r>
        <w:rPr>
          <w:rFonts w:hint="eastAsia" w:ascii="宋体" w:hAnsi="宋体" w:eastAsia="宋体" w:cs="宋体"/>
          <w:snapToGrid/>
          <w:color w:val="auto"/>
          <w:kern w:val="2"/>
          <w:szCs w:val="21"/>
          <w:highlight w:val="none"/>
          <w:u w:val="none"/>
          <w:lang w:eastAsia="zh-CN"/>
        </w:rPr>
        <w:t>通讯地址：                       。</w:t>
      </w:r>
    </w:p>
    <w:p w14:paraId="5994774D">
      <w:pPr>
        <w:pStyle w:val="16"/>
        <w:ind w:firstLine="480" w:firstLineChars="200"/>
        <w:rPr>
          <w:rFonts w:hint="eastAsia" w:ascii="宋体" w:hAnsi="宋体" w:eastAsia="宋体" w:cs="宋体"/>
          <w:snapToGrid/>
          <w:color w:val="auto"/>
          <w:kern w:val="2"/>
          <w:szCs w:val="21"/>
          <w:highlight w:val="none"/>
          <w:u w:val="none"/>
          <w:lang w:eastAsia="zh-CN"/>
        </w:rPr>
      </w:pPr>
      <w:r>
        <w:rPr>
          <w:rFonts w:hint="eastAsia" w:ascii="宋体" w:hAnsi="宋体" w:eastAsia="宋体" w:cs="宋体"/>
          <w:snapToGrid/>
          <w:color w:val="auto"/>
          <w:kern w:val="2"/>
          <w:szCs w:val="21"/>
          <w:highlight w:val="none"/>
          <w:u w:val="none"/>
          <w:lang w:eastAsia="zh-CN"/>
        </w:rPr>
        <w:t>12.2 技术负责人</w:t>
      </w:r>
    </w:p>
    <w:p w14:paraId="3C148E8C">
      <w:pPr>
        <w:pStyle w:val="16"/>
        <w:ind w:firstLine="480" w:firstLineChars="200"/>
        <w:rPr>
          <w:rFonts w:hint="eastAsia" w:ascii="宋体" w:hAnsi="宋体" w:eastAsia="宋体" w:cs="宋体"/>
          <w:snapToGrid/>
          <w:color w:val="auto"/>
          <w:kern w:val="2"/>
          <w:szCs w:val="21"/>
          <w:highlight w:val="none"/>
          <w:u w:val="none"/>
          <w:lang w:eastAsia="zh-CN"/>
        </w:rPr>
      </w:pPr>
      <w:r>
        <w:rPr>
          <w:rFonts w:hint="eastAsia" w:ascii="宋体" w:hAnsi="宋体" w:eastAsia="宋体" w:cs="宋体"/>
          <w:snapToGrid/>
          <w:color w:val="auto"/>
          <w:kern w:val="2"/>
          <w:szCs w:val="21"/>
          <w:highlight w:val="none"/>
          <w:u w:val="none"/>
          <w:lang w:eastAsia="zh-CN"/>
        </w:rPr>
        <w:t>执业资格及等级：                 ；</w:t>
      </w:r>
    </w:p>
    <w:p w14:paraId="363560B4">
      <w:pPr>
        <w:pStyle w:val="16"/>
        <w:ind w:firstLine="480" w:firstLineChars="200"/>
        <w:rPr>
          <w:rFonts w:hint="eastAsia" w:ascii="宋体" w:hAnsi="宋体" w:eastAsia="宋体" w:cs="宋体"/>
          <w:snapToGrid/>
          <w:color w:val="auto"/>
          <w:kern w:val="2"/>
          <w:szCs w:val="21"/>
          <w:highlight w:val="none"/>
          <w:u w:val="none"/>
          <w:lang w:eastAsia="zh-CN"/>
        </w:rPr>
      </w:pPr>
      <w:r>
        <w:rPr>
          <w:rFonts w:hint="eastAsia" w:ascii="宋体" w:hAnsi="宋体" w:eastAsia="宋体" w:cs="宋体"/>
          <w:snapToGrid/>
          <w:color w:val="auto"/>
          <w:kern w:val="2"/>
          <w:szCs w:val="21"/>
          <w:highlight w:val="none"/>
          <w:u w:val="none"/>
          <w:lang w:eastAsia="zh-CN"/>
        </w:rPr>
        <w:t>注册证书号：                     ；</w:t>
      </w:r>
    </w:p>
    <w:p w14:paraId="6A3EAEA5">
      <w:pPr>
        <w:pStyle w:val="16"/>
        <w:ind w:firstLine="480" w:firstLineChars="200"/>
        <w:rPr>
          <w:rFonts w:hint="eastAsia" w:ascii="宋体" w:hAnsi="宋体" w:eastAsia="宋体" w:cs="宋体"/>
          <w:snapToGrid/>
          <w:color w:val="auto"/>
          <w:kern w:val="2"/>
          <w:szCs w:val="21"/>
          <w:highlight w:val="none"/>
          <w:u w:val="none"/>
          <w:lang w:eastAsia="zh-CN"/>
        </w:rPr>
      </w:pPr>
      <w:r>
        <w:rPr>
          <w:rFonts w:hint="eastAsia" w:ascii="宋体" w:hAnsi="宋体" w:eastAsia="宋体" w:cs="宋体"/>
          <w:snapToGrid/>
          <w:color w:val="auto"/>
          <w:kern w:val="2"/>
          <w:szCs w:val="21"/>
          <w:highlight w:val="none"/>
          <w:u w:val="none"/>
          <w:lang w:eastAsia="zh-CN"/>
        </w:rPr>
        <w:t>联系电话：                       ；</w:t>
      </w:r>
    </w:p>
    <w:p w14:paraId="2BF44767">
      <w:pPr>
        <w:pStyle w:val="16"/>
        <w:ind w:firstLine="480" w:firstLineChars="200"/>
        <w:rPr>
          <w:rFonts w:hint="eastAsia" w:ascii="宋体" w:hAnsi="宋体" w:eastAsia="宋体" w:cs="宋体"/>
          <w:snapToGrid/>
          <w:color w:val="auto"/>
          <w:kern w:val="2"/>
          <w:szCs w:val="21"/>
          <w:highlight w:val="none"/>
          <w:u w:val="none"/>
          <w:lang w:eastAsia="zh-CN"/>
        </w:rPr>
      </w:pPr>
      <w:r>
        <w:rPr>
          <w:rFonts w:hint="eastAsia" w:ascii="宋体" w:hAnsi="宋体" w:eastAsia="宋体" w:cs="宋体"/>
          <w:snapToGrid/>
          <w:color w:val="auto"/>
          <w:kern w:val="2"/>
          <w:szCs w:val="21"/>
          <w:highlight w:val="none"/>
          <w:u w:val="none"/>
          <w:lang w:eastAsia="zh-CN"/>
        </w:rPr>
        <w:t>通讯地址：                       。</w:t>
      </w:r>
    </w:p>
    <w:p w14:paraId="18348C79">
      <w:pPr>
        <w:adjustRightInd w:val="0"/>
        <w:snapToGrid w:val="0"/>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 xml:space="preserve">.合同价款： </w:t>
      </w:r>
    </w:p>
    <w:p w14:paraId="7F3CD98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暂定总合同价款（即销售额，不含乙方销项税额）（大写）：人民币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）。检测服务系数为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w:t>
      </w:r>
    </w:p>
    <w:p w14:paraId="1F6EE73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依法计得并根据本合同约定确定的销项税额由丙方承担。根据《中华人民共和国增值税暂行条例》(国务院令第691号修订版)及当前税务部门的相关规定，本合同项目的增值税税率为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14:paraId="4D47505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2EA0548">
      <w:pPr>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bCs/>
          <w:color w:val="auto"/>
          <w:sz w:val="21"/>
          <w:szCs w:val="21"/>
          <w:highlight w:val="none"/>
        </w:rPr>
        <w:t>合同附件一《工程量清单计价表》的不含税综合单价（即结算不含税综合单价）等于</w:t>
      </w:r>
      <w:r>
        <w:rPr>
          <w:rFonts w:hint="eastAsia" w:ascii="宋体" w:hAnsi="宋体" w:eastAsia="宋体" w:cs="宋体"/>
          <w:bCs/>
          <w:color w:val="auto"/>
          <w:sz w:val="21"/>
          <w:szCs w:val="21"/>
          <w:highlight w:val="none"/>
          <w:lang w:eastAsia="zh-CN"/>
        </w:rPr>
        <w:t>谈判文件</w:t>
      </w:r>
      <w:r>
        <w:rPr>
          <w:rFonts w:hint="eastAsia" w:ascii="宋体" w:hAnsi="宋体" w:eastAsia="宋体" w:cs="宋体"/>
          <w:bCs/>
          <w:color w:val="auto"/>
          <w:sz w:val="21"/>
          <w:szCs w:val="21"/>
          <w:highlight w:val="none"/>
        </w:rPr>
        <w:t>附件《工程量清单计价表》列出的不含税综合单价乘以</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报价（检测服务系数），结算时不作调整</w:t>
      </w:r>
      <w:r>
        <w:rPr>
          <w:rFonts w:hint="eastAsia" w:ascii="宋体" w:hAnsi="宋体" w:eastAsia="宋体" w:cs="宋体"/>
          <w:color w:val="auto"/>
          <w:sz w:val="21"/>
          <w:szCs w:val="21"/>
          <w:highlight w:val="none"/>
        </w:rPr>
        <w:t>，再结合本项目最终经甲方（含其委托的第三方审核机构）、监理人审核确认的检测（试验）方案及甲方（含其委托的第三方审核机构）、监理人确认的实际检测（试验）工作量按实结算，但最终结算价不得超出暂定总合同价款（含税）。</w:t>
      </w:r>
    </w:p>
    <w:p w14:paraId="7FD16165">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zh-CN"/>
        </w:rPr>
        <w:t>不含税综合单价包含为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val="zh-CN"/>
        </w:rPr>
        <w:t>销项税额以外的税金等，报价过程产生的费用、交易（成交）服务费、办理履约担保费用、水电及进退场、差旅、驻地、办公设施、用品、食宿费、交通、通讯、施工配合费、保险费、风险费、检测方案的审查及专家论证费等完成本项目服务相关的直接及间接费用。除另有约定外，本工程检测（试验）的不含税综合单价在合同实施期间不因任何因素而调整（包括但不限于工程的工期延长、检测工作量变化等），甲方及丙方也不承担任何额外费用。检测时，如需土建施工单位配合或向其租借设备时，乙方自行与施工单位协调，配合及租借费用已包括在不含税综合单价内。</w:t>
      </w:r>
    </w:p>
    <w:p w14:paraId="1A05EAA2">
      <w:pPr>
        <w:adjustRightInd w:val="0"/>
        <w:snapToGrid w:val="0"/>
        <w:spacing w:line="360" w:lineRule="auto"/>
        <w:ind w:left="420" w:left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rPr>
        <w:t>.第三方检测合同计费依据</w:t>
      </w:r>
    </w:p>
    <w:p w14:paraId="6FD3AB1B">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（1）本项目的计费标准按照合同附件一《工程量清单计价表》（详见附件）中的不含税</w:t>
      </w:r>
      <w:r>
        <w:rPr>
          <w:rFonts w:hint="eastAsia" w:ascii="宋体" w:hAnsi="宋体" w:eastAsia="宋体" w:cs="宋体"/>
          <w:color w:val="auto"/>
          <w:sz w:val="21"/>
          <w:szCs w:val="21"/>
          <w:highlight w:val="none"/>
        </w:rPr>
        <w:t>综合单价×实际检测工作量进行结算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除本合同条款第“</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.结算调整规则、范围及方式”约定的情形外，最终结算价不得超出暂定总合同价款(含税)，超出部分由乙方自行承担。</w:t>
      </w:r>
    </w:p>
    <w:p w14:paraId="44AF38B0">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（2）《工程量清单计价表》不作为</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最终服务范围及业务承接数量的保证，</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有权根据实际需求对检测工程量进行优化调整。在合同服务期内，</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不得因实际检测项目数量及服务费用的增减而要求</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lang w:val="en-US" w:eastAsia="zh-CN"/>
        </w:rPr>
        <w:t>或丙方</w:t>
      </w:r>
      <w:r>
        <w:rPr>
          <w:rFonts w:hint="eastAsia" w:ascii="宋体" w:hAnsi="宋体" w:eastAsia="宋体" w:cs="宋体"/>
          <w:bCs/>
          <w:color w:val="auto"/>
          <w:sz w:val="21"/>
          <w:szCs w:val="21"/>
          <w:highlight w:val="none"/>
        </w:rPr>
        <w:t>提供任何形式的补偿或赔偿，或只按</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暂定的《工程量清单计价表》提供相应的对应服务。否则，视为</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违约，</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有权依据合同约定追究</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的违约责任。</w:t>
      </w:r>
    </w:p>
    <w:p w14:paraId="3971A225">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（3）对于《工程量清单计价表》外新增的检测项目，不含税综合单价按以下方法计算：</w:t>
      </w:r>
    </w:p>
    <w:p w14:paraId="34983DD1">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①</w:t>
      </w:r>
      <w:r>
        <w:rPr>
          <w:rFonts w:hint="eastAsia" w:ascii="宋体" w:hAnsi="宋体" w:eastAsia="宋体" w:cs="宋体"/>
          <w:bCs/>
          <w:color w:val="auto"/>
          <w:sz w:val="21"/>
          <w:szCs w:val="21"/>
          <w:highlight w:val="none"/>
        </w:rPr>
        <w:t>《东莞市建设工程检测行业参考收费标准 (2023版)》（东检协字（2023）3号）对应项参考单价÷1.06×检测服务系数；</w:t>
      </w:r>
    </w:p>
    <w:p w14:paraId="04244BB6">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②</w:t>
      </w:r>
      <w:r>
        <w:rPr>
          <w:rFonts w:hint="eastAsia" w:ascii="宋体" w:hAnsi="宋体" w:eastAsia="宋体" w:cs="宋体"/>
          <w:bCs/>
          <w:color w:val="auto"/>
          <w:sz w:val="21"/>
          <w:szCs w:val="21"/>
          <w:highlight w:val="none"/>
        </w:rPr>
        <w:t>《东莞市建设工程检测行业参考收费标准 (2023版)》（东检协字（2023）3号）中无对应项，则按照《广东省房屋建筑和市政工程工程质量安全检测收费指导价》（粤建检协〔2015〕8号）对应项单价÷1.06×检测服务系数；</w:t>
      </w:r>
    </w:p>
    <w:p w14:paraId="0F54D851">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③</w:t>
      </w:r>
      <w:r>
        <w:rPr>
          <w:rFonts w:hint="eastAsia" w:ascii="宋体" w:hAnsi="宋体" w:eastAsia="宋体" w:cs="宋体"/>
          <w:bCs/>
          <w:color w:val="auto"/>
          <w:sz w:val="21"/>
          <w:szCs w:val="21"/>
          <w:highlight w:val="none"/>
        </w:rPr>
        <w:t>《东莞市建设工程检测行业参考收费标准 (2023版)》（东检协字（2023）3号）与《广东省房屋建筑和市政工程工程质量安全检测收费指导价》（粤建检协〔2015〕8号）均无对应项的，由</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结合本地及周边同类城市市场询价的不含税综合单价×检测服务系数。</w:t>
      </w:r>
    </w:p>
    <w:p w14:paraId="6CAA05FE">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以上不含税综合单价均保留两位小数。</w:t>
      </w:r>
    </w:p>
    <w:p w14:paraId="25BBEAFA">
      <w:pPr>
        <w:adjustRightInd w:val="0"/>
        <w:snapToGrid w:val="0"/>
        <w:spacing w:line="360" w:lineRule="auto"/>
        <w:ind w:left="420" w:left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.结算调整规则、范围及方式</w:t>
      </w:r>
    </w:p>
    <w:p w14:paraId="6D1E335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调整的范围：因设计变更、改线或者重大工艺变更等工程变更引起的检测（试验）项目的变更，包含检测项目增减和已有检测项目中工作量的增减，乙方在实施前，须提出变更申请，经本工程的设计人、监理人及甲方（含其委托的第三方审核机构）批准后方可实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相关费用据实结算</w:t>
      </w:r>
      <w:r>
        <w:rPr>
          <w:rFonts w:hint="eastAsia" w:ascii="宋体" w:hAnsi="宋体" w:eastAsia="宋体" w:cs="宋体"/>
          <w:color w:val="auto"/>
          <w:sz w:val="21"/>
          <w:szCs w:val="21"/>
          <w:highlight w:val="none"/>
        </w:rPr>
        <w:t>。</w:t>
      </w:r>
    </w:p>
    <w:p w14:paraId="6CF60E14">
      <w:pPr>
        <w:adjustRightInd w:val="0"/>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（2）工程变更项目检测的计价：</w:t>
      </w:r>
      <w:r>
        <w:rPr>
          <w:rFonts w:hint="eastAsia" w:ascii="宋体" w:hAnsi="宋体" w:eastAsia="宋体" w:cs="宋体"/>
          <w:b/>
          <w:bCs/>
          <w:color w:val="auto"/>
          <w:sz w:val="21"/>
          <w:szCs w:val="21"/>
          <w:highlight w:val="none"/>
        </w:rPr>
        <w:t>合同价中已有适用于变更检测项目的不含税综合单价，按合同已有的不含税综合单价变更合同价款；合同中已有类似变更检测项目的不含税综合单价，可参照类似检测项目不含税综合单价变更合同价款；合同中没有适用于变更检测项目的不含税综合单价，经批准变更后，按照《东莞市建设工程检测行业参考收费标准（2023版）》（东检协字（2023）3号）对应项参考单价÷1.06×</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东莞市建设工程检测行业参考收费标准(2023版)》（东检协字（2023）3号）与《广东省房屋建筑和市政工程工程质量安全检测收费指导价》（粤建检协〔2015〕8号）均无对应项的，由甲方结合本地及周边同类城市市场询价的不含税综合单价×</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计算。所有变更的检测项目均须书面向甲方申报，经甲方（含其委托的第三方审核机构）审核批准同意后方可实施。</w:t>
      </w:r>
    </w:p>
    <w:p w14:paraId="7B83B7F1">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（3）在完成所有合同内容并具备结算条件3个月后，仍未报结算资料，甲方将书面发函督促办理结算，函中明确接到函件10个工作日后，仍未提交结算资料，或不配合甲方完成结算工作，丙方</w:t>
      </w:r>
      <w:r>
        <w:rPr>
          <w:rFonts w:hint="eastAsia" w:ascii="宋体" w:hAnsi="宋体" w:eastAsia="宋体" w:cs="宋体"/>
          <w:b/>
          <w:bCs/>
          <w:color w:val="auto"/>
          <w:sz w:val="21"/>
          <w:szCs w:val="21"/>
          <w:highlight w:val="none"/>
          <w:lang w:eastAsia="zh-CN"/>
        </w:rPr>
        <w:t>或甲方</w:t>
      </w:r>
      <w:r>
        <w:rPr>
          <w:rFonts w:hint="eastAsia" w:ascii="宋体" w:hAnsi="宋体" w:eastAsia="宋体" w:cs="宋体"/>
          <w:b/>
          <w:bCs/>
          <w:color w:val="auto"/>
          <w:sz w:val="21"/>
          <w:szCs w:val="21"/>
          <w:highlight w:val="none"/>
        </w:rPr>
        <w:t>将根据已支付的进度款进行单方结算，由此所产生的法律责任均由乙方承担。</w:t>
      </w:r>
    </w:p>
    <w:p w14:paraId="385799C6">
      <w:pPr>
        <w:keepNext/>
        <w:keepLines/>
        <w:adjustRightInd w:val="0"/>
        <w:snapToGrid w:val="0"/>
        <w:spacing w:line="360" w:lineRule="auto"/>
        <w:outlineLvl w:val="9"/>
        <w:rPr>
          <w:rFonts w:hint="eastAsia" w:ascii="宋体" w:hAnsi="宋体" w:eastAsia="宋体" w:cs="宋体"/>
          <w:b/>
          <w:color w:val="auto"/>
          <w:sz w:val="21"/>
          <w:szCs w:val="21"/>
          <w:highlight w:val="none"/>
        </w:rPr>
      </w:pPr>
    </w:p>
    <w:p w14:paraId="15CE92B3">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二、检测内容</w:t>
      </w:r>
    </w:p>
    <w:p w14:paraId="4A19A7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本工程检测包含平行检测，平行检测按《东莞市建设工程平行检测实施细则》执行，由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委托平行检测单位实施，检测费用由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4F2832C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检测内容包括但不限于：</w:t>
      </w:r>
    </w:p>
    <w:p w14:paraId="24AD42E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1、地基基础工程质量检测，开展：低应变、钻芯法、压实度等检测。</w:t>
      </w:r>
    </w:p>
    <w:p w14:paraId="7F10B3F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2、钢结构焊缝检测及涂层厚度检测，开展：焊缝的质量情况,以及防腐厚度等检测。</w:t>
      </w:r>
    </w:p>
    <w:p w14:paraId="0B18CB6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3、原材料、道路等实体检测，开展：混凝土原材料、道路工程、钻芯法检测混凝土强度、室内环境、防雷、外墙节能厚度钻芯、隔声噪声、后锚固件抗拔、饰面砖粘结强度等检测。</w:t>
      </w:r>
    </w:p>
    <w:p w14:paraId="545181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4、其它根据工程实际需要委托的检测项目。</w:t>
      </w:r>
    </w:p>
    <w:p w14:paraId="67C183FB">
      <w:pPr>
        <w:ind w:firstLine="420" w:firstLineChars="200"/>
        <w:rPr>
          <w:rFonts w:hint="eastAsia" w:ascii="宋体" w:hAnsi="宋体" w:eastAsia="宋体" w:cs="宋体"/>
          <w:color w:val="auto"/>
          <w:szCs w:val="22"/>
          <w:highlight w:val="none"/>
        </w:rPr>
      </w:pPr>
      <w:r>
        <w:rPr>
          <w:rFonts w:hint="eastAsia" w:ascii="宋体" w:hAnsi="宋体" w:eastAsia="宋体" w:cs="宋体"/>
          <w:color w:val="auto"/>
          <w:sz w:val="21"/>
          <w:szCs w:val="21"/>
          <w:highlight w:val="none"/>
        </w:rPr>
        <w:t>5、根据相关法律、法规及主管部门的规定，必须另行独立</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的项目不包含在本次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范围之内</w:t>
      </w:r>
      <w:r>
        <w:rPr>
          <w:rFonts w:hint="eastAsia" w:ascii="宋体" w:hAnsi="宋体" w:eastAsia="宋体" w:cs="宋体"/>
          <w:b w:val="0"/>
          <w:bCs/>
          <w:color w:val="auto"/>
          <w:sz w:val="21"/>
          <w:szCs w:val="21"/>
          <w:highlight w:val="none"/>
        </w:rPr>
        <w:t>。</w:t>
      </w:r>
    </w:p>
    <w:p w14:paraId="374D5D54">
      <w:pPr>
        <w:keepNext/>
        <w:keepLines/>
        <w:adjustRightInd w:val="0"/>
        <w:snapToGrid w:val="0"/>
        <w:spacing w:line="360" w:lineRule="auto"/>
        <w:outlineLvl w:val="9"/>
        <w:rPr>
          <w:rFonts w:hint="eastAsia" w:ascii="宋体" w:hAnsi="宋体" w:eastAsia="宋体" w:cs="宋体"/>
          <w:b/>
          <w:color w:val="auto"/>
          <w:sz w:val="21"/>
          <w:szCs w:val="21"/>
          <w:highlight w:val="none"/>
        </w:rPr>
      </w:pPr>
    </w:p>
    <w:p w14:paraId="61064D14">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三、检测数量</w:t>
      </w:r>
    </w:p>
    <w:p w14:paraId="2048AE10">
      <w:pPr>
        <w:adjustRightInd w:val="0"/>
        <w:snapToGrid w:val="0"/>
        <w:spacing w:line="360" w:lineRule="auto"/>
        <w:ind w:left="18" w:hanging="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具体参照《工程量清单计价表》，并以甲方最终审核为准。《工程量清单计价表》不作为乙方最终服务范围及业务承接数量的保证，甲方有权根据实际需求对检测工程量进行优化调整，最终按实际发生工程量统计。</w:t>
      </w:r>
    </w:p>
    <w:p w14:paraId="04842223">
      <w:pPr>
        <w:rPr>
          <w:rFonts w:hint="eastAsia" w:ascii="宋体" w:hAnsi="宋体" w:eastAsia="宋体" w:cs="宋体"/>
          <w:color w:val="auto"/>
          <w:szCs w:val="22"/>
          <w:highlight w:val="none"/>
        </w:rPr>
      </w:pPr>
    </w:p>
    <w:p w14:paraId="79BDE46B">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四、检测依据（如有新规范，以新的为准）</w:t>
      </w:r>
    </w:p>
    <w:p w14:paraId="4DAA9ABB">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1、《建筑地基基础检测规范》（DBJ/T 15-60-2019）（广东省）；</w:t>
      </w:r>
    </w:p>
    <w:p w14:paraId="48E45E6F">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2、《建筑地基处理技术规范》（DBJ/T 15-38-2019）（广东省）；</w:t>
      </w:r>
    </w:p>
    <w:p w14:paraId="1503F7CD">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3、《建筑地基检测技术规范》（JGJ 340-2015）；</w:t>
      </w:r>
    </w:p>
    <w:p w14:paraId="6180E78B">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4、《建筑基坑工程技术规程》（DBJ/T 15-20-2016）（广东省）；</w:t>
      </w:r>
    </w:p>
    <w:p w14:paraId="2C137D62">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5、《建筑地基基础设计规范》（DBJ 15-31-2016）</w:t>
      </w:r>
    </w:p>
    <w:p w14:paraId="76BB633A">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6、《钢结构工程施工质量验收标准》（GB 50205-2020）；</w:t>
      </w:r>
    </w:p>
    <w:p w14:paraId="7EAB55A9">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7、《混凝土结构工程施工质量验收规范》（GB 50204-2015）；</w:t>
      </w:r>
    </w:p>
    <w:p w14:paraId="35BF61C3">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8、《城镇道路路面设计规范》（GJJ 169-2012）；</w:t>
      </w:r>
    </w:p>
    <w:p w14:paraId="09815C74">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9、《城镇道路工程施工与质量验收规范》（GJJ 1-2008）；</w:t>
      </w:r>
    </w:p>
    <w:p w14:paraId="6F5D073F">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10、《通用硅酸盐水泥》（GB 175-2007）；</w:t>
      </w:r>
    </w:p>
    <w:p w14:paraId="6E598179">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11、《建筑砂浆基本性能试验方法标准》（JGJ/T 70-2009）；</w:t>
      </w:r>
    </w:p>
    <w:p w14:paraId="1DDB0533">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12、《普通混凝土配合比设计规程》（JGJ 55-2011）；</w:t>
      </w:r>
    </w:p>
    <w:p w14:paraId="5526F151">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13、《混凝土物理力学性能试验方法标准》（GB/T 50081-2019）；</w:t>
      </w:r>
    </w:p>
    <w:p w14:paraId="04781903">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14、《普通混凝土长期性能和耐久性能试验方法标准》（GB/T 50082-2009）；</w:t>
      </w:r>
    </w:p>
    <w:p w14:paraId="4C4C8C64">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15、《砌筑砂浆配合比设计规程》（JGJ/T 98-2010）；</w:t>
      </w:r>
    </w:p>
    <w:p w14:paraId="3FF680C7">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16、《用于水泥和混凝土中的粉煤灰》（GB/T1596-2017）；</w:t>
      </w:r>
    </w:p>
    <w:p w14:paraId="14D6D58E">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17、《普通混凝土用砂、石质量及检验方法标准》（JGJ52-2006）；</w:t>
      </w:r>
    </w:p>
    <w:p w14:paraId="7D1501F7">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18、《建设用砂》（GB/T 14684-2022）；</w:t>
      </w:r>
    </w:p>
    <w:p w14:paraId="794DC378">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19、《建设用卵石、碎石》（GB/T 14685-2022）；</w:t>
      </w:r>
    </w:p>
    <w:p w14:paraId="35C8D21E">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20、《混凝土外加剂》（GB 8076-2008）；</w:t>
      </w:r>
    </w:p>
    <w:p w14:paraId="04815742">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21、《喷射混凝土用速凝剂》（JC/T 477-2005）；</w:t>
      </w:r>
    </w:p>
    <w:p w14:paraId="3D947FB3">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22、《喷射混凝土用速凝剂》（GB/T 35159-2017）；</w:t>
      </w:r>
    </w:p>
    <w:p w14:paraId="576591B4">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23、《混凝土膨胀剂》（GB 23439-2009）；</w:t>
      </w:r>
    </w:p>
    <w:p w14:paraId="43BA5D51">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24、《钢筋混凝土用钢 第1部分：热轧光圆钢筋》（GB/T 1499.1-2017）；</w:t>
      </w:r>
    </w:p>
    <w:p w14:paraId="72CF1FD2">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25、《钢筋混凝土用钢 第2部分：热轧带肋钢筋》（GB/T 1499.2-2018）；</w:t>
      </w:r>
    </w:p>
    <w:p w14:paraId="662FFD3B">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26、《钢筋焊接接头试验方法标准》（JGJ/T27-2014）；</w:t>
      </w:r>
    </w:p>
    <w:p w14:paraId="3DD4467D">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27、《钢筋机械连接用套筒》（JG/T 163-2013）；</w:t>
      </w:r>
    </w:p>
    <w:p w14:paraId="2F609F19">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28、《金属材料 拉伸试验 第1部分:室温试验方法》（GB/T 228.1-2021）；</w:t>
      </w:r>
    </w:p>
    <w:p w14:paraId="16728885">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29、《合成树脂乳液外墙涂料》（GB/T 9755-2014）；</w:t>
      </w:r>
    </w:p>
    <w:p w14:paraId="35F2515C">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30、《钢结构防火涂料》（GB 14907-2018）；</w:t>
      </w:r>
    </w:p>
    <w:p w14:paraId="1299284E">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31、《聚氨酯防水涂料》（GB/T 19250-2013）；</w:t>
      </w:r>
    </w:p>
    <w:p w14:paraId="4EEB2DCE">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32、《聚合物水泥防水涂料》（GB/T 23445-2009）；</w:t>
      </w:r>
    </w:p>
    <w:p w14:paraId="49C138C7">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33、《塑料绝缘控制电缆》（GB/T9330-2020）；</w:t>
      </w:r>
    </w:p>
    <w:p w14:paraId="6964D4E9">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34、《电缆和光缆在火焰条件下的燃烧试验 第12部分：单根绝缘电线电缆火焰垂直蔓延试验 1 kW 预混合型火焰试验方法》（GB/T18380.12-2022）；</w:t>
      </w:r>
    </w:p>
    <w:p w14:paraId="19C5E12B">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35、《家用和类似用途固定式电气装置的开关 第1部分：通用要求》（GB/T 16915.1-2014）；</w:t>
      </w:r>
    </w:p>
    <w:p w14:paraId="66EE1D0E">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36、《电工电子产品着火危险试验 第11部分：灼热丝/热丝基本试验方法 成品的灼热丝可燃性试验方法(GWEPT)》（GB/T 5169.11-2017）；</w:t>
      </w:r>
    </w:p>
    <w:p w14:paraId="64723E0B">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37、《家用和类似用途插头插座 第1部分：通用要求》（GB/T 2099.1-2021）；</w:t>
      </w:r>
    </w:p>
    <w:p w14:paraId="3E06E2AD">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38、《混凝土接缝密封嵌缝板》 （JC/T 2255-2014）；</w:t>
      </w:r>
    </w:p>
    <w:p w14:paraId="354CB96D">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39、《高分子防水材料 第2部分：止水带》（GB/T 18173.2-2014）；</w:t>
      </w:r>
    </w:p>
    <w:p w14:paraId="3447D17B">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40、《建筑地基工程施工质量验收标准》（GB 50202-2018）；</w:t>
      </w:r>
    </w:p>
    <w:p w14:paraId="5C342088">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41、《混凝土结构工程施工质量验收规范》（GB 50204-2015）；</w:t>
      </w:r>
    </w:p>
    <w:p w14:paraId="598B2368">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42、《回弹法检测混凝土抗压强度技术规程》（JGJ/T 23-2011）；</w:t>
      </w:r>
    </w:p>
    <w:p w14:paraId="46FA245F">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43、《混凝土中钢筋检测技术标准》（JGJ/T 152-2019）；</w:t>
      </w:r>
    </w:p>
    <w:p w14:paraId="4A53AAF6">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44、《焊缝无损检测 超声检测技术、检测等级和评定》（GB/T 11345-2013）；</w:t>
      </w:r>
    </w:p>
    <w:p w14:paraId="0CF28652">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45、《焊缝无损检测 射线检测 第1部分：X和伽玛射线的胶片技术》（GB／T 3323.1-2019）；</w:t>
      </w:r>
    </w:p>
    <w:p w14:paraId="2883D622">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46、《东莞市建设工程质量检测服务手册》（第一版）；</w:t>
      </w:r>
    </w:p>
    <w:p w14:paraId="0D3CB37D">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47、《东莞市建设工程检测行业参考收费标准（2023版）》；</w:t>
      </w:r>
    </w:p>
    <w:p w14:paraId="43E6E473">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48、《广东省房屋建筑和市政工程工程质量安全检测收费指导价》（粤建检协[2015]8号）；</w:t>
      </w:r>
    </w:p>
    <w:p w14:paraId="6726A862">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49、其他相关合同等文件资料及相关法律法规。</w:t>
      </w:r>
    </w:p>
    <w:p w14:paraId="6E2CF86C">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50、国家及省市建设主管部门的相关文件和规范；</w:t>
      </w:r>
    </w:p>
    <w:p w14:paraId="40C8FD66">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51、设计资料等。</w:t>
      </w:r>
    </w:p>
    <w:p w14:paraId="61B1E9A3">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以上规范若有更新版本，应按最新的版本执行。在合同执行期内，各专项施工的执行标准、规范，如未列举，则按国家、行业、地方颁布的相应的政策、法规、规范、标准等执行。</w:t>
      </w:r>
    </w:p>
    <w:p w14:paraId="7EC8527C">
      <w:pPr>
        <w:adjustRightInd w:val="0"/>
        <w:snapToGrid w:val="0"/>
        <w:spacing w:line="360" w:lineRule="auto"/>
        <w:ind w:left="210"/>
        <w:rPr>
          <w:rFonts w:hint="eastAsia" w:ascii="宋体" w:hAnsi="宋体" w:eastAsia="宋体" w:cs="宋体"/>
          <w:color w:val="auto"/>
          <w:sz w:val="21"/>
          <w:szCs w:val="21"/>
          <w:highlight w:val="none"/>
        </w:rPr>
      </w:pPr>
    </w:p>
    <w:p w14:paraId="29125267">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五、检测费用支付方式</w:t>
      </w:r>
    </w:p>
    <w:p w14:paraId="650C0E95">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向甲方、丙方承诺，丙方有权直接向乙方支付合同价款，也有权委托甲方向乙方代付价款，具体支付方式以甲方通知为准，乙方对此不持异议。如丙方委托甲方向乙方代付合同价款的，因甲方系受丙方委托代付，乙方承诺不得就合同款项问题向甲方主张任何权利，乙方同意甲方亦无需承担任何责任；如因款项支付产生纠纷的(包括但不限于诉讼等)，由乙方与丙方协调处理，与甲方无关。</w:t>
      </w:r>
    </w:p>
    <w:p w14:paraId="75285B58">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以季度为单位，即按季度计量支付进度款，</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提供相应的正式检测报告，经监理人及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审核通过后，</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lang w:val="en-US" w:eastAsia="zh-CN"/>
        </w:rPr>
        <w:t>或甲方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提交对应的请款报告30天内向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支付进度款。</w:t>
      </w:r>
    </w:p>
    <w:p w14:paraId="3897719E">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lang w:val="en-US" w:eastAsia="zh-CN"/>
        </w:rPr>
        <w:t>或甲方</w:t>
      </w:r>
      <w:r>
        <w:rPr>
          <w:rFonts w:hint="eastAsia" w:ascii="宋体" w:hAnsi="宋体" w:eastAsia="宋体" w:cs="宋体"/>
          <w:color w:val="auto"/>
          <w:sz w:val="21"/>
          <w:szCs w:val="21"/>
          <w:highlight w:val="none"/>
          <w:lang w:eastAsia="zh-CN"/>
        </w:rPr>
        <w:t>以季度为单位按经监理人及甲方审核通过的检测报告所涉款项的80%支付本合同进度款，但丙方</w:t>
      </w:r>
      <w:r>
        <w:rPr>
          <w:rFonts w:hint="eastAsia" w:ascii="宋体" w:hAnsi="宋体" w:eastAsia="宋体" w:cs="宋体"/>
          <w:color w:val="auto"/>
          <w:sz w:val="21"/>
          <w:szCs w:val="21"/>
          <w:highlight w:val="none"/>
          <w:lang w:val="en-US" w:eastAsia="zh-CN"/>
        </w:rPr>
        <w:t>或甲方</w:t>
      </w:r>
      <w:r>
        <w:rPr>
          <w:rFonts w:hint="eastAsia" w:ascii="宋体" w:hAnsi="宋体" w:eastAsia="宋体" w:cs="宋体"/>
          <w:color w:val="auto"/>
          <w:sz w:val="21"/>
          <w:szCs w:val="21"/>
          <w:highlight w:val="none"/>
          <w:lang w:eastAsia="zh-CN"/>
        </w:rPr>
        <w:t>累计支付的进度款不超过暂定总合同价款价税合计的80%，待工程竣工验收合格，项目结算完毕，并提交请款报告后30天内，丙方</w:t>
      </w:r>
      <w:r>
        <w:rPr>
          <w:rFonts w:hint="eastAsia" w:ascii="宋体" w:hAnsi="宋体" w:eastAsia="宋体" w:cs="宋体"/>
          <w:color w:val="auto"/>
          <w:sz w:val="21"/>
          <w:szCs w:val="21"/>
          <w:highlight w:val="none"/>
          <w:lang w:val="en-US" w:eastAsia="zh-CN"/>
        </w:rPr>
        <w:t>或甲方</w:t>
      </w:r>
      <w:r>
        <w:rPr>
          <w:rFonts w:hint="eastAsia" w:ascii="宋体" w:hAnsi="宋体" w:eastAsia="宋体" w:cs="宋体"/>
          <w:color w:val="auto"/>
          <w:sz w:val="21"/>
          <w:szCs w:val="21"/>
          <w:highlight w:val="none"/>
          <w:lang w:eastAsia="zh-CN"/>
        </w:rPr>
        <w:t>按结算价一次性支付余款</w:t>
      </w:r>
      <w:r>
        <w:rPr>
          <w:rFonts w:hint="eastAsia" w:ascii="宋体" w:hAnsi="宋体" w:eastAsia="宋体" w:cs="宋体"/>
          <w:color w:val="auto"/>
          <w:sz w:val="21"/>
          <w:szCs w:val="21"/>
          <w:highlight w:val="none"/>
        </w:rPr>
        <w:t>。</w:t>
      </w:r>
    </w:p>
    <w:p w14:paraId="49BBB662">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乙方收取每笔款项前，在提交请款报告的同时一并提供等额有效的增值税专用发票，丙方</w:t>
      </w:r>
      <w:r>
        <w:rPr>
          <w:rFonts w:hint="eastAsia" w:ascii="宋体" w:hAnsi="宋体" w:eastAsia="宋体" w:cs="宋体"/>
          <w:color w:val="auto"/>
          <w:sz w:val="21"/>
          <w:szCs w:val="21"/>
          <w:highlight w:val="none"/>
          <w:lang w:val="en-US" w:eastAsia="zh-CN"/>
        </w:rPr>
        <w:t>或甲方</w:t>
      </w:r>
      <w:r>
        <w:rPr>
          <w:rFonts w:hint="eastAsia" w:ascii="宋体" w:hAnsi="宋体" w:eastAsia="宋体" w:cs="宋体"/>
          <w:color w:val="auto"/>
          <w:sz w:val="21"/>
          <w:szCs w:val="21"/>
          <w:highlight w:val="none"/>
          <w:lang w:eastAsia="zh-CN"/>
        </w:rPr>
        <w:t>在收到相关请款材料审核后支付；乙方逾期提交请款材料或提供的发票不合格的，丙方</w:t>
      </w:r>
      <w:r>
        <w:rPr>
          <w:rFonts w:hint="eastAsia" w:ascii="宋体" w:hAnsi="宋体" w:eastAsia="宋体" w:cs="宋体"/>
          <w:color w:val="auto"/>
          <w:sz w:val="21"/>
          <w:szCs w:val="21"/>
          <w:highlight w:val="none"/>
          <w:lang w:val="en-US" w:eastAsia="zh-CN"/>
        </w:rPr>
        <w:t>或甲方</w:t>
      </w:r>
      <w:r>
        <w:rPr>
          <w:rFonts w:hint="eastAsia" w:ascii="宋体" w:hAnsi="宋体" w:eastAsia="宋体" w:cs="宋体"/>
          <w:color w:val="auto"/>
          <w:sz w:val="21"/>
          <w:szCs w:val="21"/>
          <w:highlight w:val="none"/>
          <w:lang w:eastAsia="zh-CN"/>
        </w:rPr>
        <w:t>的付款时间可相应顺延，且不视为违约。因支付产生的相关银行手续费用，根据有关银行规定执行，如不能明确费用承担主体的，相关手续费用由双方各承担50%。由于乙方提供的发票不符合税法规定，给丙方</w:t>
      </w:r>
      <w:r>
        <w:rPr>
          <w:rFonts w:hint="eastAsia" w:ascii="宋体" w:hAnsi="宋体" w:eastAsia="宋体" w:cs="宋体"/>
          <w:color w:val="auto"/>
          <w:sz w:val="21"/>
          <w:szCs w:val="21"/>
          <w:highlight w:val="none"/>
          <w:lang w:val="en-US" w:eastAsia="zh-CN"/>
        </w:rPr>
        <w:t>或甲方</w:t>
      </w:r>
      <w:r>
        <w:rPr>
          <w:rFonts w:hint="eastAsia" w:ascii="宋体" w:hAnsi="宋体" w:eastAsia="宋体" w:cs="宋体"/>
          <w:color w:val="auto"/>
          <w:sz w:val="21"/>
          <w:szCs w:val="21"/>
          <w:highlight w:val="none"/>
          <w:lang w:eastAsia="zh-CN"/>
        </w:rPr>
        <w:t>造成的损失由乙方承担赔偿责任</w:t>
      </w:r>
      <w:r>
        <w:rPr>
          <w:rFonts w:hint="eastAsia" w:ascii="宋体" w:hAnsi="宋体" w:eastAsia="宋体" w:cs="宋体"/>
          <w:color w:val="auto"/>
          <w:sz w:val="21"/>
          <w:szCs w:val="21"/>
          <w:highlight w:val="none"/>
        </w:rPr>
        <w:t>。</w:t>
      </w:r>
    </w:p>
    <w:p w14:paraId="07E8B74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3C5763AD">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六、双方权利及义务</w:t>
      </w:r>
    </w:p>
    <w:p w14:paraId="3E4743F2">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1.甲方权利及义务：</w:t>
      </w:r>
    </w:p>
    <w:p w14:paraId="2930B902">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规定的行为有权要求改正。</w:t>
      </w:r>
    </w:p>
    <w:p w14:paraId="5EA9150C">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、合同约定的，有权要求补充、更换及追究乙方其他违约责任。</w:t>
      </w:r>
    </w:p>
    <w:p w14:paraId="0DD90F81">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（3）对发现乙方违反本合同、招</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或服务合同的有关规定或承诺，甲方有权追究乙方的违约责任，扣除或没收本合同履约担保。</w:t>
      </w:r>
    </w:p>
    <w:p w14:paraId="7B430DA9">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（4）协助乙方仪器及运输设备顺利进场。</w:t>
      </w:r>
    </w:p>
    <w:p w14:paraId="5B0ABFC1">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（5）监督受监施工单位定时向乙方提供进度计划，协调作业时间，保证乙方有足够时间展开检测工作。</w:t>
      </w:r>
    </w:p>
    <w:p w14:paraId="4903F9AC">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（6）有权对乙方的检测工作进行监督，对其违约行为发出整改通知。</w:t>
      </w:r>
    </w:p>
    <w:p w14:paraId="49C6ABF9">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（7）合同履约期间，甲方有权对检测范围、要求、规模及特征等根据项目实际情况作出相应调整，调整后双方根据实际工作量进行结算。</w:t>
      </w:r>
    </w:p>
    <w:p w14:paraId="30EE9E2B">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（8）甲方按照既定的审批程序，及时办理服务费的审批手续。</w:t>
      </w:r>
    </w:p>
    <w:p w14:paraId="451336B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（9）施工现场用水、用电在有条件的情况下由甲方负责提供水、电接入点，乙方自行接入</w:t>
      </w:r>
      <w:r>
        <w:rPr>
          <w:rFonts w:hint="eastAsia" w:ascii="宋体" w:hAnsi="宋体" w:eastAsia="宋体" w:cs="宋体"/>
          <w:color w:val="auto"/>
          <w:sz w:val="21"/>
          <w:szCs w:val="21"/>
          <w:highlight w:val="none"/>
          <w:lang w:val="en-US" w:eastAsia="zh-CN"/>
        </w:rPr>
        <w:t>并承担相关的费用</w:t>
      </w:r>
      <w:r>
        <w:rPr>
          <w:rFonts w:hint="eastAsia" w:ascii="宋体" w:hAnsi="宋体" w:eastAsia="宋体" w:cs="宋体"/>
          <w:color w:val="auto"/>
          <w:sz w:val="21"/>
          <w:szCs w:val="21"/>
          <w:highlight w:val="none"/>
        </w:rPr>
        <w:t>。</w:t>
      </w:r>
    </w:p>
    <w:p w14:paraId="7B6649F0">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（10）合同文件及附件内容约定的甲方其余权利义务。</w:t>
      </w:r>
    </w:p>
    <w:p w14:paraId="3146C4E7">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2.乙方权利及义务：</w:t>
      </w:r>
    </w:p>
    <w:p w14:paraId="2D17D41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的履行期间，乙方应当保持相应资质的有效性，且具备在东莞市开展检测服务工作的资格条件。因乙方资质条件丧失，导致无法开展检测工作的，甲方有权另行委托其他第三方，并且乙方需向甲方支付暂定总合同价款（含税）的20%的违约金。同时，造成甲方的经济损失（包括但不限于重新</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、委托第三方的费用），由乙方承担全部赔偿。</w:t>
      </w:r>
    </w:p>
    <w:p w14:paraId="053519B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（2）对甲方委派的检测工作，乙方应当根据本合同约定、招</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及甲方要求进行开展，不得借故拒绝接受委托。</w:t>
      </w:r>
    </w:p>
    <w:p w14:paraId="21AB1C4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（3）按照国家颁发的有关检测技术标准或规范，采用科学先进的方法进行检测评估和试验过程的全程监控、记录，保证数据真实可靠，对检测结果真实性、准确性、合法性、完整性负责。</w:t>
      </w:r>
    </w:p>
    <w:p w14:paraId="21CFA0C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检测报告、数据成果、文件等质量不合格的，应负责无偿给予修改、补充完善使其达到甲方要求；如乙方怠于或无力修改、补充完善，甲方有权另委托其他单位继续进行，乙方应承担由此产生的全部检测费用及其他损失。</w:t>
      </w:r>
    </w:p>
    <w:p w14:paraId="3A92D7E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乙方提供的检测报告、数据成果、文件等质量不合格造成甲方经济损失（包括但不限于检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p>
    <w:p w14:paraId="6EE8543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14:paraId="215453E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（7）严格遵守国家法律、法规，协助甲方做好社会治安综合管理工作和计划生育等工作。乙方员工有违法乱纪或犯罪的行为，乙方应承担一切经济责任和法律责任。</w:t>
      </w:r>
    </w:p>
    <w:p w14:paraId="187C6CD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589CD8F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14:paraId="6E6DD2B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合同期限内保存好全部与检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69DCFFE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（11）如施工现场甲方无法提供水、电接入点，乙方自行解决施工用水、用电并承担相关费用。</w:t>
      </w:r>
    </w:p>
    <w:p w14:paraId="69BE042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（12）乙方应按本合同及招、</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的要求按时提供检测报告和其他甲方认为有必要提供的中间过程资料、图表、照片（包括电子资料）等，以及向甲方提供咨询服务和建议。</w:t>
      </w:r>
    </w:p>
    <w:p w14:paraId="48805D0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（13）检测过程中，乙方自行对本单位的仪器、设备安全负责，自行承担保管职责，对检测所产生的水、电等费用由乙方负责。</w:t>
      </w:r>
    </w:p>
    <w:p w14:paraId="3C7AED9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（14）与检测工程的施工单位、设计单位、监理单位等单位相互配合，数据共享。</w:t>
      </w:r>
    </w:p>
    <w:p w14:paraId="51DAC38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（15）本合同约定范围内必要的修改，补充，应由乙方负责，甲方不再另付检测费用或其他费用。</w:t>
      </w:r>
    </w:p>
    <w:p w14:paraId="48A03AE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在检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14:paraId="27A49F8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（17）乙方提交给甲方的检测成果知识产权归属甲方，乙方须确保甲方在使用过程中免受第三方关于知识产权或其他合法权益的起诉，否则，乙方应承担由此给甲方造成的一切损失。</w:t>
      </w:r>
    </w:p>
    <w:p w14:paraId="5BDB2BA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乙方应确保其具备履行本合同工作所需的相关资质，否则，因此产生的一切后果由乙方承担。乙方应建立健全内部管理制度，并接受甲方及有关主管部门对项目服务状况、服务质量的监督检查。因乙方原因导致甲方损失的，应当全额赔偿甲方的损失。</w:t>
      </w:r>
    </w:p>
    <w:p w14:paraId="5C50D80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启动履约担保支付。</w:t>
      </w:r>
    </w:p>
    <w:p w14:paraId="52132A8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（20）本合同所述的乙方应承担的甲方损失，包括但不限于甲方支出的赔偿金、诉讼费、保全费、律师费、鉴定费等。</w:t>
      </w:r>
    </w:p>
    <w:p w14:paraId="1E410F4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（21）本项目禁止转包，若特殊项目乙方无相应资质的，必须经甲方批准后送符合条件（具备相应资质）的分包单位进行检测，并出具相应的检测报告，否则将视为乙方违约，出具的报告不予承认。</w:t>
      </w:r>
    </w:p>
    <w:p w14:paraId="57BED7F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（22）合同文件及附件内容约定的乙方其他权利义务。</w:t>
      </w:r>
    </w:p>
    <w:p w14:paraId="13256C4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4384C6C7">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七、成果要求</w:t>
      </w:r>
    </w:p>
    <w:p w14:paraId="57FBB1D1">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合同签订后15天内，乙方应根据批准的工程施工组织设计、工程设计文件、市政工程建设标准、国家及行业规范等制定并向甲方提交详细的可实施的检测方案1份。乙方应积极配合甲方调整优化检测方案，并提交甲方确认。</w:t>
      </w:r>
    </w:p>
    <w:p w14:paraId="65CFA8AD">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2、乙方在各项检测工作完成后应提交检测报告一式三份（含纸质版及电子档），检测报告包含但不限于：项目概况、检测位置、检测结果与结论、各类原始记录等内容，具体以相关规范为准。</w:t>
      </w:r>
    </w:p>
    <w:p w14:paraId="35291B55">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3、乙方应向甲方提交正式、合法的检测报告书，并同时加盖资质认定标志（即CMA印章）和乙方检验检测报告专用章。</w:t>
      </w:r>
    </w:p>
    <w:p w14:paraId="4E9786E5">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4、乙方所提供给甲方的成果资料所有权由甲方享有，未经甲方许可，乙方不得将成果泄露给第三方。</w:t>
      </w:r>
    </w:p>
    <w:p w14:paraId="0CB08740">
      <w:pPr>
        <w:widowControl w:val="0"/>
        <w:wordWrap/>
        <w:adjustRightInd w:val="0"/>
        <w:snapToGrid w:val="0"/>
        <w:spacing w:line="36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5、乙方须保证检测成果质量，对技术成果负完全责任，如因检测不实，造成甲方经济损失费用全部由乙方承担，并应负责重检。</w:t>
      </w:r>
    </w:p>
    <w:p w14:paraId="4E2D656E">
      <w:pPr>
        <w:adjustRightInd w:val="0"/>
        <w:snapToGrid w:val="0"/>
        <w:spacing w:line="360" w:lineRule="auto"/>
        <w:ind w:firstLine="0" w:firstLineChars="0"/>
        <w:rPr>
          <w:rFonts w:hint="eastAsia" w:ascii="宋体" w:hAnsi="宋体" w:eastAsia="宋体" w:cs="宋体"/>
          <w:bCs/>
          <w:color w:val="auto"/>
          <w:sz w:val="21"/>
          <w:szCs w:val="21"/>
          <w:highlight w:val="none"/>
        </w:rPr>
      </w:pPr>
    </w:p>
    <w:p w14:paraId="4839A803">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八、质量控制标准</w:t>
      </w:r>
    </w:p>
    <w:p w14:paraId="4A896DF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1.乙方应当建立健全并落实各项管理制度，保证检测项目工作正常进行，并接受甲方及有关主管部门对项目服务质量的监督检查。</w:t>
      </w:r>
    </w:p>
    <w:p w14:paraId="6B41D9A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2.乙方应建立并实施符合本项目各项要求的质量管理体系。</w:t>
      </w:r>
    </w:p>
    <w:p w14:paraId="0457C88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3.甲方代表有权在工作时间内进入乙方的工作地点检查其质保手册、质量计划及其它与质量相关的文件的实施情况。</w:t>
      </w:r>
    </w:p>
    <w:p w14:paraId="7AEE943C">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p>
    <w:p w14:paraId="72ACFB43">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九、人员及设备要求</w:t>
      </w:r>
    </w:p>
    <w:p w14:paraId="202EE7A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1.乙方派出的检测人员应具备相应的专业知识及技术水平，有足够能力完成本项目检测服务工作。</w:t>
      </w:r>
    </w:p>
    <w:p w14:paraId="5D40444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需配备1名项目负责人、1名技术负责人及数量充足的检测工作人员，保证检测工作有序、顺利完成。</w:t>
      </w:r>
    </w:p>
    <w:p w14:paraId="10804F4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3.乙方应配备完成本项目所必须的检测设备，其性能良好并符合国家规定。同时配备数量充足的交通警示标志和施工</w:t>
      </w:r>
      <w:r>
        <w:rPr>
          <w:rFonts w:hint="eastAsia" w:ascii="宋体" w:hAnsi="宋体" w:eastAsia="宋体" w:cs="宋体"/>
          <w:color w:val="auto"/>
          <w:sz w:val="21"/>
          <w:szCs w:val="21"/>
          <w:highlight w:val="none"/>
          <w:lang w:eastAsia="zh-CN"/>
        </w:rPr>
        <w:t>围挡</w:t>
      </w:r>
      <w:r>
        <w:rPr>
          <w:rFonts w:hint="eastAsia" w:ascii="宋体" w:hAnsi="宋体" w:eastAsia="宋体" w:cs="宋体"/>
          <w:color w:val="auto"/>
          <w:sz w:val="21"/>
          <w:szCs w:val="21"/>
          <w:highlight w:val="none"/>
        </w:rPr>
        <w:t>，以及检测仪器、无线通讯设备、劳动防护用品等其它必须使用的工具。</w:t>
      </w:r>
    </w:p>
    <w:p w14:paraId="0042FF95">
      <w:pPr>
        <w:widowControl/>
        <w:adjustRightInd w:val="0"/>
        <w:snapToGrid w:val="0"/>
        <w:spacing w:line="360" w:lineRule="auto"/>
        <w:rPr>
          <w:rFonts w:hint="eastAsia" w:ascii="宋体" w:hAnsi="宋体" w:eastAsia="宋体" w:cs="宋体"/>
          <w:color w:val="auto"/>
          <w:sz w:val="21"/>
          <w:szCs w:val="21"/>
          <w:highlight w:val="none"/>
        </w:rPr>
      </w:pPr>
    </w:p>
    <w:p w14:paraId="1C463547">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十、违约责任</w:t>
      </w:r>
    </w:p>
    <w:p w14:paraId="4481036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乙方未按本合同约定配备必要的办公场所、设备或者服务人员的，甲方有权就违约事宜提出改正，如乙方仍拒不改正的，甲方有权选择解除本合同或服务合同，并没收全部履约担保。</w:t>
      </w:r>
    </w:p>
    <w:p w14:paraId="2CA2E27A">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在本合同履行过程中，无论何种原因，乙方均不得消极怠工或拒不履行合同义务（包括但不限于技术支持、专家会审、解答释疑、事故处理，修正检测报告及数据成果等），或履行的合同义务不符合要求的。如有违反，将视为乙方违约，甲方有权就违约事宜提出改正，要求乙方按壹万元/次承担违约金，若限期内未按照甲方要求进行整改或限期整改后不符合甲方要求的，甲方有权选择解除合同，要求乙方按暂定总合同价款（含税）的10%承担违约金，并有权依法委托有资质的第三方继续履行本合同义务，由此造成的一切损失由乙方承担。同时，甲方有权将情况如实报送至政府相关主管部门</w:t>
      </w:r>
      <w:r>
        <w:rPr>
          <w:rFonts w:hint="eastAsia" w:ascii="宋体" w:hAnsi="宋体" w:eastAsia="宋体" w:cs="宋体"/>
          <w:bCs/>
          <w:color w:val="auto"/>
          <w:sz w:val="21"/>
          <w:szCs w:val="21"/>
          <w:highlight w:val="none"/>
        </w:rPr>
        <w:t>。</w:t>
      </w:r>
    </w:p>
    <w:p w14:paraId="71141CB4">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由于乙方原因造成检测报告、成果数据、文件等质量不合格，不能满足技术要求时，乙方除按合同约定承担责任外，其返工重新检测等产生的费用由乙方承担</w:t>
      </w:r>
      <w:r>
        <w:rPr>
          <w:rFonts w:hint="eastAsia" w:ascii="宋体" w:hAnsi="宋体" w:eastAsia="宋体" w:cs="宋体"/>
          <w:bCs/>
          <w:color w:val="auto"/>
          <w:sz w:val="21"/>
          <w:szCs w:val="21"/>
          <w:highlight w:val="none"/>
        </w:rPr>
        <w:t>。</w:t>
      </w:r>
    </w:p>
    <w:p w14:paraId="4842E678">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4.合同履行期间，由于工程停建而终止合同或甲方要求解除合同时，双方互不承担赔偿责任。乙方未进行检测工作的，应退还甲方已预付的费用；已进行检测工作的，根据其</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报价按甲方审核确认实际完成的工作量进行结算。</w:t>
      </w:r>
    </w:p>
    <w:p w14:paraId="7DBF2732">
      <w:pPr>
        <w:adjustRightInd w:val="0"/>
        <w:snapToGrid w:val="0"/>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5.若非甲方原因，由于乙方原因未按甲方要求时间（日期）提交检测报告、成果数据、文件资料、检测方案的，或未按期履行其他义务的，每逾期一日，乙方按贰仟元/天承担违约金。逾期超过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日的，甲方有权单方解除合同，且乙方须承担履约担保等额的违约金，同时有权没收履约担保。同时，造成甲方的经济损失（包括但不限于重新</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、委托第三方的费用），由乙方承担全部赔偿。</w:t>
      </w:r>
    </w:p>
    <w:p w14:paraId="0FFBC13F">
      <w:pPr>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6.合同履行期间，乙方未达到的投标时承诺的事项，每次按暂定总合同价款（含税）的1%承担违约金。</w:t>
      </w:r>
    </w:p>
    <w:p w14:paraId="61099780">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乙方违反约定非法转包、分包的，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p w14:paraId="7634A9BE">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乙方存在如下情形之一的，甲方有权书面通知乙方单方解除本合同，并由乙方承担履约担保等额的违约金，同时有权没收履约担保，给甲方造成损失的，乙方还足额应赔偿甲方：</w:t>
      </w:r>
    </w:p>
    <w:p w14:paraId="41F039F4">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（1）提供虚假信息、误导或欺骗甲方及丙方，以谋取非法利益的；</w:t>
      </w:r>
    </w:p>
    <w:p w14:paraId="3A4B4044">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（2）违反诚信信用原则，没有严格执行相关质量、服务，损害甲方、丙方或相关用户单位的利益的；</w:t>
      </w:r>
    </w:p>
    <w:p w14:paraId="0CF304FC">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（3）违反有关法律法规以及本合同的约定，损害甲方利益的；</w:t>
      </w:r>
    </w:p>
    <w:p w14:paraId="77AAA30A">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（4）拒绝接受甲方、丙方及相关部门监督、检查的；</w:t>
      </w:r>
    </w:p>
    <w:p w14:paraId="1BD9D52C">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（5）出现信用危机、财务危机、生产经营危机甚至破产、倒闭，无法继续履行本合同的；</w:t>
      </w:r>
    </w:p>
    <w:p w14:paraId="695E1BF0">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（6）采用非法手段进行不正当竞争的，构成恶劣影响；</w:t>
      </w:r>
    </w:p>
    <w:p w14:paraId="52638E9C">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（7）违反本合同约定，泄露服务项目内容的。</w:t>
      </w:r>
    </w:p>
    <w:p w14:paraId="4DA4A2B0">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应按及时足额向工人发放工资待遇以及其他劳动待遇等，不得无故拖欠或克扣，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p w14:paraId="1D8F7279">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乙方必须积极响应并接受相关部门的监督检查，若受到相关部门的批评，经调查认定情况属实的，视情节轻重要求其承担违约责任；造成恶劣影响的，甲方有权解除合同。</w:t>
      </w:r>
    </w:p>
    <w:p w14:paraId="2976B17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在服务年限内，在履行本合同约定的义务过程中出现违反国家法律法规、主管部门规章制度、擅自提高价格或提供伪劣服务内容、服务质量低劣造成甲方损失等情况的，甲方有权视不同情况分别给予警告、抵扣履约担保或取消合同等处理。</w:t>
      </w:r>
    </w:p>
    <w:p w14:paraId="593E35AA">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未经甲方书面同意，乙方变更项目负责人或技术负责人的，甲方有权要求乙方按伍万元/人/次承担违约金。</w:t>
      </w:r>
    </w:p>
    <w:p w14:paraId="29141B3E">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每季度对</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评价一次，出具考核评价结果。</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将严格按照考核评分标准对</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进行季度检查和考核。考评[70,80)分的，处相应付款周期内经</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确认的检测费的10%作为违约金，考评[60,70)分的，处相应付款周期经</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确认的检测费的20%作为违约金，考评60分以下的，处相应付款周期经</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确认的检测的30%作为违约金。上述“[”代表闭区间，“)”代表开区间，如[70,80)代表该分数段范围为大于等于70且小于80。达到相应付款周期时,如</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 xml:space="preserve">未申请支付本期费用, </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根据支付条件暂定本周期检测费并计算本周期内应缴纳的暂定违约金，</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应予以缴纳。下一周期仍未申请时按上述做法执行，待到</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申请支付费用时，根据合同付款流程确认检测费，同步对以往暂定违约金在本次一并确认并予以结算。</w:t>
      </w:r>
    </w:p>
    <w:p w14:paraId="08B7E0C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依据本合同条款对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处以违约金、赔偿、扣款等款项的，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应在收到违约（赔偿或扣款等款项）处理通知书之日起的五个工作日内通过</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公司账户支付至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指定账户（须备注本项目名称），或书面授权</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相关工作人员以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为交款人通过现金方式存入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指定账户（须备注本项目名称），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收到款项后向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提供收据。如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未按上述要求交纳违约金、赔偿、扣款等款项的，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不予审批当期的进度款。甲方指定收款账户信息：</w:t>
      </w:r>
    </w:p>
    <w:p w14:paraId="04EEA45B">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eastAsia="zh-CN"/>
        </w:rPr>
        <w:t>东莞市水务环境投资控股集团建设管理有限公司</w:t>
      </w:r>
    </w:p>
    <w:p w14:paraId="1B4962E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开户银行：中国工商银行股份有限公司东莞分行</w:t>
      </w:r>
    </w:p>
    <w:p w14:paraId="3C4B225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银行账号：2010021309200628330</w:t>
      </w:r>
    </w:p>
    <w:p w14:paraId="3AC7065E">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.因乙方违约，</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通过司法途径维护自身权益的，乙方应承担</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由此支出的律师费、诉讼费、执行费、鉴定费、公证费、财产保全费及保险费等全部费用。</w:t>
      </w:r>
    </w:p>
    <w:p w14:paraId="5BF33FFF">
      <w:pPr>
        <w:adjustRightInd w:val="0"/>
        <w:snapToGrid w:val="0"/>
        <w:spacing w:line="360" w:lineRule="auto"/>
        <w:ind w:firstLine="420" w:firstLineChars="200"/>
        <w:rPr>
          <w:rFonts w:hint="eastAsia" w:ascii="宋体" w:hAnsi="宋体" w:eastAsia="宋体" w:cs="宋体"/>
          <w:bCs/>
          <w:color w:val="auto"/>
          <w:sz w:val="21"/>
          <w:szCs w:val="21"/>
          <w:highlight w:val="none"/>
        </w:rPr>
      </w:pPr>
    </w:p>
    <w:p w14:paraId="00551745">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十一、履约担保</w:t>
      </w:r>
    </w:p>
    <w:p w14:paraId="23E862DA">
      <w:pPr>
        <w:widowControl/>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的规定在签订本合同前向甲方提供履约担保，履约担保形式由乙方从以下方式中任选一种：履约保证金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金额为</w:t>
      </w:r>
      <w:r>
        <w:rPr>
          <w:rFonts w:hint="eastAsia" w:ascii="宋体" w:hAnsi="宋体" w:eastAsia="宋体" w:cs="宋体"/>
          <w:color w:val="auto"/>
          <w:sz w:val="21"/>
          <w:szCs w:val="21"/>
          <w:highlight w:val="none"/>
          <w:lang w:val="en-US" w:eastAsia="zh-CN"/>
        </w:rPr>
        <w:t>签约</w:t>
      </w:r>
      <w:r>
        <w:rPr>
          <w:rFonts w:hint="eastAsia" w:ascii="宋体" w:hAnsi="宋体" w:eastAsia="宋体" w:cs="宋体"/>
          <w:color w:val="auto"/>
          <w:sz w:val="21"/>
          <w:szCs w:val="21"/>
          <w:highlight w:val="none"/>
        </w:rPr>
        <w:t>合同价的5%；银行履约保函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金额为</w:t>
      </w:r>
      <w:r>
        <w:rPr>
          <w:rFonts w:hint="eastAsia" w:ascii="宋体" w:hAnsi="宋体" w:eastAsia="宋体" w:cs="宋体"/>
          <w:color w:val="auto"/>
          <w:sz w:val="21"/>
          <w:szCs w:val="21"/>
          <w:highlight w:val="none"/>
          <w:lang w:val="en-US" w:eastAsia="zh-CN"/>
        </w:rPr>
        <w:t>签约</w:t>
      </w:r>
      <w:r>
        <w:rPr>
          <w:rFonts w:hint="eastAsia" w:ascii="宋体" w:hAnsi="宋体" w:eastAsia="宋体" w:cs="宋体"/>
          <w:color w:val="auto"/>
          <w:sz w:val="21"/>
          <w:szCs w:val="21"/>
          <w:highlight w:val="none"/>
        </w:rPr>
        <w:t>合同价的8%；</w:t>
      </w:r>
      <w:r>
        <w:rPr>
          <w:rFonts w:hint="eastAsia" w:ascii="宋体" w:hAnsi="宋体" w:eastAsia="宋体" w:cs="宋体"/>
          <w:color w:val="auto"/>
          <w:sz w:val="21"/>
          <w:szCs w:val="21"/>
          <w:highlight w:val="none"/>
          <w:lang w:val="en-US" w:eastAsia="zh-CN"/>
        </w:rPr>
        <w:t>保险公司出具的建筑工程</w:t>
      </w:r>
      <w:r>
        <w:rPr>
          <w:rFonts w:hint="eastAsia" w:ascii="宋体" w:hAnsi="宋体" w:eastAsia="宋体" w:cs="宋体"/>
          <w:color w:val="auto"/>
          <w:sz w:val="21"/>
          <w:szCs w:val="21"/>
          <w:highlight w:val="none"/>
        </w:rPr>
        <w:t>履约保证保险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金额为</w:t>
      </w:r>
      <w:r>
        <w:rPr>
          <w:rFonts w:hint="eastAsia" w:ascii="宋体" w:hAnsi="宋体" w:eastAsia="宋体" w:cs="宋体"/>
          <w:color w:val="auto"/>
          <w:sz w:val="21"/>
          <w:szCs w:val="21"/>
          <w:highlight w:val="none"/>
          <w:lang w:val="en-US" w:eastAsia="zh-CN"/>
        </w:rPr>
        <w:t>签约</w:t>
      </w:r>
      <w:r>
        <w:rPr>
          <w:rFonts w:hint="eastAsia" w:ascii="宋体" w:hAnsi="宋体" w:eastAsia="宋体" w:cs="宋体"/>
          <w:color w:val="auto"/>
          <w:sz w:val="21"/>
          <w:szCs w:val="21"/>
          <w:highlight w:val="none"/>
        </w:rPr>
        <w:t>合同价的8%；履约担保书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金额为</w:t>
      </w:r>
      <w:r>
        <w:rPr>
          <w:rFonts w:hint="eastAsia" w:ascii="宋体" w:hAnsi="宋体" w:eastAsia="宋体" w:cs="宋体"/>
          <w:color w:val="auto"/>
          <w:sz w:val="21"/>
          <w:szCs w:val="21"/>
          <w:highlight w:val="none"/>
          <w:lang w:val="en-US" w:eastAsia="zh-CN"/>
        </w:rPr>
        <w:t>签约</w:t>
      </w:r>
      <w:r>
        <w:rPr>
          <w:rFonts w:hint="eastAsia" w:ascii="宋体" w:hAnsi="宋体" w:eastAsia="宋体" w:cs="宋体"/>
          <w:color w:val="auto"/>
          <w:sz w:val="21"/>
          <w:szCs w:val="21"/>
          <w:highlight w:val="none"/>
        </w:rPr>
        <w:t>合同价的10%。</w:t>
      </w:r>
    </w:p>
    <w:p w14:paraId="3363F19B">
      <w:pPr>
        <w:widowControl/>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合同履行过程中，</w:t>
      </w:r>
      <w:r>
        <w:rPr>
          <w:rFonts w:hint="eastAsia" w:ascii="宋体" w:hAnsi="宋体" w:eastAsia="宋体" w:cs="宋体"/>
          <w:bCs/>
          <w:color w:val="auto"/>
          <w:kern w:val="0"/>
          <w:sz w:val="21"/>
          <w:szCs w:val="21"/>
          <w:highlight w:val="none"/>
          <w:lang w:eastAsia="zh-CN"/>
        </w:rPr>
        <w:t>乙方</w:t>
      </w:r>
      <w:r>
        <w:rPr>
          <w:rFonts w:hint="eastAsia" w:ascii="宋体" w:hAnsi="宋体" w:eastAsia="宋体" w:cs="宋体"/>
          <w:color w:val="auto"/>
          <w:kern w:val="0"/>
          <w:sz w:val="21"/>
          <w:szCs w:val="21"/>
          <w:highlight w:val="none"/>
        </w:rPr>
        <w:t>给</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造成的损失超过履约担保数额的，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还应当对超过部分予以赔偿，</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并依法追究</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的相应责任。</w:t>
      </w:r>
    </w:p>
    <w:p w14:paraId="2D4F0E3F">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有权依合同追究违约责任外，同时有权提取履约担保并进行相应处理：</w:t>
      </w:r>
    </w:p>
    <w:p w14:paraId="672E8965">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将合同项下</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的权利义务全部转让给第三方，或未经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书面同意将部分权利义务转让给第三方的，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有权没收其履约担保。</w:t>
      </w:r>
    </w:p>
    <w:p w14:paraId="104954A0">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怠于履行合同义务，经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通知或要求承担违约金后仍拒不改正的，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可依法没收或根据本合同《乙方违约处理一览表》约定的违约金标准扣除其履约担保。</w:t>
      </w:r>
    </w:p>
    <w:p w14:paraId="54672E5F">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服</w:t>
      </w:r>
      <w:r>
        <w:rPr>
          <w:rFonts w:hint="eastAsia" w:ascii="宋体" w:hAnsi="宋体" w:eastAsia="宋体" w:cs="宋体"/>
          <w:color w:val="auto"/>
          <w:sz w:val="21"/>
          <w:szCs w:val="21"/>
          <w:highlight w:val="none"/>
        </w:rPr>
        <w:t>务质量问题造成损害、侵权损失（包括但不限于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经济损失、第三人人身财产损失等）、与其所雇用员工发生劳资纠纷、上访、闹事或其他影响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生产经营等情况而其未及时妥善处理的，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有权使用履约担保予以支付或作出相应处理，由此产生的一切法律后果由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76C3C79E">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违约产生的违约金、赔偿、罚款或其他应付费用等款项，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有权直接从未付款项中直接扣除或启用履约担保予以支付。</w:t>
      </w:r>
    </w:p>
    <w:p w14:paraId="01B013AC">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合同期内，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不能及时完成合同某项义务的，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有权提取履约担保用于处理该项工作。</w:t>
      </w:r>
    </w:p>
    <w:p w14:paraId="134E1ED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其他根据本合同约定或法律规定，</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可启用履约担保的情形。</w:t>
      </w:r>
    </w:p>
    <w:p w14:paraId="545BF1D0">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以履约保证金（银行转账形式）提供履约担保的在依法完成本项目的所有合同义务，且结算完毕之后二十八（28）个日历天后，经</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确认，</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可向</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提交退回履约担保的申请。</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审核无异议后，办理履约担保退还手续，退回时一律以银行转账的形式无息退回到</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账户</w:t>
      </w:r>
      <w:r>
        <w:rPr>
          <w:rFonts w:hint="eastAsia" w:ascii="宋体" w:hAnsi="宋体" w:eastAsia="宋体" w:cs="宋体"/>
          <w:color w:val="auto"/>
          <w:kern w:val="0"/>
          <w:sz w:val="21"/>
          <w:szCs w:val="21"/>
          <w:highlight w:val="none"/>
        </w:rPr>
        <w:t>。</w:t>
      </w:r>
    </w:p>
    <w:p w14:paraId="69A4D0FD">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4.如乙方提供不可撤销银行履约保函（或履约保证保险</w:t>
      </w:r>
      <w:r>
        <w:rPr>
          <w:rFonts w:hint="eastAsia" w:ascii="宋体" w:hAnsi="宋体" w:eastAsia="宋体" w:cs="宋体"/>
          <w:color w:val="auto"/>
          <w:sz w:val="21"/>
          <w:szCs w:val="21"/>
          <w:highlight w:val="none"/>
          <w:lang w:eastAsia="zh-CN"/>
        </w:rPr>
        <w:t>或担保公司或政府性融资担保机构</w:t>
      </w:r>
      <w:r>
        <w:rPr>
          <w:rFonts w:hint="eastAsia" w:ascii="宋体" w:hAnsi="宋体" w:eastAsia="宋体" w:cs="宋体"/>
          <w:color w:val="auto"/>
          <w:sz w:val="21"/>
          <w:szCs w:val="21"/>
          <w:highlight w:val="none"/>
        </w:rPr>
        <w:t>履约担保书）作为履约担保的，不可撤销银行履约保函（或履约保证保险</w:t>
      </w:r>
      <w:r>
        <w:rPr>
          <w:rFonts w:hint="eastAsia" w:ascii="宋体" w:hAnsi="宋体" w:eastAsia="宋体" w:cs="宋体"/>
          <w:color w:val="auto"/>
          <w:sz w:val="21"/>
          <w:szCs w:val="21"/>
          <w:highlight w:val="none"/>
          <w:lang w:eastAsia="zh-CN"/>
        </w:rPr>
        <w:t>或担保公司或政府性融资担保机构</w:t>
      </w:r>
      <w:r>
        <w:rPr>
          <w:rFonts w:hint="eastAsia" w:ascii="宋体" w:hAnsi="宋体" w:eastAsia="宋体" w:cs="宋体"/>
          <w:color w:val="auto"/>
          <w:sz w:val="21"/>
          <w:szCs w:val="21"/>
          <w:highlight w:val="none"/>
        </w:rPr>
        <w:t>履约担保书）应从</w:t>
      </w:r>
      <w:r>
        <w:rPr>
          <w:rFonts w:hint="eastAsia" w:ascii="宋体" w:hAnsi="宋体" w:eastAsia="宋体" w:cs="宋体"/>
          <w:color w:val="auto"/>
          <w:sz w:val="21"/>
          <w:szCs w:val="21"/>
          <w:highlight w:val="none"/>
          <w:lang w:eastAsia="zh-CN"/>
        </w:rPr>
        <w:t>合同签订之日起至合同期限届满并履行完毕相关服务义务且结算完毕之后二十八（28）个日历天内保持有效</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如果</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提交的履约担保的有效期届满时间先于</w:t>
      </w:r>
      <w:r>
        <w:rPr>
          <w:rFonts w:hint="eastAsia" w:ascii="宋体" w:hAnsi="宋体" w:eastAsia="宋体" w:cs="宋体"/>
          <w:color w:val="auto"/>
          <w:kern w:val="0"/>
          <w:sz w:val="21"/>
          <w:szCs w:val="21"/>
          <w:highlight w:val="none"/>
          <w:lang w:eastAsia="zh-CN"/>
        </w:rPr>
        <w:t>谈判文件</w:t>
      </w:r>
      <w:r>
        <w:rPr>
          <w:rFonts w:hint="eastAsia" w:ascii="宋体" w:hAnsi="宋体" w:eastAsia="宋体" w:cs="宋体"/>
          <w:color w:val="auto"/>
          <w:kern w:val="0"/>
          <w:sz w:val="21"/>
          <w:szCs w:val="21"/>
          <w:highlight w:val="none"/>
        </w:rPr>
        <w:t>、合同文件要求的，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应在原提交的履约担保有效期届满前15日内，无条件办理符合</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要求的履约担保延期手续，否则视为</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违约，</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有权在不可撤销银行履约保函或履约保证保险</w:t>
      </w:r>
      <w:r>
        <w:rPr>
          <w:rFonts w:hint="eastAsia" w:ascii="宋体" w:hAnsi="宋体" w:eastAsia="宋体" w:cs="宋体"/>
          <w:color w:val="auto"/>
          <w:kern w:val="0"/>
          <w:sz w:val="21"/>
          <w:szCs w:val="21"/>
          <w:highlight w:val="none"/>
          <w:lang w:eastAsia="zh-CN"/>
        </w:rPr>
        <w:t>或担保公司或政府性融资担保机构</w:t>
      </w:r>
      <w:r>
        <w:rPr>
          <w:rFonts w:hint="eastAsia" w:ascii="宋体" w:hAnsi="宋体" w:eastAsia="宋体" w:cs="宋体"/>
          <w:color w:val="auto"/>
          <w:kern w:val="0"/>
          <w:sz w:val="21"/>
          <w:szCs w:val="21"/>
          <w:highlight w:val="none"/>
        </w:rPr>
        <w:t>履约担保书到期前向出具履约担保的机构提取履约担保金。在不可撤销银行履约保函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或履约保证保险</w:t>
      </w:r>
      <w:r>
        <w:rPr>
          <w:rFonts w:hint="eastAsia" w:ascii="宋体" w:hAnsi="宋体" w:eastAsia="宋体" w:cs="宋体"/>
          <w:color w:val="auto"/>
          <w:kern w:val="0"/>
          <w:sz w:val="21"/>
          <w:szCs w:val="21"/>
          <w:highlight w:val="none"/>
          <w:lang w:val="en-US" w:eastAsia="zh-CN"/>
        </w:rPr>
        <w:t>或</w:t>
      </w:r>
      <w:r>
        <w:rPr>
          <w:rFonts w:hint="eastAsia" w:ascii="宋体" w:hAnsi="宋体" w:eastAsia="宋体" w:cs="宋体"/>
          <w:color w:val="auto"/>
          <w:kern w:val="0"/>
          <w:sz w:val="21"/>
          <w:szCs w:val="21"/>
          <w:highlight w:val="none"/>
          <w:lang w:eastAsia="zh-CN"/>
        </w:rPr>
        <w:t>担保公司或政府性融资担保机构</w:t>
      </w:r>
      <w:r>
        <w:rPr>
          <w:rFonts w:hint="eastAsia" w:ascii="宋体" w:hAnsi="宋体" w:eastAsia="宋体" w:cs="宋体"/>
          <w:color w:val="auto"/>
          <w:kern w:val="0"/>
          <w:sz w:val="21"/>
          <w:szCs w:val="21"/>
          <w:highlight w:val="none"/>
        </w:rPr>
        <w:t>履约担保书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到期后</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未按</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要求重新提供的，</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以履约担保金额为限承担违约金，</w:t>
      </w:r>
      <w:r>
        <w:rPr>
          <w:rFonts w:hint="eastAsia" w:ascii="宋体" w:hAnsi="宋体" w:eastAsia="宋体" w:cs="宋体"/>
          <w:color w:val="auto"/>
          <w:sz w:val="21"/>
          <w:szCs w:val="21"/>
          <w:highlight w:val="none"/>
        </w:rPr>
        <w:t>违约金可直接由丙方从未付款项中扣除并支付给甲方。</w:t>
      </w:r>
    </w:p>
    <w:p w14:paraId="50E0CDE5">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要求的，乙方应当在5</w:t>
      </w:r>
      <w:r>
        <w:rPr>
          <w:rFonts w:hint="eastAsia" w:ascii="宋体" w:hAnsi="宋体" w:eastAsia="宋体" w:cs="宋体"/>
          <w:color w:val="auto"/>
          <w:kern w:val="0"/>
          <w:sz w:val="21"/>
          <w:szCs w:val="21"/>
          <w:highlight w:val="none"/>
        </w:rPr>
        <w:t>日内予以补足</w:t>
      </w:r>
      <w:r>
        <w:rPr>
          <w:rFonts w:hint="eastAsia" w:ascii="宋体" w:hAnsi="宋体" w:eastAsia="宋体" w:cs="宋体"/>
          <w:color w:val="auto"/>
          <w:sz w:val="21"/>
          <w:szCs w:val="21"/>
          <w:highlight w:val="none"/>
        </w:rPr>
        <w:t>。逾期不予补足的，甲方有权按需补足的金额要求乙方承担违约金，并要求限期补足。如乙方仍不补足的，甲方有权单方解除合同</w:t>
      </w:r>
      <w:r>
        <w:rPr>
          <w:rFonts w:hint="eastAsia" w:ascii="宋体" w:hAnsi="宋体" w:eastAsia="宋体" w:cs="宋体"/>
          <w:color w:val="auto"/>
          <w:kern w:val="0"/>
          <w:sz w:val="21"/>
          <w:szCs w:val="21"/>
          <w:highlight w:val="none"/>
        </w:rPr>
        <w:t>，违约金可直接从未付合同款或履约担保中扣除</w:t>
      </w:r>
      <w:r>
        <w:rPr>
          <w:rFonts w:hint="eastAsia" w:ascii="宋体" w:hAnsi="宋体" w:eastAsia="宋体" w:cs="宋体"/>
          <w:color w:val="auto"/>
          <w:sz w:val="21"/>
          <w:szCs w:val="21"/>
          <w:highlight w:val="none"/>
        </w:rPr>
        <w:t>。</w:t>
      </w:r>
    </w:p>
    <w:p w14:paraId="64967823">
      <w:pPr>
        <w:widowControl/>
        <w:adjustRightInd w:val="0"/>
        <w:snapToGrid w:val="0"/>
        <w:spacing w:line="360" w:lineRule="auto"/>
        <w:rPr>
          <w:rFonts w:hint="eastAsia" w:ascii="宋体" w:hAnsi="宋体" w:eastAsia="宋体" w:cs="宋体"/>
          <w:color w:val="auto"/>
          <w:sz w:val="21"/>
          <w:szCs w:val="21"/>
          <w:highlight w:val="none"/>
        </w:rPr>
      </w:pPr>
    </w:p>
    <w:p w14:paraId="51CA88FC">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十二、其他约定</w:t>
      </w:r>
    </w:p>
    <w:p w14:paraId="671DB2E0">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本合同专用条款第十二条“其他约定”若与本合同其他条款内容不相一致的，以第十二条优先解释、处理。</w:t>
      </w:r>
    </w:p>
    <w:p w14:paraId="1D5661E9">
      <w:pPr>
        <w:widowControl/>
        <w:numPr>
          <w:ilvl w:val="0"/>
          <w:numId w:val="0"/>
        </w:numPr>
        <w:adjustRightInd w:val="0"/>
        <w:snapToGrid w:val="0"/>
        <w:spacing w:line="360" w:lineRule="auto"/>
        <w:ind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 w:val="21"/>
          <w:szCs w:val="21"/>
          <w:highlight w:val="none"/>
        </w:rPr>
        <w:t>支付、结算条款一览</w:t>
      </w:r>
    </w:p>
    <w:tbl>
      <w:tblPr>
        <w:tblStyle w:val="46"/>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9" w:type="dxa"/>
          <w:left w:w="130" w:type="dxa"/>
          <w:bottom w:w="79" w:type="dxa"/>
          <w:right w:w="130" w:type="dxa"/>
        </w:tblCellMar>
      </w:tblPr>
      <w:tblGrid>
        <w:gridCol w:w="821"/>
        <w:gridCol w:w="1187"/>
        <w:gridCol w:w="8361"/>
      </w:tblGrid>
      <w:tr w14:paraId="5C9A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9" w:type="dxa"/>
            <w:left w:w="130" w:type="dxa"/>
            <w:bottom w:w="79" w:type="dxa"/>
            <w:right w:w="130" w:type="dxa"/>
          </w:tblCellMar>
        </w:tblPrEx>
        <w:trPr>
          <w:trHeight w:val="0" w:hRule="atLeast"/>
        </w:trPr>
        <w:tc>
          <w:tcPr>
            <w:tcW w:w="396" w:type="pct"/>
            <w:vAlign w:val="center"/>
          </w:tcPr>
          <w:p w14:paraId="18D4034D">
            <w:pPr>
              <w:keepNext/>
              <w:keepLines/>
              <w:widowControl w:val="0"/>
              <w:suppressLineNumbers w:val="0"/>
              <w:wordWrap w:val="0"/>
              <w:autoSpaceDE w:val="0"/>
              <w:autoSpaceDN w:val="0"/>
              <w:adjustRightInd w:val="0"/>
              <w:snapToGrid w:val="0"/>
              <w:spacing w:before="0" w:beforeAutospacing="0" w:after="0" w:afterAutospacing="0" w:line="360" w:lineRule="auto"/>
              <w:ind w:left="0" w:right="0"/>
              <w:jc w:val="center"/>
              <w:outlineLvl w:val="3"/>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序号</w:t>
            </w:r>
          </w:p>
        </w:tc>
        <w:tc>
          <w:tcPr>
            <w:tcW w:w="572" w:type="pct"/>
            <w:vAlign w:val="center"/>
          </w:tcPr>
          <w:p w14:paraId="542C14DD">
            <w:pPr>
              <w:keepNext/>
              <w:keepLines/>
              <w:widowControl w:val="0"/>
              <w:suppressLineNumbers w:val="0"/>
              <w:wordWrap w:val="0"/>
              <w:autoSpaceDE w:val="0"/>
              <w:autoSpaceDN w:val="0"/>
              <w:adjustRightInd w:val="0"/>
              <w:snapToGrid w:val="0"/>
              <w:spacing w:before="0" w:beforeAutospacing="0" w:after="0" w:afterAutospacing="0" w:line="360" w:lineRule="auto"/>
              <w:ind w:left="0" w:right="0"/>
              <w:jc w:val="center"/>
              <w:outlineLvl w:val="3"/>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类别</w:t>
            </w:r>
          </w:p>
        </w:tc>
        <w:tc>
          <w:tcPr>
            <w:tcW w:w="4030" w:type="pct"/>
            <w:vAlign w:val="center"/>
          </w:tcPr>
          <w:p w14:paraId="7870EECF">
            <w:pPr>
              <w:keepNext/>
              <w:keepLines/>
              <w:widowControl w:val="0"/>
              <w:suppressLineNumbers w:val="0"/>
              <w:wordWrap w:val="0"/>
              <w:autoSpaceDE w:val="0"/>
              <w:autoSpaceDN w:val="0"/>
              <w:adjustRightInd w:val="0"/>
              <w:snapToGrid w:val="0"/>
              <w:spacing w:before="0" w:beforeAutospacing="0" w:after="0" w:afterAutospacing="0" w:line="360" w:lineRule="auto"/>
              <w:ind w:left="0" w:right="0"/>
              <w:jc w:val="center"/>
              <w:outlineLvl w:val="3"/>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具体条款</w:t>
            </w:r>
          </w:p>
        </w:tc>
      </w:tr>
      <w:tr w14:paraId="3C0D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9" w:type="dxa"/>
            <w:left w:w="130" w:type="dxa"/>
            <w:bottom w:w="79" w:type="dxa"/>
            <w:right w:w="130" w:type="dxa"/>
          </w:tblCellMar>
        </w:tblPrEx>
        <w:trPr>
          <w:trHeight w:val="0" w:hRule="atLeast"/>
        </w:trPr>
        <w:tc>
          <w:tcPr>
            <w:tcW w:w="396" w:type="pct"/>
            <w:vAlign w:val="center"/>
          </w:tcPr>
          <w:p w14:paraId="31D0A241">
            <w:pPr>
              <w:keepNext w:val="0"/>
              <w:keepLines w:val="0"/>
              <w:widowControl/>
              <w:suppressLineNumbers w:val="0"/>
              <w:wordWrap/>
              <w:autoSpaceDE/>
              <w:autoSpaceDN/>
              <w:adjustRightInd w:val="0"/>
              <w:snapToGrid w:val="0"/>
              <w:spacing w:before="0" w:beforeAutospacing="0" w:after="0" w:afterAutospacing="0" w:line="360" w:lineRule="auto"/>
              <w:ind w:left="0" w:right="0"/>
              <w:jc w:val="center"/>
              <w:textAlignment w:val="center"/>
              <w:outlineLvl w:val="3"/>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w:t>
            </w:r>
          </w:p>
        </w:tc>
        <w:tc>
          <w:tcPr>
            <w:tcW w:w="572" w:type="pct"/>
            <w:vAlign w:val="center"/>
          </w:tcPr>
          <w:p w14:paraId="7CC02F1F">
            <w:pPr>
              <w:keepNext/>
              <w:keepLines/>
              <w:widowControl w:val="0"/>
              <w:suppressLineNumbers w:val="0"/>
              <w:wordWrap w:val="0"/>
              <w:autoSpaceDE w:val="0"/>
              <w:autoSpaceDN w:val="0"/>
              <w:adjustRightInd w:val="0"/>
              <w:snapToGrid w:val="0"/>
              <w:spacing w:before="0" w:beforeAutospacing="0" w:after="0" w:afterAutospacing="0" w:line="360" w:lineRule="auto"/>
              <w:ind w:left="0" w:right="0"/>
              <w:jc w:val="center"/>
              <w:outlineLvl w:val="3"/>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定金或预付款</w:t>
            </w:r>
          </w:p>
        </w:tc>
        <w:tc>
          <w:tcPr>
            <w:tcW w:w="4030" w:type="pct"/>
            <w:vAlign w:val="center"/>
          </w:tcPr>
          <w:p w14:paraId="5EA42635">
            <w:pPr>
              <w:keepNext w:val="0"/>
              <w:keepLines w:val="0"/>
              <w:suppressLineNumbers w:val="0"/>
              <w:wordWrap w:val="0"/>
              <w:snapToGrid w:val="0"/>
              <w:spacing w:before="0" w:beforeAutospacing="0" w:after="0" w:afterAutospacing="0" w:line="360" w:lineRule="auto"/>
              <w:ind w:left="0" w:right="0" w:firstLine="422" w:firstLineChars="20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丙方或甲方</w:t>
            </w:r>
            <w:r>
              <w:rPr>
                <w:rFonts w:hint="eastAsia" w:ascii="宋体" w:hAnsi="宋体" w:eastAsia="宋体" w:cs="宋体"/>
                <w:color w:val="auto"/>
                <w:sz w:val="21"/>
                <w:szCs w:val="21"/>
                <w:highlight w:val="none"/>
              </w:rPr>
              <w:t>向乙方支付定金金额: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或预付款的金额：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65016A8A">
            <w:pPr>
              <w:keepNext w:val="0"/>
              <w:keepLines w:val="0"/>
              <w:suppressLineNumbers w:val="0"/>
              <w:wordWrap w:val="0"/>
              <w:adjustRightInd w:val="0"/>
              <w:snapToGrid w:val="0"/>
              <w:spacing w:before="0" w:beforeAutospacing="0" w:after="0" w:afterAutospacing="0" w:line="360" w:lineRule="auto"/>
              <w:ind w:left="0" w:right="0" w:firstLine="422" w:firstLineChars="201"/>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定金或预付款在进度款中的抵扣办法：</w:t>
            </w:r>
            <w:r>
              <w:rPr>
                <w:rFonts w:hint="eastAsia" w:ascii="宋体" w:hAnsi="宋体" w:eastAsia="宋体" w:cs="宋体"/>
                <w:color w:val="auto"/>
                <w:sz w:val="21"/>
                <w:szCs w:val="21"/>
                <w:highlight w:val="none"/>
                <w:u w:val="single"/>
              </w:rPr>
              <w:t xml:space="preserve">   /   </w:t>
            </w:r>
          </w:p>
        </w:tc>
      </w:tr>
      <w:tr w14:paraId="541D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9" w:type="dxa"/>
            <w:left w:w="130" w:type="dxa"/>
            <w:bottom w:w="79" w:type="dxa"/>
            <w:right w:w="130" w:type="dxa"/>
          </w:tblCellMar>
        </w:tblPrEx>
        <w:trPr>
          <w:trHeight w:val="0" w:hRule="atLeast"/>
        </w:trPr>
        <w:tc>
          <w:tcPr>
            <w:tcW w:w="396" w:type="pct"/>
            <w:vAlign w:val="center"/>
          </w:tcPr>
          <w:p w14:paraId="04C20E6E">
            <w:pPr>
              <w:keepNext/>
              <w:keepLines w:val="0"/>
              <w:widowControl/>
              <w:suppressLineNumbers w:val="0"/>
              <w:wordWrap w:val="0"/>
              <w:autoSpaceDE/>
              <w:autoSpaceDN/>
              <w:adjustRightInd w:val="0"/>
              <w:snapToGrid w:val="0"/>
              <w:spacing w:before="0" w:beforeAutospacing="0" w:after="0" w:afterAutospacing="0" w:line="360" w:lineRule="auto"/>
              <w:ind w:left="0" w:right="0"/>
              <w:jc w:val="center"/>
              <w:textAlignment w:val="center"/>
              <w:outlineLvl w:val="3"/>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w:t>
            </w:r>
          </w:p>
        </w:tc>
        <w:tc>
          <w:tcPr>
            <w:tcW w:w="572" w:type="pct"/>
            <w:vAlign w:val="center"/>
          </w:tcPr>
          <w:p w14:paraId="074FE21C">
            <w:pPr>
              <w:keepNext w:val="0"/>
              <w:keepLines w:val="0"/>
              <w:widowControl/>
              <w:suppressLineNumbers w:val="0"/>
              <w:wordWrap/>
              <w:autoSpaceDE/>
              <w:autoSpaceDN/>
              <w:adjustRightInd w:val="0"/>
              <w:snapToGrid w:val="0"/>
              <w:spacing w:before="0" w:beforeAutospacing="0" w:after="0" w:afterAutospacing="0" w:line="360" w:lineRule="auto"/>
              <w:ind w:left="0" w:right="0"/>
              <w:jc w:val="center"/>
              <w:textAlignment w:val="center"/>
              <w:outlineLvl w:val="3"/>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检测费用支付方式</w:t>
            </w:r>
          </w:p>
        </w:tc>
        <w:tc>
          <w:tcPr>
            <w:tcW w:w="4030" w:type="pct"/>
            <w:vAlign w:val="center"/>
          </w:tcPr>
          <w:p w14:paraId="0778E9D5">
            <w:pPr>
              <w:keepNext w:val="0"/>
              <w:keepLines w:val="0"/>
              <w:widowControl w:val="0"/>
              <w:suppressLineNumbers w:val="0"/>
              <w:wordWrap/>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1、乙方向甲方、丙方承诺，丙方有权直接向乙方支付合同价款，也有权委托甲方向乙方代付价款，具体支付方式以甲方通知为准，乙方对此不持异议。如丙方委托甲方向乙方代付</w:t>
            </w:r>
            <w:r>
              <w:rPr>
                <w:rFonts w:hint="eastAsia" w:ascii="宋体" w:hAnsi="宋体" w:eastAsia="宋体" w:cs="宋体"/>
                <w:color w:val="auto"/>
                <w:sz w:val="21"/>
                <w:szCs w:val="21"/>
                <w:highlight w:val="none"/>
                <w:lang w:eastAsia="zh-CN"/>
              </w:rPr>
              <w:t>合同价款</w:t>
            </w:r>
            <w:r>
              <w:rPr>
                <w:rFonts w:hint="eastAsia" w:ascii="宋体" w:hAnsi="宋体" w:eastAsia="宋体" w:cs="宋体"/>
                <w:color w:val="auto"/>
                <w:sz w:val="21"/>
                <w:szCs w:val="21"/>
                <w:highlight w:val="none"/>
              </w:rPr>
              <w:t>的，因甲方系受丙方委托代付，乙方承诺不得就合同款项问题向甲方主张任何权利，乙方同意甲方亦无需承担任何责任；如因款项支付产生纠纷的(包括但不限于诉讼等)，由乙方与丙方协调处理，与甲方无关。</w:t>
            </w:r>
          </w:p>
          <w:p w14:paraId="7A71272B">
            <w:pPr>
              <w:keepNext w:val="0"/>
              <w:keepLines w:val="0"/>
              <w:widowControl w:val="0"/>
              <w:suppressLineNumbers w:val="0"/>
              <w:wordWrap/>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以季度为单位，即按季度计量支付进度款，乙方须向甲方提供相应的正式检测报告，经监理人及甲方审核通过后，丙方或甲方应在乙方提交对应的请款报告30天内向乙方支付进度款</w:t>
            </w:r>
            <w:r>
              <w:rPr>
                <w:rFonts w:hint="eastAsia" w:ascii="宋体" w:hAnsi="宋体" w:eastAsia="宋体" w:cs="宋体"/>
                <w:color w:val="auto"/>
                <w:sz w:val="21"/>
                <w:szCs w:val="21"/>
                <w:highlight w:val="none"/>
              </w:rPr>
              <w:t>。</w:t>
            </w:r>
          </w:p>
          <w:p w14:paraId="63BAFF08">
            <w:pPr>
              <w:keepNext w:val="0"/>
              <w:keepLines w:val="0"/>
              <w:widowControl w:val="0"/>
              <w:suppressLineNumbers w:val="0"/>
              <w:wordWrap/>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丙方或甲方以季度为单位按经监理人及甲方审核通过的检测报告所涉款项的80%支付本合同进度款，但丙方或甲方累计支付的进度款不超过暂定总合同价款价税合计的80%，待工程竣工验收合格，项目结算完毕，并提交请款报告后30天内，丙方或甲方按结算价一次性支付余款</w:t>
            </w:r>
            <w:r>
              <w:rPr>
                <w:rFonts w:hint="eastAsia" w:ascii="宋体" w:hAnsi="宋体" w:eastAsia="宋体" w:cs="宋体"/>
                <w:color w:val="auto"/>
                <w:sz w:val="21"/>
                <w:szCs w:val="21"/>
                <w:highlight w:val="none"/>
              </w:rPr>
              <w:t>。</w:t>
            </w:r>
          </w:p>
          <w:p w14:paraId="5046BCCD">
            <w:pPr>
              <w:keepNext w:val="0"/>
              <w:keepLines w:val="0"/>
              <w:widowControl w:val="0"/>
              <w:suppressLineNumbers w:val="0"/>
              <w:wordWrap/>
              <w:adjustRightInd w:val="0"/>
              <w:snapToGrid w:val="0"/>
              <w:spacing w:before="0" w:beforeAutospacing="0" w:after="0" w:afterAutospacing="0" w:line="360" w:lineRule="auto"/>
              <w:ind w:left="0" w:right="0" w:firstLine="420" w:firstLineChars="200"/>
              <w:contextualSpacing/>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乙方收取每笔款项前，在提交请款报告的同时一并提供等额有效的增值税专用发票，丙方或甲方在收到相关请款材料审核后支付；乙方逾期提交请款材料或提供的发票不合格的，丙方或甲方的付款时间可相应顺延，且不视为违约。因支付产生的相关银行手续费用，根据有关银行规定执行，如不能明确费用承担主体的，相关手续费用由双方各承担50%。由于乙方提供的发票不符合税法规定，给丙方或甲方造成的损失由乙方承担赔偿责任</w:t>
            </w:r>
            <w:r>
              <w:rPr>
                <w:rFonts w:hint="eastAsia" w:ascii="宋体" w:hAnsi="宋体" w:eastAsia="宋体" w:cs="宋体"/>
                <w:color w:val="auto"/>
                <w:sz w:val="21"/>
                <w:szCs w:val="21"/>
                <w:highlight w:val="none"/>
              </w:rPr>
              <w:t>。</w:t>
            </w:r>
          </w:p>
        </w:tc>
      </w:tr>
      <w:tr w14:paraId="3188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9" w:type="dxa"/>
            <w:left w:w="130" w:type="dxa"/>
            <w:bottom w:w="79" w:type="dxa"/>
            <w:right w:w="130" w:type="dxa"/>
          </w:tblCellMar>
        </w:tblPrEx>
        <w:trPr>
          <w:trHeight w:val="0" w:hRule="atLeast"/>
        </w:trPr>
        <w:tc>
          <w:tcPr>
            <w:tcW w:w="396" w:type="pct"/>
            <w:vAlign w:val="center"/>
          </w:tcPr>
          <w:p w14:paraId="0CCEF264">
            <w:pPr>
              <w:keepNext w:val="0"/>
              <w:keepLines w:val="0"/>
              <w:widowControl/>
              <w:suppressLineNumbers w:val="0"/>
              <w:wordWrap w:val="0"/>
              <w:autoSpaceDE/>
              <w:autoSpaceDN/>
              <w:adjustRightInd w:val="0"/>
              <w:snapToGrid w:val="0"/>
              <w:spacing w:before="0" w:beforeAutospacing="0" w:after="0" w:afterAutospacing="0" w:line="360" w:lineRule="auto"/>
              <w:ind w:left="0" w:right="0"/>
              <w:jc w:val="center"/>
              <w:textAlignment w:val="center"/>
              <w:outlineLvl w:val="3"/>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3</w:t>
            </w:r>
          </w:p>
        </w:tc>
        <w:tc>
          <w:tcPr>
            <w:tcW w:w="572" w:type="pct"/>
            <w:vAlign w:val="center"/>
          </w:tcPr>
          <w:p w14:paraId="5BA98A9A">
            <w:pPr>
              <w:keepNext/>
              <w:keepLines/>
              <w:widowControl w:val="0"/>
              <w:suppressLineNumbers w:val="0"/>
              <w:wordWrap w:val="0"/>
              <w:autoSpaceDE w:val="0"/>
              <w:autoSpaceDN w:val="0"/>
              <w:adjustRightInd w:val="0"/>
              <w:snapToGrid w:val="0"/>
              <w:spacing w:before="0" w:beforeAutospacing="0" w:after="0" w:afterAutospacing="0" w:line="360" w:lineRule="auto"/>
              <w:ind w:left="0" w:right="0"/>
              <w:jc w:val="center"/>
              <w:outlineLvl w:val="3"/>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合同价款结算</w:t>
            </w:r>
          </w:p>
        </w:tc>
        <w:tc>
          <w:tcPr>
            <w:tcW w:w="4030" w:type="pct"/>
            <w:vAlign w:val="center"/>
          </w:tcPr>
          <w:p w14:paraId="3EDE1ACB">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暂定总合同价款（即销售额，不含乙方销项税额）（大写）：人民币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）。检测服务系数为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w:t>
            </w:r>
          </w:p>
          <w:p w14:paraId="167D427C">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依法计得并根据本合同约定确定的销项税额由丙方承担。根据《中华人民共和国增值税暂行条例》(国务院令第691号修订版)及当前税务部门的相关规定，本合同项目的增值税税率为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14:paraId="2AF24068">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4B4FCAC">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合同附件一《工程量清单计价表》的不含税综合单价（即结算不含税综合单价）等于</w:t>
            </w:r>
            <w:r>
              <w:rPr>
                <w:rFonts w:hint="eastAsia" w:ascii="宋体" w:hAnsi="宋体" w:eastAsia="宋体" w:cs="宋体"/>
                <w:bCs/>
                <w:color w:val="auto"/>
                <w:sz w:val="21"/>
                <w:szCs w:val="21"/>
                <w:highlight w:val="none"/>
                <w:lang w:eastAsia="zh-CN"/>
              </w:rPr>
              <w:t>谈判文件</w:t>
            </w:r>
            <w:r>
              <w:rPr>
                <w:rFonts w:hint="eastAsia" w:ascii="宋体" w:hAnsi="宋体" w:eastAsia="宋体" w:cs="宋体"/>
                <w:bCs/>
                <w:color w:val="auto"/>
                <w:sz w:val="21"/>
                <w:szCs w:val="21"/>
                <w:highlight w:val="none"/>
              </w:rPr>
              <w:t>附件《工程量清单计价表》列出的不含税综合单价乘以</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报价（检测服务系数），结算时不作调整</w:t>
            </w:r>
            <w:r>
              <w:rPr>
                <w:rFonts w:hint="eastAsia" w:ascii="宋体" w:hAnsi="宋体" w:eastAsia="宋体" w:cs="宋体"/>
                <w:color w:val="auto"/>
                <w:sz w:val="21"/>
                <w:szCs w:val="21"/>
                <w:highlight w:val="none"/>
              </w:rPr>
              <w:t>，再结合本项目最终经甲方（含其委托的第三方审核机构）、监理人审核确认的检测（试验）方案及甲方（含其委托的第三方审核机构）、监理人确认的实际检测（试验）工作量按实结算，但最终结算价不得超出暂定总合同价款（含税）。</w:t>
            </w:r>
          </w:p>
          <w:p w14:paraId="04BE8BD8">
            <w:pPr>
              <w:keepNext w:val="0"/>
              <w:keepLines w:val="0"/>
              <w:widowControl w:val="0"/>
              <w:suppressLineNumbers w:val="0"/>
              <w:wordWrap/>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不含税综合单价包含为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乙方销项税额以外的税金等，报价过程产生的费用、交易（成交）服务费、办理履约担保费用、水电及进退场、差旅、驻地、办公设施、用品、食宿费、交通、通讯、施工配合费、保险费、风险费、检测方案的审查及专家论证费等完成本项目服务相关的直接及间接费用。除另有约定外，本工程检测（试验）的不含税综合单价在合同实施期间不因任何因素而调整（包括但不限于工程的工期延长、检测工作量变化等），甲方及丙方也不承担任何额外费用。检测时，如需土建施工单位配合或向其租借设备时，乙方自行与施工单位协调，配合及租借费用已包括在不含税综合单价内</w:t>
            </w:r>
            <w:r>
              <w:rPr>
                <w:rFonts w:hint="eastAsia" w:ascii="宋体" w:hAnsi="宋体" w:eastAsia="宋体" w:cs="宋体"/>
                <w:color w:val="auto"/>
                <w:sz w:val="21"/>
                <w:szCs w:val="21"/>
                <w:highlight w:val="none"/>
              </w:rPr>
              <w:t>。</w:t>
            </w:r>
          </w:p>
        </w:tc>
      </w:tr>
      <w:tr w14:paraId="5E9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9" w:type="dxa"/>
            <w:left w:w="130" w:type="dxa"/>
            <w:bottom w:w="79" w:type="dxa"/>
            <w:right w:w="130" w:type="dxa"/>
          </w:tblCellMar>
        </w:tblPrEx>
        <w:trPr>
          <w:trHeight w:val="0" w:hRule="atLeast"/>
        </w:trPr>
        <w:tc>
          <w:tcPr>
            <w:tcW w:w="396" w:type="pct"/>
            <w:vAlign w:val="center"/>
          </w:tcPr>
          <w:p w14:paraId="419201D1">
            <w:pPr>
              <w:keepNext w:val="0"/>
              <w:keepLines w:val="0"/>
              <w:widowControl/>
              <w:suppressLineNumbers w:val="0"/>
              <w:wordWrap/>
              <w:autoSpaceDE/>
              <w:autoSpaceDN/>
              <w:adjustRightInd w:val="0"/>
              <w:snapToGrid w:val="0"/>
              <w:spacing w:before="0" w:beforeAutospacing="0" w:after="0" w:afterAutospacing="0" w:line="360" w:lineRule="auto"/>
              <w:ind w:left="0" w:right="0"/>
              <w:jc w:val="center"/>
              <w:textAlignment w:val="center"/>
              <w:outlineLvl w:val="3"/>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4</w:t>
            </w:r>
          </w:p>
        </w:tc>
        <w:tc>
          <w:tcPr>
            <w:tcW w:w="572" w:type="pct"/>
            <w:vAlign w:val="center"/>
          </w:tcPr>
          <w:p w14:paraId="0D72B8F0">
            <w:pPr>
              <w:keepNext/>
              <w:keepLines/>
              <w:widowControl w:val="0"/>
              <w:suppressLineNumbers w:val="0"/>
              <w:wordWrap w:val="0"/>
              <w:autoSpaceDE w:val="0"/>
              <w:autoSpaceDN w:val="0"/>
              <w:adjustRightInd w:val="0"/>
              <w:snapToGrid w:val="0"/>
              <w:spacing w:before="0" w:beforeAutospacing="0" w:after="0" w:afterAutospacing="0" w:line="360" w:lineRule="auto"/>
              <w:ind w:left="0" w:right="0"/>
              <w:jc w:val="center"/>
              <w:outlineLvl w:val="3"/>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第三方检测合同计费依据</w:t>
            </w:r>
          </w:p>
        </w:tc>
        <w:tc>
          <w:tcPr>
            <w:tcW w:w="4030" w:type="pct"/>
            <w:vAlign w:val="center"/>
          </w:tcPr>
          <w:p w14:paraId="2139456A">
            <w:pPr>
              <w:keepNext w:val="0"/>
              <w:keepLines w:val="0"/>
              <w:suppressLineNumbers w:val="0"/>
              <w:adjustRightInd w:val="0"/>
              <w:snapToGrid w:val="0"/>
              <w:spacing w:before="0" w:beforeAutospacing="0" w:after="0" w:afterAutospacing="0" w:line="360" w:lineRule="auto"/>
              <w:ind w:left="0" w:right="0" w:firstLine="411" w:firstLineChars="19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（1）本项目的计费标准按照合同附件一《工程量清单计价表》（详见附件）中的不含税</w:t>
            </w:r>
            <w:r>
              <w:rPr>
                <w:rFonts w:hint="eastAsia" w:ascii="宋体" w:hAnsi="宋体" w:eastAsia="宋体" w:cs="宋体"/>
                <w:color w:val="auto"/>
                <w:sz w:val="21"/>
                <w:szCs w:val="21"/>
                <w:highlight w:val="none"/>
              </w:rPr>
              <w:t>综合单价×实际检测工作量进行结算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除本合同条款第“</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.结算调整规则、范围及方式”约定的情形外，最终结算价不得超出暂定总合同价款(含税)，超出部分由乙方自行承担。</w:t>
            </w:r>
          </w:p>
          <w:p w14:paraId="4D8DFCD9">
            <w:pPr>
              <w:keepNext w:val="0"/>
              <w:keepLines w:val="0"/>
              <w:suppressLineNumbers w:val="0"/>
              <w:adjustRightInd w:val="0"/>
              <w:snapToGrid w:val="0"/>
              <w:spacing w:before="0" w:beforeAutospacing="0" w:after="0" w:afterAutospacing="0" w:line="360" w:lineRule="auto"/>
              <w:ind w:left="0" w:right="0" w:firstLine="411" w:firstLineChars="19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（2）《工程量清单计价表》不作为</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最终服务范围及业务承接数量的保证，</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有权根据实际需求对检测工程量进行优化调整。在合同服务期内，</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不得因实际检测项目数量及服务费用的增减而要求</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提供任何形式的补偿或赔偿，或只按</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暂定的《工程量清单计价表》提供相应的对应服务。否则，视为</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违约，</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有权依据合同约定追究</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的违约责任。</w:t>
            </w:r>
          </w:p>
          <w:p w14:paraId="07EC2CAF">
            <w:pPr>
              <w:keepNext w:val="0"/>
              <w:keepLines w:val="0"/>
              <w:suppressLineNumbers w:val="0"/>
              <w:adjustRightInd w:val="0"/>
              <w:snapToGrid w:val="0"/>
              <w:spacing w:before="0" w:beforeAutospacing="0" w:after="0" w:afterAutospacing="0" w:line="360" w:lineRule="auto"/>
              <w:ind w:left="0" w:right="0" w:firstLine="411" w:firstLineChars="19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（3）对于《工程量清单计价表》外新增的检测项目，不含税综合单价按以下方法计算：</w:t>
            </w:r>
          </w:p>
          <w:p w14:paraId="1BF3D984">
            <w:pPr>
              <w:keepNext w:val="0"/>
              <w:keepLines w:val="0"/>
              <w:suppressLineNumbers w:val="0"/>
              <w:adjustRightInd w:val="0"/>
              <w:snapToGrid w:val="0"/>
              <w:spacing w:before="0" w:beforeAutospacing="0" w:after="0" w:afterAutospacing="0" w:line="360" w:lineRule="auto"/>
              <w:ind w:left="0" w:right="0" w:firstLine="411" w:firstLineChars="19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①</w:t>
            </w:r>
            <w:r>
              <w:rPr>
                <w:rFonts w:hint="eastAsia" w:ascii="宋体" w:hAnsi="宋体" w:eastAsia="宋体" w:cs="宋体"/>
                <w:bCs/>
                <w:color w:val="auto"/>
                <w:sz w:val="21"/>
                <w:szCs w:val="21"/>
                <w:highlight w:val="none"/>
              </w:rPr>
              <w:t>《东莞市建设工程检测行业参考收费标准 (2023版)》（东检协字（2023）3号）对应项参考单价÷1.06×检测服务系数；</w:t>
            </w:r>
          </w:p>
          <w:p w14:paraId="1C1C3B62">
            <w:pPr>
              <w:keepNext w:val="0"/>
              <w:keepLines w:val="0"/>
              <w:suppressLineNumbers w:val="0"/>
              <w:adjustRightInd w:val="0"/>
              <w:snapToGrid w:val="0"/>
              <w:spacing w:before="0" w:beforeAutospacing="0" w:after="0" w:afterAutospacing="0" w:line="360" w:lineRule="auto"/>
              <w:ind w:left="0" w:right="0" w:firstLine="411" w:firstLineChars="19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②</w:t>
            </w:r>
            <w:r>
              <w:rPr>
                <w:rFonts w:hint="eastAsia" w:ascii="宋体" w:hAnsi="宋体" w:eastAsia="宋体" w:cs="宋体"/>
                <w:bCs/>
                <w:color w:val="auto"/>
                <w:sz w:val="21"/>
                <w:szCs w:val="21"/>
                <w:highlight w:val="none"/>
              </w:rPr>
              <w:t>《东莞市建设工程检测行业参考收费标准 (2023版)》（东检协字（2023）3号）中无对应项，则按照《广东省房屋建筑和市政工程工程质量安全检测收费指导价》（粤建检协〔2015〕8号）对应项单价÷1.06×检测服务系数；</w:t>
            </w:r>
          </w:p>
          <w:p w14:paraId="6021E0B2">
            <w:pPr>
              <w:keepNext w:val="0"/>
              <w:keepLines w:val="0"/>
              <w:suppressLineNumbers w:val="0"/>
              <w:adjustRightInd w:val="0"/>
              <w:snapToGrid w:val="0"/>
              <w:spacing w:before="0" w:beforeAutospacing="0" w:after="0" w:afterAutospacing="0" w:line="360" w:lineRule="auto"/>
              <w:ind w:left="0" w:right="0" w:firstLine="411" w:firstLineChars="19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③</w:t>
            </w:r>
            <w:r>
              <w:rPr>
                <w:rFonts w:hint="eastAsia" w:ascii="宋体" w:hAnsi="宋体" w:eastAsia="宋体" w:cs="宋体"/>
                <w:bCs/>
                <w:color w:val="auto"/>
                <w:sz w:val="21"/>
                <w:szCs w:val="21"/>
                <w:highlight w:val="none"/>
              </w:rPr>
              <w:t>《东莞市建设工程检测行业参考收费标准 (2023版)》（东检协字（2023）3号）与《广东省房屋建筑和市政工程工程质量安全检测收费指导价》（粤建检协〔2015〕8号）均无对应项的，由</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结合本地及周边同类城市市场询价的不含税综合单价×检测服务系数。</w:t>
            </w:r>
          </w:p>
          <w:p w14:paraId="2B4ED2CF">
            <w:pPr>
              <w:keepNext w:val="0"/>
              <w:keepLines w:val="0"/>
              <w:suppressLineNumbers w:val="0"/>
              <w:adjustRightInd w:val="0"/>
              <w:snapToGrid w:val="0"/>
              <w:spacing w:before="0" w:beforeAutospacing="0" w:after="0" w:afterAutospacing="0" w:line="360" w:lineRule="auto"/>
              <w:ind w:left="0" w:right="0" w:firstLine="411" w:firstLineChars="19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以上不含税综合单价均保留两位小数。</w:t>
            </w:r>
          </w:p>
        </w:tc>
      </w:tr>
      <w:tr w14:paraId="3ACD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9" w:type="dxa"/>
            <w:left w:w="130" w:type="dxa"/>
            <w:bottom w:w="79" w:type="dxa"/>
            <w:right w:w="130" w:type="dxa"/>
          </w:tblCellMar>
        </w:tblPrEx>
        <w:trPr>
          <w:trHeight w:val="0" w:hRule="atLeast"/>
        </w:trPr>
        <w:tc>
          <w:tcPr>
            <w:tcW w:w="396" w:type="pct"/>
            <w:vAlign w:val="center"/>
          </w:tcPr>
          <w:p w14:paraId="417BF212">
            <w:pPr>
              <w:keepNext w:val="0"/>
              <w:keepLines w:val="0"/>
              <w:widowControl/>
              <w:suppressLineNumbers w:val="0"/>
              <w:wordWrap/>
              <w:autoSpaceDE/>
              <w:autoSpaceDN/>
              <w:adjustRightInd w:val="0"/>
              <w:snapToGrid w:val="0"/>
              <w:spacing w:before="0" w:beforeAutospacing="0" w:after="0" w:afterAutospacing="0" w:line="360" w:lineRule="auto"/>
              <w:ind w:left="0" w:right="0"/>
              <w:jc w:val="center"/>
              <w:textAlignment w:val="center"/>
              <w:outlineLvl w:val="3"/>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5</w:t>
            </w:r>
          </w:p>
        </w:tc>
        <w:tc>
          <w:tcPr>
            <w:tcW w:w="572" w:type="pct"/>
            <w:vAlign w:val="center"/>
          </w:tcPr>
          <w:p w14:paraId="1E9140F8">
            <w:pPr>
              <w:keepNext w:val="0"/>
              <w:keepLines w:val="0"/>
              <w:widowControl/>
              <w:suppressLineNumbers w:val="0"/>
              <w:wordWrap/>
              <w:autoSpaceDE w:val="0"/>
              <w:autoSpaceDN w:val="0"/>
              <w:adjustRightInd w:val="0"/>
              <w:snapToGrid w:val="0"/>
              <w:spacing w:before="0" w:beforeAutospacing="0" w:after="0" w:afterAutospacing="0" w:line="360" w:lineRule="auto"/>
              <w:ind w:left="0" w:right="0"/>
              <w:jc w:val="center"/>
              <w:outlineLvl w:val="3"/>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结算调整规则、范围及方式</w:t>
            </w:r>
          </w:p>
        </w:tc>
        <w:tc>
          <w:tcPr>
            <w:tcW w:w="4030" w:type="pct"/>
            <w:vAlign w:val="center"/>
          </w:tcPr>
          <w:p w14:paraId="0C5E8B9F">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调整的范围：因设计变更、改线或者重大工艺变更等工程变更引起的检测（试验）项目的变更，包含检测项目增减和已有检测项目中工作量的增减，乙方在实施前，须提出变更申请，经本工程的设计人、监理人及甲方（含其委托的第三方审核机构）批准后方可实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相关费用据实结算</w:t>
            </w:r>
            <w:r>
              <w:rPr>
                <w:rFonts w:hint="eastAsia" w:ascii="宋体" w:hAnsi="宋体" w:eastAsia="宋体" w:cs="宋体"/>
                <w:color w:val="auto"/>
                <w:sz w:val="21"/>
                <w:szCs w:val="21"/>
                <w:highlight w:val="none"/>
              </w:rPr>
              <w:t>。</w:t>
            </w:r>
          </w:p>
          <w:p w14:paraId="04400A75">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（2）工程变更项目检测的计价：</w:t>
            </w:r>
            <w:r>
              <w:rPr>
                <w:rFonts w:hint="eastAsia" w:ascii="宋体" w:hAnsi="宋体" w:eastAsia="宋体" w:cs="宋体"/>
                <w:b/>
                <w:bCs/>
                <w:color w:val="auto"/>
                <w:sz w:val="21"/>
                <w:szCs w:val="21"/>
                <w:highlight w:val="none"/>
              </w:rPr>
              <w:t>合同价中已有适用于变更检测项目的不含税综合单价，按合同已有的不含税综合单价变更合同价款；合同中已有类似变更检测项目的不含税综合单价，可参照类似检测项目不含税综合单价变更合同价款；合同中没有适用于变更检测项目的不含税综合单价，经批准变更后，按照《东莞市建设工程检测行业参考收费标准（2023版）》（东检协字（2023）3号）对应项参考单价÷1.06×</w:t>
            </w:r>
            <w:r>
              <w:rPr>
                <w:rFonts w:hint="eastAsia" w:ascii="宋体" w:hAnsi="宋体"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东莞市建设工程检测行业参考收费标准(2023版)》（东检协字（2023）3号）与《广东省房屋建筑和市政工程工程质量安全检测收费指导价》（粤建检协〔2015〕8号）均无对应项的，由甲方结合本地及周边同类城市市场询价的不含税综合单价×</w:t>
            </w:r>
            <w:r>
              <w:rPr>
                <w:rFonts w:hint="eastAsia" w:ascii="宋体" w:hAnsi="宋体"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计算。所有变更的检测项目均须书面向甲方申报，经甲方（含其委托的第三方审核机构）审核批准同意后方可实施。</w:t>
            </w:r>
          </w:p>
          <w:p w14:paraId="04F56EF8">
            <w:pPr>
              <w:keepNext w:val="0"/>
              <w:keepLines w:val="0"/>
              <w:suppressLineNumbers w:val="0"/>
              <w:adjustRightInd w:val="0"/>
              <w:snapToGrid w:val="0"/>
              <w:spacing w:before="0" w:beforeAutospacing="0" w:after="0" w:afterAutospacing="0" w:line="360" w:lineRule="auto"/>
              <w:ind w:left="0" w:right="0" w:firstLine="422" w:firstLineChars="200"/>
              <w:jc w:val="left"/>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3）在完成所有合同内容并具备结算条件3个月后，仍未报结算资料，甲方将书面发函督促办理结算，函中明确接到函件10个工作日后，仍未提交结算资料，或不配合甲方完成结算工作，丙方或甲方将根据已支付的进度款进行单方结算，由此所产生的法律责任均由乙方承担。</w:t>
            </w:r>
          </w:p>
        </w:tc>
      </w:tr>
    </w:tbl>
    <w:p w14:paraId="65BFC05B">
      <w:pPr>
        <w:widowControl/>
        <w:numPr>
          <w:ilvl w:val="-1"/>
          <w:numId w:val="0"/>
        </w:numPr>
        <w:adjustRightInd w:val="0"/>
        <w:snapToGrid w:val="0"/>
        <w:spacing w:line="360" w:lineRule="auto"/>
        <w:ind w:firstLine="0" w:firstLineChars="0"/>
        <w:jc w:val="left"/>
        <w:rPr>
          <w:rFonts w:hint="eastAsia" w:ascii="宋体" w:hAnsi="宋体" w:eastAsia="宋体" w:cs="宋体"/>
          <w:bCs/>
          <w:color w:val="auto"/>
          <w:sz w:val="21"/>
          <w:szCs w:val="21"/>
          <w:highlight w:val="none"/>
        </w:rPr>
      </w:pPr>
    </w:p>
    <w:p w14:paraId="075A0B3F">
      <w:pPr>
        <w:adjustRightInd w:val="0"/>
        <w:snapToGrid w:val="0"/>
        <w:spacing w:line="360" w:lineRule="auto"/>
        <w:rPr>
          <w:rFonts w:hint="eastAsia" w:ascii="宋体" w:hAnsi="宋体" w:eastAsia="宋体" w:cs="宋体"/>
          <w:b/>
          <w:bCs/>
          <w:color w:val="auto"/>
          <w:kern w:val="0"/>
          <w:sz w:val="21"/>
          <w:szCs w:val="21"/>
          <w:highlight w:val="none"/>
          <w:lang w:val="en-US" w:eastAsia="zh-CN" w:bidi="ar-SA"/>
        </w:rPr>
      </w:pPr>
    </w:p>
    <w:p w14:paraId="47613A0F">
      <w:pPr>
        <w:widowControl/>
        <w:adjustRightInd/>
        <w:snapToGrid/>
        <w:spacing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74309EAE">
      <w:pPr>
        <w:widowControl/>
        <w:adjustRightInd w:val="0"/>
        <w:snapToGrid w:val="0"/>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2.权利和</w:t>
      </w:r>
      <w:r>
        <w:rPr>
          <w:rFonts w:hint="eastAsia" w:ascii="宋体" w:hAnsi="宋体" w:eastAsia="宋体" w:cs="宋体"/>
          <w:color w:val="auto"/>
          <w:sz w:val="21"/>
          <w:szCs w:val="21"/>
          <w:highlight w:val="none"/>
        </w:rPr>
        <w:t>义务</w:t>
      </w:r>
      <w:r>
        <w:rPr>
          <w:rFonts w:hint="eastAsia" w:ascii="宋体" w:hAnsi="宋体" w:eastAsia="宋体" w:cs="宋体"/>
          <w:bCs/>
          <w:color w:val="auto"/>
          <w:sz w:val="21"/>
          <w:szCs w:val="21"/>
          <w:highlight w:val="none"/>
        </w:rPr>
        <w:t>一览表</w:t>
      </w:r>
    </w:p>
    <w:tbl>
      <w:tblPr>
        <w:tblStyle w:val="45"/>
        <w:tblW w:w="103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095"/>
        <w:gridCol w:w="8309"/>
      </w:tblGrid>
      <w:tr w14:paraId="4E68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4" w:type="dxa"/>
            <w:tcBorders>
              <w:top w:val="single" w:color="000000" w:sz="4" w:space="0"/>
              <w:left w:val="single" w:color="000000" w:sz="4" w:space="0"/>
              <w:bottom w:val="single" w:color="auto" w:sz="4" w:space="0"/>
              <w:right w:val="single" w:color="000000" w:sz="4" w:space="0"/>
            </w:tcBorders>
            <w:vAlign w:val="center"/>
          </w:tcPr>
          <w:p w14:paraId="3632D4B0">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095" w:type="dxa"/>
            <w:tcBorders>
              <w:top w:val="single" w:color="000000" w:sz="4" w:space="0"/>
              <w:left w:val="single" w:color="000000" w:sz="4" w:space="0"/>
              <w:bottom w:val="single" w:color="auto" w:sz="4" w:space="0"/>
              <w:right w:val="single" w:color="000000" w:sz="4" w:space="0"/>
            </w:tcBorders>
            <w:vAlign w:val="center"/>
          </w:tcPr>
          <w:p w14:paraId="2E533DBF">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类别</w:t>
            </w:r>
          </w:p>
        </w:tc>
        <w:tc>
          <w:tcPr>
            <w:tcW w:w="8309" w:type="dxa"/>
            <w:tcBorders>
              <w:top w:val="single" w:color="000000" w:sz="4" w:space="0"/>
              <w:left w:val="single" w:color="000000" w:sz="4" w:space="0"/>
              <w:bottom w:val="single" w:color="000000" w:sz="4" w:space="0"/>
              <w:right w:val="single" w:color="000000" w:sz="4" w:space="0"/>
            </w:tcBorders>
            <w:vAlign w:val="center"/>
          </w:tcPr>
          <w:p w14:paraId="42AD8EF1">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具体条款</w:t>
            </w:r>
          </w:p>
        </w:tc>
      </w:tr>
      <w:tr w14:paraId="7239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964" w:type="dxa"/>
            <w:tcBorders>
              <w:top w:val="single" w:color="auto" w:sz="4" w:space="0"/>
              <w:left w:val="single" w:color="auto" w:sz="4" w:space="0"/>
              <w:bottom w:val="single" w:color="auto" w:sz="4" w:space="0"/>
              <w:right w:val="single" w:color="auto" w:sz="4" w:space="0"/>
            </w:tcBorders>
            <w:vAlign w:val="center"/>
          </w:tcPr>
          <w:p w14:paraId="56E24043">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095" w:type="dxa"/>
            <w:tcBorders>
              <w:top w:val="single" w:color="auto" w:sz="4" w:space="0"/>
              <w:left w:val="single" w:color="auto" w:sz="4" w:space="0"/>
              <w:bottom w:val="single" w:color="auto" w:sz="4" w:space="0"/>
              <w:right w:val="single" w:color="auto" w:sz="4" w:space="0"/>
            </w:tcBorders>
            <w:vAlign w:val="center"/>
          </w:tcPr>
          <w:p w14:paraId="7031880C">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甲方权利和义务</w:t>
            </w:r>
          </w:p>
        </w:tc>
        <w:tc>
          <w:tcPr>
            <w:tcW w:w="8309" w:type="dxa"/>
            <w:tcBorders>
              <w:top w:val="single" w:color="000000" w:sz="4" w:space="0"/>
              <w:left w:val="single" w:color="000000" w:sz="4" w:space="0"/>
              <w:bottom w:val="single" w:color="000000" w:sz="4" w:space="0"/>
              <w:right w:val="single" w:color="000000" w:sz="4" w:space="0"/>
            </w:tcBorders>
            <w:vAlign w:val="center"/>
          </w:tcPr>
          <w:p w14:paraId="2F3DFD11">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规定的行为有权要求改正。</w:t>
            </w:r>
          </w:p>
          <w:p w14:paraId="01F08572">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、合同约定的，有权要求补充、更换及追究乙方其他违约责任。</w:t>
            </w:r>
          </w:p>
          <w:p w14:paraId="4E849D63">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（3）对发现乙方违反本合同、招</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或服务合同的有关规定或承诺，甲方有权追究乙方的违约责任，扣除或没收本合同履约担保。</w:t>
            </w:r>
          </w:p>
          <w:p w14:paraId="52A8B95F">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（4）协助乙方仪器及运输设备顺利进场。</w:t>
            </w:r>
          </w:p>
          <w:p w14:paraId="0D7532B7">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（5）监督受监施工单位定时向乙方提供进度计划，协调作业时间，保证乙方有足够时间展开检测工作。</w:t>
            </w:r>
          </w:p>
          <w:p w14:paraId="5049D9EA">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（6）有权对乙方的检测工作进行监督，对其违约行为发出整改通知。</w:t>
            </w:r>
          </w:p>
          <w:p w14:paraId="0C415EFA">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（7）合同履约期间，甲方有权对检测范围、要求、规模及特征等根据项目实际情况作出相应调整，调整后双方根据实际工作量进行结算。</w:t>
            </w:r>
          </w:p>
          <w:p w14:paraId="66EBD59A">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（8）甲方按照既定的审批程序，及时办理服务费的审批手续。</w:t>
            </w:r>
          </w:p>
          <w:p w14:paraId="66C35C2B">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（9）施工现场用水、用电在有条件的情况下由甲方负责提供水、电接入点，乙方自行接入</w:t>
            </w:r>
            <w:r>
              <w:rPr>
                <w:rFonts w:hint="eastAsia" w:ascii="宋体" w:hAnsi="宋体" w:eastAsia="宋体" w:cs="宋体"/>
                <w:color w:val="auto"/>
                <w:sz w:val="21"/>
                <w:szCs w:val="21"/>
                <w:highlight w:val="none"/>
                <w:lang w:val="en-US" w:eastAsia="zh-CN"/>
              </w:rPr>
              <w:t>并承担相关的费用</w:t>
            </w:r>
            <w:r>
              <w:rPr>
                <w:rFonts w:hint="eastAsia" w:ascii="宋体" w:hAnsi="宋体" w:eastAsia="宋体" w:cs="宋体"/>
                <w:color w:val="auto"/>
                <w:sz w:val="21"/>
                <w:szCs w:val="21"/>
                <w:highlight w:val="none"/>
              </w:rPr>
              <w:t>。</w:t>
            </w:r>
          </w:p>
          <w:p w14:paraId="084AD74D">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（10）合同文件及附件内容约定的甲方其余权利义务。</w:t>
            </w:r>
          </w:p>
        </w:tc>
      </w:tr>
      <w:tr w14:paraId="0508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964" w:type="dxa"/>
            <w:tcBorders>
              <w:top w:val="single" w:color="auto" w:sz="4" w:space="0"/>
              <w:left w:val="single" w:color="auto" w:sz="4" w:space="0"/>
              <w:bottom w:val="single" w:color="auto" w:sz="4" w:space="0"/>
              <w:right w:val="single" w:color="auto" w:sz="4" w:space="0"/>
            </w:tcBorders>
            <w:vAlign w:val="center"/>
          </w:tcPr>
          <w:p w14:paraId="05D0BC9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095" w:type="dxa"/>
            <w:tcBorders>
              <w:top w:val="single" w:color="auto" w:sz="4" w:space="0"/>
              <w:left w:val="single" w:color="auto" w:sz="4" w:space="0"/>
              <w:bottom w:val="single" w:color="auto" w:sz="4" w:space="0"/>
              <w:right w:val="single" w:color="auto" w:sz="4" w:space="0"/>
            </w:tcBorders>
            <w:vAlign w:val="center"/>
          </w:tcPr>
          <w:p w14:paraId="1CE7DF91">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乙方权利和义务</w:t>
            </w:r>
          </w:p>
        </w:tc>
        <w:tc>
          <w:tcPr>
            <w:tcW w:w="8309" w:type="dxa"/>
            <w:tcBorders>
              <w:top w:val="single" w:color="000000" w:sz="4" w:space="0"/>
              <w:left w:val="single" w:color="000000" w:sz="4" w:space="0"/>
              <w:bottom w:val="single" w:color="000000" w:sz="4" w:space="0"/>
              <w:right w:val="single" w:color="000000" w:sz="4" w:space="0"/>
            </w:tcBorders>
            <w:vAlign w:val="center"/>
          </w:tcPr>
          <w:p w14:paraId="564F1E0F">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的履行期间，乙方应当保持相应资质的有效性，且具备在东莞市开展检测服务工作的资格条件。因乙方资质条件丧失，导致无法开展检测工作的，甲方有权另行委托其他第三方，并且乙方需向甲方支付暂定总合同价款（含税）的20%的违约金。同时，造成甲方的经济损失（包括但不限于重新</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、委托第三方的费用），由乙方承担全部赔偿。</w:t>
            </w:r>
          </w:p>
          <w:p w14:paraId="2418FA5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（2）对甲方委派的检测工作，乙方应当根据本合同约定、招</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及甲方要求进行开展，不得借故拒绝接受委托。</w:t>
            </w:r>
          </w:p>
          <w:p w14:paraId="11AF3E6F">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（3）按照国家颁发的有关检测技术标准或规范，采用科学先进的方法进行检测评估和试验过程的全程监控、记录，保证数据真实可靠，对检测结果真实性、准确性、合法性、完整性负责。</w:t>
            </w:r>
          </w:p>
          <w:p w14:paraId="6CE33CA2">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检测报告、数据成果、文件等质量不合格的，应负责无偿给予修改、补充完善使其达到甲方要求；如乙方怠于或无力修改、补充完善，甲方有权另委托其他单位继续进行，乙方应承担由此产生的全部检测费用及其他损失。</w:t>
            </w:r>
          </w:p>
          <w:p w14:paraId="33988ACC">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乙方提供的检测报告、数据成果、文件等质量不合格造成甲方经济损失（包括但不限于检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p>
          <w:p w14:paraId="3241218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14:paraId="0492BF8C">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（7）严格遵守国家法律、法规，协助甲方做好社会治安综合管理工作和计划生育等工作。乙方员工有违法乱纪或犯罪的行为，乙方应承担一切经济责任和法律责任。</w:t>
            </w:r>
          </w:p>
          <w:p w14:paraId="3B5A93A8">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2BBD977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14:paraId="20B28FAC">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合同期限内保存好全部与检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55A21FD7">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（11）如施工现场甲方无法提供水、电接入点，乙方自行解决施工用水、用电并承担相关费用。</w:t>
            </w:r>
          </w:p>
          <w:p w14:paraId="76461C26">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（12）乙方应按本合同及招、</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的要求按时提供检测报告和其他甲方认为有必要提供的中间过程资料、图表、照片（包括电子资料）等，以及向甲方提供咨询服务和建议。</w:t>
            </w:r>
          </w:p>
          <w:p w14:paraId="2FA41142">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（13）检测过程中，乙方自行对本单位的仪器、设备安全负责，自行承担保管职责，对检测所产生的水、电等费用由乙方负责。</w:t>
            </w:r>
          </w:p>
          <w:p w14:paraId="626D76F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（14）与检测工程的施工单位、设计单位、监理单位等单位相互配合，数据共享。</w:t>
            </w:r>
          </w:p>
          <w:p w14:paraId="79E066CE">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（15）本合同约定范围内必要的修改，补充，应由乙方负责，甲方不再另付检测费用或其他费用。</w:t>
            </w:r>
          </w:p>
          <w:p w14:paraId="4823F6C1">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在检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14:paraId="02867A0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（17）乙方提交给甲方的检测成果知识产权归属甲方，乙方须确保甲方在使用过程中免受第三方关于知识产权或其他合法权益的起诉，否则，乙方应承担由此给甲方造成的一切损失。</w:t>
            </w:r>
          </w:p>
          <w:p w14:paraId="26505D3E">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乙方应确保其具备履行本合同工作所需的相关资质，否则，因此产生的一切后果由乙方承担。乙方应建立健全内部管理制度，并接受甲方及有关主管部门对项目服务状况、服务质量的监督检查。因乙方原因导致甲方损失的，应当全额赔偿甲方的损失。</w:t>
            </w:r>
          </w:p>
          <w:p w14:paraId="45946987">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启动履约担保支付。</w:t>
            </w:r>
          </w:p>
          <w:p w14:paraId="145928FD">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（20）本合同所述的乙方应承担的甲方损失，包括但不限于甲方支出的赔偿金、诉讼费、保全费、律师费、鉴定费等。</w:t>
            </w:r>
          </w:p>
          <w:p w14:paraId="74CFA72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（21）本项目禁止转包，若特殊项目乙方无相应资质的，必须经甲方批准后送符合条件（具备相应资质）的分包单位进行检测，并出具相应的检测报告，否则将视为乙方违约，出具的报告不予承认。</w:t>
            </w:r>
          </w:p>
          <w:p w14:paraId="424BD73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（22）合同文件及附件内容约定的乙方其他权利义务。</w:t>
            </w:r>
          </w:p>
        </w:tc>
      </w:tr>
    </w:tbl>
    <w:p w14:paraId="4C9A422F">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40F0264D">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3.乙方违约处理一览表</w:t>
      </w:r>
    </w:p>
    <w:tbl>
      <w:tblPr>
        <w:tblStyle w:val="45"/>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4682"/>
        <w:gridCol w:w="4686"/>
      </w:tblGrid>
      <w:tr w14:paraId="74E3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55C301E2">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4682" w:type="dxa"/>
            <w:vAlign w:val="center"/>
          </w:tcPr>
          <w:p w14:paraId="2D83E61C">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违约行为</w:t>
            </w:r>
          </w:p>
        </w:tc>
        <w:tc>
          <w:tcPr>
            <w:tcW w:w="4686" w:type="dxa"/>
            <w:vAlign w:val="center"/>
          </w:tcPr>
          <w:p w14:paraId="0309DEC6">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违约处理</w:t>
            </w:r>
          </w:p>
        </w:tc>
      </w:tr>
      <w:tr w14:paraId="4011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033C46D">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4682" w:type="dxa"/>
            <w:vAlign w:val="center"/>
          </w:tcPr>
          <w:p w14:paraId="2AB21C9C">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因乙方资质条件丧失，导致无法开展检测工作。</w:t>
            </w:r>
          </w:p>
        </w:tc>
        <w:tc>
          <w:tcPr>
            <w:tcW w:w="4686" w:type="dxa"/>
            <w:vAlign w:val="center"/>
          </w:tcPr>
          <w:p w14:paraId="23FAC2D5">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甲方有权另行委托其他第三方，并且乙方需向甲方支付暂定总合同价款</w:t>
            </w:r>
            <w:r>
              <w:rPr>
                <w:rFonts w:hint="eastAsia" w:ascii="宋体" w:hAnsi="宋体" w:eastAsia="宋体" w:cs="宋体"/>
                <w:color w:val="auto"/>
                <w:sz w:val="21"/>
                <w:szCs w:val="21"/>
                <w:highlight w:val="none"/>
              </w:rPr>
              <w:t>（含税）</w:t>
            </w:r>
            <w:r>
              <w:rPr>
                <w:rFonts w:hint="eastAsia" w:ascii="宋体" w:hAnsi="宋体" w:eastAsia="宋体" w:cs="宋体"/>
                <w:bCs/>
                <w:color w:val="auto"/>
                <w:sz w:val="21"/>
                <w:szCs w:val="21"/>
                <w:highlight w:val="none"/>
              </w:rPr>
              <w:t>的20%的违约金。同时，造成甲方的经济损失（包括但不限于重新</w:t>
            </w:r>
            <w:r>
              <w:rPr>
                <w:rFonts w:hint="eastAsia" w:ascii="宋体" w:hAnsi="宋体" w:eastAsia="宋体" w:cs="宋体"/>
                <w:bCs/>
                <w:color w:val="auto"/>
                <w:sz w:val="21"/>
                <w:szCs w:val="21"/>
                <w:highlight w:val="none"/>
                <w:lang w:val="en-US" w:eastAsia="zh-CN"/>
              </w:rPr>
              <w:t>采购</w:t>
            </w:r>
            <w:r>
              <w:rPr>
                <w:rFonts w:hint="eastAsia" w:ascii="宋体" w:hAnsi="宋体" w:eastAsia="宋体" w:cs="宋体"/>
                <w:bCs/>
                <w:color w:val="auto"/>
                <w:sz w:val="21"/>
                <w:szCs w:val="21"/>
                <w:highlight w:val="none"/>
              </w:rPr>
              <w:t>、委托第三方的费用），由乙方承担全部赔偿。</w:t>
            </w:r>
          </w:p>
        </w:tc>
      </w:tr>
      <w:tr w14:paraId="7A34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0A1588AB">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4682" w:type="dxa"/>
            <w:vAlign w:val="center"/>
          </w:tcPr>
          <w:p w14:paraId="0E514B2A">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乙方提供的检测报告、数据成果、文件等质量不合格</w:t>
            </w:r>
            <w:r>
              <w:rPr>
                <w:rFonts w:hint="eastAsia" w:ascii="宋体" w:hAnsi="宋体" w:eastAsia="宋体" w:cs="宋体"/>
                <w:color w:val="auto"/>
                <w:sz w:val="21"/>
                <w:szCs w:val="21"/>
                <w:highlight w:val="none"/>
              </w:rPr>
              <w:t>，不能满足技术要求</w:t>
            </w:r>
            <w:r>
              <w:rPr>
                <w:rFonts w:hint="eastAsia" w:ascii="宋体" w:hAnsi="宋体" w:eastAsia="宋体" w:cs="宋体"/>
                <w:bCs/>
                <w:color w:val="auto"/>
                <w:sz w:val="21"/>
                <w:szCs w:val="21"/>
                <w:highlight w:val="none"/>
              </w:rPr>
              <w:t>。</w:t>
            </w:r>
          </w:p>
        </w:tc>
        <w:tc>
          <w:tcPr>
            <w:tcW w:w="4686" w:type="dxa"/>
            <w:vAlign w:val="center"/>
          </w:tcPr>
          <w:p w14:paraId="6CF752E9">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乙方负责无偿给予修改、补充完善使其达到甲方要求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返</w:t>
            </w:r>
            <w:r>
              <w:rPr>
                <w:rFonts w:hint="eastAsia" w:ascii="宋体" w:hAnsi="宋体" w:eastAsia="宋体" w:cs="宋体"/>
                <w:bCs/>
                <w:color w:val="auto"/>
                <w:sz w:val="21"/>
                <w:szCs w:val="21"/>
                <w:highlight w:val="none"/>
                <w:lang w:eastAsia="zh-CN"/>
              </w:rPr>
              <w:t>工重新检测等产生的费用由乙方承担</w:t>
            </w:r>
            <w:r>
              <w:rPr>
                <w:rFonts w:hint="eastAsia" w:ascii="宋体" w:hAnsi="宋体" w:eastAsia="宋体" w:cs="宋体"/>
                <w:bCs/>
                <w:color w:val="auto"/>
                <w:sz w:val="21"/>
                <w:szCs w:val="21"/>
                <w:highlight w:val="none"/>
              </w:rPr>
              <w:t>；如乙方怠于或无力修改、补充完善,甲方有权另委托其他单位继续进行,乙方应承担由此产生的全部检测费用及其他损失。</w:t>
            </w:r>
          </w:p>
        </w:tc>
      </w:tr>
      <w:tr w14:paraId="6F62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00" w:type="dxa"/>
            <w:vAlign w:val="center"/>
          </w:tcPr>
          <w:p w14:paraId="3D1155E1">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4682" w:type="dxa"/>
            <w:vAlign w:val="center"/>
          </w:tcPr>
          <w:p w14:paraId="16D90E7B">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因乙方提供的检测报告、数据成果、文件等质量不合格造成甲方经济损失（包括但不限于检测变更费、增加工程费用等）或工程事故。</w:t>
            </w:r>
          </w:p>
        </w:tc>
        <w:tc>
          <w:tcPr>
            <w:tcW w:w="4686" w:type="dxa"/>
            <w:vAlign w:val="center"/>
          </w:tcPr>
          <w:p w14:paraId="707A5805">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乙方应对造成的损失承担赔偿责任（包括但不限于施工单位损失赔偿、第三人侵权赔偿责任等），并根据违约行为向甲方支付违约金壹万元/次。如甲方实际损失高于违约金的，甲方有权另行追偿。</w:t>
            </w:r>
          </w:p>
        </w:tc>
      </w:tr>
      <w:tr w14:paraId="04D7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31B5B7C9">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4682" w:type="dxa"/>
            <w:vAlign w:val="center"/>
          </w:tcPr>
          <w:p w14:paraId="0D4BD89C">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如乙方人员（包括雇员、乙方劳动者等）在维护过程中发生意外事故、工伤、死亡的</w:t>
            </w:r>
            <w:r>
              <w:rPr>
                <w:rFonts w:hint="eastAsia" w:ascii="宋体" w:hAnsi="宋体" w:eastAsia="宋体" w:cs="宋体"/>
                <w:color w:val="auto"/>
                <w:sz w:val="21"/>
                <w:szCs w:val="21"/>
                <w:highlight w:val="none"/>
                <w:lang w:eastAsia="zh-CN"/>
              </w:rPr>
              <w:t>。</w:t>
            </w:r>
          </w:p>
        </w:tc>
        <w:tc>
          <w:tcPr>
            <w:tcW w:w="4686" w:type="dxa"/>
            <w:vAlign w:val="center"/>
          </w:tcPr>
          <w:p w14:paraId="5D2E24F0">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乙方承担全部责任并支付全部费用，甲方无须对这些意外事故、工伤、死亡承担任何责任，如甲方因此受到索赔并因此支付赔偿费用或者垫付了费用的，甲方有权向乙方追偿，甲方可启动履约担保支付。</w:t>
            </w:r>
          </w:p>
        </w:tc>
      </w:tr>
      <w:tr w14:paraId="5386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10323A6F">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5</w:t>
            </w:r>
          </w:p>
        </w:tc>
        <w:tc>
          <w:tcPr>
            <w:tcW w:w="4682" w:type="dxa"/>
            <w:vAlign w:val="center"/>
          </w:tcPr>
          <w:p w14:paraId="7F265831">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乙方未按本合同约定配备必要的办公场所、设备或者服务人员。</w:t>
            </w:r>
          </w:p>
        </w:tc>
        <w:tc>
          <w:tcPr>
            <w:tcW w:w="4686" w:type="dxa"/>
            <w:vAlign w:val="center"/>
          </w:tcPr>
          <w:p w14:paraId="4584C84F">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甲方有权就违约事宜提出改正，如乙方仍拒不改正的，甲方有权选择解除本合同或服务合同，并没收全部履约担保。</w:t>
            </w:r>
          </w:p>
        </w:tc>
      </w:tr>
      <w:tr w14:paraId="587B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84B8BB8">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6</w:t>
            </w:r>
          </w:p>
        </w:tc>
        <w:tc>
          <w:tcPr>
            <w:tcW w:w="4682" w:type="dxa"/>
            <w:vAlign w:val="center"/>
          </w:tcPr>
          <w:p w14:paraId="4412326D">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乙方消极怠工或拒不履行合同义务（包括但不限于技术支持、专家会审、解答释疑、事故处理，修正检测报告及数据成果等），或履行的合同义务不符合要求的。</w:t>
            </w:r>
          </w:p>
        </w:tc>
        <w:tc>
          <w:tcPr>
            <w:tcW w:w="4686" w:type="dxa"/>
            <w:vAlign w:val="center"/>
          </w:tcPr>
          <w:p w14:paraId="1A185847">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就违约事宜提出改正，要求乙方按壹万元/次承担违约金，若限期内未按照甲方要求进行整改或限期整改后不符合甲方要求的，甲方有权选择解除合同，要求乙方按暂定总合同价款（含税）的10%承担违约金，并有权依法委托有资质的第三方继续履行本合同义务，由此造成的一切损失由乙方承担。同时，甲方有权将情况如实报送至政府相关主管部门。</w:t>
            </w:r>
          </w:p>
        </w:tc>
      </w:tr>
      <w:tr w14:paraId="1F6F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000" w:type="dxa"/>
            <w:vAlign w:val="center"/>
          </w:tcPr>
          <w:p w14:paraId="75BFED5F">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p>
        </w:tc>
        <w:tc>
          <w:tcPr>
            <w:tcW w:w="4682" w:type="dxa"/>
            <w:vAlign w:val="center"/>
          </w:tcPr>
          <w:p w14:paraId="052436B2">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合同履行期间，乙方未达到的投标时承诺的事项</w:t>
            </w:r>
          </w:p>
        </w:tc>
        <w:tc>
          <w:tcPr>
            <w:tcW w:w="4686" w:type="dxa"/>
            <w:vAlign w:val="center"/>
          </w:tcPr>
          <w:p w14:paraId="45461B3D">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每次按暂定总合同价款（含税）的1%承担违约金。</w:t>
            </w:r>
          </w:p>
        </w:tc>
      </w:tr>
      <w:tr w14:paraId="3FBE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trPr>
        <w:tc>
          <w:tcPr>
            <w:tcW w:w="1000" w:type="dxa"/>
            <w:vAlign w:val="center"/>
          </w:tcPr>
          <w:p w14:paraId="6BDB6AA1">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8</w:t>
            </w:r>
          </w:p>
        </w:tc>
        <w:tc>
          <w:tcPr>
            <w:tcW w:w="4682" w:type="dxa"/>
            <w:vAlign w:val="center"/>
          </w:tcPr>
          <w:p w14:paraId="441A7F5B">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由于乙方原因未按甲方要求时间（日期）提交检测报告、成果数据、文件资料、检测方案的，或未按期履行其他义务的。</w:t>
            </w:r>
          </w:p>
        </w:tc>
        <w:tc>
          <w:tcPr>
            <w:tcW w:w="4686" w:type="dxa"/>
            <w:vAlign w:val="center"/>
          </w:tcPr>
          <w:p w14:paraId="133564E2">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每逾期一日，乙方按贰仟元/天承担违约金。逾期超过</w:t>
            </w:r>
            <w:r>
              <w:rPr>
                <w:rFonts w:hint="eastAsia" w:ascii="宋体" w:hAnsi="宋体" w:eastAsia="宋体" w:cs="宋体"/>
                <w:bCs/>
                <w:color w:val="auto"/>
                <w:sz w:val="21"/>
                <w:szCs w:val="21"/>
                <w:highlight w:val="none"/>
                <w:u w:val="single"/>
              </w:rPr>
              <w:t>15</w:t>
            </w:r>
            <w:r>
              <w:rPr>
                <w:rFonts w:hint="eastAsia" w:ascii="宋体" w:hAnsi="宋体" w:eastAsia="宋体" w:cs="宋体"/>
                <w:bCs/>
                <w:color w:val="auto"/>
                <w:sz w:val="21"/>
                <w:szCs w:val="21"/>
                <w:highlight w:val="none"/>
              </w:rPr>
              <w:t>日的，甲方有权单方解除合同，且乙方须承担履约担保等额的违约金</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如乙方拒绝支付违约金的，甲方有权没收履约担保或要求丙方从应支付给乙方的应付款项中扣除并支付给甲方。同时，造成甲方的经济损失（包括但不限于重新</w:t>
            </w:r>
            <w:r>
              <w:rPr>
                <w:rFonts w:hint="eastAsia" w:ascii="宋体" w:hAnsi="宋体" w:eastAsia="宋体" w:cs="宋体"/>
                <w:bCs/>
                <w:color w:val="auto"/>
                <w:sz w:val="21"/>
                <w:szCs w:val="21"/>
                <w:highlight w:val="none"/>
                <w:lang w:eastAsia="zh-CN"/>
              </w:rPr>
              <w:t>采购</w:t>
            </w:r>
            <w:r>
              <w:rPr>
                <w:rFonts w:hint="eastAsia" w:ascii="宋体" w:hAnsi="宋体" w:eastAsia="宋体" w:cs="宋体"/>
                <w:bCs/>
                <w:color w:val="auto"/>
                <w:sz w:val="21"/>
                <w:szCs w:val="21"/>
                <w:highlight w:val="none"/>
              </w:rPr>
              <w:t>、委托第三方的费用），由乙方承担全部赔偿。</w:t>
            </w:r>
          </w:p>
        </w:tc>
      </w:tr>
      <w:tr w14:paraId="00DC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F5A3326">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9</w:t>
            </w:r>
          </w:p>
        </w:tc>
        <w:tc>
          <w:tcPr>
            <w:tcW w:w="4682" w:type="dxa"/>
            <w:vAlign w:val="center"/>
          </w:tcPr>
          <w:p w14:paraId="50560280">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乙方违反约定非法转包、分包。</w:t>
            </w:r>
          </w:p>
        </w:tc>
        <w:tc>
          <w:tcPr>
            <w:tcW w:w="4686" w:type="dxa"/>
            <w:vAlign w:val="center"/>
          </w:tcPr>
          <w:p w14:paraId="2F599DD7">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甲方有权单方解除合同，乙方须向甲方支付与履约担保等额的违约金，并赔偿由此给甲方造成的一切损失</w:t>
            </w:r>
            <w:r>
              <w:rPr>
                <w:rFonts w:hint="eastAsia" w:ascii="宋体" w:hAnsi="宋体" w:eastAsia="宋体" w:cs="宋体"/>
                <w:color w:val="auto"/>
                <w:sz w:val="21"/>
                <w:szCs w:val="21"/>
                <w:highlight w:val="none"/>
                <w:lang w:eastAsia="zh-CN"/>
              </w:rPr>
              <w:t>；如乙方拒绝支付违约金的，甲方有权没收履约担保</w:t>
            </w:r>
            <w:r>
              <w:rPr>
                <w:rFonts w:hint="eastAsia" w:ascii="宋体" w:hAnsi="宋体" w:eastAsia="宋体" w:cs="宋体"/>
                <w:color w:val="auto"/>
                <w:sz w:val="21"/>
                <w:szCs w:val="21"/>
                <w:highlight w:val="none"/>
                <w:lang w:val="en-US" w:eastAsia="zh-CN"/>
              </w:rPr>
              <w:t>或要求丙方从应支付给乙方的应付款项中扣除并支付给甲方</w:t>
            </w:r>
            <w:r>
              <w:rPr>
                <w:rFonts w:hint="eastAsia" w:ascii="宋体" w:hAnsi="宋体" w:eastAsia="宋体" w:cs="宋体"/>
                <w:bCs/>
                <w:color w:val="auto"/>
                <w:sz w:val="21"/>
                <w:szCs w:val="21"/>
                <w:highlight w:val="none"/>
              </w:rPr>
              <w:t>。如因非法转包、分包导致安全事故或人身损害事故的，造成甲方其他损失的或甲方被认定需承担赔偿责任的，甲方有权向乙方追偿并要求乙方承担人民币壹拾万元整的违约金。</w:t>
            </w:r>
          </w:p>
        </w:tc>
      </w:tr>
      <w:tr w14:paraId="0A7C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1" w:hRule="atLeast"/>
        </w:trPr>
        <w:tc>
          <w:tcPr>
            <w:tcW w:w="1000" w:type="dxa"/>
            <w:vAlign w:val="center"/>
          </w:tcPr>
          <w:p w14:paraId="1BA1322D">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10</w:t>
            </w:r>
          </w:p>
        </w:tc>
        <w:tc>
          <w:tcPr>
            <w:tcW w:w="4682" w:type="dxa"/>
            <w:vAlign w:val="center"/>
          </w:tcPr>
          <w:p w14:paraId="18442484">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乙方存在如下情形之一的：</w:t>
            </w:r>
          </w:p>
          <w:p w14:paraId="11F8292C">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（1）提供虚假信息、误导或欺骗甲方及丙方，以谋取非法利益的；</w:t>
            </w:r>
          </w:p>
          <w:p w14:paraId="12FD3D56">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（2）违反诚信信用原则，没有严格执行相关质量、服务，损害甲方、丙方或相关用户单位的利益的；</w:t>
            </w:r>
          </w:p>
          <w:p w14:paraId="150FC351">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（3）违反有关法律法规以及本合同的约定，损害甲方利益的；</w:t>
            </w:r>
          </w:p>
          <w:p w14:paraId="631FE316">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（4）拒绝接受甲方、丙方及相关部门监督、检查的；</w:t>
            </w:r>
          </w:p>
          <w:p w14:paraId="195CCAD6">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（5）出现信用危机、财务危机、生产经营危机甚至破产、倒闭，无法继续履行本合同的；</w:t>
            </w:r>
          </w:p>
          <w:p w14:paraId="70A74A7C">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（6）采用非法手段进行不正当竞争的，构成恶劣影响；</w:t>
            </w:r>
          </w:p>
          <w:p w14:paraId="5A5385C2">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（7）违反本合同约定，泄露服务项目内容的。</w:t>
            </w:r>
          </w:p>
        </w:tc>
        <w:tc>
          <w:tcPr>
            <w:tcW w:w="4686" w:type="dxa"/>
            <w:vAlign w:val="center"/>
          </w:tcPr>
          <w:p w14:paraId="167EF752">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甲方有权书面通知乙方单方解除本合同，并由乙方承担履约担保等额的违约金</w:t>
            </w:r>
            <w:r>
              <w:rPr>
                <w:rFonts w:hint="eastAsia" w:ascii="宋体" w:hAnsi="宋体" w:eastAsia="宋体" w:cs="宋体"/>
                <w:color w:val="auto"/>
                <w:sz w:val="21"/>
                <w:szCs w:val="21"/>
                <w:highlight w:val="none"/>
                <w:lang w:eastAsia="zh-CN"/>
              </w:rPr>
              <w:t>；如乙方拒绝支付违约金的，甲方有权没收履约担保</w:t>
            </w:r>
            <w:r>
              <w:rPr>
                <w:rFonts w:hint="eastAsia" w:ascii="宋体" w:hAnsi="宋体" w:eastAsia="宋体" w:cs="宋体"/>
                <w:color w:val="auto"/>
                <w:sz w:val="21"/>
                <w:szCs w:val="21"/>
                <w:highlight w:val="none"/>
                <w:lang w:val="en-US" w:eastAsia="zh-CN"/>
              </w:rPr>
              <w:t>或要求丙方从应支付给乙方的应付款项中扣除并支付给甲方；</w:t>
            </w:r>
            <w:r>
              <w:rPr>
                <w:rFonts w:hint="eastAsia" w:ascii="宋体" w:hAnsi="宋体" w:eastAsia="宋体" w:cs="宋体"/>
                <w:bCs/>
                <w:color w:val="auto"/>
                <w:sz w:val="21"/>
                <w:szCs w:val="21"/>
                <w:highlight w:val="none"/>
              </w:rPr>
              <w:t>给甲方造成损失的，乙方还足额应赔偿甲方。</w:t>
            </w:r>
          </w:p>
        </w:tc>
      </w:tr>
      <w:tr w14:paraId="4625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6013D8B0">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p>
        </w:tc>
        <w:tc>
          <w:tcPr>
            <w:tcW w:w="4682" w:type="dxa"/>
            <w:vAlign w:val="center"/>
          </w:tcPr>
          <w:p w14:paraId="660C7FFF">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无故拖欠或克扣工人工资待遇以及其他劳动待遇等。</w:t>
            </w:r>
          </w:p>
        </w:tc>
        <w:tc>
          <w:tcPr>
            <w:tcW w:w="4686" w:type="dxa"/>
            <w:vAlign w:val="center"/>
          </w:tcPr>
          <w:p w14:paraId="0F256B36">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tc>
      </w:tr>
      <w:tr w14:paraId="4153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16706B53">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w:t>
            </w:r>
          </w:p>
        </w:tc>
        <w:tc>
          <w:tcPr>
            <w:tcW w:w="4682" w:type="dxa"/>
            <w:vAlign w:val="center"/>
          </w:tcPr>
          <w:p w14:paraId="03DED018">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受到相关部门的批评，经调查认定情况属实。</w:t>
            </w:r>
          </w:p>
        </w:tc>
        <w:tc>
          <w:tcPr>
            <w:tcW w:w="4686" w:type="dxa"/>
            <w:vAlign w:val="center"/>
          </w:tcPr>
          <w:p w14:paraId="6AB4CBEA">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视情节轻重予要求乙方承担违约责任；造成恶劣影响的，甲方有权解除合同。</w:t>
            </w:r>
          </w:p>
        </w:tc>
      </w:tr>
      <w:tr w14:paraId="4B98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1000" w:type="dxa"/>
            <w:vAlign w:val="center"/>
          </w:tcPr>
          <w:p w14:paraId="1B8C1AB9">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4682" w:type="dxa"/>
            <w:vAlign w:val="center"/>
          </w:tcPr>
          <w:p w14:paraId="28240D99">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乙方在服务年限内，在履行本合同约定的义务过程中出现违反国家法律法规、主管部门规章制度、擅自提高价格或提供伪劣服务内容、服务质量低劣造成甲方损失等情况。</w:t>
            </w:r>
          </w:p>
        </w:tc>
        <w:tc>
          <w:tcPr>
            <w:tcW w:w="4686" w:type="dxa"/>
            <w:vAlign w:val="center"/>
          </w:tcPr>
          <w:p w14:paraId="404B1EC3">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甲方有权视不同情况分别给予警告、抵扣履约担保或取消合同等处理。</w:t>
            </w:r>
          </w:p>
        </w:tc>
      </w:tr>
      <w:tr w14:paraId="687D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000" w:type="dxa"/>
            <w:vAlign w:val="center"/>
          </w:tcPr>
          <w:p w14:paraId="6274918A">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4682" w:type="dxa"/>
            <w:vAlign w:val="center"/>
          </w:tcPr>
          <w:p w14:paraId="3EB820CF">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未经甲方书面同意，乙方变更项目负责人或技术负责人。</w:t>
            </w:r>
          </w:p>
        </w:tc>
        <w:tc>
          <w:tcPr>
            <w:tcW w:w="4686" w:type="dxa"/>
            <w:vAlign w:val="center"/>
          </w:tcPr>
          <w:p w14:paraId="080CEE37">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甲方有权要求乙方按伍万元/人/次承担违约金。</w:t>
            </w:r>
          </w:p>
        </w:tc>
      </w:tr>
      <w:tr w14:paraId="2631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5D7DF5A3">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4682" w:type="dxa"/>
            <w:vAlign w:val="center"/>
          </w:tcPr>
          <w:p w14:paraId="5E80D707">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甲方每季度根据合同附件五《检测单位履约考核评分表》对乙方评价一次，出具考核评价结果。甲方将严格按照考核评分标准对乙方进行季度检查和考核，考评80分以下的。</w:t>
            </w:r>
          </w:p>
        </w:tc>
        <w:tc>
          <w:tcPr>
            <w:tcW w:w="4686" w:type="dxa"/>
            <w:vAlign w:val="center"/>
          </w:tcPr>
          <w:p w14:paraId="7AEA3791">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考评[70,80)分的，处相应付款周期内经</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确认的检测费的10%作为违约金，考评[60,70)分的，处相应付款周期经</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确认的检测费的20%作为违约金，考评60分以下的，处相应付款周期经</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确认的检测的30%作为违约金。上述“[”代表闭区间，“)”代表开区间，如[70,80)代表该分数段范围为大于等于70且小于80。达到相应付款周期时,如</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 xml:space="preserve">未申请支付本期费用, </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根据支付条件暂定本周期检测费并计算本周期内应缴纳的暂定违约金，</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应予以缴纳。下一周期仍未申请时按上述做法执行，待到</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申请支付费用时，根据合同付款流程确认检测费，同步对以往暂定违约金在本次一并确认并予以结算。</w:t>
            </w:r>
          </w:p>
        </w:tc>
      </w:tr>
      <w:tr w14:paraId="39AE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BC8926F">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4682" w:type="dxa"/>
            <w:vAlign w:val="center"/>
          </w:tcPr>
          <w:p w14:paraId="587259D3">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4686" w:type="dxa"/>
            <w:vAlign w:val="center"/>
          </w:tcPr>
          <w:p w14:paraId="200A8DC6">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i w:val="0"/>
                <w:iCs w:val="0"/>
                <w:color w:val="auto"/>
                <w:kern w:val="2"/>
                <w:sz w:val="21"/>
                <w:szCs w:val="21"/>
                <w:highlight w:val="none"/>
                <w:lang w:val="en-US" w:eastAsia="zh-CN" w:bidi="ar"/>
              </w:rPr>
              <w:t>甲方依据本合同条款对乙方处以违约金、赔偿、扣款等款项的，乙方应在收到违约（赔偿或扣款等款项）处理通知书之日起的五个工作日内通过乙方公司账户支付至甲方指定账户（须备注本项目名称），或书面授权乙方相关工作人员以乙方为交款人通过现金方式存入甲方指定账户（须备注本项目名称），甲方收到款项后向乙方提供收据。如乙方未按上述要求交纳违约金、赔偿、扣款等款项的，甲方不予审批当期的进度款。甲方指定收款账户信息：</w:t>
            </w:r>
            <w:r>
              <w:rPr>
                <w:rFonts w:hint="eastAsia" w:ascii="宋体" w:hAnsi="宋体" w:eastAsia="宋体" w:cs="宋体"/>
                <w:bCs/>
                <w:i w:val="0"/>
                <w:iCs w:val="0"/>
                <w:color w:val="auto"/>
                <w:kern w:val="2"/>
                <w:sz w:val="21"/>
                <w:szCs w:val="21"/>
                <w:highlight w:val="none"/>
                <w:lang w:val="en-US" w:eastAsia="zh-CN" w:bidi="ar"/>
              </w:rPr>
              <w:br w:type="textWrapping"/>
            </w:r>
            <w:r>
              <w:rPr>
                <w:rFonts w:hint="eastAsia" w:ascii="宋体" w:hAnsi="宋体" w:eastAsia="宋体" w:cs="宋体"/>
                <w:bCs/>
                <w:i w:val="0"/>
                <w:iCs w:val="0"/>
                <w:color w:val="auto"/>
                <w:kern w:val="2"/>
                <w:sz w:val="21"/>
                <w:szCs w:val="21"/>
                <w:highlight w:val="none"/>
                <w:lang w:val="en-US" w:eastAsia="zh-CN" w:bidi="ar"/>
              </w:rPr>
              <w:t xml:space="preserve">    开户名称：东莞市水务环境投资控股集团建设管理有限公司</w:t>
            </w:r>
            <w:r>
              <w:rPr>
                <w:rFonts w:hint="eastAsia" w:ascii="宋体" w:hAnsi="宋体" w:eastAsia="宋体" w:cs="宋体"/>
                <w:bCs/>
                <w:i w:val="0"/>
                <w:iCs w:val="0"/>
                <w:color w:val="auto"/>
                <w:kern w:val="2"/>
                <w:sz w:val="21"/>
                <w:szCs w:val="21"/>
                <w:highlight w:val="none"/>
                <w:lang w:val="en-US" w:eastAsia="zh-CN" w:bidi="ar"/>
              </w:rPr>
              <w:br w:type="textWrapping"/>
            </w:r>
            <w:r>
              <w:rPr>
                <w:rFonts w:hint="eastAsia" w:ascii="宋体" w:hAnsi="宋体" w:eastAsia="宋体" w:cs="宋体"/>
                <w:bCs/>
                <w:i w:val="0"/>
                <w:iCs w:val="0"/>
                <w:color w:val="auto"/>
                <w:kern w:val="2"/>
                <w:sz w:val="21"/>
                <w:szCs w:val="21"/>
                <w:highlight w:val="none"/>
                <w:lang w:val="en-US" w:eastAsia="zh-CN" w:bidi="ar"/>
              </w:rPr>
              <w:t xml:space="preserve">    开户银行：中国工商银行股份有限公司东莞分行</w:t>
            </w:r>
            <w:r>
              <w:rPr>
                <w:rFonts w:hint="eastAsia" w:ascii="宋体" w:hAnsi="宋体" w:eastAsia="宋体" w:cs="宋体"/>
                <w:bCs/>
                <w:i w:val="0"/>
                <w:iCs w:val="0"/>
                <w:color w:val="auto"/>
                <w:kern w:val="2"/>
                <w:sz w:val="21"/>
                <w:szCs w:val="21"/>
                <w:highlight w:val="none"/>
                <w:lang w:val="en-US" w:eastAsia="zh-CN" w:bidi="ar"/>
              </w:rPr>
              <w:br w:type="textWrapping"/>
            </w:r>
            <w:r>
              <w:rPr>
                <w:rFonts w:hint="eastAsia" w:ascii="宋体" w:hAnsi="宋体" w:eastAsia="宋体" w:cs="宋体"/>
                <w:bCs/>
                <w:i w:val="0"/>
                <w:iCs w:val="0"/>
                <w:color w:val="auto"/>
                <w:kern w:val="2"/>
                <w:sz w:val="21"/>
                <w:szCs w:val="21"/>
                <w:highlight w:val="none"/>
                <w:lang w:val="en-US" w:eastAsia="zh-CN" w:bidi="ar"/>
              </w:rPr>
              <w:t xml:space="preserve">    银行账号：2010021309200628330</w:t>
            </w:r>
          </w:p>
        </w:tc>
      </w:tr>
      <w:tr w14:paraId="213E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1787B92">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w:t>
            </w:r>
          </w:p>
        </w:tc>
        <w:tc>
          <w:tcPr>
            <w:tcW w:w="4682" w:type="dxa"/>
            <w:vAlign w:val="center"/>
          </w:tcPr>
          <w:p w14:paraId="12DE67C5">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4686" w:type="dxa"/>
            <w:vAlign w:val="center"/>
          </w:tcPr>
          <w:p w14:paraId="6B4019A9">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因乙方违约，甲方通过司法途径维护自身权益的，乙方应承担甲方由此支出的律师费、诉讼费、执行费、鉴定费、公证费、财产保全费及保险费等全部费用。</w:t>
            </w:r>
          </w:p>
        </w:tc>
      </w:tr>
    </w:tbl>
    <w:p w14:paraId="65F7F368">
      <w:pPr>
        <w:adjustRightInd w:val="0"/>
        <w:snapToGrid w:val="0"/>
        <w:spacing w:line="360" w:lineRule="auto"/>
        <w:rPr>
          <w:rFonts w:hint="eastAsia" w:ascii="宋体" w:hAnsi="宋体" w:eastAsia="宋体" w:cs="宋体"/>
          <w:bCs/>
          <w:color w:val="auto"/>
          <w:sz w:val="21"/>
          <w:szCs w:val="21"/>
          <w:highlight w:val="none"/>
        </w:rPr>
      </w:pPr>
    </w:p>
    <w:p w14:paraId="1A585442">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十三、附则</w:t>
      </w:r>
    </w:p>
    <w:p w14:paraId="0D51785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1.本合同如遇不可避免的客观原因，而导致无法全部按规定执行，必须修订或</w:t>
      </w:r>
      <w:r>
        <w:rPr>
          <w:rFonts w:hint="eastAsia" w:ascii="宋体" w:hAnsi="宋体" w:eastAsia="宋体" w:cs="宋体"/>
          <w:color w:val="auto"/>
          <w:sz w:val="21"/>
          <w:szCs w:val="21"/>
          <w:highlight w:val="none"/>
          <w:lang w:eastAsia="zh-CN"/>
        </w:rPr>
        <w:t>终止</w:t>
      </w:r>
      <w:r>
        <w:rPr>
          <w:rFonts w:hint="eastAsia" w:ascii="宋体" w:hAnsi="宋体" w:eastAsia="宋体" w:cs="宋体"/>
          <w:color w:val="auto"/>
          <w:sz w:val="21"/>
          <w:szCs w:val="21"/>
          <w:highlight w:val="none"/>
        </w:rPr>
        <w:t>时，由三方协商解决。</w:t>
      </w:r>
    </w:p>
    <w:p w14:paraId="46F155C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2.本合同在履行期内甲方发现检测实施缺陷的，</w:t>
      </w:r>
      <w:r>
        <w:rPr>
          <w:rFonts w:hint="eastAsia" w:ascii="宋体" w:hAnsi="宋体" w:eastAsia="宋体" w:cs="宋体"/>
          <w:bCs/>
          <w:color w:val="auto"/>
          <w:sz w:val="21"/>
          <w:szCs w:val="21"/>
          <w:highlight w:val="none"/>
        </w:rPr>
        <w:t>乙方</w:t>
      </w:r>
      <w:r>
        <w:rPr>
          <w:rFonts w:hint="eastAsia" w:ascii="宋体" w:hAnsi="宋体" w:eastAsia="宋体" w:cs="宋体"/>
          <w:color w:val="auto"/>
          <w:sz w:val="21"/>
          <w:szCs w:val="21"/>
          <w:highlight w:val="none"/>
        </w:rPr>
        <w:t>应无条件负责返工和采取补救措施。</w:t>
      </w:r>
    </w:p>
    <w:p w14:paraId="55EDDC8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3.合同内变更检测项目是合同承包范围不可分割的一部分，</w:t>
      </w:r>
      <w:r>
        <w:rPr>
          <w:rFonts w:hint="eastAsia" w:ascii="宋体" w:hAnsi="宋体" w:eastAsia="宋体" w:cs="宋体"/>
          <w:bCs/>
          <w:color w:val="auto"/>
          <w:sz w:val="21"/>
          <w:szCs w:val="21"/>
          <w:highlight w:val="none"/>
        </w:rPr>
        <w:t>乙方</w:t>
      </w:r>
      <w:r>
        <w:rPr>
          <w:rFonts w:hint="eastAsia" w:ascii="宋体" w:hAnsi="宋体" w:eastAsia="宋体" w:cs="宋体"/>
          <w:color w:val="auto"/>
          <w:sz w:val="21"/>
          <w:szCs w:val="21"/>
          <w:highlight w:val="none"/>
        </w:rPr>
        <w:t>应按甲方提交的变更工程设计图纸完成检测工作。</w:t>
      </w:r>
    </w:p>
    <w:p w14:paraId="4B80C40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通知书以及相关规范将成为本合同的组成部分，组成本合同的各个文件是一个整体，彼此相互解释，相互补充，并具有合同同等法律效力。</w:t>
      </w:r>
    </w:p>
    <w:p w14:paraId="58F67A6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5.本合同如有未尽事宜，由甲、乙、丙三方订立补充协议，补充协议与本合同具有同等的法律效力。</w:t>
      </w:r>
    </w:p>
    <w:p w14:paraId="50CD4686">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39CCACE7">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十四、合同争议</w:t>
      </w:r>
    </w:p>
    <w:p w14:paraId="77EE144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本合同发生争议，甲方、</w:t>
      </w:r>
      <w:r>
        <w:rPr>
          <w:rFonts w:hint="eastAsia" w:ascii="宋体" w:hAnsi="宋体" w:eastAsia="宋体" w:cs="宋体"/>
          <w:bCs/>
          <w:color w:val="auto"/>
          <w:sz w:val="21"/>
          <w:szCs w:val="21"/>
          <w:highlight w:val="none"/>
        </w:rPr>
        <w:t>乙方、丙方</w:t>
      </w:r>
      <w:r>
        <w:rPr>
          <w:rFonts w:hint="eastAsia" w:ascii="宋体" w:hAnsi="宋体" w:eastAsia="宋体" w:cs="宋体"/>
          <w:color w:val="auto"/>
          <w:sz w:val="21"/>
          <w:szCs w:val="21"/>
          <w:highlight w:val="none"/>
        </w:rPr>
        <w:t>三方应及时协商解决，也可由当地行政主管部门调解，协商或调解不成时，任何一方可向甲方所在地有管辖权的人民法院起诉。</w:t>
      </w:r>
    </w:p>
    <w:p w14:paraId="7127A223">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49A5FF6A">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十五、合同生效</w:t>
      </w:r>
    </w:p>
    <w:p w14:paraId="4EF4D1C1">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本合同自三方签字盖章后生效，甲方、</w:t>
      </w:r>
      <w:r>
        <w:rPr>
          <w:rFonts w:hint="eastAsia" w:ascii="宋体" w:hAnsi="宋体" w:eastAsia="宋体" w:cs="宋体"/>
          <w:bCs/>
          <w:color w:val="auto"/>
          <w:sz w:val="21"/>
          <w:szCs w:val="21"/>
          <w:highlight w:val="none"/>
        </w:rPr>
        <w:t>乙方、丙方</w:t>
      </w:r>
      <w:r>
        <w:rPr>
          <w:rFonts w:hint="eastAsia" w:ascii="宋体" w:hAnsi="宋体" w:eastAsia="宋体" w:cs="宋体"/>
          <w:color w:val="auto"/>
          <w:sz w:val="21"/>
          <w:szCs w:val="21"/>
          <w:highlight w:val="none"/>
        </w:rPr>
        <w:t>履行完合同规定的义务后，本合同终止。</w:t>
      </w:r>
    </w:p>
    <w:p w14:paraId="2EE59664">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p>
    <w:p w14:paraId="5E6649FB">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十六、合同份数</w:t>
      </w:r>
    </w:p>
    <w:p w14:paraId="59EAB683">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bCs/>
          <w:color w:val="auto"/>
          <w:sz w:val="21"/>
          <w:szCs w:val="21"/>
          <w:highlight w:val="none"/>
        </w:rPr>
        <w:t>乙方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bCs/>
          <w:color w:val="auto"/>
          <w:sz w:val="21"/>
          <w:szCs w:val="21"/>
          <w:highlight w:val="none"/>
        </w:rPr>
        <w:t>丙方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份，招标代理机构</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w:t>
      </w:r>
    </w:p>
    <w:p w14:paraId="5D7C4FB2">
      <w:pPr>
        <w:pStyle w:val="16"/>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转合同签署页</w:t>
      </w:r>
      <w:r>
        <w:rPr>
          <w:rFonts w:hint="eastAsia" w:ascii="宋体" w:hAnsi="宋体" w:eastAsia="宋体" w:cs="宋体"/>
          <w:color w:val="auto"/>
          <w:sz w:val="21"/>
          <w:szCs w:val="21"/>
          <w:highlight w:val="none"/>
          <w:lang w:eastAsia="zh-CN"/>
        </w:rPr>
        <w:t>）</w:t>
      </w:r>
    </w:p>
    <w:p w14:paraId="3514CFCA">
      <w:pPr>
        <w:rPr>
          <w:rFonts w:hint="eastAsia" w:ascii="宋体" w:hAnsi="宋体" w:eastAsia="宋体" w:cs="宋体"/>
          <w:color w:val="auto"/>
          <w:highlight w:val="none"/>
        </w:rPr>
      </w:pPr>
    </w:p>
    <w:tbl>
      <w:tblPr>
        <w:tblStyle w:val="45"/>
        <w:tblW w:w="10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85"/>
        <w:gridCol w:w="5185"/>
      </w:tblGrid>
      <w:tr w14:paraId="2079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2B79C0D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21E0DE8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5185" w:type="dxa"/>
            <w:vAlign w:val="top"/>
          </w:tcPr>
          <w:p w14:paraId="786A1CE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513DD49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r w14:paraId="56D4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85E727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324CD7A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5185" w:type="dxa"/>
            <w:vAlign w:val="top"/>
          </w:tcPr>
          <w:p w14:paraId="5A1BDE4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46BD8EB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r>
      <w:tr w14:paraId="25D4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1535574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p w14:paraId="7E33987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185" w:type="dxa"/>
            <w:vAlign w:val="top"/>
          </w:tcPr>
          <w:p w14:paraId="28B00849">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p w14:paraId="687D9B8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5889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89C109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185" w:type="dxa"/>
            <w:vAlign w:val="top"/>
          </w:tcPr>
          <w:p w14:paraId="3A71A0A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6D8E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85" w:type="dxa"/>
            <w:vAlign w:val="top"/>
          </w:tcPr>
          <w:p w14:paraId="612C113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5185" w:type="dxa"/>
            <w:vAlign w:val="top"/>
          </w:tcPr>
          <w:p w14:paraId="3072F1E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r>
      <w:tr w14:paraId="7B22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65D88EB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5185" w:type="dxa"/>
            <w:vAlign w:val="top"/>
          </w:tcPr>
          <w:p w14:paraId="73B075C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58A3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7F19648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5185" w:type="dxa"/>
            <w:vAlign w:val="top"/>
          </w:tcPr>
          <w:p w14:paraId="18EBD5A9">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r>
      <w:tr w14:paraId="2525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028D529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5185" w:type="dxa"/>
            <w:vAlign w:val="top"/>
          </w:tcPr>
          <w:p w14:paraId="36B0F56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58D5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03290C8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5185" w:type="dxa"/>
            <w:vAlign w:val="top"/>
          </w:tcPr>
          <w:p w14:paraId="33A8779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10E8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61C1EEF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w:t>
            </w:r>
          </w:p>
          <w:p w14:paraId="344E14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5185" w:type="dxa"/>
            <w:vAlign w:val="top"/>
          </w:tcPr>
          <w:p w14:paraId="6EFAA07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2073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8162FB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446D9F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5185" w:type="dxa"/>
            <w:vAlign w:val="top"/>
          </w:tcPr>
          <w:p w14:paraId="7714E96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39A82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3FFA31F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p w14:paraId="77BE991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185" w:type="dxa"/>
            <w:vAlign w:val="top"/>
          </w:tcPr>
          <w:p w14:paraId="226389A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2E0C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E515CE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185" w:type="dxa"/>
            <w:vAlign w:val="top"/>
          </w:tcPr>
          <w:p w14:paraId="7EC3CDD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4CC12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9D5206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5185" w:type="dxa"/>
            <w:vAlign w:val="top"/>
          </w:tcPr>
          <w:p w14:paraId="3FC5F7E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1153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72A0FD6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5185" w:type="dxa"/>
            <w:vAlign w:val="top"/>
          </w:tcPr>
          <w:p w14:paraId="4EB1233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4437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1665DBE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5185" w:type="dxa"/>
            <w:vAlign w:val="top"/>
          </w:tcPr>
          <w:p w14:paraId="4E4B03E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302E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AE214C9">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5185" w:type="dxa"/>
            <w:vAlign w:val="top"/>
          </w:tcPr>
          <w:p w14:paraId="6725153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bl>
    <w:p w14:paraId="126234D9">
      <w:pPr>
        <w:adjustRightInd w:val="0"/>
        <w:snapToGrid w:val="0"/>
        <w:spacing w:line="360" w:lineRule="auto"/>
        <w:rPr>
          <w:rFonts w:hint="eastAsia" w:ascii="宋体" w:hAnsi="宋体" w:eastAsia="宋体" w:cs="宋体"/>
          <w:color w:val="auto"/>
          <w:sz w:val="21"/>
          <w:szCs w:val="21"/>
          <w:highlight w:val="none"/>
        </w:rPr>
      </w:pPr>
    </w:p>
    <w:p w14:paraId="564114CC">
      <w:pPr>
        <w:pStyle w:val="16"/>
        <w:rPr>
          <w:rFonts w:hint="eastAsia" w:ascii="宋体" w:hAnsi="宋体" w:eastAsia="宋体" w:cs="宋体"/>
          <w:color w:val="auto"/>
          <w:highlight w:val="none"/>
        </w:rPr>
      </w:pPr>
    </w:p>
    <w:p w14:paraId="72879FA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1D2F81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u w:val="single"/>
        </w:rPr>
        <w:t xml:space="preserve"> 东莞市 </w:t>
      </w:r>
    </w:p>
    <w:p w14:paraId="18DFF02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E886BBF">
      <w:pPr>
        <w:pStyle w:val="16"/>
        <w:rPr>
          <w:rFonts w:hint="eastAsia" w:ascii="宋体" w:hAnsi="宋体" w:eastAsia="宋体" w:cs="宋体"/>
          <w:color w:val="auto"/>
          <w:sz w:val="21"/>
          <w:szCs w:val="21"/>
          <w:highlight w:val="none"/>
        </w:rPr>
      </w:pPr>
    </w:p>
    <w:p w14:paraId="2E84198B">
      <w:pPr>
        <w:adjustRightInd w:val="0"/>
        <w:snapToGrid w:val="0"/>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附件一：《工程量清单计价表》</w:t>
      </w:r>
    </w:p>
    <w:p w14:paraId="6C72BAD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附件二：廉洁协议书</w:t>
      </w:r>
    </w:p>
    <w:p w14:paraId="608C5F0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附件三：安全生产责任书</w:t>
      </w:r>
    </w:p>
    <w:p w14:paraId="5A70583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附件四：诚信履约承诺书</w:t>
      </w:r>
    </w:p>
    <w:p w14:paraId="2C32515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附件五：检测单位履约考核评分表</w:t>
      </w:r>
    </w:p>
    <w:p w14:paraId="5B2AE4A2">
      <w:pPr>
        <w:pStyle w:val="16"/>
        <w:spacing w:before="0"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附件六：检测服务人员表</w:t>
      </w:r>
    </w:p>
    <w:p w14:paraId="59285C2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w:t>
      </w:r>
    </w:p>
    <w:p w14:paraId="0C81846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：用户需求书</w:t>
      </w:r>
    </w:p>
    <w:p w14:paraId="3D770C9F">
      <w:pPr>
        <w:widowControl w:val="0"/>
        <w:autoSpaceDE w:val="0"/>
        <w:autoSpaceDN w:val="0"/>
        <w:adjustRightInd w:val="0"/>
        <w:snapToGrid w:val="0"/>
        <w:spacing w:line="360" w:lineRule="auto"/>
        <w:ind w:right="0"/>
        <w:jc w:val="center"/>
        <w:rPr>
          <w:rFonts w:hint="eastAsia" w:ascii="宋体" w:hAnsi="宋体" w:eastAsia="宋体" w:cs="宋体"/>
          <w:b/>
          <w:bCs/>
          <w:color w:val="auto"/>
          <w:kern w:val="2"/>
          <w:sz w:val="21"/>
          <w:szCs w:val="21"/>
          <w:highlight w:val="none"/>
          <w:lang w:val="zh-CN" w:eastAsia="zh-CN" w:bidi="ar-SA"/>
        </w:rPr>
      </w:pPr>
    </w:p>
    <w:p w14:paraId="03449EBF">
      <w:pPr>
        <w:tabs>
          <w:tab w:val="left" w:pos="0"/>
          <w:tab w:val="left" w:pos="405"/>
          <w:tab w:val="left" w:pos="567"/>
          <w:tab w:val="left" w:pos="601"/>
          <w:tab w:val="left" w:pos="198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8CA3BC0">
      <w:pPr>
        <w:tabs>
          <w:tab w:val="left" w:pos="0"/>
          <w:tab w:val="left" w:pos="405"/>
          <w:tab w:val="left" w:pos="567"/>
          <w:tab w:val="left" w:pos="601"/>
          <w:tab w:val="left" w:pos="1980"/>
        </w:tabs>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附件一：《工程量清单计价表》</w:t>
      </w:r>
    </w:p>
    <w:p w14:paraId="603A8425">
      <w:pPr>
        <w:tabs>
          <w:tab w:val="left" w:pos="0"/>
          <w:tab w:val="left" w:pos="405"/>
          <w:tab w:val="left" w:pos="567"/>
          <w:tab w:val="left" w:pos="601"/>
          <w:tab w:val="left" w:pos="1980"/>
        </w:tabs>
        <w:adjustRightInd w:val="0"/>
        <w:snapToGrid w:val="0"/>
        <w:spacing w:line="360" w:lineRule="auto"/>
        <w:rPr>
          <w:rFonts w:hint="eastAsia" w:ascii="宋体" w:hAnsi="宋体" w:eastAsia="宋体" w:cs="宋体"/>
          <w:color w:val="auto"/>
          <w:sz w:val="21"/>
          <w:szCs w:val="21"/>
          <w:highlight w:val="none"/>
        </w:rPr>
      </w:pPr>
    </w:p>
    <w:p w14:paraId="51CB4CC0">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6FD09BE2">
      <w:pPr>
        <w:tabs>
          <w:tab w:val="left" w:pos="0"/>
          <w:tab w:val="left" w:pos="405"/>
          <w:tab w:val="left" w:pos="567"/>
          <w:tab w:val="left" w:pos="601"/>
          <w:tab w:val="left" w:pos="1980"/>
        </w:tabs>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附件二：廉洁协议书</w:t>
      </w:r>
    </w:p>
    <w:p w14:paraId="1AA2C610">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廉洁协议书</w:t>
      </w:r>
    </w:p>
    <w:p w14:paraId="49A4645F">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东莞市大朗蔡边水质净化厂工程第三方检测（不含基桩完整性检测）</w:t>
      </w:r>
    </w:p>
    <w:p w14:paraId="4152928C">
      <w:pPr>
        <w:adjustRightInd w:val="0"/>
        <w:snapToGrid w:val="0"/>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编号：</w:t>
      </w:r>
    </w:p>
    <w:p w14:paraId="1B920D4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委托人（甲方）： </w:t>
      </w:r>
    </w:p>
    <w:p w14:paraId="7CE62ED0">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检测人（乙方）：</w:t>
      </w:r>
    </w:p>
    <w:p w14:paraId="56FE010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项目业主（丙方）：</w:t>
      </w:r>
    </w:p>
    <w:p w14:paraId="071F67E9">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p>
    <w:p w14:paraId="0E8C843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丙三方在订立、履行合同及经济业务往来过程中的行为，保持廉洁自律的工作作风,防止各种违法及不正当行为的发生,确保甲乙丙三方及其工作人员自觉遵守国家法律、法规及廉洁从业各项规定，特订立本协议。</w:t>
      </w:r>
    </w:p>
    <w:p w14:paraId="0D413540">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甲乙丙三方的权利和义务</w:t>
      </w:r>
    </w:p>
    <w:p w14:paraId="712C195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4E3B2C9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0306E51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（三）三方的业务活动坚持公开、公正、诚信、透明的原则（除法律认定的商业秘密和合同文件另有规定之外）不得损害国家和集体利益，违反工程建设管理及其他法律法规规章制度。</w:t>
      </w:r>
    </w:p>
    <w:p w14:paraId="1FBB264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6DB1B84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04524ED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13282682">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甲方与丙方的义务</w:t>
      </w:r>
    </w:p>
    <w:p w14:paraId="78756DA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（一）甲方、丙方及其工作人员不得索要或接受乙方的礼金、有价证券和贵重物品，不得在乙方报销任何应由甲方、丙方或个人支付的费用。</w:t>
      </w:r>
    </w:p>
    <w:p w14:paraId="5CF3C37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（二）甲方、丙方工作人员不得参加乙方安排的高消费宴请和娱乐活动；不得接受乙方提供的通讯工具、交通工具和高档办公用品。</w:t>
      </w:r>
    </w:p>
    <w:p w14:paraId="2A1FC5B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（三）甲方、丙方及其工作人员不得要求或者接受乙方为其住房装修、婚丧嫁娶活动、家属或亲友的工作安排以及出国出境、旅游等提供方便。</w:t>
      </w:r>
    </w:p>
    <w:p w14:paraId="2B80646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（四）甲方、丙方工作人员不得向乙方介绍其家属或者亲友（包括家属或亲友开办的公司企业）从事于本项目涉及的经济业务活动。</w:t>
      </w:r>
    </w:p>
    <w:p w14:paraId="70C48A3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（五）甲方、丙方及其工作人员不得以任何理由向乙方推荐分包单位，不得要求乙方购买合同规定外的材料和设备。</w:t>
      </w:r>
    </w:p>
    <w:p w14:paraId="22D5045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（六）甲方、丙方及其工作人员不得进行违反廉洁规定的其他活动。</w:t>
      </w:r>
    </w:p>
    <w:p w14:paraId="3EF22E1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（七）甲方、丙方应分别对甲方、丙方工作人员进行廉洁监督管理，如甲方、丙方工作人员违反本协议第</w:t>
      </w:r>
      <w:r>
        <w:rPr>
          <w:rFonts w:hint="eastAsia" w:ascii="宋体" w:hAnsi="宋体" w:eastAsia="宋体" w:cs="宋体"/>
          <w:color w:val="auto"/>
          <w:sz w:val="21"/>
          <w:szCs w:val="21"/>
          <w:highlight w:val="none"/>
          <w:lang w:eastAsia="zh-CN"/>
        </w:rPr>
        <w:t>一条</w:t>
      </w:r>
      <w:r>
        <w:rPr>
          <w:rFonts w:hint="eastAsia" w:ascii="宋体" w:hAnsi="宋体" w:eastAsia="宋体" w:cs="宋体"/>
          <w:color w:val="auto"/>
          <w:sz w:val="21"/>
          <w:szCs w:val="21"/>
          <w:highlight w:val="none"/>
        </w:rPr>
        <w:t>、第二条，甲方、丙方应依据有关法律法规、党纪规定对其进行处理；涉嫌犯罪的，甲方、丙方应将其移交司法机关追究刑事责任。</w:t>
      </w:r>
    </w:p>
    <w:p w14:paraId="1A7ECF47">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4ECA906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（一）乙方不得以任何理由向甲方、丙方及其工作人员馈赠礼金、有价证券、贵重礼品，或报销应由甲方、丙方单位或个人支付的任何费用。</w:t>
      </w:r>
    </w:p>
    <w:p w14:paraId="7AC2F8A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（二）乙方及其工作人员不得以考察、参观、洽谈业务、签订合同等的借口邀请甲方、丙方及其工作人员参加高消费的宴请、娱乐和健身等活动。</w:t>
      </w:r>
    </w:p>
    <w:p w14:paraId="6EDA041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（三）乙方不得为甲方、丙方单位和个人购置或提供通讯工具、交通工具和高档办公用品等。</w:t>
      </w:r>
    </w:p>
    <w:p w14:paraId="6417CDE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（四）乙方及其工作人员不得为甲方、丙方工作人员购买、装修、维修私人住房、汽车等。</w:t>
      </w:r>
    </w:p>
    <w:p w14:paraId="78A31EA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（五）乙方及其工作人员不得为甲方、丙方工作人员的婚丧嫁娶、家属或亲友的工作安排，及出国出境提供方便以及报销任何私人消费的费用。</w:t>
      </w:r>
    </w:p>
    <w:p w14:paraId="00C6CDA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（六）乙方及其工作人员不得进行影响甲方、丙方及其工作人员公正执行合同和履行职务的其他活动。</w:t>
      </w:r>
    </w:p>
    <w:p w14:paraId="234C427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w:t>
      </w:r>
      <w:r>
        <w:rPr>
          <w:rFonts w:hint="eastAsia" w:ascii="宋体" w:hAnsi="宋体" w:eastAsia="宋体" w:cs="宋体"/>
          <w:color w:val="auto"/>
          <w:sz w:val="21"/>
          <w:szCs w:val="21"/>
          <w:highlight w:val="none"/>
          <w:lang w:eastAsia="zh-CN"/>
        </w:rPr>
        <w:t>一条</w:t>
      </w:r>
      <w:r>
        <w:rPr>
          <w:rFonts w:hint="eastAsia" w:ascii="宋体" w:hAnsi="宋体" w:eastAsia="宋体" w:cs="宋体"/>
          <w:color w:val="auto"/>
          <w:sz w:val="21"/>
          <w:szCs w:val="21"/>
          <w:highlight w:val="none"/>
        </w:rPr>
        <w:t>、第三条，乙方应依据有关法律法规、党纪规定对其进行处理；乙方工作人员涉嫌犯罪的，乙方应将其移交司法机关追究刑事责任。</w:t>
      </w:r>
    </w:p>
    <w:p w14:paraId="626F975B">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6F74C70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（一）甲方、丙方违反本协议第一、第二条给乙方单位造成经济损失的，应予以赔偿。</w:t>
      </w:r>
    </w:p>
    <w:p w14:paraId="16AF568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（二）乙方违反本协议第一、第三条给甲方、丙方单位造成经济损失的，应予以赔偿。</w:t>
      </w:r>
    </w:p>
    <w:p w14:paraId="4E3AF44E">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2D592A2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甲乙丙三方的廉洁从业行为由三方或三方上级单位的纪检、监察部门负责监督，对本协议履行情况进行检查。</w:t>
      </w:r>
    </w:p>
    <w:p w14:paraId="33A8A5FE">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14:paraId="3AC933D1">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w:t>
      </w:r>
      <w:r>
        <w:rPr>
          <w:rFonts w:hint="eastAsia" w:ascii="宋体" w:hAnsi="宋体" w:eastAsia="宋体" w:cs="宋体"/>
          <w:color w:val="auto"/>
          <w:sz w:val="21"/>
          <w:szCs w:val="21"/>
          <w:highlight w:val="none"/>
          <w:lang w:eastAsia="zh-CN"/>
        </w:rPr>
        <w:t>东莞市水务环境投资控股集团有限公司</w:t>
      </w:r>
      <w:r>
        <w:rPr>
          <w:rFonts w:hint="eastAsia" w:ascii="宋体" w:hAnsi="宋体" w:eastAsia="宋体" w:cs="宋体"/>
          <w:color w:val="auto"/>
          <w:sz w:val="21"/>
          <w:szCs w:val="21"/>
          <w:highlight w:val="none"/>
        </w:rPr>
        <w:t>纪检监察部。</w:t>
      </w:r>
    </w:p>
    <w:p w14:paraId="5E2D77ED">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14:paraId="49EE344B">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u w:val="none"/>
        </w:rPr>
        <w:t>jcsj@dgswjt.cn。</w:t>
      </w:r>
      <w:r>
        <w:rPr>
          <w:rFonts w:hint="eastAsia" w:ascii="宋体" w:hAnsi="宋体" w:eastAsia="宋体" w:cs="宋体"/>
          <w:color w:val="auto"/>
          <w:sz w:val="21"/>
          <w:szCs w:val="21"/>
          <w:highlight w:val="none"/>
          <w:u w:val="none"/>
        </w:rPr>
        <w:fldChar w:fldCharType="end"/>
      </w:r>
    </w:p>
    <w:p w14:paraId="209AD9B6">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14:paraId="52AF88A9">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14:paraId="0E29BA2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本协议有效期为甲乙丙三方签字并加盖公章之日起至该</w:t>
      </w:r>
      <w:r>
        <w:rPr>
          <w:rFonts w:hint="eastAsia" w:ascii="宋体" w:hAnsi="宋体" w:eastAsia="宋体" w:cs="宋体"/>
          <w:color w:val="auto"/>
          <w:sz w:val="21"/>
          <w:szCs w:val="21"/>
          <w:highlight w:val="none"/>
          <w:lang w:val="en-US" w:eastAsia="zh-CN"/>
        </w:rPr>
        <w:t>工程/招标</w:t>
      </w:r>
      <w:r>
        <w:rPr>
          <w:rFonts w:hint="eastAsia" w:ascii="宋体" w:hAnsi="宋体" w:eastAsia="宋体" w:cs="宋体"/>
          <w:color w:val="auto"/>
          <w:sz w:val="21"/>
          <w:szCs w:val="21"/>
          <w:highlight w:val="none"/>
        </w:rPr>
        <w:t>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5771D735">
      <w:pPr>
        <w:adjustRightInd w:val="0"/>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14:paraId="113691CC">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（转合同签署页）</w:t>
      </w:r>
    </w:p>
    <w:p w14:paraId="01DD5D2E">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1BAD1CFB">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0155B89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0CD73193">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7A72BA4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40F3FB1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14:paraId="009E2D37">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20EB985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3E2810BE">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309AF20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丙方（盖章）：</w:t>
      </w:r>
    </w:p>
    <w:p w14:paraId="6892FF1D">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4CD0394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3FFEF1D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14:paraId="699D5981">
      <w:pPr>
        <w:pStyle w:val="16"/>
        <w:rPr>
          <w:rFonts w:hint="eastAsia" w:ascii="宋体" w:hAnsi="宋体" w:eastAsia="宋体" w:cs="宋体"/>
          <w:color w:val="auto"/>
          <w:highlight w:val="none"/>
        </w:rPr>
      </w:pPr>
    </w:p>
    <w:p w14:paraId="0B7130A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0EA43101">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附件三：安全生产责任书</w:t>
      </w:r>
    </w:p>
    <w:p w14:paraId="010275AD">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安全生产责任书</w:t>
      </w:r>
    </w:p>
    <w:p w14:paraId="7A70F7A3">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为更好地贯彻“安全第一、预防为主、以人为本、强化管理、落实责任”的安全生产方针，全面落实企业安全生产主体责任，推进安全生产标准化管理，切实做好</w:t>
      </w:r>
      <w:r>
        <w:rPr>
          <w:rFonts w:hint="eastAsia" w:ascii="宋体" w:hAnsi="宋体" w:eastAsia="宋体" w:cs="宋体"/>
          <w:color w:val="auto"/>
          <w:sz w:val="21"/>
          <w:szCs w:val="21"/>
          <w:highlight w:val="none"/>
          <w:lang w:eastAsia="zh-CN"/>
        </w:rPr>
        <w:t>东莞市水务环境投资控股集团建设管理有限公司</w:t>
      </w:r>
      <w:r>
        <w:rPr>
          <w:rFonts w:hint="eastAsia" w:ascii="宋体" w:hAnsi="宋体" w:eastAsia="宋体" w:cs="宋体"/>
          <w:color w:val="auto"/>
          <w:sz w:val="21"/>
          <w:szCs w:val="21"/>
          <w:highlight w:val="none"/>
        </w:rPr>
        <w:t>（以下简称：建设公司）的安全生产工作，杜绝各类事故的发生，保障建设公司财产和员工的人身安全，实现安全生产目标，建设公司、项目业主与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签订安全生产责任书。</w:t>
      </w:r>
    </w:p>
    <w:p w14:paraId="029F962F">
      <w:pPr>
        <w:numPr>
          <w:ilvl w:val="0"/>
          <w:numId w:val="4"/>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安全生产目标</w:t>
      </w:r>
    </w:p>
    <w:p w14:paraId="234B9AEE">
      <w:pPr>
        <w:numPr>
          <w:ilvl w:val="0"/>
          <w:numId w:val="5"/>
        </w:numPr>
        <w:adjustRightInd w:val="0"/>
        <w:snapToGrid w:val="0"/>
        <w:spacing w:line="360" w:lineRule="auto"/>
        <w:ind w:left="1700" w:hanging="10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杜绝重伤及以上生产安全事故；</w:t>
      </w:r>
    </w:p>
    <w:p w14:paraId="098FD1A5">
      <w:pPr>
        <w:numPr>
          <w:ilvl w:val="0"/>
          <w:numId w:val="5"/>
        </w:numPr>
        <w:adjustRightInd w:val="0"/>
        <w:snapToGrid w:val="0"/>
        <w:spacing w:line="360" w:lineRule="auto"/>
        <w:ind w:left="1700" w:hanging="10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杜绝火灾、爆炸责任事故；</w:t>
      </w:r>
    </w:p>
    <w:p w14:paraId="4F4B04E3">
      <w:pPr>
        <w:numPr>
          <w:ilvl w:val="0"/>
          <w:numId w:val="5"/>
        </w:numPr>
        <w:adjustRightInd w:val="0"/>
        <w:snapToGrid w:val="0"/>
        <w:spacing w:line="360" w:lineRule="auto"/>
        <w:ind w:left="1700" w:hanging="10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杜绝多人严重急性中毒事故；</w:t>
      </w:r>
    </w:p>
    <w:p w14:paraId="5B72B8CA">
      <w:pPr>
        <w:numPr>
          <w:ilvl w:val="0"/>
          <w:numId w:val="5"/>
        </w:numPr>
        <w:adjustRightInd w:val="0"/>
        <w:snapToGrid w:val="0"/>
        <w:spacing w:line="360" w:lineRule="auto"/>
        <w:ind w:left="1700" w:hanging="10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工伤事故中轻伤率不超过3‰；</w:t>
      </w:r>
    </w:p>
    <w:p w14:paraId="32C3C4BD">
      <w:pPr>
        <w:numPr>
          <w:ilvl w:val="0"/>
          <w:numId w:val="5"/>
        </w:numPr>
        <w:adjustRightInd w:val="0"/>
        <w:snapToGrid w:val="0"/>
        <w:spacing w:line="360" w:lineRule="auto"/>
        <w:ind w:left="1700" w:hanging="10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生产经营范围内无刑事案件发生。</w:t>
      </w:r>
    </w:p>
    <w:p w14:paraId="73E6F549">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二、安全生产责任</w:t>
      </w:r>
    </w:p>
    <w:p w14:paraId="484F3742">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shd w:val="clear" w:color="090000" w:fill="FFFFFF"/>
        </w:rPr>
        <w:t xml:space="preserve">              </w:t>
      </w:r>
      <w:r>
        <w:rPr>
          <w:rFonts w:hint="eastAsia" w:ascii="宋体" w:hAnsi="宋体" w:eastAsia="宋体" w:cs="宋体"/>
          <w:color w:val="auto"/>
          <w:sz w:val="21"/>
          <w:szCs w:val="21"/>
          <w:highlight w:val="none"/>
          <w:shd w:val="clear" w:color="090000" w:fill="FFFFFF"/>
        </w:rPr>
        <w:t>为</w:t>
      </w:r>
      <w:r>
        <w:rPr>
          <w:rFonts w:hint="eastAsia" w:ascii="宋体" w:hAnsi="宋体" w:eastAsia="宋体" w:cs="宋体"/>
          <w:color w:val="auto"/>
          <w:sz w:val="21"/>
          <w:szCs w:val="21"/>
          <w:highlight w:val="none"/>
          <w:lang w:eastAsia="zh-CN"/>
        </w:rPr>
        <w:t>东莞市大朗蔡边水质净化厂工程第三方检测（不含基桩完整性检测）项目</w:t>
      </w:r>
      <w:r>
        <w:rPr>
          <w:rFonts w:hint="eastAsia" w:ascii="宋体" w:hAnsi="宋体" w:eastAsia="宋体" w:cs="宋体"/>
          <w:color w:val="auto"/>
          <w:sz w:val="21"/>
          <w:szCs w:val="21"/>
          <w:highlight w:val="none"/>
          <w:shd w:val="clear" w:color="090000" w:fill="FFFFFF"/>
        </w:rPr>
        <w:t>安全生产工作的第一责任人，对</w:t>
      </w:r>
      <w:r>
        <w:rPr>
          <w:rFonts w:hint="eastAsia" w:ascii="宋体" w:hAnsi="宋体" w:eastAsia="宋体" w:cs="宋体"/>
          <w:color w:val="auto"/>
          <w:sz w:val="21"/>
          <w:szCs w:val="21"/>
          <w:highlight w:val="none"/>
          <w:lang w:eastAsia="zh-CN"/>
        </w:rPr>
        <w:t>东莞市大朗蔡边水质净化厂工程第三方检测（不含基桩完整性检测）项目</w:t>
      </w:r>
      <w:r>
        <w:rPr>
          <w:rFonts w:hint="eastAsia" w:ascii="宋体" w:hAnsi="宋体" w:eastAsia="宋体" w:cs="宋体"/>
          <w:color w:val="auto"/>
          <w:sz w:val="21"/>
          <w:szCs w:val="21"/>
          <w:highlight w:val="none"/>
          <w:shd w:val="clear" w:color="090000" w:fill="FFFFFF"/>
        </w:rPr>
        <w:t>安全生产工作负全面领导责任；其他人员对业务工作范围内的安全生产工作负直接责任</w:t>
      </w:r>
      <w:r>
        <w:rPr>
          <w:rFonts w:hint="eastAsia" w:ascii="宋体" w:hAnsi="宋体" w:eastAsia="宋体" w:cs="宋体"/>
          <w:color w:val="auto"/>
          <w:sz w:val="21"/>
          <w:szCs w:val="21"/>
          <w:highlight w:val="none"/>
        </w:rPr>
        <w:t>。</w:t>
      </w:r>
    </w:p>
    <w:p w14:paraId="13C8BC48">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遵守《</w:t>
      </w:r>
      <w:r>
        <w:rPr>
          <w:rFonts w:hint="eastAsia" w:ascii="宋体" w:hAnsi="宋体" w:eastAsia="宋体" w:cs="宋体"/>
          <w:color w:val="auto"/>
          <w:sz w:val="21"/>
          <w:szCs w:val="21"/>
          <w:highlight w:val="none"/>
          <w:lang w:eastAsia="zh-CN"/>
        </w:rPr>
        <w:t>中华人民共和国安全生产法》《中华人民共和国消防法》《中华人民共和国劳动法</w:t>
      </w:r>
      <w:r>
        <w:rPr>
          <w:rFonts w:hint="eastAsia" w:ascii="宋体" w:hAnsi="宋体" w:eastAsia="宋体" w:cs="宋体"/>
          <w:color w:val="auto"/>
          <w:sz w:val="21"/>
          <w:szCs w:val="21"/>
          <w:highlight w:val="none"/>
        </w:rPr>
        <w:t>》等法律法规，贯彻和执行</w:t>
      </w:r>
      <w:r>
        <w:rPr>
          <w:rFonts w:hint="eastAsia" w:ascii="宋体" w:hAnsi="宋体" w:eastAsia="宋体" w:cs="宋体"/>
          <w:color w:val="auto"/>
          <w:sz w:val="21"/>
          <w:szCs w:val="21"/>
          <w:highlight w:val="none"/>
          <w:shd w:val="clear" w:color="090000" w:fill="FFFFFF"/>
        </w:rPr>
        <w:t>建设公司</w:t>
      </w:r>
      <w:r>
        <w:rPr>
          <w:rFonts w:hint="eastAsia" w:ascii="宋体" w:hAnsi="宋体" w:eastAsia="宋体" w:cs="宋体"/>
          <w:color w:val="auto"/>
          <w:sz w:val="21"/>
          <w:szCs w:val="21"/>
          <w:highlight w:val="none"/>
        </w:rPr>
        <w:t>有关安全生产的制度、规程和标准，全面推动安全管理工作。</w:t>
      </w:r>
    </w:p>
    <w:p w14:paraId="47501A2A">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积极参与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组织的安全培训、“安全生产活动月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消防安全月”等活动。</w:t>
      </w:r>
    </w:p>
    <w:p w14:paraId="6350D0CE">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参加</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召开安全生产工作会议，落实会议的相关要求。</w:t>
      </w:r>
    </w:p>
    <w:p w14:paraId="3381CAC2">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组织开展生产安全事故应急预案演练，提高应急技能及应急管理水平。</w:t>
      </w:r>
    </w:p>
    <w:p w14:paraId="451B1AE8">
      <w:pPr>
        <w:adjustRightInd w:val="0"/>
        <w:snapToGrid w:val="0"/>
        <w:spacing w:line="360" w:lineRule="auto"/>
        <w:ind w:firstLine="424" w:firstLineChars="202"/>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发生安全事故时及时组织救援并上报，协助开展事故调查分析工作。</w:t>
      </w:r>
    </w:p>
    <w:p w14:paraId="39318219">
      <w:pPr>
        <w:numPr>
          <w:ilvl w:val="0"/>
          <w:numId w:val="6"/>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考核与奖惩</w:t>
      </w:r>
    </w:p>
    <w:p w14:paraId="30939F6B">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负责对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的安全生产管理工作进行检查和考核。</w:t>
      </w:r>
    </w:p>
    <w:p w14:paraId="62E54749">
      <w:pPr>
        <w:numPr>
          <w:ilvl w:val="0"/>
          <w:numId w:val="6"/>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621E49EC">
      <w:pPr>
        <w:adjustRightInd w:val="0"/>
        <w:snapToGrid w:val="0"/>
        <w:spacing w:line="360" w:lineRule="auto"/>
        <w:ind w:firstLine="420" w:firstLineChars="200"/>
        <w:contextualSpacing/>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本安全生产责任书自考核方与责任方盖章签字之日起生效，有效期至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66CBD569">
      <w:pPr>
        <w:adjustRightInd w:val="0"/>
        <w:snapToGrid w:val="0"/>
        <w:spacing w:line="360" w:lineRule="auto"/>
        <w:ind w:firstLine="420"/>
        <w:rPr>
          <w:rFonts w:hint="eastAsia" w:ascii="宋体" w:hAnsi="宋体" w:eastAsia="宋体" w:cs="宋体"/>
          <w:b/>
          <w:color w:val="auto"/>
          <w:sz w:val="21"/>
          <w:szCs w:val="21"/>
          <w:highlight w:val="none"/>
        </w:rPr>
      </w:pPr>
    </w:p>
    <w:p w14:paraId="13AB8B2F">
      <w:pPr>
        <w:adjustRightInd w:val="0"/>
        <w:snapToGrid w:val="0"/>
        <w:spacing w:line="360" w:lineRule="auto"/>
        <w:rPr>
          <w:rFonts w:hint="eastAsia" w:ascii="宋体" w:hAnsi="宋体" w:eastAsia="宋体" w:cs="宋体"/>
          <w:b/>
          <w:color w:val="auto"/>
          <w:sz w:val="21"/>
          <w:szCs w:val="21"/>
          <w:highlight w:val="none"/>
        </w:rPr>
      </w:pPr>
    </w:p>
    <w:p w14:paraId="7340B347">
      <w:pPr>
        <w:adjustRightInd w:val="0"/>
        <w:snapToGrid w:val="0"/>
        <w:spacing w:line="360" w:lineRule="auto"/>
        <w:rPr>
          <w:rFonts w:hint="eastAsia" w:ascii="宋体" w:hAnsi="宋体" w:eastAsia="宋体" w:cs="宋体"/>
          <w:b/>
          <w:color w:val="auto"/>
          <w:sz w:val="21"/>
          <w:szCs w:val="21"/>
          <w:highlight w:val="none"/>
        </w:rPr>
      </w:pPr>
    </w:p>
    <w:p w14:paraId="33E39124">
      <w:pPr>
        <w:adjustRightInd w:val="0"/>
        <w:snapToGrid w:val="0"/>
        <w:spacing w:line="360" w:lineRule="auto"/>
        <w:rPr>
          <w:rFonts w:hint="eastAsia" w:ascii="宋体" w:hAnsi="宋体" w:eastAsia="宋体" w:cs="宋体"/>
          <w:b/>
          <w:color w:val="auto"/>
          <w:sz w:val="21"/>
          <w:szCs w:val="21"/>
          <w:highlight w:val="none"/>
        </w:rPr>
      </w:pPr>
    </w:p>
    <w:p w14:paraId="736AE68C">
      <w:pPr>
        <w:adjustRightInd w:val="0"/>
        <w:snapToGrid w:val="0"/>
        <w:spacing w:line="360" w:lineRule="auto"/>
        <w:rPr>
          <w:rFonts w:hint="eastAsia" w:ascii="宋体" w:hAnsi="宋体" w:eastAsia="宋体" w:cs="宋体"/>
          <w:b/>
          <w:color w:val="auto"/>
          <w:sz w:val="21"/>
          <w:szCs w:val="21"/>
          <w:highlight w:val="none"/>
        </w:rPr>
      </w:pPr>
    </w:p>
    <w:p w14:paraId="31CE09C6">
      <w:pPr>
        <w:adjustRightInd w:val="0"/>
        <w:snapToGrid w:val="0"/>
        <w:spacing w:line="360" w:lineRule="auto"/>
        <w:rPr>
          <w:rFonts w:hint="eastAsia" w:ascii="宋体" w:hAnsi="宋体" w:eastAsia="宋体" w:cs="宋体"/>
          <w:b/>
          <w:color w:val="auto"/>
          <w:sz w:val="21"/>
          <w:szCs w:val="21"/>
          <w:highlight w:val="none"/>
        </w:rPr>
      </w:pPr>
    </w:p>
    <w:p w14:paraId="72CC5FBC">
      <w:pPr>
        <w:adjustRightInd w:val="0"/>
        <w:snapToGrid w:val="0"/>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目标考核方1：</w:t>
      </w:r>
      <w:r>
        <w:rPr>
          <w:rFonts w:hint="eastAsia" w:ascii="宋体" w:hAnsi="宋体" w:eastAsia="宋体" w:cs="宋体"/>
          <w:b/>
          <w:color w:val="auto"/>
          <w:sz w:val="21"/>
          <w:szCs w:val="21"/>
          <w:highlight w:val="none"/>
          <w:lang w:eastAsia="zh-CN"/>
        </w:rPr>
        <w:t>东莞市水务环境投资控股集团建设管理有限公司</w:t>
      </w:r>
      <w:r>
        <w:rPr>
          <w:rFonts w:hint="eastAsia" w:ascii="宋体" w:hAnsi="宋体" w:eastAsia="宋体" w:cs="宋体"/>
          <w:b/>
          <w:color w:val="auto"/>
          <w:sz w:val="21"/>
          <w:szCs w:val="21"/>
          <w:highlight w:val="none"/>
        </w:rPr>
        <w:t xml:space="preserve">   目标考核方2：</w:t>
      </w:r>
      <w:r>
        <w:rPr>
          <w:rFonts w:hint="eastAsia" w:ascii="宋体" w:hAnsi="宋体" w:eastAsia="宋体" w:cs="宋体"/>
          <w:b/>
          <w:color w:val="auto"/>
          <w:sz w:val="21"/>
          <w:szCs w:val="21"/>
          <w:highlight w:val="none"/>
          <w:lang w:eastAsia="zh-CN"/>
        </w:rPr>
        <w:t>东莞市石鼓净水有限公司</w:t>
      </w:r>
    </w:p>
    <w:p w14:paraId="6F0161F0">
      <w:pPr>
        <w:adjustRightInd w:val="0"/>
        <w:snapToGrid w:val="0"/>
        <w:spacing w:line="360" w:lineRule="auto"/>
        <w:rPr>
          <w:rFonts w:hint="eastAsia" w:ascii="宋体" w:hAnsi="宋体" w:eastAsia="宋体" w:cs="宋体"/>
          <w:b/>
          <w:color w:val="auto"/>
          <w:sz w:val="21"/>
          <w:szCs w:val="21"/>
          <w:highlight w:val="none"/>
        </w:rPr>
      </w:pPr>
    </w:p>
    <w:p w14:paraId="2A80EFD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2C387C8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14:paraId="3E2CAFB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1259155F">
      <w:pPr>
        <w:adjustRightInd w:val="0"/>
        <w:snapToGrid w:val="0"/>
        <w:spacing w:line="360" w:lineRule="auto"/>
        <w:rPr>
          <w:rFonts w:hint="eastAsia" w:ascii="宋体" w:hAnsi="宋体" w:eastAsia="宋体" w:cs="宋体"/>
          <w:color w:val="auto"/>
          <w:sz w:val="21"/>
          <w:szCs w:val="21"/>
          <w:highlight w:val="none"/>
        </w:rPr>
      </w:pPr>
    </w:p>
    <w:p w14:paraId="041E8819">
      <w:pPr>
        <w:adjustRightInd w:val="0"/>
        <w:snapToGrid w:val="0"/>
        <w:spacing w:line="360" w:lineRule="auto"/>
        <w:rPr>
          <w:rFonts w:hint="eastAsia" w:ascii="宋体" w:hAnsi="宋体" w:eastAsia="宋体" w:cs="宋体"/>
          <w:b/>
          <w:bCs/>
          <w:color w:val="auto"/>
          <w:sz w:val="21"/>
          <w:szCs w:val="21"/>
          <w:highlight w:val="none"/>
          <w:lang w:val="zh-CN"/>
        </w:rPr>
      </w:pPr>
    </w:p>
    <w:p w14:paraId="1436BBF3">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目标责任方：          </w:t>
      </w:r>
    </w:p>
    <w:p w14:paraId="77E7DA4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091C70D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14:paraId="6257A55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345CE676">
      <w:pPr>
        <w:adjustRightInd w:val="0"/>
        <w:snapToGrid w:val="0"/>
        <w:spacing w:line="360" w:lineRule="auto"/>
        <w:rPr>
          <w:rFonts w:hint="eastAsia" w:ascii="宋体" w:hAnsi="宋体" w:eastAsia="宋体" w:cs="宋体"/>
          <w:b/>
          <w:color w:val="auto"/>
          <w:sz w:val="21"/>
          <w:szCs w:val="21"/>
          <w:highlight w:val="none"/>
        </w:rPr>
      </w:pPr>
    </w:p>
    <w:p w14:paraId="4A12300C">
      <w:pPr>
        <w:widowControl/>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46BB81B">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附件四：诚信履约承诺书</w:t>
      </w:r>
    </w:p>
    <w:p w14:paraId="039B6AA4">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诚信履约承诺书</w:t>
      </w:r>
    </w:p>
    <w:p w14:paraId="4588A0EF">
      <w:pPr>
        <w:adjustRightInd w:val="0"/>
        <w:snapToGrid w:val="0"/>
        <w:spacing w:line="360" w:lineRule="auto"/>
        <w:rPr>
          <w:rFonts w:hint="eastAsia" w:ascii="宋体" w:hAnsi="宋体" w:eastAsia="宋体" w:cs="宋体"/>
          <w:color w:val="auto"/>
          <w:sz w:val="21"/>
          <w:szCs w:val="21"/>
          <w:highlight w:val="none"/>
        </w:rPr>
      </w:pPr>
    </w:p>
    <w:p w14:paraId="0F8D5EDB">
      <w:p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东莞市水务环境投资控股集团建设管理有限公司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东莞市石鼓净水有限公司</w:t>
      </w:r>
      <w:r>
        <w:rPr>
          <w:rFonts w:hint="eastAsia" w:ascii="宋体" w:hAnsi="宋体" w:eastAsia="宋体" w:cs="宋体"/>
          <w:color w:val="auto"/>
          <w:sz w:val="21"/>
          <w:szCs w:val="21"/>
          <w:highlight w:val="none"/>
        </w:rPr>
        <w:t>：</w:t>
      </w:r>
    </w:p>
    <w:p w14:paraId="39EF3E7D">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我司根据《</w:t>
      </w:r>
      <w:r>
        <w:rPr>
          <w:rFonts w:hint="eastAsia" w:ascii="宋体" w:hAnsi="宋体" w:eastAsia="宋体" w:cs="宋体"/>
          <w:color w:val="auto"/>
          <w:sz w:val="21"/>
          <w:szCs w:val="21"/>
          <w:highlight w:val="none"/>
          <w:lang w:eastAsia="zh-CN"/>
        </w:rPr>
        <w:t>东莞市大朗蔡边水质净化厂工程第三方检测（不含基桩完整性检测）</w:t>
      </w:r>
      <w:r>
        <w:rPr>
          <w:rFonts w:hint="eastAsia" w:ascii="宋体" w:hAnsi="宋体" w:eastAsia="宋体" w:cs="宋体"/>
          <w:color w:val="auto"/>
          <w:sz w:val="21"/>
          <w:szCs w:val="21"/>
          <w:highlight w:val="none"/>
        </w:rPr>
        <w:t>合同》相关条款全力配合贵公司工作，并自愿做出如下承诺：</w:t>
      </w:r>
    </w:p>
    <w:p w14:paraId="508BEEC2">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14:paraId="00AFEDA6">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（二）如我司有违反本项目管理及合同约定等行为，我司无条件同意并接受贵公司根据合同及相关约定追究我司的违约责任。</w:t>
      </w:r>
    </w:p>
    <w:p w14:paraId="336302E0">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如我司在投标过程中或合同履行过程中存在以下等情形的：</w:t>
      </w:r>
      <w:r>
        <w:rPr>
          <w:rFonts w:hint="eastAsia" w:ascii="宋体" w:hAnsi="宋体" w:eastAsia="宋体" w:cs="宋体"/>
          <w:color w:val="auto"/>
          <w:sz w:val="21"/>
          <w:szCs w:val="21"/>
          <w:highlight w:val="none"/>
        </w:rPr>
        <w:t>（1）通过虚假响应</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要求等弄虚作假手段骗取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的或未按照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约定按时提供原件核查的；（2）利用虚假材料、以欺骗手段取得</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资格的；（3）将合同义务转包或违法分包的；（4）提供的服务不符合有关法律、行政法规的规定和质量标准、安全标准、行业规范以及合同的约定的。</w:t>
      </w:r>
      <w:r>
        <w:rPr>
          <w:rFonts w:hint="eastAsia" w:ascii="宋体" w:hAnsi="宋体" w:eastAsia="宋体" w:cs="宋体"/>
          <w:b/>
          <w:bCs/>
          <w:color w:val="auto"/>
          <w:sz w:val="21"/>
          <w:szCs w:val="21"/>
          <w:highlight w:val="none"/>
        </w:rPr>
        <w:t>我司同意并接受贵公司采取包括但不限于以下措施：</w:t>
      </w:r>
      <w:r>
        <w:rPr>
          <w:rFonts w:hint="eastAsia" w:ascii="宋体" w:hAnsi="宋体" w:eastAsia="宋体" w:cs="宋体"/>
          <w:color w:val="auto"/>
          <w:sz w:val="21"/>
          <w:szCs w:val="21"/>
          <w:highlight w:val="none"/>
        </w:rPr>
        <w:t>（1）将我司列入</w:t>
      </w:r>
      <w:r>
        <w:rPr>
          <w:rFonts w:hint="eastAsia" w:ascii="宋体" w:hAnsi="宋体" w:eastAsia="宋体" w:cs="宋体"/>
          <w:color w:val="auto"/>
          <w:sz w:val="21"/>
          <w:szCs w:val="21"/>
          <w:highlight w:val="none"/>
          <w:lang w:eastAsia="zh-CN"/>
        </w:rPr>
        <w:t>东莞市水务环境投资控股集团有限公司</w:t>
      </w:r>
      <w:r>
        <w:rPr>
          <w:rFonts w:hint="eastAsia" w:ascii="宋体" w:hAnsi="宋体" w:eastAsia="宋体" w:cs="宋体"/>
          <w:color w:val="auto"/>
          <w:sz w:val="21"/>
          <w:szCs w:val="21"/>
          <w:highlight w:val="none"/>
        </w:rPr>
        <w:t>单位“黑名单”，在</w:t>
      </w:r>
      <w:r>
        <w:rPr>
          <w:rFonts w:hint="eastAsia" w:ascii="宋体" w:hAnsi="宋体" w:eastAsia="宋体" w:cs="宋体"/>
          <w:color w:val="auto"/>
          <w:sz w:val="21"/>
          <w:szCs w:val="21"/>
          <w:highlight w:val="none"/>
          <w:lang w:eastAsia="zh-CN"/>
        </w:rPr>
        <w:t>东莞市水务环境投资控股集团有限公司</w:t>
      </w:r>
      <w:r>
        <w:rPr>
          <w:rFonts w:hint="eastAsia" w:ascii="宋体" w:hAnsi="宋体" w:eastAsia="宋体" w:cs="宋体"/>
          <w:color w:val="auto"/>
          <w:sz w:val="21"/>
          <w:szCs w:val="21"/>
          <w:highlight w:val="none"/>
        </w:rPr>
        <w:t>官网上进行公告，并在委托人以后的招标采购项目评标时充分考虑我司的不良行为和履约问题；（2）向东莞阳光网、东莞日报等媒体公开我公司失信行为；（3）上报东莞市住建局、东莞市水务局、东莞市水污染治理现场指挥部等部门要求将我司列入重点监管名单、在东莞市以后的招标采购项目评标时会充分考虑我司的不良行为和履约问题甚至取消我司参加东莞市公开招标项目的投标资格；（4）向广东省住建厅、国资委等部门进行通报和投诉等。</w:t>
      </w:r>
    </w:p>
    <w:p w14:paraId="3971CDE9">
      <w:pPr>
        <w:adjustRightInd w:val="0"/>
        <w:snapToGrid w:val="0"/>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我司并愿按相关规定接受处理，由此产生的一切法律责任和不利后果全部由我司承担。</w:t>
      </w:r>
    </w:p>
    <w:p w14:paraId="4D089922">
      <w:pPr>
        <w:widowControl w:val="0"/>
        <w:autoSpaceDE w:val="0"/>
        <w:autoSpaceDN w:val="0"/>
        <w:adjustRightInd w:val="0"/>
        <w:snapToGrid w:val="0"/>
        <w:spacing w:line="360" w:lineRule="auto"/>
        <w:ind w:right="0"/>
        <w:jc w:val="center"/>
        <w:rPr>
          <w:rFonts w:hint="eastAsia" w:ascii="宋体" w:hAnsi="宋体" w:eastAsia="宋体" w:cs="宋体"/>
          <w:b/>
          <w:bCs/>
          <w:color w:val="auto"/>
          <w:kern w:val="2"/>
          <w:sz w:val="21"/>
          <w:szCs w:val="21"/>
          <w:highlight w:val="none"/>
          <w:lang w:val="en-US" w:eastAsia="zh-CN" w:bidi="ar-SA"/>
        </w:rPr>
      </w:pPr>
    </w:p>
    <w:p w14:paraId="07E76EC2">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承诺人（盖章）：</w:t>
      </w:r>
    </w:p>
    <w:p w14:paraId="25E68C40">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法人代表人（或授权代理人）签名（或盖私章）：</w:t>
      </w:r>
    </w:p>
    <w:p w14:paraId="492DB0D3">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509B8F21">
      <w:pPr>
        <w:widowControl/>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70CBF8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附件五 检测单位履约考核评分表</w:t>
      </w:r>
    </w:p>
    <w:p w14:paraId="2D71F6C8">
      <w:pPr>
        <w:adjustRightInd w:val="0"/>
        <w:snapToGrid w:val="0"/>
        <w:spacing w:line="360" w:lineRule="auto"/>
        <w:rPr>
          <w:rFonts w:hint="eastAsia" w:ascii="宋体" w:hAnsi="宋体" w:eastAsia="宋体" w:cs="宋体"/>
          <w:color w:val="auto"/>
          <w:sz w:val="21"/>
          <w:szCs w:val="21"/>
          <w:highlight w:val="none"/>
        </w:rPr>
      </w:pPr>
    </w:p>
    <w:p w14:paraId="34403BB3">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检测单位履约考核评分表</w:t>
      </w:r>
    </w:p>
    <w:tbl>
      <w:tblPr>
        <w:tblStyle w:val="45"/>
        <w:tblW w:w="10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717"/>
        <w:gridCol w:w="4304"/>
        <w:gridCol w:w="537"/>
        <w:gridCol w:w="1578"/>
        <w:gridCol w:w="1078"/>
        <w:gridCol w:w="1076"/>
      </w:tblGrid>
      <w:tr w14:paraId="4149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93" w:type="dxa"/>
            <w:gridSpan w:val="2"/>
            <w:vAlign w:val="center"/>
          </w:tcPr>
          <w:p w14:paraId="091A3C7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检测人名称</w:t>
            </w:r>
          </w:p>
        </w:tc>
        <w:tc>
          <w:tcPr>
            <w:tcW w:w="4841" w:type="dxa"/>
            <w:gridSpan w:val="2"/>
            <w:vAlign w:val="center"/>
          </w:tcPr>
          <w:p w14:paraId="07A45A5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78" w:type="dxa"/>
            <w:vAlign w:val="center"/>
          </w:tcPr>
          <w:p w14:paraId="56D4ACF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评价时间</w:t>
            </w:r>
          </w:p>
        </w:tc>
        <w:tc>
          <w:tcPr>
            <w:tcW w:w="2154" w:type="dxa"/>
            <w:gridSpan w:val="2"/>
            <w:vAlign w:val="center"/>
          </w:tcPr>
          <w:p w14:paraId="6744555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66F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76" w:type="dxa"/>
            <w:vAlign w:val="center"/>
          </w:tcPr>
          <w:p w14:paraId="1A0FD15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评价内容</w:t>
            </w:r>
          </w:p>
        </w:tc>
        <w:tc>
          <w:tcPr>
            <w:tcW w:w="717" w:type="dxa"/>
            <w:vAlign w:val="center"/>
          </w:tcPr>
          <w:p w14:paraId="3340065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各项分值</w:t>
            </w:r>
          </w:p>
        </w:tc>
        <w:tc>
          <w:tcPr>
            <w:tcW w:w="6419" w:type="dxa"/>
            <w:gridSpan w:val="3"/>
            <w:vAlign w:val="center"/>
          </w:tcPr>
          <w:p w14:paraId="38C7B66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w:t>
            </w:r>
          </w:p>
        </w:tc>
        <w:tc>
          <w:tcPr>
            <w:tcW w:w="1078" w:type="dxa"/>
            <w:vAlign w:val="center"/>
          </w:tcPr>
          <w:p w14:paraId="5338E13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评分 </w:t>
            </w:r>
          </w:p>
          <w:p w14:paraId="7B19D9F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center"/>
          </w:tcPr>
          <w:p w14:paraId="0CC0EF2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w:t>
            </w:r>
          </w:p>
          <w:p w14:paraId="31749A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r>
      <w:tr w14:paraId="1266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dxa"/>
            <w:vAlign w:val="center"/>
          </w:tcPr>
          <w:p w14:paraId="71BEB97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服务响应</w:t>
            </w:r>
          </w:p>
        </w:tc>
        <w:tc>
          <w:tcPr>
            <w:tcW w:w="717" w:type="dxa"/>
            <w:vAlign w:val="center"/>
          </w:tcPr>
          <w:p w14:paraId="392DDCD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6D84230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1、不积极配合协助处理服务履行中发生的争议，不主动提供真实情况，每次扣3分；</w:t>
            </w:r>
          </w:p>
          <w:p w14:paraId="2FF1B73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2、未能在约定时间内进驻现场的，每次扣5分；</w:t>
            </w:r>
          </w:p>
          <w:p w14:paraId="35B7FF9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3、因无相应资质，需另行委托分包单位进行检测的，每检测项（细项）扣5分；</w:t>
            </w:r>
          </w:p>
          <w:p w14:paraId="7245B49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4、未派人员参加业主要求的相关会议，每次扣5分。</w:t>
            </w:r>
          </w:p>
        </w:tc>
        <w:tc>
          <w:tcPr>
            <w:tcW w:w="1078" w:type="dxa"/>
            <w:vAlign w:val="center"/>
          </w:tcPr>
          <w:p w14:paraId="34C0A8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1389402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59753F1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F81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076" w:type="dxa"/>
            <w:vAlign w:val="center"/>
          </w:tcPr>
          <w:p w14:paraId="1993A45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设备人员配置</w:t>
            </w:r>
          </w:p>
        </w:tc>
        <w:tc>
          <w:tcPr>
            <w:tcW w:w="717" w:type="dxa"/>
            <w:vAlign w:val="center"/>
          </w:tcPr>
          <w:p w14:paraId="23970A2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419" w:type="dxa"/>
            <w:gridSpan w:val="3"/>
            <w:vAlign w:val="center"/>
          </w:tcPr>
          <w:p w14:paraId="3D4F0EC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1、未按我公司要求配齐相应检测人员的，每人每次扣5分；</w:t>
            </w:r>
          </w:p>
          <w:p w14:paraId="07849DC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2、未按我公司要求配齐相应设备的，每次扣5分：</w:t>
            </w:r>
          </w:p>
          <w:p w14:paraId="74C7FFE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3、检测人员能力无法满足实际需要，且经我公司要求更换而未更换的，每人每次扣5分；</w:t>
            </w:r>
          </w:p>
          <w:p w14:paraId="4062F22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4、检测人员未持有效证件上岗及佩戴工作证，每人每次扣5分；</w:t>
            </w:r>
          </w:p>
          <w:p w14:paraId="47B7CEB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5、特种作业人员未持有效证件上岗及佩戴工作证，每人每次扣5分；</w:t>
            </w:r>
          </w:p>
          <w:p w14:paraId="1445D62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6、开展检测的设备未在检定有效期内，每台设备每次扣5分。</w:t>
            </w:r>
          </w:p>
        </w:tc>
        <w:tc>
          <w:tcPr>
            <w:tcW w:w="1078" w:type="dxa"/>
            <w:vAlign w:val="center"/>
          </w:tcPr>
          <w:p w14:paraId="1A9CE3D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6A77BA0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4E8F706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A4C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76" w:type="dxa"/>
            <w:vAlign w:val="center"/>
          </w:tcPr>
          <w:p w14:paraId="26941BA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工作质量</w:t>
            </w:r>
          </w:p>
        </w:tc>
        <w:tc>
          <w:tcPr>
            <w:tcW w:w="717" w:type="dxa"/>
            <w:vAlign w:val="center"/>
          </w:tcPr>
          <w:p w14:paraId="21CDDD5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1DB1CE1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1、实际检测协作服务未达用户需求书、合同文件要求，且经我公司要求后未配合整改至符合要求的，每处每次扣5分；</w:t>
            </w:r>
          </w:p>
          <w:p w14:paraId="517ECB09">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2、检测记录、数据与实际不相符的，每次扣5分；</w:t>
            </w:r>
          </w:p>
          <w:p w14:paraId="0DF05EE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3、检测资料管理混乱、台账不及时更新、资料不及时签字或盖章不全的，每次扣5分；</w:t>
            </w:r>
          </w:p>
          <w:p w14:paraId="48329BE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4、未按《关于加强东莞市建设工程质量检测机构监督管理的通知》的规定进行拍照或录像的，每次扣5分；</w:t>
            </w:r>
          </w:p>
          <w:p w14:paraId="73ACC79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5、检测报告的准确率，如出现报告的工程部位、工程名称、数据等错误的，每份报告扣5分；</w:t>
            </w:r>
          </w:p>
          <w:p w14:paraId="383B7BB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6、检测结果不合格未及时反馈或通报的，每次扣10分。</w:t>
            </w:r>
          </w:p>
        </w:tc>
        <w:tc>
          <w:tcPr>
            <w:tcW w:w="1078" w:type="dxa"/>
            <w:vAlign w:val="center"/>
          </w:tcPr>
          <w:p w14:paraId="681AF9A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478F64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25D004C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716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076" w:type="dxa"/>
            <w:vAlign w:val="center"/>
          </w:tcPr>
          <w:p w14:paraId="6E3A6B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服务进度</w:t>
            </w:r>
          </w:p>
        </w:tc>
        <w:tc>
          <w:tcPr>
            <w:tcW w:w="717" w:type="dxa"/>
            <w:vAlign w:val="center"/>
          </w:tcPr>
          <w:p w14:paraId="234F260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419" w:type="dxa"/>
            <w:gridSpan w:val="3"/>
            <w:vAlign w:val="center"/>
          </w:tcPr>
          <w:p w14:paraId="502AD44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1、没有在规定时间内完成检测协作服务工作的，每处每次扣5分；</w:t>
            </w:r>
          </w:p>
          <w:p w14:paraId="51EC2389">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2、没有按照合同规定时间内出具检测报告的，每份报告扣5分。</w:t>
            </w:r>
          </w:p>
        </w:tc>
        <w:tc>
          <w:tcPr>
            <w:tcW w:w="1078" w:type="dxa"/>
            <w:vAlign w:val="center"/>
          </w:tcPr>
          <w:p w14:paraId="7FB9EC4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5E4BE4C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30A6CC4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206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76" w:type="dxa"/>
            <w:vAlign w:val="center"/>
          </w:tcPr>
          <w:p w14:paraId="2F4DFF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安全文明管理</w:t>
            </w:r>
          </w:p>
        </w:tc>
        <w:tc>
          <w:tcPr>
            <w:tcW w:w="717" w:type="dxa"/>
            <w:vAlign w:val="center"/>
          </w:tcPr>
          <w:p w14:paraId="1FD340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5BBD90C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1、未按要求进行安全防护或安全防护不到位，我公司或上级部门检查中发现的，每处扣5分；</w:t>
            </w:r>
          </w:p>
          <w:p w14:paraId="1E7BC42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2、涉及有限空间作业未按照相关流程制度审批的，每次扣5分；</w:t>
            </w:r>
          </w:p>
          <w:p w14:paraId="03C217A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3、发生一般安全事故的，每次扣10分；</w:t>
            </w:r>
          </w:p>
          <w:p w14:paraId="7F1A3F0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4、发生较大安全事故的，每次扣20分。</w:t>
            </w:r>
          </w:p>
        </w:tc>
        <w:tc>
          <w:tcPr>
            <w:tcW w:w="1078" w:type="dxa"/>
            <w:vAlign w:val="center"/>
          </w:tcPr>
          <w:p w14:paraId="526AF63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安全管理部</w:t>
            </w:r>
          </w:p>
        </w:tc>
        <w:tc>
          <w:tcPr>
            <w:tcW w:w="1076" w:type="dxa"/>
            <w:vAlign w:val="bottom"/>
          </w:tcPr>
          <w:p w14:paraId="5ACAA1C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31D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76" w:type="dxa"/>
            <w:vAlign w:val="center"/>
          </w:tcPr>
          <w:p w14:paraId="002AC8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服务态度</w:t>
            </w:r>
          </w:p>
        </w:tc>
        <w:tc>
          <w:tcPr>
            <w:tcW w:w="717" w:type="dxa"/>
            <w:vAlign w:val="center"/>
          </w:tcPr>
          <w:p w14:paraId="3D7211D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419" w:type="dxa"/>
            <w:gridSpan w:val="3"/>
            <w:vAlign w:val="center"/>
          </w:tcPr>
          <w:p w14:paraId="764AA4B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对检测协作服务单位日常工作的服务态度，以及甲方、上级主管部门、</w:t>
            </w:r>
            <w:r>
              <w:rPr>
                <w:rFonts w:hint="eastAsia" w:ascii="宋体" w:hAnsi="宋体" w:eastAsia="宋体" w:cs="宋体"/>
                <w:color w:val="auto"/>
                <w:sz w:val="21"/>
                <w:szCs w:val="21"/>
                <w:highlight w:val="none"/>
                <w:lang w:eastAsia="zh-CN"/>
              </w:rPr>
              <w:t>项目业主</w:t>
            </w:r>
            <w:r>
              <w:rPr>
                <w:rFonts w:hint="eastAsia" w:ascii="宋体" w:hAnsi="宋体" w:eastAsia="宋体" w:cs="宋体"/>
                <w:color w:val="auto"/>
                <w:sz w:val="21"/>
                <w:szCs w:val="21"/>
                <w:highlight w:val="none"/>
              </w:rPr>
              <w:t>检查中配合情况、服务投诉情况进行评价。每收到投诉一次扣5分。</w:t>
            </w:r>
          </w:p>
        </w:tc>
        <w:tc>
          <w:tcPr>
            <w:tcW w:w="1078" w:type="dxa"/>
            <w:vAlign w:val="center"/>
          </w:tcPr>
          <w:p w14:paraId="3E1B72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5D344A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7E2A4DA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795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12" w:type="dxa"/>
            <w:gridSpan w:val="5"/>
            <w:vAlign w:val="center"/>
          </w:tcPr>
          <w:p w14:paraId="3DF5B74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2154" w:type="dxa"/>
            <w:gridSpan w:val="2"/>
            <w:vAlign w:val="center"/>
          </w:tcPr>
          <w:p w14:paraId="5D0CACE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7D4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0366" w:type="dxa"/>
            <w:gridSpan w:val="7"/>
            <w:vAlign w:val="center"/>
          </w:tcPr>
          <w:p w14:paraId="6893B7D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考核评分须知：</w:t>
            </w:r>
          </w:p>
          <w:p w14:paraId="1ED0132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1、委托人每季度对检测人评价一次，出具考核评价结果。</w:t>
            </w:r>
          </w:p>
          <w:p w14:paraId="243AD5A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2、委托人将严格按照考核评分标准对检测人进行季度检查和考核。</w:t>
            </w:r>
          </w:p>
          <w:p w14:paraId="66E7683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3、考评[70,80)分的，处相应付款周期内经委托人确认的检测费的10%作为违约金，考评[60,70)分的，处相应付款周期经委托人确认的检测费的20%作为违约金，考评60分以下的，处相应付款周期经委托人确认的检测</w:t>
            </w:r>
            <w:r>
              <w:rPr>
                <w:rFonts w:hint="eastAsia" w:ascii="宋体" w:hAnsi="宋体" w:eastAsia="宋体" w:cs="宋体"/>
                <w:b w:val="0"/>
                <w:bCs w:val="0"/>
                <w:color w:val="auto"/>
                <w:sz w:val="21"/>
                <w:szCs w:val="21"/>
                <w:highlight w:val="none"/>
                <w:lang w:val="en-US" w:eastAsia="zh-CN"/>
              </w:rPr>
              <w:t>费</w:t>
            </w:r>
            <w:r>
              <w:rPr>
                <w:rFonts w:hint="eastAsia" w:ascii="宋体" w:hAnsi="宋体" w:eastAsia="宋体" w:cs="宋体"/>
                <w:b w:val="0"/>
                <w:bCs w:val="0"/>
                <w:color w:val="auto"/>
                <w:sz w:val="21"/>
                <w:szCs w:val="21"/>
                <w:highlight w:val="none"/>
              </w:rPr>
              <w:t>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p>
        </w:tc>
      </w:tr>
      <w:tr w14:paraId="05D5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93" w:type="dxa"/>
            <w:gridSpan w:val="2"/>
            <w:vAlign w:val="center"/>
          </w:tcPr>
          <w:p w14:paraId="2EBF49B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评价人员签名</w:t>
            </w:r>
          </w:p>
        </w:tc>
        <w:tc>
          <w:tcPr>
            <w:tcW w:w="4304" w:type="dxa"/>
            <w:vAlign w:val="center"/>
          </w:tcPr>
          <w:p w14:paraId="743D6E9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15" w:type="dxa"/>
            <w:gridSpan w:val="2"/>
            <w:vAlign w:val="center"/>
          </w:tcPr>
          <w:p w14:paraId="758C26E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评价日期</w:t>
            </w:r>
          </w:p>
        </w:tc>
        <w:tc>
          <w:tcPr>
            <w:tcW w:w="2154" w:type="dxa"/>
            <w:gridSpan w:val="2"/>
            <w:vAlign w:val="center"/>
          </w:tcPr>
          <w:p w14:paraId="20C0CD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1C7D0894">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0F4D952A">
      <w:pPr>
        <w:adjustRightInd/>
        <w:snapToGrid/>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69ADBC56">
      <w:pPr>
        <w:autoSpaceDE/>
        <w:autoSpaceDN/>
        <w:adjustRightInd/>
        <w:spacing w:line="360" w:lineRule="auto"/>
        <w:jc w:val="left"/>
        <w:rPr>
          <w:rFonts w:hint="eastAsia" w:ascii="宋体" w:hAnsi="宋体" w:eastAsia="宋体" w:cs="宋体"/>
          <w:b/>
          <w:color w:val="auto"/>
          <w:kern w:val="2"/>
          <w:sz w:val="21"/>
          <w:szCs w:val="24"/>
          <w:highlight w:val="none"/>
        </w:rPr>
      </w:pPr>
      <w:r>
        <w:rPr>
          <w:rFonts w:hint="eastAsia" w:ascii="宋体" w:hAnsi="宋体" w:eastAsia="宋体" w:cs="宋体"/>
          <w:b/>
          <w:color w:val="auto"/>
          <w:kern w:val="2"/>
          <w:sz w:val="21"/>
          <w:szCs w:val="24"/>
          <w:highlight w:val="none"/>
        </w:rPr>
        <w:t>附件</w:t>
      </w:r>
      <w:r>
        <w:rPr>
          <w:rFonts w:hint="eastAsia" w:ascii="宋体" w:hAnsi="宋体" w:eastAsia="宋体" w:cs="宋体"/>
          <w:b/>
          <w:color w:val="auto"/>
          <w:kern w:val="2"/>
          <w:sz w:val="21"/>
          <w:szCs w:val="24"/>
          <w:highlight w:val="none"/>
          <w:lang w:val="en-US" w:eastAsia="zh-CN"/>
        </w:rPr>
        <w:t>六</w:t>
      </w:r>
      <w:r>
        <w:rPr>
          <w:rFonts w:hint="eastAsia" w:ascii="宋体" w:hAnsi="宋体" w:eastAsia="宋体" w:cs="宋体"/>
          <w:b/>
          <w:color w:val="auto"/>
          <w:kern w:val="2"/>
          <w:sz w:val="21"/>
          <w:szCs w:val="24"/>
          <w:highlight w:val="none"/>
        </w:rPr>
        <w:t>：</w:t>
      </w:r>
      <w:r>
        <w:rPr>
          <w:rFonts w:hint="eastAsia" w:ascii="宋体" w:hAnsi="宋体" w:eastAsia="宋体" w:cs="宋体"/>
          <w:b/>
          <w:color w:val="auto"/>
          <w:kern w:val="2"/>
          <w:sz w:val="21"/>
          <w:szCs w:val="24"/>
          <w:highlight w:val="none"/>
          <w:lang w:val="en-US" w:eastAsia="zh-CN"/>
        </w:rPr>
        <w:t>检</w:t>
      </w:r>
      <w:r>
        <w:rPr>
          <w:rFonts w:hint="eastAsia" w:ascii="宋体" w:hAnsi="宋体" w:eastAsia="宋体" w:cs="宋体"/>
          <w:b/>
          <w:color w:val="auto"/>
          <w:kern w:val="2"/>
          <w:sz w:val="21"/>
          <w:szCs w:val="24"/>
          <w:highlight w:val="none"/>
        </w:rPr>
        <w:t>测服务人员表</w:t>
      </w:r>
    </w:p>
    <w:p w14:paraId="4783BED8">
      <w:pPr>
        <w:pageBreakBefore w:val="0"/>
        <w:adjustRightInd w:val="0"/>
        <w:snapToGrid w:val="0"/>
        <w:spacing w:before="0" w:beforeLines="-2147483648" w:after="0" w:afterLines="-2147483648" w:line="360" w:lineRule="auto"/>
        <w:ind w:firstLine="0"/>
        <w:jc w:val="center"/>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检测服务人员表</w:t>
      </w:r>
    </w:p>
    <w:tbl>
      <w:tblPr>
        <w:tblStyle w:val="45"/>
        <w:tblW w:w="9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975"/>
        <w:gridCol w:w="915"/>
        <w:gridCol w:w="1935"/>
        <w:gridCol w:w="2055"/>
        <w:gridCol w:w="2595"/>
        <w:gridCol w:w="799"/>
      </w:tblGrid>
      <w:tr w14:paraId="013F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64BC46B9">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975" w:type="dxa"/>
            <w:vAlign w:val="center"/>
          </w:tcPr>
          <w:p w14:paraId="641406CF">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职务</w:t>
            </w:r>
          </w:p>
        </w:tc>
        <w:tc>
          <w:tcPr>
            <w:tcW w:w="915" w:type="dxa"/>
            <w:vAlign w:val="center"/>
          </w:tcPr>
          <w:p w14:paraId="0C8A0169">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1935" w:type="dxa"/>
            <w:vAlign w:val="center"/>
          </w:tcPr>
          <w:p w14:paraId="006E4218">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专业</w:t>
            </w:r>
          </w:p>
        </w:tc>
        <w:tc>
          <w:tcPr>
            <w:tcW w:w="2055" w:type="dxa"/>
            <w:vAlign w:val="center"/>
          </w:tcPr>
          <w:p w14:paraId="18238971">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证书</w:t>
            </w:r>
          </w:p>
        </w:tc>
        <w:tc>
          <w:tcPr>
            <w:tcW w:w="2595" w:type="dxa"/>
            <w:vAlign w:val="center"/>
          </w:tcPr>
          <w:p w14:paraId="1A01DAEF">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证号</w:t>
            </w:r>
          </w:p>
        </w:tc>
        <w:tc>
          <w:tcPr>
            <w:tcW w:w="799" w:type="dxa"/>
            <w:vAlign w:val="center"/>
          </w:tcPr>
          <w:p w14:paraId="7A1D6C38">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445F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8" w:type="dxa"/>
            <w:vAlign w:val="center"/>
          </w:tcPr>
          <w:p w14:paraId="68FBD76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w:t>
            </w:r>
          </w:p>
        </w:tc>
        <w:tc>
          <w:tcPr>
            <w:tcW w:w="975" w:type="dxa"/>
            <w:vAlign w:val="center"/>
          </w:tcPr>
          <w:p w14:paraId="3462DC8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p>
        </w:tc>
        <w:tc>
          <w:tcPr>
            <w:tcW w:w="915" w:type="dxa"/>
            <w:vAlign w:val="center"/>
          </w:tcPr>
          <w:p w14:paraId="0D29FCE2">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p>
        </w:tc>
        <w:tc>
          <w:tcPr>
            <w:tcW w:w="1935" w:type="dxa"/>
            <w:vAlign w:val="center"/>
          </w:tcPr>
          <w:p w14:paraId="4280B474">
            <w:pPr>
              <w:keepNext w:val="0"/>
              <w:keepLines w:val="0"/>
              <w:numPr>
                <w:ilvl w:val="0"/>
                <w:numId w:val="0"/>
              </w:numPr>
              <w:suppressLineNumbers w:val="0"/>
              <w:shd w:val="clear"/>
              <w:spacing w:before="0" w:beforeAutospacing="0" w:after="0" w:afterAutospacing="0"/>
              <w:ind w:left="0" w:right="0"/>
              <w:jc w:val="left"/>
              <w:rPr>
                <w:rFonts w:hint="eastAsia" w:ascii="宋体" w:hAnsi="宋体" w:eastAsia="宋体" w:cs="宋体"/>
                <w:color w:val="auto"/>
                <w:szCs w:val="21"/>
                <w:highlight w:val="none"/>
                <w:lang w:eastAsia="zh-CN"/>
              </w:rPr>
            </w:pPr>
          </w:p>
        </w:tc>
        <w:tc>
          <w:tcPr>
            <w:tcW w:w="2055" w:type="dxa"/>
            <w:vAlign w:val="center"/>
          </w:tcPr>
          <w:p w14:paraId="6AAC1321">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val="en-US" w:eastAsia="zh-CN"/>
              </w:rPr>
            </w:pPr>
          </w:p>
        </w:tc>
        <w:tc>
          <w:tcPr>
            <w:tcW w:w="2595" w:type="dxa"/>
            <w:vAlign w:val="center"/>
          </w:tcPr>
          <w:p w14:paraId="75275346">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val="en-US" w:eastAsia="zh-CN"/>
              </w:rPr>
            </w:pPr>
          </w:p>
        </w:tc>
        <w:tc>
          <w:tcPr>
            <w:tcW w:w="799" w:type="dxa"/>
            <w:vAlign w:val="center"/>
          </w:tcPr>
          <w:p w14:paraId="4373065A">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rPr>
            </w:pPr>
          </w:p>
        </w:tc>
      </w:tr>
      <w:tr w14:paraId="503A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8" w:type="dxa"/>
            <w:vAlign w:val="center"/>
          </w:tcPr>
          <w:p w14:paraId="122268AF">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975" w:type="dxa"/>
            <w:vAlign w:val="center"/>
          </w:tcPr>
          <w:p w14:paraId="1B7AAA93">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p>
        </w:tc>
        <w:tc>
          <w:tcPr>
            <w:tcW w:w="915" w:type="dxa"/>
            <w:vAlign w:val="center"/>
          </w:tcPr>
          <w:p w14:paraId="6EBAA28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p>
        </w:tc>
        <w:tc>
          <w:tcPr>
            <w:tcW w:w="1935" w:type="dxa"/>
            <w:vAlign w:val="center"/>
          </w:tcPr>
          <w:p w14:paraId="08EB4241">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val="en-US" w:eastAsia="zh-CN"/>
              </w:rPr>
            </w:pPr>
          </w:p>
        </w:tc>
        <w:tc>
          <w:tcPr>
            <w:tcW w:w="2055" w:type="dxa"/>
            <w:vAlign w:val="center"/>
          </w:tcPr>
          <w:p w14:paraId="0CE9B23D">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val="en-US" w:eastAsia="zh-CN"/>
              </w:rPr>
            </w:pPr>
          </w:p>
        </w:tc>
        <w:tc>
          <w:tcPr>
            <w:tcW w:w="2595" w:type="dxa"/>
            <w:vAlign w:val="center"/>
          </w:tcPr>
          <w:p w14:paraId="3CA4BA2D">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val="en-US" w:eastAsia="zh-CN"/>
              </w:rPr>
            </w:pPr>
          </w:p>
        </w:tc>
        <w:tc>
          <w:tcPr>
            <w:tcW w:w="799" w:type="dxa"/>
            <w:vAlign w:val="center"/>
          </w:tcPr>
          <w:p w14:paraId="137D22FA">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rPr>
            </w:pPr>
          </w:p>
        </w:tc>
      </w:tr>
      <w:tr w14:paraId="1C39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8" w:type="dxa"/>
            <w:vAlign w:val="center"/>
          </w:tcPr>
          <w:p w14:paraId="4B98F869">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975" w:type="dxa"/>
            <w:vAlign w:val="center"/>
          </w:tcPr>
          <w:p w14:paraId="0303099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p>
        </w:tc>
        <w:tc>
          <w:tcPr>
            <w:tcW w:w="915" w:type="dxa"/>
            <w:vAlign w:val="center"/>
          </w:tcPr>
          <w:p w14:paraId="4ED5D5E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p>
        </w:tc>
        <w:tc>
          <w:tcPr>
            <w:tcW w:w="1935" w:type="dxa"/>
            <w:vAlign w:val="center"/>
          </w:tcPr>
          <w:p w14:paraId="1D1168B7">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val="en-US" w:eastAsia="zh-CN"/>
              </w:rPr>
            </w:pPr>
          </w:p>
        </w:tc>
        <w:tc>
          <w:tcPr>
            <w:tcW w:w="2055" w:type="dxa"/>
            <w:vAlign w:val="center"/>
          </w:tcPr>
          <w:p w14:paraId="63190D8D">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val="en-US" w:eastAsia="zh-CN"/>
              </w:rPr>
            </w:pPr>
          </w:p>
        </w:tc>
        <w:tc>
          <w:tcPr>
            <w:tcW w:w="2595" w:type="dxa"/>
            <w:vAlign w:val="center"/>
          </w:tcPr>
          <w:p w14:paraId="79501609">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val="en-US" w:eastAsia="zh-CN"/>
              </w:rPr>
            </w:pPr>
          </w:p>
        </w:tc>
        <w:tc>
          <w:tcPr>
            <w:tcW w:w="799" w:type="dxa"/>
            <w:vAlign w:val="center"/>
          </w:tcPr>
          <w:p w14:paraId="1DA63020">
            <w:pPr>
              <w:keepNext w:val="0"/>
              <w:keepLines w:val="0"/>
              <w:suppressLineNumbers w:val="0"/>
              <w:shd w:val="clear"/>
              <w:spacing w:before="0" w:beforeAutospacing="0" w:after="0" w:afterAutospacing="0"/>
              <w:ind w:left="0" w:right="0"/>
              <w:jc w:val="left"/>
              <w:rPr>
                <w:rFonts w:hint="eastAsia" w:ascii="宋体" w:hAnsi="宋体" w:eastAsia="宋体" w:cs="宋体"/>
                <w:b/>
                <w:bCs/>
                <w:color w:val="auto"/>
                <w:szCs w:val="21"/>
                <w:highlight w:val="none"/>
              </w:rPr>
            </w:pPr>
          </w:p>
        </w:tc>
      </w:tr>
      <w:tr w14:paraId="6E69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8" w:type="dxa"/>
            <w:vAlign w:val="center"/>
          </w:tcPr>
          <w:p w14:paraId="35D1B07F">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4</w:t>
            </w:r>
          </w:p>
        </w:tc>
        <w:tc>
          <w:tcPr>
            <w:tcW w:w="975" w:type="dxa"/>
            <w:vAlign w:val="center"/>
          </w:tcPr>
          <w:p w14:paraId="10CA861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eastAsia="zh-CN"/>
              </w:rPr>
            </w:pPr>
          </w:p>
        </w:tc>
        <w:tc>
          <w:tcPr>
            <w:tcW w:w="915" w:type="dxa"/>
            <w:vAlign w:val="center"/>
          </w:tcPr>
          <w:p w14:paraId="10624B7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p>
        </w:tc>
        <w:tc>
          <w:tcPr>
            <w:tcW w:w="1935" w:type="dxa"/>
            <w:vAlign w:val="center"/>
          </w:tcPr>
          <w:p w14:paraId="23A57CF2">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eastAsia="zh-CN"/>
              </w:rPr>
            </w:pPr>
          </w:p>
        </w:tc>
        <w:tc>
          <w:tcPr>
            <w:tcW w:w="2055" w:type="dxa"/>
            <w:vAlign w:val="center"/>
          </w:tcPr>
          <w:p w14:paraId="4CD02148">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eastAsia="zh-CN"/>
              </w:rPr>
            </w:pPr>
          </w:p>
        </w:tc>
        <w:tc>
          <w:tcPr>
            <w:tcW w:w="2595" w:type="dxa"/>
            <w:vAlign w:val="center"/>
          </w:tcPr>
          <w:p w14:paraId="7DB3C471">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val="en-US" w:eastAsia="zh-CN"/>
              </w:rPr>
            </w:pPr>
          </w:p>
        </w:tc>
        <w:tc>
          <w:tcPr>
            <w:tcW w:w="799" w:type="dxa"/>
            <w:vAlign w:val="center"/>
          </w:tcPr>
          <w:p w14:paraId="66F209D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p>
        </w:tc>
      </w:tr>
      <w:tr w14:paraId="60F6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8" w:type="dxa"/>
            <w:vAlign w:val="center"/>
          </w:tcPr>
          <w:p w14:paraId="1C429D9F">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w:t>
            </w:r>
          </w:p>
        </w:tc>
        <w:tc>
          <w:tcPr>
            <w:tcW w:w="975" w:type="dxa"/>
            <w:vAlign w:val="center"/>
          </w:tcPr>
          <w:p w14:paraId="12F9C94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eastAsia="zh-CN"/>
              </w:rPr>
            </w:pPr>
          </w:p>
        </w:tc>
        <w:tc>
          <w:tcPr>
            <w:tcW w:w="915" w:type="dxa"/>
            <w:vAlign w:val="center"/>
          </w:tcPr>
          <w:p w14:paraId="67183B5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p>
        </w:tc>
        <w:tc>
          <w:tcPr>
            <w:tcW w:w="1935" w:type="dxa"/>
            <w:vAlign w:val="center"/>
          </w:tcPr>
          <w:p w14:paraId="169251F4">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eastAsia="zh-CN"/>
              </w:rPr>
            </w:pPr>
          </w:p>
        </w:tc>
        <w:tc>
          <w:tcPr>
            <w:tcW w:w="2055" w:type="dxa"/>
            <w:vAlign w:val="center"/>
          </w:tcPr>
          <w:p w14:paraId="245AB62F">
            <w:pPr>
              <w:keepNext w:val="0"/>
              <w:keepLines w:val="0"/>
              <w:suppressLineNumbers w:val="0"/>
              <w:shd w:val="clear"/>
              <w:spacing w:before="0" w:beforeAutospacing="0" w:after="0" w:afterAutospacing="0"/>
              <w:ind w:left="0" w:right="0"/>
              <w:jc w:val="both"/>
              <w:rPr>
                <w:rFonts w:hint="eastAsia" w:ascii="宋体" w:hAnsi="宋体" w:eastAsia="宋体" w:cs="宋体"/>
                <w:color w:val="auto"/>
                <w:szCs w:val="21"/>
                <w:highlight w:val="none"/>
                <w:lang w:eastAsia="zh-CN"/>
              </w:rPr>
            </w:pPr>
          </w:p>
        </w:tc>
        <w:tc>
          <w:tcPr>
            <w:tcW w:w="2595" w:type="dxa"/>
            <w:vAlign w:val="center"/>
          </w:tcPr>
          <w:p w14:paraId="2A711F5E">
            <w:pPr>
              <w:keepNext w:val="0"/>
              <w:keepLines w:val="0"/>
              <w:suppressLineNumbers w:val="0"/>
              <w:shd w:val="clear"/>
              <w:spacing w:before="0" w:beforeAutospacing="0" w:after="0" w:afterAutospacing="0"/>
              <w:ind w:left="0" w:right="0"/>
              <w:jc w:val="both"/>
              <w:rPr>
                <w:rFonts w:hint="eastAsia" w:ascii="宋体" w:hAnsi="宋体" w:eastAsia="宋体" w:cs="宋体"/>
                <w:color w:val="auto"/>
                <w:szCs w:val="21"/>
                <w:highlight w:val="none"/>
                <w:lang w:val="en-US" w:eastAsia="zh-CN"/>
              </w:rPr>
            </w:pPr>
          </w:p>
        </w:tc>
        <w:tc>
          <w:tcPr>
            <w:tcW w:w="799" w:type="dxa"/>
            <w:vAlign w:val="center"/>
          </w:tcPr>
          <w:p w14:paraId="3E5C7F4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p>
        </w:tc>
      </w:tr>
      <w:tr w14:paraId="1265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8" w:type="dxa"/>
            <w:vAlign w:val="center"/>
          </w:tcPr>
          <w:p w14:paraId="205617BE">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975" w:type="dxa"/>
            <w:vAlign w:val="center"/>
          </w:tcPr>
          <w:p w14:paraId="4AB16E2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eastAsia="zh-CN"/>
              </w:rPr>
            </w:pPr>
          </w:p>
        </w:tc>
        <w:tc>
          <w:tcPr>
            <w:tcW w:w="915" w:type="dxa"/>
            <w:vAlign w:val="center"/>
          </w:tcPr>
          <w:p w14:paraId="273800D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p>
        </w:tc>
        <w:tc>
          <w:tcPr>
            <w:tcW w:w="1935" w:type="dxa"/>
            <w:vAlign w:val="center"/>
          </w:tcPr>
          <w:p w14:paraId="55AD257C">
            <w:pPr>
              <w:keepNext w:val="0"/>
              <w:keepLines w:val="0"/>
              <w:suppressLineNumbers w:val="0"/>
              <w:shd w:val="clear"/>
              <w:spacing w:before="0" w:beforeAutospacing="0" w:after="0" w:afterAutospacing="0"/>
              <w:ind w:left="0" w:right="0"/>
              <w:jc w:val="both"/>
              <w:rPr>
                <w:rFonts w:hint="eastAsia" w:ascii="宋体" w:hAnsi="宋体" w:eastAsia="宋体" w:cs="宋体"/>
                <w:color w:val="auto"/>
                <w:szCs w:val="21"/>
                <w:highlight w:val="none"/>
                <w:lang w:val="en-US" w:eastAsia="zh-CN"/>
              </w:rPr>
            </w:pPr>
          </w:p>
        </w:tc>
        <w:tc>
          <w:tcPr>
            <w:tcW w:w="2055" w:type="dxa"/>
            <w:vAlign w:val="center"/>
          </w:tcPr>
          <w:p w14:paraId="33C0F31B">
            <w:pPr>
              <w:keepNext w:val="0"/>
              <w:keepLines w:val="0"/>
              <w:suppressLineNumbers w:val="0"/>
              <w:shd w:val="clear"/>
              <w:spacing w:before="0" w:beforeAutospacing="0" w:after="0" w:afterAutospacing="0"/>
              <w:ind w:left="0" w:right="0"/>
              <w:jc w:val="both"/>
              <w:rPr>
                <w:rFonts w:hint="eastAsia" w:ascii="宋体" w:hAnsi="宋体" w:eastAsia="宋体" w:cs="宋体"/>
                <w:color w:val="auto"/>
                <w:szCs w:val="21"/>
                <w:highlight w:val="none"/>
                <w:lang w:val="en-US" w:eastAsia="zh-CN"/>
              </w:rPr>
            </w:pPr>
          </w:p>
        </w:tc>
        <w:tc>
          <w:tcPr>
            <w:tcW w:w="2595" w:type="dxa"/>
            <w:vAlign w:val="center"/>
          </w:tcPr>
          <w:p w14:paraId="5C9508B8">
            <w:pPr>
              <w:keepNext w:val="0"/>
              <w:keepLines w:val="0"/>
              <w:suppressLineNumbers w:val="0"/>
              <w:shd w:val="clear"/>
              <w:spacing w:before="0" w:beforeAutospacing="0" w:after="0" w:afterAutospacing="0"/>
              <w:ind w:left="0" w:right="0"/>
              <w:jc w:val="both"/>
              <w:rPr>
                <w:rFonts w:hint="eastAsia" w:ascii="宋体" w:hAnsi="宋体" w:eastAsia="宋体" w:cs="宋体"/>
                <w:color w:val="auto"/>
                <w:szCs w:val="21"/>
                <w:highlight w:val="none"/>
                <w:lang w:val="en-US" w:eastAsia="zh-CN"/>
              </w:rPr>
            </w:pPr>
          </w:p>
        </w:tc>
        <w:tc>
          <w:tcPr>
            <w:tcW w:w="799" w:type="dxa"/>
            <w:vAlign w:val="center"/>
          </w:tcPr>
          <w:p w14:paraId="7D036D1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p>
        </w:tc>
      </w:tr>
      <w:tr w14:paraId="57F7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8" w:type="dxa"/>
            <w:vAlign w:val="center"/>
          </w:tcPr>
          <w:p w14:paraId="77B3D19A">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w:t>
            </w:r>
          </w:p>
        </w:tc>
        <w:tc>
          <w:tcPr>
            <w:tcW w:w="975" w:type="dxa"/>
            <w:vAlign w:val="center"/>
          </w:tcPr>
          <w:p w14:paraId="1EE8F7CC">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eastAsia="zh-CN"/>
              </w:rPr>
            </w:pPr>
          </w:p>
        </w:tc>
        <w:tc>
          <w:tcPr>
            <w:tcW w:w="915" w:type="dxa"/>
            <w:vAlign w:val="center"/>
          </w:tcPr>
          <w:p w14:paraId="7B37D53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p>
        </w:tc>
        <w:tc>
          <w:tcPr>
            <w:tcW w:w="1935" w:type="dxa"/>
            <w:vAlign w:val="center"/>
          </w:tcPr>
          <w:p w14:paraId="3C1BAF38">
            <w:pPr>
              <w:keepNext w:val="0"/>
              <w:keepLines w:val="0"/>
              <w:suppressLineNumbers w:val="0"/>
              <w:shd w:val="clear"/>
              <w:spacing w:before="0" w:beforeAutospacing="0" w:after="0" w:afterAutospacing="0"/>
              <w:ind w:left="0" w:right="0"/>
              <w:jc w:val="both"/>
              <w:rPr>
                <w:rFonts w:hint="eastAsia" w:ascii="宋体" w:hAnsi="宋体" w:eastAsia="宋体" w:cs="宋体"/>
                <w:color w:val="auto"/>
                <w:szCs w:val="21"/>
                <w:highlight w:val="none"/>
                <w:lang w:val="en-US" w:eastAsia="zh-CN"/>
              </w:rPr>
            </w:pPr>
          </w:p>
        </w:tc>
        <w:tc>
          <w:tcPr>
            <w:tcW w:w="2055" w:type="dxa"/>
            <w:vAlign w:val="center"/>
          </w:tcPr>
          <w:p w14:paraId="366CCA18">
            <w:pPr>
              <w:keepNext w:val="0"/>
              <w:keepLines w:val="0"/>
              <w:suppressLineNumbers w:val="0"/>
              <w:shd w:val="clear"/>
              <w:spacing w:before="0" w:beforeAutospacing="0" w:after="0" w:afterAutospacing="0"/>
              <w:ind w:left="0" w:right="0"/>
              <w:jc w:val="both"/>
              <w:rPr>
                <w:rFonts w:hint="eastAsia" w:ascii="宋体" w:hAnsi="宋体" w:eastAsia="宋体" w:cs="宋体"/>
                <w:color w:val="auto"/>
                <w:szCs w:val="21"/>
                <w:highlight w:val="none"/>
                <w:lang w:val="en-US" w:eastAsia="zh-CN"/>
              </w:rPr>
            </w:pPr>
          </w:p>
        </w:tc>
        <w:tc>
          <w:tcPr>
            <w:tcW w:w="2595" w:type="dxa"/>
            <w:vAlign w:val="center"/>
          </w:tcPr>
          <w:p w14:paraId="6457D346">
            <w:pPr>
              <w:keepNext w:val="0"/>
              <w:keepLines w:val="0"/>
              <w:suppressLineNumbers w:val="0"/>
              <w:shd w:val="clear"/>
              <w:spacing w:before="0" w:beforeAutospacing="0" w:after="0" w:afterAutospacing="0"/>
              <w:ind w:left="0" w:right="0"/>
              <w:jc w:val="both"/>
              <w:rPr>
                <w:rFonts w:hint="eastAsia" w:ascii="宋体" w:hAnsi="宋体" w:eastAsia="宋体" w:cs="宋体"/>
                <w:color w:val="auto"/>
                <w:szCs w:val="21"/>
                <w:highlight w:val="none"/>
                <w:lang w:val="en-US" w:eastAsia="zh-CN"/>
              </w:rPr>
            </w:pPr>
          </w:p>
        </w:tc>
        <w:tc>
          <w:tcPr>
            <w:tcW w:w="799" w:type="dxa"/>
            <w:vAlign w:val="center"/>
          </w:tcPr>
          <w:p w14:paraId="7DE2B47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p>
        </w:tc>
      </w:tr>
      <w:tr w14:paraId="00D9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8" w:type="dxa"/>
            <w:vAlign w:val="center"/>
          </w:tcPr>
          <w:p w14:paraId="5F012322">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w:t>
            </w:r>
          </w:p>
        </w:tc>
        <w:tc>
          <w:tcPr>
            <w:tcW w:w="975" w:type="dxa"/>
            <w:vAlign w:val="center"/>
          </w:tcPr>
          <w:p w14:paraId="11B6242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eastAsia="zh-CN"/>
              </w:rPr>
            </w:pPr>
          </w:p>
        </w:tc>
        <w:tc>
          <w:tcPr>
            <w:tcW w:w="915" w:type="dxa"/>
            <w:vAlign w:val="center"/>
          </w:tcPr>
          <w:p w14:paraId="31706F6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p>
        </w:tc>
        <w:tc>
          <w:tcPr>
            <w:tcW w:w="1935" w:type="dxa"/>
            <w:vAlign w:val="center"/>
          </w:tcPr>
          <w:p w14:paraId="7003867E">
            <w:pPr>
              <w:keepNext w:val="0"/>
              <w:keepLines w:val="0"/>
              <w:suppressLineNumbers w:val="0"/>
              <w:shd w:val="clear"/>
              <w:spacing w:before="0" w:beforeAutospacing="0" w:after="0" w:afterAutospacing="0"/>
              <w:ind w:left="0" w:right="0"/>
              <w:jc w:val="both"/>
              <w:rPr>
                <w:rFonts w:hint="eastAsia" w:ascii="宋体" w:hAnsi="宋体" w:eastAsia="宋体" w:cs="宋体"/>
                <w:color w:val="auto"/>
                <w:szCs w:val="21"/>
                <w:highlight w:val="none"/>
                <w:lang w:val="en-US" w:eastAsia="zh-CN"/>
              </w:rPr>
            </w:pPr>
          </w:p>
        </w:tc>
        <w:tc>
          <w:tcPr>
            <w:tcW w:w="2055" w:type="dxa"/>
            <w:vAlign w:val="center"/>
          </w:tcPr>
          <w:p w14:paraId="56B473A0">
            <w:pPr>
              <w:keepNext w:val="0"/>
              <w:keepLines w:val="0"/>
              <w:suppressLineNumbers w:val="0"/>
              <w:shd w:val="clear"/>
              <w:spacing w:before="0" w:beforeAutospacing="0" w:after="0" w:afterAutospacing="0"/>
              <w:ind w:left="0" w:right="0"/>
              <w:jc w:val="both"/>
              <w:rPr>
                <w:rFonts w:hint="eastAsia" w:ascii="宋体" w:hAnsi="宋体" w:eastAsia="宋体" w:cs="宋体"/>
                <w:color w:val="auto"/>
                <w:szCs w:val="21"/>
                <w:highlight w:val="none"/>
                <w:lang w:val="en-US" w:eastAsia="zh-CN"/>
              </w:rPr>
            </w:pPr>
          </w:p>
        </w:tc>
        <w:tc>
          <w:tcPr>
            <w:tcW w:w="2595" w:type="dxa"/>
            <w:vAlign w:val="center"/>
          </w:tcPr>
          <w:p w14:paraId="28E55A9A">
            <w:pPr>
              <w:keepNext w:val="0"/>
              <w:keepLines w:val="0"/>
              <w:suppressLineNumbers w:val="0"/>
              <w:shd w:val="clear"/>
              <w:spacing w:before="0" w:beforeAutospacing="0" w:after="0" w:afterAutospacing="0"/>
              <w:ind w:left="0" w:right="0"/>
              <w:jc w:val="both"/>
              <w:rPr>
                <w:rFonts w:hint="eastAsia" w:ascii="宋体" w:hAnsi="宋体" w:eastAsia="宋体" w:cs="宋体"/>
                <w:color w:val="auto"/>
                <w:szCs w:val="21"/>
                <w:highlight w:val="none"/>
                <w:lang w:val="en-US" w:eastAsia="zh-CN"/>
              </w:rPr>
            </w:pPr>
          </w:p>
        </w:tc>
        <w:tc>
          <w:tcPr>
            <w:tcW w:w="799" w:type="dxa"/>
            <w:vAlign w:val="center"/>
          </w:tcPr>
          <w:p w14:paraId="581812C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rPr>
            </w:pPr>
          </w:p>
        </w:tc>
      </w:tr>
    </w:tbl>
    <w:p w14:paraId="3EB7809B">
      <w:pPr>
        <w:adjustRightInd/>
        <w:snapToGrid/>
        <w:spacing w:line="240" w:lineRule="auto"/>
        <w:jc w:val="left"/>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br w:type="page"/>
      </w:r>
    </w:p>
    <w:p w14:paraId="544C4F0A">
      <w:pPr>
        <w:adjustRightInd/>
        <w:snapToGrid/>
        <w:spacing w:line="360" w:lineRule="auto"/>
        <w:jc w:val="left"/>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附件</w:t>
      </w:r>
      <w:r>
        <w:rPr>
          <w:rFonts w:hint="eastAsia" w:ascii="宋体" w:hAnsi="宋体" w:eastAsia="宋体" w:cs="宋体"/>
          <w:b/>
          <w:color w:val="auto"/>
          <w:sz w:val="21"/>
          <w:szCs w:val="24"/>
          <w:highlight w:val="none"/>
          <w:lang w:val="en-US" w:eastAsia="zh-CN"/>
        </w:rPr>
        <w:t>七</w:t>
      </w:r>
      <w:r>
        <w:rPr>
          <w:rFonts w:hint="eastAsia" w:ascii="宋体" w:hAnsi="宋体" w:eastAsia="宋体" w:cs="宋体"/>
          <w:b/>
          <w:color w:val="auto"/>
          <w:sz w:val="21"/>
          <w:szCs w:val="24"/>
          <w:highlight w:val="none"/>
        </w:rPr>
        <w:t>：</w:t>
      </w:r>
      <w:r>
        <w:rPr>
          <w:rFonts w:hint="eastAsia" w:ascii="宋体" w:hAnsi="宋体" w:eastAsia="宋体" w:cs="宋体"/>
          <w:b/>
          <w:color w:val="auto"/>
          <w:sz w:val="21"/>
          <w:szCs w:val="24"/>
          <w:highlight w:val="none"/>
          <w:lang w:val="en-US" w:eastAsia="zh-CN"/>
        </w:rPr>
        <w:t>成交</w:t>
      </w:r>
      <w:r>
        <w:rPr>
          <w:rFonts w:hint="eastAsia" w:ascii="宋体" w:hAnsi="宋体" w:eastAsia="宋体" w:cs="宋体"/>
          <w:b/>
          <w:color w:val="auto"/>
          <w:sz w:val="21"/>
          <w:szCs w:val="24"/>
          <w:highlight w:val="none"/>
        </w:rPr>
        <w:t>通知书</w:t>
      </w:r>
    </w:p>
    <w:p w14:paraId="7C6595CA">
      <w:pPr>
        <w:adjustRightInd/>
        <w:snapToGrid/>
        <w:spacing w:line="240" w:lineRule="auto"/>
        <w:jc w:val="left"/>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br w:type="page"/>
      </w:r>
    </w:p>
    <w:p w14:paraId="0518C6E4">
      <w:pPr>
        <w:adjustRightInd/>
        <w:snapToGrid/>
        <w:spacing w:line="360" w:lineRule="auto"/>
        <w:jc w:val="left"/>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附件</w:t>
      </w:r>
      <w:r>
        <w:rPr>
          <w:rFonts w:hint="eastAsia" w:ascii="宋体" w:hAnsi="宋体" w:eastAsia="宋体" w:cs="宋体"/>
          <w:b/>
          <w:color w:val="auto"/>
          <w:sz w:val="21"/>
          <w:szCs w:val="24"/>
          <w:highlight w:val="none"/>
          <w:lang w:val="en-US" w:eastAsia="zh-CN"/>
        </w:rPr>
        <w:t>八</w:t>
      </w:r>
      <w:r>
        <w:rPr>
          <w:rFonts w:hint="eastAsia" w:ascii="宋体" w:hAnsi="宋体" w:eastAsia="宋体" w:cs="宋体"/>
          <w:b/>
          <w:color w:val="auto"/>
          <w:sz w:val="21"/>
          <w:szCs w:val="24"/>
          <w:highlight w:val="none"/>
        </w:rPr>
        <w:t>：用户需求书</w:t>
      </w:r>
    </w:p>
    <w:p w14:paraId="262D6BB6">
      <w:pPr>
        <w:adjustRightInd/>
        <w:snapToGrid/>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576148F2">
      <w:pPr>
        <w:pageBreakBefore w:val="0"/>
        <w:tabs>
          <w:tab w:val="left" w:pos="1080"/>
        </w:tabs>
        <w:autoSpaceDE w:val="0"/>
        <w:autoSpaceDN w:val="0"/>
        <w:adjustRightInd w:val="0"/>
        <w:snapToGrid/>
        <w:spacing w:before="0" w:beforeLines="-2147483648" w:after="100" w:afterLines="-2147483648" w:afterAutospacing="1" w:line="360" w:lineRule="auto"/>
        <w:ind w:left="357" w:leftChars="-100" w:hanging="567"/>
        <w:jc w:val="center"/>
        <w:outlineLvl w:val="0"/>
        <w:rPr>
          <w:rFonts w:hint="eastAsia" w:ascii="宋体" w:hAnsi="宋体" w:eastAsia="宋体" w:cs="宋体"/>
          <w:b/>
          <w:color w:val="auto"/>
          <w:sz w:val="21"/>
          <w:szCs w:val="21"/>
          <w:highlight w:val="none"/>
        </w:rPr>
      </w:pPr>
      <w:r>
        <w:rPr>
          <w:rFonts w:hint="eastAsia" w:ascii="宋体" w:hAnsi="宋体" w:eastAsia="宋体" w:cs="宋体"/>
          <w:b/>
          <w:bCs/>
          <w:color w:val="auto"/>
          <w:kern w:val="44"/>
          <w:sz w:val="32"/>
          <w:szCs w:val="32"/>
          <w:highlight w:val="none"/>
          <w:lang w:val="zh-CN" w:eastAsia="zh-CN"/>
        </w:rPr>
        <w:t xml:space="preserve">第五篇 </w:t>
      </w:r>
      <w:r>
        <w:rPr>
          <w:rFonts w:hint="eastAsia" w:ascii="宋体" w:hAnsi="宋体" w:eastAsia="宋体" w:cs="宋体"/>
          <w:b/>
          <w:bCs/>
          <w:color w:val="auto"/>
          <w:kern w:val="44"/>
          <w:sz w:val="32"/>
          <w:szCs w:val="32"/>
          <w:highlight w:val="none"/>
          <w:lang w:val="zh-CN"/>
        </w:rPr>
        <w:t>相关保函格式</w:t>
      </w:r>
    </w:p>
    <w:p w14:paraId="222B164A">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一、不可撤销银行履约保函格式</w:t>
      </w:r>
    </w:p>
    <w:p w14:paraId="346B509D">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4D4D4936">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5A7222A8">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6E797BE7">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5D5851A">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u w:val="single"/>
          <w:lang w:eastAsia="zh-CN"/>
        </w:rPr>
        <w:t>采购编号</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eastAsia="zh-CN"/>
        </w:rPr>
        <w:t>谈判文件</w:t>
      </w:r>
      <w:r>
        <w:rPr>
          <w:rFonts w:hint="eastAsia" w:ascii="宋体" w:hAnsi="宋体" w:eastAsia="宋体" w:cs="宋体"/>
          <w:color w:val="auto"/>
          <w:kern w:val="0"/>
          <w:szCs w:val="21"/>
          <w:highlight w:val="none"/>
        </w:rPr>
        <w:t>）中规定的义务履行合同。</w:t>
      </w:r>
    </w:p>
    <w:p w14:paraId="50899F3D">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w:t>
      </w:r>
      <w:r>
        <w:rPr>
          <w:rFonts w:hint="eastAsia" w:ascii="宋体" w:hAnsi="宋体" w:eastAsia="宋体" w:cs="宋体"/>
          <w:color w:val="auto"/>
          <w:kern w:val="0"/>
          <w:szCs w:val="21"/>
          <w:highlight w:val="none"/>
          <w:lang w:eastAsia="zh-CN"/>
        </w:rPr>
        <w:t>谈判文件</w:t>
      </w:r>
      <w:r>
        <w:rPr>
          <w:rFonts w:hint="eastAsia" w:ascii="宋体" w:hAnsi="宋体" w:eastAsia="宋体" w:cs="宋体"/>
          <w:color w:val="auto"/>
          <w:kern w:val="0"/>
          <w:szCs w:val="21"/>
          <w:highlight w:val="none"/>
        </w:rPr>
        <w:t>）规定，申请人应向受益人提供一份金额为人民币（大写）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62D8EDBA">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5BCC2EC7">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589DF43A">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2379887B">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w:t>
      </w:r>
      <w:r>
        <w:rPr>
          <w:rFonts w:hint="eastAsia" w:ascii="宋体" w:hAnsi="宋体" w:eastAsia="宋体" w:cs="宋体"/>
          <w:color w:val="auto"/>
          <w:kern w:val="0"/>
          <w:szCs w:val="21"/>
          <w:highlight w:val="none"/>
          <w:lang w:eastAsia="zh-CN"/>
        </w:rPr>
        <w:t>从合同签订之日起至合同期限届满并履行完毕相关服务义务且结算完毕之后二十八（28）个日历天内保持有效</w:t>
      </w:r>
      <w:r>
        <w:rPr>
          <w:rFonts w:hint="eastAsia" w:ascii="宋体" w:hAnsi="宋体" w:eastAsia="宋体" w:cs="宋体"/>
          <w:color w:val="auto"/>
          <w:kern w:val="0"/>
          <w:szCs w:val="21"/>
          <w:highlight w:val="none"/>
        </w:rPr>
        <w:t>。</w:t>
      </w:r>
    </w:p>
    <w:p w14:paraId="4D580500">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497533F5">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3EEB788D">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1C608BE3">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6F4A41AA">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61C69319">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BF0E97A">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36670269">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2B2F93C0">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4" w:type="default"/>
          <w:pgSz w:w="11906" w:h="16838"/>
          <w:pgMar w:top="1191" w:right="1043" w:bottom="1191" w:left="1043" w:header="720" w:footer="720" w:gutter="0"/>
          <w:pgNumType w:fmt="decimal" w:start="1"/>
          <w:cols w:space="720" w:num="1"/>
          <w:docGrid w:linePitch="326" w:charSpace="0"/>
        </w:sectPr>
      </w:pPr>
    </w:p>
    <w:p w14:paraId="700E535E">
      <w:pPr>
        <w:numPr>
          <w:ilvl w:val="0"/>
          <w:numId w:val="0"/>
        </w:numPr>
        <w:autoSpaceDE/>
        <w:autoSpaceDN/>
        <w:adjustRightInd/>
        <w:jc w:val="left"/>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6E6F774B">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0E63101D">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5FE23C4">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0AC86A94">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4BAECD09">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61A5BB0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w:t>
      </w:r>
      <w:r>
        <w:rPr>
          <w:rFonts w:hint="eastAsia" w:ascii="宋体" w:hAnsi="宋体" w:eastAsia="宋体" w:cs="宋体"/>
          <w:color w:val="auto"/>
          <w:kern w:val="0"/>
          <w:szCs w:val="21"/>
          <w:highlight w:val="none"/>
          <w:u w:val="single"/>
          <w:lang w:eastAsia="zh-CN"/>
        </w:rPr>
        <w:t>采购编号</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1DA4B99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3361354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40325AF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5412C4A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w:t>
      </w:r>
      <w:r>
        <w:rPr>
          <w:rFonts w:hint="eastAsia" w:ascii="宋体" w:hAnsi="宋体" w:eastAsia="宋体" w:cs="宋体"/>
          <w:color w:val="auto"/>
          <w:kern w:val="0"/>
          <w:szCs w:val="21"/>
          <w:highlight w:val="none"/>
          <w:u w:val="single"/>
          <w:lang w:eastAsia="zh-CN"/>
        </w:rPr>
        <w:t>采购编号</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686B91C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4BEE194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7488F6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35C2E5E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7FC50F93">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4ADFBE7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w:t>
      </w:r>
      <w:r>
        <w:rPr>
          <w:rFonts w:hint="eastAsia" w:ascii="宋体" w:hAnsi="宋体" w:eastAsia="宋体" w:cs="宋体"/>
          <w:color w:val="auto"/>
          <w:kern w:val="0"/>
          <w:szCs w:val="21"/>
          <w:highlight w:val="none"/>
          <w:lang w:val="en-US" w:eastAsia="zh-CN"/>
        </w:rPr>
        <w:t>从</w:t>
      </w:r>
      <w:r>
        <w:rPr>
          <w:rFonts w:hint="eastAsia" w:ascii="宋体" w:hAnsi="宋体" w:eastAsia="宋体" w:cs="宋体"/>
          <w:color w:val="auto"/>
          <w:kern w:val="0"/>
          <w:szCs w:val="21"/>
          <w:highlight w:val="none"/>
          <w:lang w:eastAsia="zh-CN"/>
        </w:rPr>
        <w:t>合同签订之日起至合同期限届满并履行完毕相关服务义务且结算完毕之后二十八（28）个日历天内保持有效</w:t>
      </w:r>
      <w:r>
        <w:rPr>
          <w:rFonts w:hint="eastAsia" w:ascii="宋体" w:hAnsi="宋体" w:eastAsia="宋体" w:cs="宋体"/>
          <w:color w:val="auto"/>
          <w:kern w:val="0"/>
          <w:szCs w:val="21"/>
          <w:highlight w:val="none"/>
        </w:rPr>
        <w:t>。</w:t>
      </w:r>
    </w:p>
    <w:p w14:paraId="724AD69A">
      <w:pPr>
        <w:numPr>
          <w:ilvl w:val="0"/>
          <w:numId w:val="0"/>
        </w:numPr>
        <w:outlineLvl w:val="9"/>
        <w:rPr>
          <w:rFonts w:hint="eastAsia" w:ascii="宋体" w:hAnsi="宋体" w:eastAsia="宋体" w:cs="宋体"/>
          <w:color w:val="auto"/>
          <w:szCs w:val="22"/>
          <w:highlight w:val="none"/>
          <w:lang w:val="en-US" w:eastAsia="zh-CN"/>
        </w:rPr>
      </w:pPr>
    </w:p>
    <w:p w14:paraId="71FDE98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6285A72E">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93DB4C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1AD09293">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18FBED6A">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5F047BE9">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1AF324A6">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、履约担保书格式</w:t>
      </w:r>
    </w:p>
    <w:p w14:paraId="3DF87426">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履约担保书</w:t>
      </w:r>
    </w:p>
    <w:p w14:paraId="54F15813">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9A35B9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w:t>
      </w:r>
      <w:r>
        <w:rPr>
          <w:rFonts w:hint="eastAsia" w:ascii="宋体" w:hAnsi="宋体" w:eastAsia="宋体" w:cs="宋体"/>
          <w:color w:val="auto"/>
          <w:kern w:val="0"/>
          <w:szCs w:val="21"/>
          <w:highlight w:val="none"/>
          <w:u w:val="single"/>
          <w:lang w:eastAsia="zh-CN"/>
        </w:rPr>
        <w:t>采购编号</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eastAsia="zh-CN"/>
        </w:rPr>
        <w:t>谈判文件</w:t>
      </w:r>
      <w:r>
        <w:rPr>
          <w:rFonts w:hint="eastAsia" w:ascii="宋体" w:hAnsi="宋体" w:eastAsia="宋体" w:cs="宋体"/>
          <w:color w:val="auto"/>
          <w:kern w:val="0"/>
          <w:szCs w:val="21"/>
          <w:highlight w:val="none"/>
        </w:rPr>
        <w:t>）中规定的义务履行合同。</w:t>
      </w:r>
    </w:p>
    <w:p w14:paraId="126C48A5">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w:t>
      </w:r>
      <w:r>
        <w:rPr>
          <w:rFonts w:hint="eastAsia" w:ascii="宋体" w:hAnsi="宋体" w:eastAsia="宋体" w:cs="宋体"/>
          <w:color w:val="auto"/>
          <w:kern w:val="0"/>
          <w:szCs w:val="21"/>
          <w:highlight w:val="none"/>
          <w:lang w:eastAsia="zh-CN"/>
        </w:rPr>
        <w:t>谈判文件</w:t>
      </w:r>
      <w:r>
        <w:rPr>
          <w:rFonts w:hint="eastAsia" w:ascii="宋体" w:hAnsi="宋体" w:eastAsia="宋体" w:cs="宋体"/>
          <w:color w:val="auto"/>
          <w:kern w:val="0"/>
          <w:szCs w:val="21"/>
          <w:highlight w:val="none"/>
        </w:rPr>
        <w:t>）规定，申请人应向受益人提供一份金额为人民币（大写）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lang w:val="en-US" w:eastAsia="zh-CN"/>
        </w:rPr>
        <w:t>担保公司或</w:t>
      </w:r>
      <w:r>
        <w:rPr>
          <w:rFonts w:hint="eastAsia" w:ascii="宋体" w:hAnsi="宋体" w:eastAsia="宋体" w:cs="宋体"/>
          <w:color w:val="auto"/>
          <w:kern w:val="0"/>
          <w:szCs w:val="21"/>
          <w:highlight w:val="none"/>
          <w:u w:val="single"/>
          <w:lang w:eastAsia="zh-CN"/>
        </w:rPr>
        <w:t>政府性融资担保机构</w:t>
      </w:r>
      <w:r>
        <w:rPr>
          <w:rFonts w:hint="eastAsia" w:ascii="宋体" w:hAnsi="宋体" w:eastAsia="宋体" w:cs="宋体"/>
          <w:color w:val="auto"/>
          <w:kern w:val="0"/>
          <w:szCs w:val="21"/>
          <w:highlight w:val="none"/>
          <w:u w:val="single"/>
        </w:rPr>
        <w:t xml:space="preserve">名称）  </w:t>
      </w:r>
      <w:r>
        <w:rPr>
          <w:rFonts w:hint="eastAsia" w:ascii="宋体" w:hAnsi="宋体" w:eastAsia="宋体" w:cs="宋体"/>
          <w:color w:val="auto"/>
          <w:kern w:val="0"/>
          <w:szCs w:val="21"/>
          <w:highlight w:val="none"/>
        </w:rPr>
        <w:t>在本合同项下的保证责任为连带责任保证。</w:t>
      </w:r>
    </w:p>
    <w:p w14:paraId="4F26CE5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担保公司或政府性融资担保机构</w:t>
      </w:r>
      <w:r>
        <w:rPr>
          <w:rFonts w:hint="eastAsia" w:ascii="宋体" w:hAnsi="宋体" w:eastAsia="宋体" w:cs="宋体"/>
          <w:color w:val="auto"/>
          <w:kern w:val="0"/>
          <w:szCs w:val="21"/>
          <w:highlight w:val="none"/>
          <w:u w:val="single"/>
        </w:rPr>
        <w:t xml:space="preserve">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1CD008B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5DF2C71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w:t>
      </w:r>
      <w:r>
        <w:rPr>
          <w:rFonts w:hint="eastAsia" w:ascii="宋体" w:hAnsi="宋体" w:eastAsia="宋体" w:cs="宋体"/>
          <w:color w:val="auto"/>
          <w:kern w:val="0"/>
          <w:szCs w:val="21"/>
          <w:highlight w:val="none"/>
          <w:lang w:val="en-US" w:eastAsia="zh-CN"/>
        </w:rPr>
        <w:t>从</w:t>
      </w:r>
      <w:r>
        <w:rPr>
          <w:rFonts w:hint="eastAsia" w:ascii="宋体" w:hAnsi="宋体" w:eastAsia="宋体" w:cs="宋体"/>
          <w:color w:val="auto"/>
          <w:kern w:val="0"/>
          <w:szCs w:val="21"/>
          <w:highlight w:val="none"/>
          <w:lang w:eastAsia="zh-CN"/>
        </w:rPr>
        <w:t>合同签订之日起至合同期限届满并履行完毕相关服务义务且结算完毕之后二十八（28）个日历天内保持有效</w:t>
      </w:r>
      <w:r>
        <w:rPr>
          <w:rFonts w:hint="eastAsia" w:ascii="宋体" w:hAnsi="宋体" w:eastAsia="宋体" w:cs="宋体"/>
          <w:color w:val="auto"/>
          <w:kern w:val="0"/>
          <w:szCs w:val="21"/>
          <w:highlight w:val="none"/>
        </w:rPr>
        <w:t>。</w:t>
      </w:r>
    </w:p>
    <w:p w14:paraId="223AAE96">
      <w:pPr>
        <w:autoSpaceDE w:val="0"/>
        <w:autoSpaceDN w:val="0"/>
        <w:adjustRightInd w:val="0"/>
        <w:spacing w:line="360" w:lineRule="auto"/>
        <w:jc w:val="left"/>
        <w:rPr>
          <w:rFonts w:hint="eastAsia" w:ascii="宋体" w:hAnsi="宋体" w:eastAsia="宋体" w:cs="宋体"/>
          <w:color w:val="auto"/>
          <w:kern w:val="0"/>
          <w:szCs w:val="21"/>
          <w:highlight w:val="none"/>
        </w:rPr>
      </w:pPr>
    </w:p>
    <w:p w14:paraId="13094BB5">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48B6E229">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担保公司或政府性融资担保机构</w:t>
      </w:r>
      <w:r>
        <w:rPr>
          <w:rFonts w:hint="eastAsia" w:ascii="宋体" w:hAnsi="宋体" w:eastAsia="宋体" w:cs="宋体"/>
          <w:color w:val="auto"/>
          <w:kern w:val="0"/>
          <w:szCs w:val="21"/>
          <w:highlight w:val="none"/>
        </w:rPr>
        <w:t>盖章：</w:t>
      </w:r>
    </w:p>
    <w:p w14:paraId="4C404078">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6A3EB8C1">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74AA18A8">
      <w:pPr>
        <w:autoSpaceDE w:val="0"/>
        <w:autoSpaceDN w:val="0"/>
        <w:bidi w:val="0"/>
        <w:adjustRightInd w:val="0"/>
        <w:spacing w:line="360" w:lineRule="auto"/>
        <w:ind w:firstLine="3990" w:firstLineChars="19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日期：    年   月   日</w:t>
      </w:r>
    </w:p>
    <w:p w14:paraId="1CCFFC0B">
      <w:pPr>
        <w:bidi w:val="0"/>
        <w:jc w:val="both"/>
        <w:outlineLvl w:val="9"/>
        <w:rPr>
          <w:rFonts w:hint="eastAsia" w:ascii="宋体" w:hAnsi="宋体" w:eastAsia="宋体" w:cs="宋体"/>
          <w:color w:val="auto"/>
          <w:highlight w:val="none"/>
        </w:rPr>
      </w:pPr>
    </w:p>
    <w:p w14:paraId="046ED3D6">
      <w:pPr>
        <w:bidi w:val="0"/>
        <w:jc w:val="center"/>
        <w:rPr>
          <w:rFonts w:hint="eastAsia" w:ascii="宋体" w:hAnsi="宋体" w:eastAsia="宋体" w:cs="宋体"/>
          <w:color w:val="auto"/>
          <w:highlight w:val="none"/>
        </w:rPr>
      </w:pPr>
    </w:p>
    <w:p w14:paraId="45D7F8B1">
      <w:pPr>
        <w:bidi w:val="0"/>
        <w:jc w:val="center"/>
        <w:rPr>
          <w:rFonts w:hint="eastAsia" w:ascii="宋体" w:hAnsi="宋体" w:eastAsia="宋体" w:cs="宋体"/>
          <w:color w:val="auto"/>
          <w:highlight w:val="none"/>
        </w:rPr>
      </w:pPr>
    </w:p>
    <w:p w14:paraId="18EF754F">
      <w:pPr>
        <w:bidi w:val="0"/>
        <w:jc w:val="center"/>
        <w:rPr>
          <w:rFonts w:hint="eastAsia" w:ascii="宋体" w:hAnsi="宋体" w:eastAsia="宋体" w:cs="宋体"/>
          <w:color w:val="auto"/>
          <w:highlight w:val="none"/>
        </w:rPr>
      </w:pPr>
    </w:p>
    <w:p w14:paraId="608B3AE5">
      <w:pPr>
        <w:bidi w:val="0"/>
        <w:jc w:val="center"/>
        <w:rPr>
          <w:rFonts w:hint="eastAsia" w:ascii="宋体" w:hAnsi="宋体" w:eastAsia="宋体" w:cs="宋体"/>
          <w:color w:val="auto"/>
          <w:highlight w:val="none"/>
        </w:rPr>
      </w:pPr>
    </w:p>
    <w:p w14:paraId="7E01ABF3">
      <w:pPr>
        <w:bidi w:val="0"/>
        <w:jc w:val="center"/>
        <w:rPr>
          <w:rFonts w:hint="eastAsia" w:ascii="宋体" w:hAnsi="宋体" w:eastAsia="宋体" w:cs="宋体"/>
          <w:color w:val="auto"/>
          <w:highlight w:val="none"/>
        </w:rPr>
      </w:pPr>
    </w:p>
    <w:p w14:paraId="28BD06D0">
      <w:pPr>
        <w:bidi w:val="0"/>
        <w:jc w:val="center"/>
        <w:rPr>
          <w:rFonts w:hint="eastAsia" w:ascii="宋体" w:hAnsi="宋体" w:eastAsia="宋体" w:cs="宋体"/>
          <w:color w:val="auto"/>
          <w:highlight w:val="none"/>
        </w:rPr>
      </w:pPr>
    </w:p>
    <w:p w14:paraId="00529298">
      <w:pPr>
        <w:bidi w:val="0"/>
        <w:jc w:val="center"/>
        <w:rPr>
          <w:rFonts w:hint="eastAsia" w:ascii="宋体" w:hAnsi="宋体" w:eastAsia="宋体" w:cs="宋体"/>
          <w:color w:val="auto"/>
          <w:highlight w:val="none"/>
        </w:rPr>
      </w:pPr>
    </w:p>
    <w:p w14:paraId="1BBE8B6B">
      <w:pPr>
        <w:bidi w:val="0"/>
        <w:jc w:val="center"/>
        <w:rPr>
          <w:rFonts w:hint="eastAsia" w:ascii="宋体" w:hAnsi="宋体" w:eastAsia="宋体" w:cs="宋体"/>
          <w:color w:val="auto"/>
          <w:highlight w:val="none"/>
        </w:rPr>
      </w:pPr>
    </w:p>
    <w:p w14:paraId="18BE367C">
      <w:pPr>
        <w:bidi w:val="0"/>
        <w:jc w:val="center"/>
        <w:rPr>
          <w:rFonts w:hint="eastAsia" w:ascii="宋体" w:hAnsi="宋体" w:eastAsia="宋体" w:cs="宋体"/>
          <w:color w:val="auto"/>
          <w:highlight w:val="none"/>
        </w:rPr>
      </w:pPr>
    </w:p>
    <w:p w14:paraId="2A190254">
      <w:pPr>
        <w:bidi w:val="0"/>
        <w:jc w:val="center"/>
        <w:rPr>
          <w:rFonts w:hint="eastAsia" w:ascii="宋体" w:hAnsi="宋体" w:eastAsia="宋体" w:cs="宋体"/>
          <w:color w:val="auto"/>
          <w:highlight w:val="none"/>
        </w:rPr>
      </w:pPr>
    </w:p>
    <w:p w14:paraId="112D2E2E">
      <w:pPr>
        <w:bidi w:val="0"/>
        <w:jc w:val="center"/>
        <w:rPr>
          <w:rFonts w:hint="eastAsia" w:ascii="宋体" w:hAnsi="宋体" w:eastAsia="宋体" w:cs="宋体"/>
          <w:color w:val="auto"/>
          <w:highlight w:val="none"/>
        </w:rPr>
      </w:pPr>
    </w:p>
    <w:p w14:paraId="4D9C5C54">
      <w:pPr>
        <w:bidi w:val="0"/>
        <w:jc w:val="center"/>
        <w:rPr>
          <w:rFonts w:hint="eastAsia" w:ascii="宋体" w:hAnsi="宋体" w:eastAsia="宋体" w:cs="宋体"/>
          <w:color w:val="auto"/>
          <w:highlight w:val="none"/>
        </w:rPr>
      </w:pPr>
    </w:p>
    <w:p w14:paraId="7BDCE611">
      <w:pPr>
        <w:bidi w:val="0"/>
        <w:jc w:val="center"/>
        <w:rPr>
          <w:rFonts w:hint="eastAsia" w:ascii="宋体" w:hAnsi="宋体" w:eastAsia="宋体" w:cs="宋体"/>
          <w:color w:val="auto"/>
          <w:highlight w:val="none"/>
        </w:rPr>
      </w:pPr>
    </w:p>
    <w:p w14:paraId="65D47785">
      <w:pPr>
        <w:bidi w:val="0"/>
        <w:jc w:val="center"/>
        <w:rPr>
          <w:rFonts w:hint="eastAsia" w:ascii="宋体" w:hAnsi="宋体" w:eastAsia="宋体" w:cs="宋体"/>
          <w:color w:val="auto"/>
          <w:highlight w:val="none"/>
        </w:rPr>
      </w:pPr>
    </w:p>
    <w:p w14:paraId="2A69A73A">
      <w:pPr>
        <w:bidi w:val="0"/>
        <w:jc w:val="center"/>
        <w:rPr>
          <w:rFonts w:hint="eastAsia" w:ascii="宋体" w:hAnsi="宋体" w:eastAsia="宋体" w:cs="宋体"/>
          <w:color w:val="auto"/>
          <w:highlight w:val="none"/>
        </w:rPr>
      </w:pPr>
    </w:p>
    <w:p w14:paraId="3DB6EC0A">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166987C">
      <w:pPr>
        <w:autoSpaceDE/>
        <w:autoSpaceDN/>
        <w:adjustRightInd/>
        <w:spacing w:line="240" w:lineRule="auto"/>
        <w:ind w:right="0" w:rightChars="0"/>
        <w:jc w:val="left"/>
        <w:rPr>
          <w:rFonts w:hint="eastAsia" w:ascii="宋体" w:hAnsi="宋体" w:eastAsia="宋体" w:cs="宋体"/>
          <w:color w:val="auto"/>
          <w:sz w:val="21"/>
          <w:szCs w:val="21"/>
          <w:highlight w:val="none"/>
        </w:rPr>
      </w:pPr>
      <w:r>
        <w:rPr>
          <w:rFonts w:ascii="宋体" w:hAnsi="宋体" w:eastAsia="宋体" w:cs="Times New Roman"/>
          <w:color w:val="auto"/>
          <w:kern w:val="0"/>
          <w:szCs w:val="21"/>
          <w:highlight w:val="none"/>
        </w:rPr>
        <w:br w:type="page"/>
      </w:r>
    </w:p>
    <w:p w14:paraId="54433641">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267" w:name="_Toc486167708"/>
      <w:bookmarkStart w:id="268" w:name="_Toc160099505"/>
      <w:bookmarkStart w:id="269" w:name="_Toc32761_WPSOffice_Level1"/>
      <w:bookmarkStart w:id="270" w:name="_Toc450662895"/>
      <w:bookmarkStart w:id="271" w:name="_Toc1352"/>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六</w:t>
      </w:r>
      <w:r>
        <w:rPr>
          <w:rFonts w:hint="eastAsia" w:ascii="宋体" w:hAnsi="宋体" w:eastAsia="宋体" w:cs="宋体"/>
          <w:b/>
          <w:bCs/>
          <w:color w:val="auto"/>
          <w:kern w:val="44"/>
          <w:sz w:val="32"/>
          <w:szCs w:val="32"/>
          <w:highlight w:val="none"/>
          <w:lang w:val="zh-CN"/>
        </w:rPr>
        <w:t>篇 响应文件格式</w:t>
      </w:r>
      <w:bookmarkEnd w:id="267"/>
      <w:bookmarkEnd w:id="268"/>
      <w:bookmarkEnd w:id="269"/>
      <w:bookmarkEnd w:id="270"/>
      <w:bookmarkEnd w:id="271"/>
    </w:p>
    <w:p w14:paraId="18F661EB">
      <w:pPr>
        <w:pStyle w:val="20"/>
        <w:jc w:val="both"/>
        <w:rPr>
          <w:color w:val="auto"/>
          <w:highlight w:val="none"/>
          <w:lang w:val="en-US"/>
        </w:rPr>
      </w:pPr>
      <w:bookmarkStart w:id="272" w:name="_Toc23821"/>
      <w:bookmarkStart w:id="273" w:name="_Toc102860067"/>
      <w:bookmarkStart w:id="274" w:name="_Toc104991868"/>
      <w:bookmarkStart w:id="275" w:name="_Toc102860411"/>
      <w:bookmarkStart w:id="276" w:name="_Toc533708121"/>
      <w:bookmarkStart w:id="277" w:name="_Toc1977721"/>
      <w:bookmarkStart w:id="278" w:name="_Toc94107202"/>
      <w:bookmarkStart w:id="279" w:name="_Toc486167709"/>
      <w:bookmarkStart w:id="280" w:name="_Toc21133_WPSOffice_Level2"/>
      <w:bookmarkStart w:id="281" w:name="_Toc14491"/>
      <w:bookmarkStart w:id="282" w:name="_Toc140596921"/>
      <w:bookmarkStart w:id="283" w:name="_Toc160099506"/>
    </w:p>
    <w:p w14:paraId="3098BD97">
      <w:pPr>
        <w:pStyle w:val="43"/>
        <w:rPr>
          <w:color w:val="auto"/>
          <w:highlight w:val="none"/>
          <w:lang w:val="en-US"/>
        </w:rPr>
      </w:pPr>
    </w:p>
    <w:p w14:paraId="0B91D91D">
      <w:pPr>
        <w:pStyle w:val="43"/>
        <w:rPr>
          <w:color w:val="auto"/>
          <w:highlight w:val="none"/>
          <w:lang w:val="en-US"/>
        </w:rPr>
      </w:pPr>
    </w:p>
    <w:p w14:paraId="05B35941">
      <w:pPr>
        <w:pStyle w:val="43"/>
        <w:rPr>
          <w:color w:val="auto"/>
          <w:highlight w:val="none"/>
          <w:lang w:val="en-US"/>
        </w:rPr>
      </w:pPr>
    </w:p>
    <w:p w14:paraId="3FA34692">
      <w:pPr>
        <w:pStyle w:val="43"/>
        <w:ind w:firstLine="843"/>
        <w:rPr>
          <w:color w:val="auto"/>
          <w:highlight w:val="none"/>
          <w:lang w:val="en-US"/>
        </w:rPr>
      </w:pPr>
    </w:p>
    <w:p w14:paraId="01CF40A5">
      <w:pPr>
        <w:pStyle w:val="21"/>
        <w:spacing w:line="360" w:lineRule="auto"/>
        <w:ind w:left="648"/>
        <w:jc w:val="center"/>
        <w:rPr>
          <w:rFonts w:ascii="宋体" w:hAnsi="宋体" w:eastAsia="宋体" w:cs="宋体"/>
          <w:color w:val="auto"/>
          <w:sz w:val="84"/>
          <w:szCs w:val="84"/>
          <w:highlight w:val="none"/>
        </w:rPr>
      </w:pPr>
      <w:r>
        <w:rPr>
          <w:rFonts w:hint="eastAsia" w:ascii="宋体" w:hAnsi="宋体" w:eastAsia="宋体" w:cs="宋体"/>
          <w:color w:val="auto"/>
          <w:sz w:val="84"/>
          <w:szCs w:val="84"/>
          <w:highlight w:val="none"/>
        </w:rPr>
        <w:t>响 应 文 件</w:t>
      </w:r>
    </w:p>
    <w:p w14:paraId="17151BC3">
      <w:pPr>
        <w:pStyle w:val="21"/>
        <w:spacing w:line="360" w:lineRule="auto"/>
        <w:ind w:left="648"/>
        <w:rPr>
          <w:rFonts w:ascii="宋体" w:hAnsi="宋体" w:eastAsia="宋体" w:cs="宋体"/>
          <w:color w:val="auto"/>
          <w:highlight w:val="none"/>
        </w:rPr>
      </w:pPr>
    </w:p>
    <w:p w14:paraId="24B94B48">
      <w:pPr>
        <w:pStyle w:val="21"/>
        <w:spacing w:line="360" w:lineRule="auto"/>
        <w:ind w:left="648"/>
        <w:rPr>
          <w:rFonts w:ascii="宋体" w:hAnsi="宋体" w:eastAsia="宋体" w:cs="宋体"/>
          <w:color w:val="auto"/>
          <w:highlight w:val="none"/>
        </w:rPr>
      </w:pPr>
    </w:p>
    <w:p w14:paraId="6A6BAF1A">
      <w:pPr>
        <w:pStyle w:val="21"/>
        <w:spacing w:line="360" w:lineRule="auto"/>
        <w:ind w:left="648"/>
        <w:rPr>
          <w:rFonts w:ascii="宋体" w:hAnsi="宋体" w:eastAsia="宋体" w:cs="宋体"/>
          <w:color w:val="auto"/>
          <w:highlight w:val="none"/>
        </w:rPr>
      </w:pPr>
    </w:p>
    <w:p w14:paraId="6FF47ED8">
      <w:pPr>
        <w:pStyle w:val="21"/>
        <w:spacing w:line="360" w:lineRule="auto"/>
        <w:ind w:left="648"/>
        <w:rPr>
          <w:rFonts w:ascii="宋体" w:hAnsi="宋体" w:eastAsia="宋体" w:cs="宋体"/>
          <w:color w:val="auto"/>
          <w:highlight w:val="none"/>
        </w:rPr>
      </w:pPr>
    </w:p>
    <w:p w14:paraId="3F60C1DA">
      <w:pPr>
        <w:pStyle w:val="21"/>
        <w:spacing w:line="360" w:lineRule="auto"/>
        <w:ind w:left="648"/>
        <w:rPr>
          <w:rFonts w:ascii="宋体" w:hAnsi="宋体" w:eastAsia="宋体" w:cs="宋体"/>
          <w:color w:val="auto"/>
          <w:highlight w:val="none"/>
        </w:rPr>
      </w:pPr>
    </w:p>
    <w:p w14:paraId="6601BE42">
      <w:pPr>
        <w:pStyle w:val="21"/>
        <w:spacing w:line="360" w:lineRule="auto"/>
        <w:ind w:left="648"/>
        <w:rPr>
          <w:rFonts w:ascii="宋体" w:hAnsi="宋体" w:eastAsia="宋体" w:cs="宋体"/>
          <w:color w:val="auto"/>
          <w:highlight w:val="none"/>
        </w:rPr>
      </w:pPr>
    </w:p>
    <w:p w14:paraId="08AFBC03">
      <w:pPr>
        <w:pStyle w:val="21"/>
        <w:spacing w:line="360" w:lineRule="auto"/>
        <w:ind w:left="648"/>
        <w:rPr>
          <w:rFonts w:ascii="宋体" w:hAnsi="宋体" w:eastAsia="宋体" w:cs="宋体"/>
          <w:color w:val="auto"/>
          <w:highlight w:val="none"/>
        </w:rPr>
      </w:pPr>
    </w:p>
    <w:p w14:paraId="6AB14D53">
      <w:pPr>
        <w:pStyle w:val="21"/>
        <w:spacing w:line="360" w:lineRule="auto"/>
        <w:ind w:left="648"/>
        <w:rPr>
          <w:rFonts w:ascii="宋体" w:hAnsi="宋体" w:eastAsia="宋体" w:cs="宋体"/>
          <w:color w:val="auto"/>
          <w:highlight w:val="none"/>
        </w:rPr>
      </w:pPr>
    </w:p>
    <w:p w14:paraId="227D6226">
      <w:pPr>
        <w:pStyle w:val="21"/>
        <w:spacing w:line="360" w:lineRule="auto"/>
        <w:ind w:left="648"/>
        <w:rPr>
          <w:rFonts w:ascii="宋体" w:hAnsi="宋体" w:eastAsia="宋体" w:cs="宋体"/>
          <w:color w:val="auto"/>
          <w:highlight w:val="none"/>
        </w:rPr>
      </w:pPr>
    </w:p>
    <w:p w14:paraId="76DE2E84">
      <w:pPr>
        <w:pStyle w:val="21"/>
        <w:spacing w:line="360" w:lineRule="auto"/>
        <w:ind w:left="648"/>
        <w:rPr>
          <w:rFonts w:ascii="宋体" w:hAnsi="宋体" w:eastAsia="宋体" w:cs="宋体"/>
          <w:color w:val="auto"/>
          <w:sz w:val="30"/>
          <w:highlight w:val="none"/>
        </w:rPr>
      </w:pPr>
      <w:r>
        <w:rPr>
          <w:rFonts w:hint="eastAsia" w:ascii="宋体" w:hAnsi="宋体" w:eastAsia="宋体" w:cs="宋体"/>
          <w:color w:val="auto"/>
          <w:sz w:val="30"/>
          <w:highlight w:val="none"/>
        </w:rPr>
        <w:t>采购编号：</w:t>
      </w:r>
      <w:r>
        <w:rPr>
          <w:rFonts w:hint="eastAsia" w:ascii="宋体" w:hAnsi="宋体" w:eastAsia="宋体" w:cs="宋体"/>
          <w:color w:val="auto"/>
          <w:sz w:val="30"/>
          <w:highlight w:val="none"/>
          <w:u w:val="single"/>
        </w:rPr>
        <w:t xml:space="preserve"> 0832-SFCX25DG109C </w:t>
      </w:r>
    </w:p>
    <w:p w14:paraId="7A2E89A9">
      <w:pPr>
        <w:pStyle w:val="21"/>
        <w:spacing w:line="360" w:lineRule="auto"/>
        <w:ind w:left="648"/>
        <w:rPr>
          <w:rFonts w:hint="eastAsia" w:ascii="宋体" w:hAnsi="宋体" w:eastAsia="宋体" w:cs="宋体"/>
          <w:color w:val="auto"/>
          <w:sz w:val="30"/>
          <w:highlight w:val="none"/>
          <w:u w:val="single"/>
          <w:lang w:val="en-US" w:eastAsia="zh-CN"/>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r>
        <w:rPr>
          <w:rFonts w:hint="eastAsia" w:ascii="宋体" w:hAnsi="宋体" w:cs="宋体"/>
          <w:color w:val="auto"/>
          <w:sz w:val="30"/>
          <w:highlight w:val="none"/>
          <w:u w:val="single"/>
          <w:lang w:val="zh-CN"/>
        </w:rPr>
        <w:t>东莞市大朗蔡边水质净化厂工程第三方检测（不含基桩完整性检测）</w:t>
      </w:r>
      <w:r>
        <w:rPr>
          <w:rFonts w:hint="eastAsia" w:ascii="宋体" w:hAnsi="宋体" w:eastAsia="宋体" w:cs="宋体"/>
          <w:color w:val="auto"/>
          <w:sz w:val="30"/>
          <w:highlight w:val="none"/>
          <w:u w:val="single"/>
          <w:lang w:val="en-US" w:eastAsia="zh-CN"/>
        </w:rPr>
        <w:t xml:space="preserve"> </w:t>
      </w:r>
    </w:p>
    <w:p w14:paraId="142EAC25">
      <w:pPr>
        <w:pStyle w:val="21"/>
        <w:spacing w:line="360" w:lineRule="auto"/>
        <w:ind w:left="648"/>
        <w:rPr>
          <w:rFonts w:ascii="宋体" w:hAnsi="宋体" w:eastAsia="宋体" w:cs="宋体"/>
          <w:color w:val="auto"/>
          <w:sz w:val="30"/>
          <w:highlight w:val="none"/>
        </w:rPr>
      </w:pPr>
      <w:r>
        <w:rPr>
          <w:rFonts w:hint="eastAsia" w:ascii="宋体" w:hAnsi="宋体" w:eastAsia="宋体" w:cs="宋体"/>
          <w:color w:val="auto"/>
          <w:sz w:val="30"/>
          <w:highlight w:val="none"/>
        </w:rPr>
        <w:t>采购人：</w:t>
      </w:r>
      <w:r>
        <w:rPr>
          <w:rFonts w:hint="eastAsia" w:ascii="宋体" w:hAnsi="宋体" w:eastAsia="宋体" w:cs="宋体"/>
          <w:color w:val="auto"/>
          <w:sz w:val="30"/>
          <w:highlight w:val="none"/>
          <w:u w:val="single"/>
        </w:rPr>
        <w:t xml:space="preserve"> </w:t>
      </w:r>
      <w:r>
        <w:rPr>
          <w:rFonts w:hint="eastAsia" w:ascii="宋体" w:hAnsi="宋体" w:cs="宋体"/>
          <w:color w:val="auto"/>
          <w:sz w:val="30"/>
          <w:highlight w:val="none"/>
          <w:u w:val="single"/>
          <w:lang w:eastAsia="zh-CN"/>
        </w:rPr>
        <w:t>东莞市水务环境投资控股集团建设管理有限公司</w:t>
      </w:r>
      <w:r>
        <w:rPr>
          <w:rFonts w:hint="eastAsia" w:ascii="宋体" w:hAnsi="宋体" w:eastAsia="宋体" w:cs="宋体"/>
          <w:color w:val="auto"/>
          <w:sz w:val="30"/>
          <w:highlight w:val="none"/>
          <w:u w:val="single"/>
        </w:rPr>
        <w:t xml:space="preserve"> </w:t>
      </w:r>
    </w:p>
    <w:p w14:paraId="2FE06CE6">
      <w:pPr>
        <w:pStyle w:val="21"/>
        <w:spacing w:line="360" w:lineRule="auto"/>
        <w:ind w:left="648"/>
        <w:rPr>
          <w:rFonts w:ascii="宋体" w:hAnsi="宋体" w:eastAsia="宋体" w:cs="宋体"/>
          <w:color w:val="auto"/>
          <w:sz w:val="30"/>
          <w:highlight w:val="none"/>
          <w:u w:val="single"/>
        </w:rPr>
      </w:pPr>
      <w:r>
        <w:rPr>
          <w:rFonts w:hint="eastAsia" w:ascii="宋体" w:hAnsi="宋体" w:eastAsia="宋体" w:cs="宋体"/>
          <w:color w:val="auto"/>
          <w:sz w:val="30"/>
          <w:highlight w:val="none"/>
        </w:rPr>
        <w:t>供应商：</w:t>
      </w:r>
      <w:r>
        <w:rPr>
          <w:rFonts w:hint="eastAsia" w:ascii="宋体" w:hAnsi="宋体" w:eastAsia="宋体" w:cs="宋体"/>
          <w:color w:val="auto"/>
          <w:sz w:val="30"/>
          <w:highlight w:val="none"/>
          <w:u w:val="single"/>
        </w:rPr>
        <w:t xml:space="preserve">                        </w:t>
      </w:r>
    </w:p>
    <w:p w14:paraId="1679E9E2">
      <w:pPr>
        <w:pStyle w:val="21"/>
        <w:spacing w:line="360" w:lineRule="auto"/>
        <w:ind w:left="648"/>
        <w:rPr>
          <w:rFonts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4EB1A4F3">
      <w:pPr>
        <w:rPr>
          <w:color w:val="auto"/>
          <w:highlight w:val="none"/>
        </w:rPr>
      </w:pPr>
    </w:p>
    <w:p w14:paraId="1CEC6331">
      <w:pPr>
        <w:rPr>
          <w:color w:val="auto"/>
          <w:highlight w:val="none"/>
        </w:rPr>
      </w:pPr>
    </w:p>
    <w:p w14:paraId="696C5492">
      <w:pPr>
        <w:rPr>
          <w:color w:val="auto"/>
          <w:highlight w:val="none"/>
        </w:rPr>
      </w:pPr>
    </w:p>
    <w:p w14:paraId="41EB2A6A">
      <w:pPr>
        <w:rPr>
          <w:color w:val="auto"/>
          <w:highlight w:val="none"/>
        </w:rPr>
      </w:pPr>
    </w:p>
    <w:p w14:paraId="1220AB72">
      <w:pPr>
        <w:rPr>
          <w:color w:val="auto"/>
          <w:highlight w:val="none"/>
        </w:rPr>
      </w:pPr>
    </w:p>
    <w:p w14:paraId="5F9F8127">
      <w:pPr>
        <w:rPr>
          <w:color w:val="auto"/>
          <w:highlight w:val="none"/>
        </w:rPr>
      </w:pPr>
    </w:p>
    <w:p w14:paraId="6DC574B1">
      <w:pPr>
        <w:jc w:val="both"/>
        <w:rPr>
          <w:b/>
          <w:bCs/>
          <w:color w:val="auto"/>
          <w:sz w:val="21"/>
          <w:szCs w:val="21"/>
          <w:highlight w:val="none"/>
        </w:rPr>
      </w:pPr>
    </w:p>
    <w:p w14:paraId="42DDD656">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D08963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284" w:name="_Toc14246"/>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eastAsia="zh-CN"/>
        </w:rPr>
        <w:t>响应</w:t>
      </w:r>
      <w:r>
        <w:rPr>
          <w:rFonts w:hint="eastAsia" w:ascii="宋体" w:hAnsi="宋体" w:eastAsia="宋体" w:cs="宋体"/>
          <w:b/>
          <w:color w:val="auto"/>
          <w:kern w:val="0"/>
          <w:sz w:val="32"/>
          <w:szCs w:val="32"/>
          <w:highlight w:val="none"/>
        </w:rPr>
        <w:t>函格式</w:t>
      </w:r>
      <w:bookmarkEnd w:id="272"/>
      <w:bookmarkEnd w:id="273"/>
      <w:bookmarkEnd w:id="274"/>
      <w:bookmarkEnd w:id="275"/>
      <w:bookmarkEnd w:id="276"/>
      <w:bookmarkEnd w:id="277"/>
      <w:bookmarkEnd w:id="278"/>
      <w:bookmarkEnd w:id="279"/>
      <w:bookmarkEnd w:id="280"/>
      <w:bookmarkEnd w:id="281"/>
      <w:bookmarkEnd w:id="282"/>
      <w:bookmarkEnd w:id="283"/>
      <w:bookmarkEnd w:id="284"/>
    </w:p>
    <w:p w14:paraId="5981EDCE">
      <w:pPr>
        <w:autoSpaceDE w:val="0"/>
        <w:autoSpaceDN w:val="0"/>
        <w:adjustRightInd w:val="0"/>
        <w:spacing w:line="360" w:lineRule="auto"/>
        <w:jc w:val="center"/>
        <w:rPr>
          <w:rFonts w:ascii="宋体" w:hAnsi="宋体" w:eastAsia="宋体" w:cs="宋体"/>
          <w:b/>
          <w:bCs/>
          <w:color w:val="auto"/>
          <w:sz w:val="30"/>
          <w:szCs w:val="30"/>
          <w:highlight w:val="none"/>
        </w:rPr>
      </w:pPr>
      <w:bookmarkStart w:id="285" w:name="_Toc16695_WPSOffice_Level3"/>
      <w:r>
        <w:rPr>
          <w:rFonts w:hint="eastAsia" w:ascii="宋体" w:hAnsi="宋体" w:eastAsia="宋体" w:cs="宋体"/>
          <w:b/>
          <w:bCs/>
          <w:color w:val="auto"/>
          <w:sz w:val="30"/>
          <w:szCs w:val="30"/>
          <w:highlight w:val="none"/>
          <w:lang w:val="en-US" w:eastAsia="zh-CN"/>
        </w:rPr>
        <w:t>响 应</w:t>
      </w:r>
      <w:r>
        <w:rPr>
          <w:rFonts w:hint="eastAsia" w:ascii="宋体" w:hAnsi="宋体" w:eastAsia="宋体" w:cs="宋体"/>
          <w:b/>
          <w:bCs/>
          <w:color w:val="auto"/>
          <w:sz w:val="30"/>
          <w:szCs w:val="30"/>
          <w:highlight w:val="none"/>
          <w:lang w:val="zh-CN"/>
        </w:rPr>
        <w:t xml:space="preserve">  函</w:t>
      </w:r>
      <w:bookmarkEnd w:id="285"/>
    </w:p>
    <w:p w14:paraId="5D2D741A">
      <w:pPr>
        <w:autoSpaceDE w:val="0"/>
        <w:autoSpaceDN w:val="0"/>
        <w:adjustRightInd w:val="0"/>
        <w:spacing w:line="360" w:lineRule="auto"/>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致：东莞市水务环境投资控股集团建设管理有限公司</w:t>
      </w:r>
    </w:p>
    <w:p w14:paraId="4A8736C1">
      <w:pPr>
        <w:autoSpaceDE w:val="0"/>
        <w:autoSpaceDN w:val="0"/>
        <w:adjustRightInd w:val="0"/>
        <w:spacing w:line="360" w:lineRule="auto"/>
        <w:jc w:val="both"/>
        <w:rPr>
          <w:rFonts w:ascii="宋体" w:hAnsi="宋体" w:eastAsia="宋体" w:cs="宋体"/>
          <w:color w:val="auto"/>
          <w:kern w:val="2"/>
          <w:sz w:val="21"/>
          <w:szCs w:val="21"/>
          <w:highlight w:val="none"/>
        </w:rPr>
      </w:pPr>
    </w:p>
    <w:p w14:paraId="2A4563BE">
      <w:pPr>
        <w:wordWrap w:val="0"/>
        <w:autoSpaceDE w:val="0"/>
        <w:autoSpaceDN w:val="0"/>
        <w:adjustRightInd w:val="0"/>
        <w:spacing w:line="360" w:lineRule="auto"/>
        <w:ind w:firstLine="420"/>
        <w:jc w:val="left"/>
        <w:rPr>
          <w:rFonts w:ascii="宋体" w:hAnsi="宋体" w:eastAsia="宋体" w:cs="宋体"/>
          <w:color w:val="auto"/>
          <w:kern w:val="0"/>
          <w:sz w:val="21"/>
          <w:szCs w:val="21"/>
          <w:highlight w:val="none"/>
          <w:lang w:val="zh-CN"/>
        </w:rPr>
      </w:pPr>
      <w:r>
        <w:rPr>
          <w:rFonts w:hint="eastAsia" w:ascii="宋体" w:hAnsi="宋体" w:eastAsia="宋体" w:cs="宋体"/>
          <w:color w:val="auto"/>
          <w:kern w:val="2"/>
          <w:sz w:val="21"/>
          <w:szCs w:val="21"/>
          <w:highlight w:val="none"/>
          <w:lang w:val="zh-CN"/>
        </w:rPr>
        <w:t>根据贵方为</w:t>
      </w:r>
      <w:r>
        <w:rPr>
          <w:rFonts w:hint="eastAsia" w:ascii="宋体" w:hAnsi="宋体" w:eastAsia="宋体" w:cs="宋体"/>
          <w:color w:val="auto"/>
          <w:kern w:val="0"/>
          <w:sz w:val="21"/>
          <w:szCs w:val="21"/>
          <w:highlight w:val="none"/>
          <w:u w:val="single"/>
          <w:lang w:eastAsia="zh-CN"/>
        </w:rPr>
        <w:t>东莞市大朗蔡边水质净化厂工程第三方检测（不含基桩完整性检测）</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rPr>
        <w:t>采购</w:t>
      </w:r>
      <w:r>
        <w:rPr>
          <w:rFonts w:hint="eastAsia" w:ascii="宋体" w:hAnsi="宋体" w:eastAsia="宋体" w:cs="宋体"/>
          <w:color w:val="auto"/>
          <w:kern w:val="0"/>
          <w:sz w:val="21"/>
          <w:szCs w:val="21"/>
          <w:highlight w:val="none"/>
          <w:lang w:val="zh-CN"/>
        </w:rPr>
        <w:t>编号：</w:t>
      </w:r>
      <w:r>
        <w:rPr>
          <w:rFonts w:hint="eastAsia" w:ascii="宋体" w:hAnsi="宋体" w:eastAsia="宋体" w:cs="宋体"/>
          <w:color w:val="auto"/>
          <w:kern w:val="0"/>
          <w:sz w:val="21"/>
          <w:szCs w:val="21"/>
          <w:highlight w:val="none"/>
          <w:u w:val="single"/>
        </w:rPr>
        <w:t>0832-SFCX25DG109C</w:t>
      </w:r>
      <w:r>
        <w:rPr>
          <w:rFonts w:hint="eastAsia" w:ascii="宋体" w:hAnsi="宋体" w:eastAsia="宋体" w:cs="宋体"/>
          <w:color w:val="auto"/>
          <w:kern w:val="0"/>
          <w:sz w:val="21"/>
          <w:szCs w:val="21"/>
          <w:highlight w:val="none"/>
          <w:lang w:val="zh-CN"/>
        </w:rPr>
        <w:t>)的</w:t>
      </w:r>
      <w:r>
        <w:rPr>
          <w:rFonts w:hint="eastAsia" w:ascii="宋体" w:hAnsi="宋体" w:eastAsia="宋体" w:cs="宋体"/>
          <w:color w:val="auto"/>
          <w:kern w:val="0"/>
          <w:sz w:val="21"/>
          <w:szCs w:val="21"/>
          <w:highlight w:val="none"/>
        </w:rPr>
        <w:t>谈判公告</w:t>
      </w:r>
      <w:r>
        <w:rPr>
          <w:rFonts w:hint="eastAsia" w:ascii="宋体" w:hAnsi="宋体" w:eastAsia="宋体" w:cs="宋体"/>
          <w:color w:val="auto"/>
          <w:kern w:val="0"/>
          <w:sz w:val="21"/>
          <w:szCs w:val="21"/>
          <w:highlight w:val="none"/>
          <w:lang w:val="zh-CN"/>
        </w:rPr>
        <w:t>，我方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zh-CN"/>
        </w:rPr>
        <w:t>（</w:t>
      </w:r>
      <w:r>
        <w:rPr>
          <w:rFonts w:hint="eastAsia" w:ascii="宋体" w:hAnsi="宋体" w:eastAsia="宋体" w:cs="宋体"/>
          <w:color w:val="auto"/>
          <w:kern w:val="0"/>
          <w:sz w:val="21"/>
          <w:szCs w:val="21"/>
          <w:highlight w:val="none"/>
          <w:u w:val="single"/>
        </w:rPr>
        <w:t>供应商</w:t>
      </w:r>
      <w:r>
        <w:rPr>
          <w:rFonts w:hint="eastAsia" w:ascii="宋体" w:hAnsi="宋体" w:eastAsia="宋体" w:cs="宋体"/>
          <w:color w:val="auto"/>
          <w:kern w:val="0"/>
          <w:sz w:val="21"/>
          <w:szCs w:val="21"/>
          <w:highlight w:val="none"/>
          <w:u w:val="single"/>
          <w:lang w:val="zh-CN"/>
        </w:rPr>
        <w:t>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lang w:val="zh-CN"/>
        </w:rPr>
        <w:t>作为供应商正式授权</w:t>
      </w:r>
      <w:r>
        <w:rPr>
          <w:rFonts w:hint="eastAsia" w:ascii="宋体" w:hAnsi="宋体" w:eastAsia="宋体" w:cs="宋体"/>
          <w:color w:val="auto"/>
          <w:kern w:val="0"/>
          <w:sz w:val="21"/>
          <w:szCs w:val="21"/>
          <w:highlight w:val="none"/>
          <w:u w:val="single"/>
          <w:lang w:val="zh-CN"/>
        </w:rPr>
        <w:t>　 （授权代表全名，职务）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lang w:val="zh-CN"/>
        </w:rPr>
        <w:t>代表我方进行有关本次</w:t>
      </w:r>
      <w:r>
        <w:rPr>
          <w:rFonts w:hint="eastAsia" w:ascii="宋体" w:hAnsi="宋体" w:eastAsia="宋体" w:cs="宋体"/>
          <w:color w:val="auto"/>
          <w:kern w:val="0"/>
          <w:sz w:val="21"/>
          <w:szCs w:val="21"/>
          <w:highlight w:val="none"/>
        </w:rPr>
        <w:t>竞争性谈判</w:t>
      </w:r>
      <w:r>
        <w:rPr>
          <w:rFonts w:hint="eastAsia" w:ascii="宋体" w:hAnsi="宋体" w:eastAsia="宋体" w:cs="宋体"/>
          <w:color w:val="auto"/>
          <w:kern w:val="0"/>
          <w:sz w:val="21"/>
          <w:szCs w:val="21"/>
          <w:highlight w:val="none"/>
          <w:lang w:val="zh-CN"/>
        </w:rPr>
        <w:t>的一切事宜。</w:t>
      </w:r>
    </w:p>
    <w:p w14:paraId="1610FDC5">
      <w:pPr>
        <w:autoSpaceDE w:val="0"/>
        <w:autoSpaceDN w:val="0"/>
        <w:adjustRightInd w:val="0"/>
        <w:spacing w:line="360" w:lineRule="auto"/>
        <w:ind w:firstLine="42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在此提交的响应文件，包括如下等内容，并已单独密封封装：</w:t>
      </w:r>
    </w:p>
    <w:p w14:paraId="1845CB10">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响应文件电子文件</w:t>
      </w:r>
      <w:r>
        <w:rPr>
          <w:rFonts w:hint="eastAsia" w:ascii="宋体" w:hAnsi="宋体" w:eastAsia="宋体" w:cs="宋体"/>
          <w:color w:val="auto"/>
          <w:kern w:val="2"/>
          <w:sz w:val="21"/>
          <w:szCs w:val="21"/>
          <w:highlight w:val="none"/>
          <w:lang w:val="zh-CN"/>
        </w:rPr>
        <w:t>【        份】；</w:t>
      </w:r>
    </w:p>
    <w:p w14:paraId="725BBCDE">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（二）响应文件（正本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份，副本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w:t>
      </w:r>
    </w:p>
    <w:p w14:paraId="711AFD2A">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我方已完全明白竞争性谈判文件的所有条款要求，并重申以下几点：</w:t>
      </w:r>
    </w:p>
    <w:p w14:paraId="57300580">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（—）我方决定参加采购编号为</w:t>
      </w:r>
      <w:r>
        <w:rPr>
          <w:rFonts w:hint="eastAsia" w:ascii="宋体" w:hAnsi="宋体" w:eastAsia="宋体" w:cs="宋体"/>
          <w:color w:val="auto"/>
          <w:kern w:val="0"/>
          <w:sz w:val="21"/>
          <w:szCs w:val="21"/>
          <w:highlight w:val="none"/>
          <w:u w:val="single"/>
          <w:lang w:eastAsia="zh-CN"/>
        </w:rPr>
        <w:t>0832-SFCX25DG109C</w:t>
      </w:r>
      <w:r>
        <w:rPr>
          <w:rFonts w:hint="eastAsia" w:ascii="宋体" w:hAnsi="宋体" w:eastAsia="宋体" w:cs="宋体"/>
          <w:color w:val="auto"/>
          <w:kern w:val="0"/>
          <w:sz w:val="21"/>
          <w:szCs w:val="21"/>
          <w:highlight w:val="none"/>
          <w:lang w:val="zh-CN"/>
        </w:rPr>
        <w:t>的</w:t>
      </w:r>
      <w:r>
        <w:rPr>
          <w:rFonts w:hint="eastAsia" w:ascii="宋体" w:hAnsi="宋体" w:eastAsia="宋体" w:cs="宋体"/>
          <w:color w:val="auto"/>
          <w:kern w:val="2"/>
          <w:sz w:val="21"/>
          <w:szCs w:val="21"/>
          <w:highlight w:val="none"/>
        </w:rPr>
        <w:t>谈判</w:t>
      </w:r>
      <w:r>
        <w:rPr>
          <w:rFonts w:hint="eastAsia" w:ascii="宋体" w:hAnsi="宋体" w:eastAsia="宋体" w:cs="宋体"/>
          <w:color w:val="auto"/>
          <w:kern w:val="2"/>
          <w:sz w:val="21"/>
          <w:szCs w:val="21"/>
          <w:highlight w:val="none"/>
          <w:lang w:val="zh-CN"/>
        </w:rPr>
        <w:t>；</w:t>
      </w:r>
    </w:p>
    <w:p w14:paraId="284BCF37">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（二）本响应文件的有效期自递交响应文件截止</w:t>
      </w:r>
      <w:r>
        <w:rPr>
          <w:rFonts w:hint="eastAsia" w:ascii="宋体" w:hAnsi="宋体" w:eastAsia="宋体" w:cs="宋体"/>
          <w:color w:val="auto"/>
          <w:kern w:val="2"/>
          <w:sz w:val="21"/>
          <w:szCs w:val="21"/>
          <w:highlight w:val="none"/>
        </w:rPr>
        <w:t>时间届满</w:t>
      </w:r>
      <w:r>
        <w:rPr>
          <w:rFonts w:hint="eastAsia" w:ascii="宋体" w:hAnsi="宋体" w:eastAsia="宋体" w:cs="宋体"/>
          <w:color w:val="auto"/>
          <w:kern w:val="2"/>
          <w:sz w:val="21"/>
          <w:szCs w:val="21"/>
          <w:highlight w:val="none"/>
          <w:lang w:val="zh-CN"/>
        </w:rPr>
        <w:t>后90日有效，如</w:t>
      </w:r>
      <w:r>
        <w:rPr>
          <w:rFonts w:hint="eastAsia" w:ascii="宋体" w:hAnsi="宋体" w:eastAsia="宋体" w:cs="宋体"/>
          <w:color w:val="auto"/>
          <w:kern w:val="2"/>
          <w:sz w:val="21"/>
          <w:szCs w:val="21"/>
          <w:highlight w:val="none"/>
        </w:rPr>
        <w:t>成交</w:t>
      </w:r>
      <w:r>
        <w:rPr>
          <w:rFonts w:hint="eastAsia" w:ascii="宋体" w:hAnsi="宋体" w:eastAsia="宋体" w:cs="宋体"/>
          <w:color w:val="auto"/>
          <w:kern w:val="2"/>
          <w:sz w:val="21"/>
          <w:szCs w:val="21"/>
          <w:highlight w:val="none"/>
          <w:lang w:val="zh-CN"/>
        </w:rPr>
        <w:t>，有效期将延至合同终止日为止；</w:t>
      </w:r>
    </w:p>
    <w:p w14:paraId="369B8113">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（三）我方已详细研究了竞争性谈判文件的所有内容包括修正文（如有）和所有已提供的参考资料以及有关附件并完全明白，我方放弃在此方面提出含糊意见或误解的一切权力；</w:t>
      </w:r>
    </w:p>
    <w:p w14:paraId="79EAFC50">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（四）我方明白并愿意在规定的递交响应文件截止时间和日期之后，</w:t>
      </w:r>
      <w:r>
        <w:rPr>
          <w:rFonts w:hint="eastAsia" w:ascii="宋体" w:hAnsi="宋体" w:eastAsia="宋体" w:cs="宋体"/>
          <w:color w:val="auto"/>
          <w:kern w:val="2"/>
          <w:sz w:val="21"/>
          <w:szCs w:val="21"/>
          <w:highlight w:val="none"/>
        </w:rPr>
        <w:t>响应文件</w:t>
      </w:r>
      <w:r>
        <w:rPr>
          <w:rFonts w:hint="eastAsia" w:ascii="宋体" w:hAnsi="宋体" w:eastAsia="宋体" w:cs="宋体"/>
          <w:color w:val="auto"/>
          <w:kern w:val="2"/>
          <w:sz w:val="21"/>
          <w:szCs w:val="21"/>
          <w:highlight w:val="none"/>
          <w:lang w:val="zh-CN"/>
        </w:rPr>
        <w:t>有效期之内撤回</w:t>
      </w:r>
      <w:r>
        <w:rPr>
          <w:rFonts w:hint="eastAsia" w:ascii="宋体" w:hAnsi="宋体" w:eastAsia="宋体" w:cs="宋体"/>
          <w:color w:val="auto"/>
          <w:kern w:val="2"/>
          <w:sz w:val="21"/>
          <w:szCs w:val="21"/>
          <w:highlight w:val="none"/>
        </w:rPr>
        <w:t>响应</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则按无效响应处理或取消成交资格</w:t>
      </w:r>
      <w:r>
        <w:rPr>
          <w:rFonts w:hint="eastAsia" w:ascii="宋体" w:hAnsi="宋体" w:eastAsia="宋体" w:cs="宋体"/>
          <w:color w:val="auto"/>
          <w:kern w:val="2"/>
          <w:sz w:val="21"/>
          <w:szCs w:val="21"/>
          <w:highlight w:val="none"/>
          <w:lang w:val="zh-CN"/>
        </w:rPr>
        <w:t>；</w:t>
      </w:r>
    </w:p>
    <w:p w14:paraId="1D9F7F55">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（五）我方同意按照贵方可能提出的要求而提供与</w:t>
      </w:r>
      <w:r>
        <w:rPr>
          <w:rFonts w:hint="eastAsia" w:ascii="宋体" w:hAnsi="宋体" w:eastAsia="宋体" w:cs="宋体"/>
          <w:color w:val="auto"/>
          <w:kern w:val="2"/>
          <w:sz w:val="21"/>
          <w:szCs w:val="21"/>
          <w:highlight w:val="none"/>
        </w:rPr>
        <w:t>响应文件</w:t>
      </w:r>
      <w:r>
        <w:rPr>
          <w:rFonts w:hint="eastAsia" w:ascii="宋体" w:hAnsi="宋体" w:eastAsia="宋体" w:cs="宋体"/>
          <w:color w:val="auto"/>
          <w:kern w:val="2"/>
          <w:sz w:val="21"/>
          <w:szCs w:val="21"/>
          <w:highlight w:val="none"/>
          <w:lang w:val="zh-CN"/>
        </w:rPr>
        <w:t>有关的任何其它数据或信息；</w:t>
      </w:r>
    </w:p>
    <w:p w14:paraId="0803A2F1">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（六）我方理解贵方不一定接受最低报价或任何贵方可能收到的报价；</w:t>
      </w:r>
    </w:p>
    <w:p w14:paraId="486B6379">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（七）我方如果成交，将保证履行竞争性谈判文件以及竞争性谈判文件修改书（如有）中的全部责任和义务，按质、按量、按期完成《合同书》中的全部任务；</w:t>
      </w:r>
    </w:p>
    <w:p w14:paraId="0CD4AD78">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（八）保证响应文件中所有资料均真实有效，否则按无效</w:t>
      </w:r>
      <w:r>
        <w:rPr>
          <w:rFonts w:hint="eastAsia" w:ascii="宋体" w:hAnsi="宋体" w:eastAsia="宋体" w:cs="宋体"/>
          <w:color w:val="auto"/>
          <w:kern w:val="2"/>
          <w:sz w:val="21"/>
          <w:szCs w:val="21"/>
          <w:highlight w:val="none"/>
        </w:rPr>
        <w:t>响应</w:t>
      </w:r>
      <w:r>
        <w:rPr>
          <w:rFonts w:hint="eastAsia" w:ascii="宋体" w:hAnsi="宋体" w:eastAsia="宋体" w:cs="宋体"/>
          <w:color w:val="auto"/>
          <w:kern w:val="2"/>
          <w:sz w:val="21"/>
          <w:szCs w:val="21"/>
          <w:highlight w:val="none"/>
          <w:lang w:val="zh-CN"/>
        </w:rPr>
        <w:t>处理或可取消成交资格，并愿意接受按弄虚作假骗取成交的有关规定进行处理，</w:t>
      </w:r>
      <w:r>
        <w:rPr>
          <w:rFonts w:hint="eastAsia" w:ascii="宋体" w:hAnsi="宋体" w:eastAsia="宋体" w:cs="宋体"/>
          <w:color w:val="auto"/>
          <w:kern w:val="2"/>
          <w:sz w:val="21"/>
          <w:szCs w:val="21"/>
          <w:highlight w:val="none"/>
        </w:rPr>
        <w:t>并不予退还我方响应保证金</w:t>
      </w:r>
      <w:r>
        <w:rPr>
          <w:rFonts w:hint="eastAsia" w:ascii="宋体" w:hAnsi="宋体" w:eastAsia="宋体" w:cs="宋体"/>
          <w:color w:val="auto"/>
          <w:kern w:val="2"/>
          <w:sz w:val="21"/>
          <w:szCs w:val="21"/>
          <w:highlight w:val="none"/>
          <w:lang w:val="zh-CN"/>
        </w:rPr>
        <w:t>；</w:t>
      </w:r>
    </w:p>
    <w:p w14:paraId="02BFD8BA">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（九）若我方</w:t>
      </w:r>
      <w:r>
        <w:rPr>
          <w:rFonts w:hint="eastAsia" w:ascii="宋体" w:hAnsi="宋体" w:eastAsia="宋体" w:cs="宋体"/>
          <w:color w:val="auto"/>
          <w:kern w:val="2"/>
          <w:sz w:val="21"/>
          <w:szCs w:val="21"/>
          <w:highlight w:val="none"/>
        </w:rPr>
        <w:t>成交</w:t>
      </w:r>
      <w:r>
        <w:rPr>
          <w:rFonts w:hint="eastAsia" w:ascii="宋体" w:hAnsi="宋体" w:eastAsia="宋体" w:cs="宋体"/>
          <w:color w:val="auto"/>
          <w:kern w:val="2"/>
          <w:sz w:val="21"/>
          <w:szCs w:val="21"/>
          <w:highlight w:val="none"/>
          <w:lang w:val="zh-CN"/>
        </w:rPr>
        <w:t>后，我方一定按照竞争性谈判文件的要求和响应文件的承诺签订和履行合同，否则贵方可取消我方</w:t>
      </w:r>
      <w:r>
        <w:rPr>
          <w:rFonts w:hint="eastAsia" w:ascii="宋体" w:hAnsi="宋体" w:eastAsia="宋体" w:cs="宋体"/>
          <w:color w:val="auto"/>
          <w:kern w:val="2"/>
          <w:sz w:val="21"/>
          <w:szCs w:val="21"/>
          <w:highlight w:val="none"/>
        </w:rPr>
        <w:t>成交</w:t>
      </w:r>
      <w:r>
        <w:rPr>
          <w:rFonts w:hint="eastAsia" w:ascii="宋体" w:hAnsi="宋体" w:eastAsia="宋体" w:cs="宋体"/>
          <w:color w:val="auto"/>
          <w:kern w:val="2"/>
          <w:sz w:val="21"/>
          <w:szCs w:val="21"/>
          <w:highlight w:val="none"/>
          <w:lang w:val="zh-CN"/>
        </w:rPr>
        <w:t>资格，</w:t>
      </w:r>
      <w:r>
        <w:rPr>
          <w:rFonts w:hint="eastAsia" w:ascii="宋体" w:hAnsi="宋体" w:eastAsia="宋体" w:cs="宋体"/>
          <w:color w:val="auto"/>
          <w:kern w:val="2"/>
          <w:sz w:val="21"/>
          <w:szCs w:val="21"/>
          <w:highlight w:val="none"/>
        </w:rPr>
        <w:t>并依法不予退还我方响应保证金或履约担保，</w:t>
      </w:r>
      <w:r>
        <w:rPr>
          <w:rFonts w:hint="eastAsia" w:ascii="宋体" w:hAnsi="宋体" w:eastAsia="宋体" w:cs="宋体"/>
          <w:color w:val="auto"/>
          <w:kern w:val="2"/>
          <w:sz w:val="21"/>
          <w:szCs w:val="21"/>
          <w:highlight w:val="none"/>
          <w:lang w:val="zh-CN"/>
        </w:rPr>
        <w:t>我方愿意接受违约</w:t>
      </w:r>
      <w:r>
        <w:rPr>
          <w:rFonts w:hint="eastAsia" w:ascii="宋体" w:hAnsi="宋体" w:eastAsia="宋体" w:cs="宋体"/>
          <w:color w:val="auto"/>
          <w:kern w:val="2"/>
          <w:sz w:val="21"/>
          <w:szCs w:val="21"/>
          <w:highlight w:val="none"/>
        </w:rPr>
        <w:t>处罚</w:t>
      </w:r>
      <w:r>
        <w:rPr>
          <w:rFonts w:hint="eastAsia" w:ascii="宋体" w:hAnsi="宋体" w:eastAsia="宋体" w:cs="宋体"/>
          <w:color w:val="auto"/>
          <w:kern w:val="2"/>
          <w:sz w:val="21"/>
          <w:szCs w:val="21"/>
          <w:highlight w:val="none"/>
          <w:lang w:val="zh-CN"/>
        </w:rPr>
        <w:t>；</w:t>
      </w:r>
    </w:p>
    <w:p w14:paraId="0EBA5EA2">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（十）若我方获得成交后，核查出响应文件内容前后不一致，我方愿按最高标准的承诺履约义务；</w:t>
      </w:r>
    </w:p>
    <w:p w14:paraId="7EFD3D84">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（十一）所有与本</w:t>
      </w:r>
      <w:r>
        <w:rPr>
          <w:rFonts w:hint="eastAsia" w:ascii="宋体" w:hAnsi="宋体" w:eastAsia="宋体" w:cs="宋体"/>
          <w:color w:val="auto"/>
          <w:kern w:val="2"/>
          <w:sz w:val="21"/>
          <w:szCs w:val="21"/>
          <w:highlight w:val="none"/>
        </w:rPr>
        <w:t>次竞争性谈判</w:t>
      </w:r>
      <w:r>
        <w:rPr>
          <w:rFonts w:hint="eastAsia" w:ascii="宋体" w:hAnsi="宋体" w:eastAsia="宋体" w:cs="宋体"/>
          <w:color w:val="auto"/>
          <w:kern w:val="2"/>
          <w:sz w:val="21"/>
          <w:szCs w:val="21"/>
          <w:highlight w:val="none"/>
          <w:lang w:val="zh-CN"/>
        </w:rPr>
        <w:t>有关的函件请发往下列地址：</w:t>
      </w:r>
    </w:p>
    <w:p w14:paraId="09FFC054">
      <w:pPr>
        <w:autoSpaceDE w:val="0"/>
        <w:autoSpaceDN w:val="0"/>
        <w:adjustRightInd w:val="0"/>
        <w:spacing w:line="360" w:lineRule="auto"/>
        <w:ind w:firstLine="840" w:firstLineChars="400"/>
        <w:jc w:val="both"/>
        <w:rPr>
          <w:rFonts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地  　址：　　　　　　　　　　　邮政编码：</w:t>
      </w:r>
      <w:r>
        <w:rPr>
          <w:rFonts w:hint="eastAsia" w:ascii="宋体" w:hAnsi="宋体" w:eastAsia="宋体" w:cs="宋体"/>
          <w:color w:val="auto"/>
          <w:kern w:val="2"/>
          <w:sz w:val="21"/>
          <w:szCs w:val="21"/>
          <w:highlight w:val="none"/>
          <w:u w:val="single"/>
          <w:lang w:val="zh-CN"/>
        </w:rPr>
        <w:t xml:space="preserve">　　　　　　　　　 　 </w:t>
      </w:r>
    </w:p>
    <w:p w14:paraId="79476AA4">
      <w:pPr>
        <w:autoSpaceDE w:val="0"/>
        <w:autoSpaceDN w:val="0"/>
        <w:adjustRightInd w:val="0"/>
        <w:spacing w:line="360" w:lineRule="auto"/>
        <w:ind w:firstLine="840" w:firstLineChars="400"/>
        <w:jc w:val="both"/>
        <w:rPr>
          <w:rFonts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电　　话：　　　　　　　　　　　传　　真：</w:t>
      </w:r>
      <w:r>
        <w:rPr>
          <w:rFonts w:hint="eastAsia" w:ascii="宋体" w:hAnsi="宋体" w:eastAsia="宋体" w:cs="宋体"/>
          <w:color w:val="auto"/>
          <w:kern w:val="2"/>
          <w:sz w:val="21"/>
          <w:szCs w:val="21"/>
          <w:highlight w:val="none"/>
          <w:u w:val="single"/>
          <w:lang w:val="zh-CN"/>
        </w:rPr>
        <w:t>　　　　　　　　　　　</w:t>
      </w:r>
    </w:p>
    <w:p w14:paraId="123AF753">
      <w:pPr>
        <w:autoSpaceDE w:val="0"/>
        <w:autoSpaceDN w:val="0"/>
        <w:adjustRightInd w:val="0"/>
        <w:spacing w:line="360" w:lineRule="auto"/>
        <w:ind w:firstLine="840" w:firstLineChars="4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网    站：                      电子邮箱：</w:t>
      </w:r>
      <w:r>
        <w:rPr>
          <w:rFonts w:hint="eastAsia" w:ascii="宋体" w:hAnsi="宋体" w:eastAsia="宋体" w:cs="宋体"/>
          <w:color w:val="auto"/>
          <w:kern w:val="2"/>
          <w:sz w:val="21"/>
          <w:szCs w:val="21"/>
          <w:highlight w:val="none"/>
          <w:u w:val="single"/>
          <w:lang w:val="zh-CN"/>
        </w:rPr>
        <w:t xml:space="preserve">                      </w:t>
      </w:r>
    </w:p>
    <w:p w14:paraId="7DB7E8CD">
      <w:pPr>
        <w:autoSpaceDE w:val="0"/>
        <w:autoSpaceDN w:val="0"/>
        <w:adjustRightInd w:val="0"/>
        <w:spacing w:line="360" w:lineRule="auto"/>
        <w:ind w:firstLine="840" w:firstLineChars="400"/>
        <w:jc w:val="both"/>
        <w:rPr>
          <w:rFonts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代表姓名：　　　　　　　　　　　职　　务：</w:t>
      </w:r>
      <w:r>
        <w:rPr>
          <w:rFonts w:hint="eastAsia" w:ascii="宋体" w:hAnsi="宋体" w:eastAsia="宋体" w:cs="宋体"/>
          <w:color w:val="auto"/>
          <w:kern w:val="2"/>
          <w:sz w:val="21"/>
          <w:szCs w:val="21"/>
          <w:highlight w:val="none"/>
          <w:u w:val="single"/>
          <w:lang w:val="zh-CN"/>
        </w:rPr>
        <w:t xml:space="preserve">　　　　　　　　　　 </w:t>
      </w:r>
    </w:p>
    <w:p w14:paraId="6F734D73">
      <w:pPr>
        <w:autoSpaceDE w:val="0"/>
        <w:autoSpaceDN w:val="0"/>
        <w:adjustRightInd w:val="0"/>
        <w:spacing w:line="360" w:lineRule="auto"/>
        <w:ind w:left="605" w:leftChars="88" w:hanging="420" w:hangingChars="200"/>
        <w:jc w:val="both"/>
        <w:rPr>
          <w:rFonts w:ascii="宋体" w:hAnsi="宋体" w:eastAsia="宋体" w:cs="宋体"/>
          <w:color w:val="auto"/>
          <w:kern w:val="2"/>
          <w:sz w:val="21"/>
          <w:szCs w:val="21"/>
          <w:highlight w:val="none"/>
          <w:u w:val="single"/>
          <w:lang w:val="zh-CN"/>
        </w:rPr>
      </w:pPr>
    </w:p>
    <w:p w14:paraId="55605E41">
      <w:pPr>
        <w:autoSpaceDE w:val="0"/>
        <w:autoSpaceDN w:val="0"/>
        <w:adjustRightInd w:val="0"/>
        <w:spacing w:line="360" w:lineRule="auto"/>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 xml:space="preserve">                       </w:t>
      </w:r>
    </w:p>
    <w:p w14:paraId="5ADDB5BF">
      <w:pPr>
        <w:autoSpaceDE w:val="0"/>
        <w:autoSpaceDN w:val="0"/>
        <w:adjustRightInd w:val="0"/>
        <w:spacing w:line="360" w:lineRule="auto"/>
        <w:ind w:right="17" w:firstLine="4935" w:firstLineChars="235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 </w:t>
      </w:r>
    </w:p>
    <w:p w14:paraId="676679B6">
      <w:pPr>
        <w:autoSpaceDE w:val="0"/>
        <w:autoSpaceDN w:val="0"/>
        <w:adjustRightInd w:val="0"/>
        <w:spacing w:line="360" w:lineRule="auto"/>
        <w:ind w:firstLine="5040" w:firstLineChars="2400"/>
        <w:jc w:val="both"/>
        <w:rPr>
          <w:rFonts w:ascii="宋体" w:hAnsi="宋体" w:eastAsia="宋体" w:cs="宋体"/>
          <w:color w:val="auto"/>
          <w:kern w:val="2"/>
          <w:sz w:val="21"/>
          <w:szCs w:val="24"/>
          <w:highlight w:val="none"/>
          <w:u w:val="single"/>
        </w:rPr>
      </w:pPr>
      <w:r>
        <w:rPr>
          <w:rFonts w:hint="eastAsia" w:ascii="宋体" w:hAnsi="宋体" w:eastAsia="宋体" w:cs="宋体"/>
          <w:color w:val="auto"/>
          <w:kern w:val="2"/>
          <w:sz w:val="21"/>
          <w:szCs w:val="24"/>
          <w:highlight w:val="none"/>
          <w:lang w:val="zh-CN"/>
        </w:rPr>
        <w:t>供应商：（加盖供应商法人公章）</w:t>
      </w:r>
    </w:p>
    <w:p w14:paraId="2C1488CC">
      <w:pPr>
        <w:autoSpaceDE w:val="0"/>
        <w:autoSpaceDN w:val="0"/>
        <w:adjustRightInd w:val="0"/>
        <w:spacing w:line="360" w:lineRule="auto"/>
        <w:ind w:firstLine="5040" w:firstLineChars="240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 xml:space="preserve">法定代表人或其授权代表签名（或盖私章）：    </w:t>
      </w:r>
    </w:p>
    <w:p w14:paraId="42994E4E">
      <w:pPr>
        <w:autoSpaceDE w:val="0"/>
        <w:autoSpaceDN w:val="0"/>
        <w:adjustRightInd w:val="0"/>
        <w:spacing w:line="360" w:lineRule="auto"/>
        <w:ind w:firstLine="5040" w:firstLineChars="2400"/>
        <w:jc w:val="both"/>
        <w:rPr>
          <w:rFonts w:ascii="宋体" w:hAnsi="宋体" w:eastAsia="宋体" w:cs="宋体"/>
          <w:color w:val="auto"/>
          <w:kern w:val="2"/>
          <w:sz w:val="24"/>
          <w:szCs w:val="24"/>
          <w:highlight w:val="none"/>
          <w:lang w:val="zh-CN"/>
        </w:rPr>
      </w:pPr>
      <w:r>
        <w:rPr>
          <w:rFonts w:hint="eastAsia" w:ascii="宋体" w:hAnsi="宋体" w:eastAsia="宋体" w:cs="宋体"/>
          <w:color w:val="auto"/>
          <w:kern w:val="2"/>
          <w:sz w:val="21"/>
          <w:szCs w:val="24"/>
          <w:highlight w:val="none"/>
          <w:lang w:val="zh-CN"/>
        </w:rPr>
        <w:t>日</w:t>
      </w:r>
      <w:r>
        <w:rPr>
          <w:rFonts w:hint="eastAsia" w:ascii="宋体" w:hAnsi="宋体" w:eastAsia="宋体" w:cs="宋体"/>
          <w:color w:val="auto"/>
          <w:kern w:val="2"/>
          <w:sz w:val="21"/>
          <w:szCs w:val="24"/>
          <w:highlight w:val="none"/>
        </w:rPr>
        <w:t xml:space="preserve">  </w:t>
      </w:r>
      <w:r>
        <w:rPr>
          <w:rFonts w:hint="eastAsia" w:ascii="宋体" w:hAnsi="宋体" w:eastAsia="宋体" w:cs="宋体"/>
          <w:color w:val="auto"/>
          <w:kern w:val="2"/>
          <w:sz w:val="21"/>
          <w:szCs w:val="24"/>
          <w:highlight w:val="none"/>
          <w:lang w:val="zh-CN"/>
        </w:rPr>
        <w:t>期：</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lang w:val="zh-CN"/>
        </w:rPr>
        <w:t>年</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lang w:val="zh-CN"/>
        </w:rPr>
        <w:t>月</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lang w:val="zh-CN"/>
        </w:rPr>
        <w:t xml:space="preserve">日 </w:t>
      </w:r>
    </w:p>
    <w:p w14:paraId="1809107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286" w:name="_Toc14946"/>
      <w:bookmarkStart w:id="287" w:name="_Toc104991869"/>
      <w:bookmarkStart w:id="288" w:name="_Toc102860412"/>
      <w:bookmarkStart w:id="289" w:name="_Toc1977722"/>
      <w:bookmarkStart w:id="290" w:name="_Toc29210"/>
      <w:bookmarkStart w:id="291" w:name="_Toc94107203"/>
      <w:bookmarkStart w:id="292" w:name="_Toc28613_WPSOffice_Level2"/>
      <w:bookmarkStart w:id="293" w:name="_Toc160099507"/>
      <w:bookmarkStart w:id="294" w:name="_Toc140596922"/>
      <w:bookmarkStart w:id="295" w:name="_Toc24789"/>
      <w:bookmarkStart w:id="296" w:name="_Toc486167710"/>
      <w:bookmarkStart w:id="297" w:name="_Toc533708122"/>
      <w:bookmarkStart w:id="298" w:name="_Toc102860068"/>
      <w:r>
        <w:rPr>
          <w:rFonts w:hint="eastAsia" w:ascii="宋体" w:hAnsi="宋体" w:eastAsia="宋体" w:cs="宋体"/>
          <w:b/>
          <w:color w:val="auto"/>
          <w:kern w:val="0"/>
          <w:sz w:val="32"/>
          <w:szCs w:val="32"/>
          <w:highlight w:val="none"/>
        </w:rPr>
        <w:t>二、</w:t>
      </w:r>
      <w:r>
        <w:rPr>
          <w:rFonts w:hint="eastAsia" w:ascii="宋体" w:hAnsi="宋体" w:eastAsia="宋体" w:cs="宋体"/>
          <w:b/>
          <w:color w:val="auto"/>
          <w:kern w:val="0"/>
          <w:sz w:val="32"/>
          <w:szCs w:val="32"/>
          <w:highlight w:val="none"/>
          <w:lang w:eastAsia="zh-CN"/>
        </w:rPr>
        <w:t>响应</w:t>
      </w:r>
      <w:r>
        <w:rPr>
          <w:rFonts w:hint="eastAsia" w:ascii="宋体" w:hAnsi="宋体" w:eastAsia="宋体" w:cs="宋体"/>
          <w:b/>
          <w:color w:val="auto"/>
          <w:kern w:val="0"/>
          <w:sz w:val="32"/>
          <w:szCs w:val="32"/>
          <w:highlight w:val="none"/>
        </w:rPr>
        <w:t>承诺书格式</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18C905D0">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响应承诺书</w:t>
      </w:r>
    </w:p>
    <w:p w14:paraId="5B336645">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1A57954">
      <w:pPr>
        <w:widowControl/>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（响应供应商名称）已完整阅读了</w:t>
      </w:r>
      <w:r>
        <w:rPr>
          <w:rFonts w:hint="eastAsia" w:ascii="宋体" w:hAnsi="宋体" w:eastAsia="宋体" w:cs="Times New Roman"/>
          <w:color w:val="auto"/>
          <w:kern w:val="0"/>
          <w:szCs w:val="21"/>
          <w:highlight w:val="none"/>
          <w:u w:val="single"/>
          <w:lang w:eastAsia="zh-CN"/>
        </w:rPr>
        <w:t>东莞市大朗蔡边水质净化厂工程第三方检测（不含基桩完整性检测）</w:t>
      </w:r>
      <w:r>
        <w:rPr>
          <w:rFonts w:hint="eastAsia" w:ascii="宋体" w:hAnsi="宋体" w:eastAsia="宋体" w:cs="Times New Roman"/>
          <w:color w:val="auto"/>
          <w:kern w:val="0"/>
          <w:szCs w:val="21"/>
          <w:highlight w:val="none"/>
        </w:rPr>
        <w:t>（采购编号：</w:t>
      </w:r>
      <w:r>
        <w:rPr>
          <w:rFonts w:hint="eastAsia" w:ascii="宋体" w:hAnsi="宋体" w:eastAsia="宋体" w:cs="Times New Roman"/>
          <w:color w:val="auto"/>
          <w:kern w:val="0"/>
          <w:szCs w:val="21"/>
          <w:highlight w:val="none"/>
          <w:lang w:eastAsia="zh-CN"/>
        </w:rPr>
        <w:t>0832-SFCX25DG109C</w:t>
      </w:r>
      <w:r>
        <w:rPr>
          <w:rFonts w:hint="eastAsia" w:ascii="宋体" w:hAnsi="宋体" w:eastAsia="宋体" w:cs="Times New Roman"/>
          <w:color w:val="auto"/>
          <w:kern w:val="0"/>
          <w:szCs w:val="21"/>
          <w:highlight w:val="none"/>
        </w:rPr>
        <w:t>）谈判文件的所有内容（包括澄清，以及所有已提供的参考资料和有关附件），并完全理解上述文件所表达的意思，该项目递交响应文件时间截止后，我方承诺不再对上述文件内容进行询问或质疑。</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承诺，若我方存在通过弄虚作假、虚假响应竞争性谈判文件要求等手段骗取成交的，采购人有权或协助主管部门认定我方严重失信的不良行为，纳入相关企业信用“黑名单”，限制我方参与依法必须招标项目的投标，并向行政主管部门报送结果。同时，采购人有权根据《关于对环境保护领域失信生产经营单位及其有关人员开展联合惩戒的合作备忘录》等规定，通过“信用中国”网站向社会公示我方的失信行为，实现“一处失信、处处受限”。</w:t>
      </w:r>
    </w:p>
    <w:p w14:paraId="620FBDE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若我方在谈判或履行本合同过程中存在提供虚假材料、虚假响应竞争性谈判文件要求等弄虚作假行为，或未能根据竞争性谈判文件谈判须知第29.2款约定按时提供原件核查的，因此导致我方无法参与</w:t>
      </w:r>
      <w:r>
        <w:rPr>
          <w:rFonts w:hint="eastAsia" w:ascii="宋体" w:hAnsi="宋体" w:eastAsia="宋体" w:cs="Times New Roman"/>
          <w:color w:val="auto"/>
          <w:kern w:val="0"/>
          <w:szCs w:val="21"/>
          <w:highlight w:val="none"/>
          <w:lang w:eastAsia="zh-CN"/>
        </w:rPr>
        <w:t>东莞市水务环境投资控股集团有限公司</w:t>
      </w:r>
      <w:r>
        <w:rPr>
          <w:rFonts w:hint="eastAsia" w:ascii="宋体" w:hAnsi="宋体" w:eastAsia="宋体" w:cs="Times New Roman"/>
          <w:color w:val="auto"/>
          <w:kern w:val="0"/>
          <w:szCs w:val="21"/>
          <w:highlight w:val="none"/>
        </w:rPr>
        <w:t>相关采购活动的，由我方自行承担全部后果</w:t>
      </w:r>
      <w:r>
        <w:rPr>
          <w:rFonts w:hint="eastAsia" w:ascii="宋体" w:hAnsi="宋体" w:eastAsia="宋体" w:cs="宋体"/>
          <w:color w:val="auto"/>
          <w:kern w:val="0"/>
          <w:szCs w:val="21"/>
          <w:highlight w:val="none"/>
        </w:rPr>
        <w:t>。</w:t>
      </w:r>
    </w:p>
    <w:p w14:paraId="40CFEC3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F218A6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0593C59">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353C75A8">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响应供应商：（加盖响应供应商法人公章）</w:t>
      </w:r>
    </w:p>
    <w:p w14:paraId="25B8B4D0">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6D8D4F8A">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37BD53A4">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1D8BD26A">
      <w:pPr>
        <w:autoSpaceDE w:val="0"/>
        <w:autoSpaceDN w:val="0"/>
        <w:adjustRightInd w:val="0"/>
        <w:spacing w:line="360" w:lineRule="auto"/>
        <w:jc w:val="left"/>
        <w:rPr>
          <w:rFonts w:ascii="宋体" w:hAnsi="宋体" w:eastAsia="宋体" w:cs="宋体"/>
          <w:color w:val="auto"/>
          <w:kern w:val="0"/>
          <w:sz w:val="24"/>
          <w:szCs w:val="24"/>
          <w:highlight w:val="none"/>
        </w:rPr>
      </w:pPr>
    </w:p>
    <w:p w14:paraId="47E33799">
      <w:pPr>
        <w:autoSpaceDE w:val="0"/>
        <w:autoSpaceDN w:val="0"/>
        <w:adjustRightInd w:val="0"/>
        <w:spacing w:line="360" w:lineRule="auto"/>
        <w:jc w:val="left"/>
        <w:rPr>
          <w:rFonts w:ascii="宋体" w:hAnsi="宋体" w:eastAsia="宋体" w:cs="宋体"/>
          <w:color w:val="auto"/>
          <w:kern w:val="0"/>
          <w:sz w:val="24"/>
          <w:szCs w:val="24"/>
          <w:highlight w:val="none"/>
        </w:rPr>
      </w:pPr>
      <w:bookmarkStart w:id="299" w:name="_Toc311032584"/>
      <w:bookmarkStart w:id="300" w:name="_Toc316896755"/>
      <w:bookmarkStart w:id="301" w:name="_Toc326768876"/>
    </w:p>
    <w:p w14:paraId="34BEDEE5">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302" w:name="_Toc1977723"/>
      <w:bookmarkStart w:id="303" w:name="_Toc94107206"/>
      <w:bookmarkStart w:id="304" w:name="_Toc160099509"/>
      <w:bookmarkStart w:id="305" w:name="_Toc104991872"/>
      <w:bookmarkStart w:id="306" w:name="_Toc140596925"/>
      <w:bookmarkStart w:id="307" w:name="_Toc31118"/>
      <w:bookmarkStart w:id="308" w:name="_Toc22534"/>
      <w:bookmarkStart w:id="309" w:name="_Toc533708123"/>
      <w:bookmarkStart w:id="310" w:name="_Toc102860071"/>
      <w:bookmarkStart w:id="311" w:name="_Toc486167711"/>
      <w:bookmarkStart w:id="312" w:name="_Toc30281"/>
      <w:bookmarkStart w:id="313" w:name="_Toc7024_WPSOffice_Level2"/>
      <w:bookmarkStart w:id="314" w:name="_Toc102860415"/>
      <w:r>
        <w:rPr>
          <w:rFonts w:hint="eastAsia" w:ascii="宋体" w:hAnsi="宋体" w:eastAsia="宋体" w:cs="宋体"/>
          <w:b/>
          <w:color w:val="auto"/>
          <w:kern w:val="44"/>
          <w:sz w:val="32"/>
          <w:szCs w:val="32"/>
          <w:highlight w:val="none"/>
          <w:lang w:eastAsia="zh-CN"/>
        </w:rPr>
        <w:t>三</w:t>
      </w:r>
      <w:r>
        <w:rPr>
          <w:rFonts w:hint="eastAsia" w:ascii="宋体" w:hAnsi="宋体" w:eastAsia="宋体" w:cs="宋体"/>
          <w:b/>
          <w:color w:val="auto"/>
          <w:kern w:val="0"/>
          <w:sz w:val="32"/>
          <w:szCs w:val="32"/>
          <w:highlight w:val="none"/>
        </w:rPr>
        <w:t>、首轮报价表格式</w:t>
      </w:r>
      <w:bookmarkEnd w:id="302"/>
      <w:bookmarkEnd w:id="303"/>
      <w:bookmarkEnd w:id="304"/>
      <w:bookmarkEnd w:id="305"/>
      <w:bookmarkEnd w:id="306"/>
      <w:bookmarkEnd w:id="307"/>
      <w:bookmarkEnd w:id="308"/>
      <w:bookmarkEnd w:id="309"/>
      <w:bookmarkEnd w:id="310"/>
      <w:bookmarkEnd w:id="311"/>
      <w:bookmarkEnd w:id="312"/>
      <w:bookmarkEnd w:id="313"/>
      <w:bookmarkEnd w:id="314"/>
    </w:p>
    <w:p w14:paraId="79404924">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315" w:name="_Toc140596926"/>
      <w:bookmarkStart w:id="316" w:name="_Toc160099510"/>
      <w:bookmarkStart w:id="317" w:name="_Toc2395_WPSOffice_Level3"/>
      <w:bookmarkStart w:id="318" w:name="_Toc9473"/>
      <w:bookmarkStart w:id="319" w:name="_Toc102860416"/>
      <w:bookmarkStart w:id="320" w:name="_Toc28725"/>
      <w:bookmarkStart w:id="321" w:name="_Toc94107207"/>
      <w:bookmarkStart w:id="322" w:name="_Toc5769"/>
      <w:bookmarkStart w:id="323" w:name="_Toc104991873"/>
      <w:bookmarkStart w:id="324" w:name="_Toc102860072"/>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首轮</w:t>
      </w:r>
      <w:r>
        <w:rPr>
          <w:rFonts w:hint="eastAsia" w:ascii="宋体" w:hAnsi="宋体" w:eastAsia="宋体" w:cs="宋体"/>
          <w:b/>
          <w:color w:val="auto"/>
          <w:kern w:val="0"/>
          <w:sz w:val="30"/>
          <w:szCs w:val="30"/>
          <w:highlight w:val="none"/>
          <w:lang w:val="en-US" w:eastAsia="zh-CN"/>
        </w:rPr>
        <w:t>响应</w:t>
      </w:r>
      <w:r>
        <w:rPr>
          <w:rFonts w:hint="eastAsia" w:ascii="宋体" w:hAnsi="宋体" w:eastAsia="宋体" w:cs="宋体"/>
          <w:b/>
          <w:color w:val="auto"/>
          <w:kern w:val="0"/>
          <w:sz w:val="30"/>
          <w:szCs w:val="30"/>
          <w:highlight w:val="none"/>
        </w:rPr>
        <w:t>报价表</w:t>
      </w:r>
      <w:bookmarkEnd w:id="315"/>
      <w:bookmarkEnd w:id="316"/>
      <w:bookmarkEnd w:id="317"/>
      <w:bookmarkEnd w:id="318"/>
      <w:bookmarkEnd w:id="319"/>
      <w:bookmarkEnd w:id="320"/>
      <w:bookmarkEnd w:id="321"/>
      <w:bookmarkEnd w:id="322"/>
      <w:bookmarkEnd w:id="323"/>
      <w:bookmarkEnd w:id="324"/>
    </w:p>
    <w:p w14:paraId="21186497">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首轮</w:t>
      </w:r>
      <w:r>
        <w:rPr>
          <w:rFonts w:hint="eastAsia" w:ascii="宋体" w:hAnsi="宋体" w:eastAsia="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lang w:val="zh-CN"/>
        </w:rPr>
        <w:t>报价表</w:t>
      </w:r>
    </w:p>
    <w:p w14:paraId="30C032F7">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东莞市大朗蔡边水质净化厂工程第三方检测（不含基桩完整性检测）</w:t>
      </w:r>
    </w:p>
    <w:p w14:paraId="09728A2C">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采购编号：</w:t>
      </w:r>
      <w:r>
        <w:rPr>
          <w:rFonts w:hint="eastAsia" w:ascii="宋体" w:hAnsi="宋体" w:eastAsia="宋体" w:cs="宋体"/>
          <w:color w:val="auto"/>
          <w:kern w:val="0"/>
          <w:szCs w:val="21"/>
          <w:highlight w:val="none"/>
          <w:u w:val="single"/>
          <w:lang w:eastAsia="zh-CN"/>
        </w:rPr>
        <w:t>0832-SFCX25DG109C</w:t>
      </w:r>
    </w:p>
    <w:tbl>
      <w:tblPr>
        <w:tblStyle w:val="45"/>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12"/>
        <w:gridCol w:w="3248"/>
        <w:gridCol w:w="4403"/>
        <w:gridCol w:w="1271"/>
      </w:tblGrid>
      <w:tr w14:paraId="01DE1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54" w:type="pct"/>
            <w:tcBorders>
              <w:top w:val="single" w:color="auto" w:sz="4" w:space="0"/>
              <w:left w:val="single" w:color="auto" w:sz="4" w:space="0"/>
              <w:bottom w:val="single" w:color="auto" w:sz="4" w:space="0"/>
              <w:right w:val="single" w:color="auto" w:sz="4" w:space="0"/>
            </w:tcBorders>
            <w:vAlign w:val="center"/>
          </w:tcPr>
          <w:p w14:paraId="2D72FAB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618" w:type="pct"/>
            <w:tcBorders>
              <w:top w:val="single" w:color="auto" w:sz="4" w:space="0"/>
              <w:left w:val="single" w:color="auto" w:sz="4" w:space="0"/>
              <w:bottom w:val="single" w:color="auto" w:sz="4" w:space="0"/>
              <w:right w:val="single" w:color="auto" w:sz="4" w:space="0"/>
            </w:tcBorders>
            <w:vAlign w:val="center"/>
          </w:tcPr>
          <w:p w14:paraId="4AD0734D">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2193" w:type="pct"/>
            <w:tcBorders>
              <w:top w:val="single" w:color="auto" w:sz="4" w:space="0"/>
              <w:left w:val="single" w:color="auto" w:sz="4" w:space="0"/>
              <w:bottom w:val="single" w:color="auto" w:sz="4" w:space="0"/>
              <w:right w:val="single" w:color="auto" w:sz="4" w:space="0"/>
            </w:tcBorders>
            <w:vAlign w:val="center"/>
          </w:tcPr>
          <w:p w14:paraId="3D8D34F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响应</w:t>
            </w:r>
            <w:r>
              <w:rPr>
                <w:rFonts w:hint="eastAsia" w:ascii="宋体" w:hAnsi="宋体" w:eastAsia="宋体" w:cs="Times New Roman"/>
                <w:b/>
                <w:color w:val="auto"/>
                <w:kern w:val="0"/>
                <w:szCs w:val="21"/>
                <w:highlight w:val="none"/>
              </w:rPr>
              <w:t>报价（检测服务系数）</w:t>
            </w:r>
          </w:p>
        </w:tc>
        <w:tc>
          <w:tcPr>
            <w:tcW w:w="633" w:type="pct"/>
            <w:tcBorders>
              <w:top w:val="single" w:color="auto" w:sz="4" w:space="0"/>
              <w:left w:val="single" w:color="auto" w:sz="4" w:space="0"/>
              <w:bottom w:val="single" w:color="auto" w:sz="4" w:space="0"/>
              <w:right w:val="single" w:color="auto" w:sz="4" w:space="0"/>
            </w:tcBorders>
            <w:vAlign w:val="center"/>
          </w:tcPr>
          <w:p w14:paraId="172D87FB">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093FB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54" w:type="pct"/>
            <w:tcBorders>
              <w:top w:val="single" w:color="auto" w:sz="4" w:space="0"/>
              <w:left w:val="single" w:color="auto" w:sz="4" w:space="0"/>
              <w:right w:val="single" w:color="auto" w:sz="4" w:space="0"/>
            </w:tcBorders>
            <w:vAlign w:val="center"/>
          </w:tcPr>
          <w:p w14:paraId="5820787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618" w:type="pct"/>
            <w:tcBorders>
              <w:top w:val="single" w:color="auto" w:sz="4" w:space="0"/>
              <w:left w:val="single" w:color="auto" w:sz="4" w:space="0"/>
              <w:right w:val="single" w:color="auto" w:sz="4" w:space="0"/>
            </w:tcBorders>
            <w:vAlign w:val="center"/>
          </w:tcPr>
          <w:p w14:paraId="295521DB">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东莞市大朗蔡边水质净化厂工程第三方检测（不含基桩完整性检测）</w:t>
            </w:r>
          </w:p>
        </w:tc>
        <w:tc>
          <w:tcPr>
            <w:tcW w:w="2193" w:type="pct"/>
            <w:tcBorders>
              <w:top w:val="single" w:color="auto" w:sz="4" w:space="0"/>
              <w:left w:val="single" w:color="auto" w:sz="4" w:space="0"/>
              <w:right w:val="single" w:color="auto" w:sz="4" w:space="0"/>
            </w:tcBorders>
            <w:vAlign w:val="center"/>
          </w:tcPr>
          <w:p w14:paraId="30761CBE">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auto"/>
                <w:kern w:val="0"/>
                <w:szCs w:val="21"/>
                <w:highlight w:val="none"/>
              </w:rPr>
            </w:pPr>
          </w:p>
        </w:tc>
        <w:tc>
          <w:tcPr>
            <w:tcW w:w="633" w:type="pct"/>
            <w:tcBorders>
              <w:top w:val="single" w:color="auto" w:sz="4" w:space="0"/>
              <w:left w:val="single" w:color="auto" w:sz="4" w:space="0"/>
              <w:right w:val="single" w:color="auto" w:sz="4" w:space="0"/>
            </w:tcBorders>
            <w:vAlign w:val="center"/>
          </w:tcPr>
          <w:p w14:paraId="40F742DC">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3C051AA1">
      <w:pPr>
        <w:rPr>
          <w:rFonts w:ascii="宋体" w:hAnsi="宋体" w:eastAsia="宋体" w:cs="宋体"/>
          <w:color w:val="auto"/>
          <w:kern w:val="0"/>
          <w:sz w:val="20"/>
          <w:szCs w:val="21"/>
          <w:highlight w:val="none"/>
        </w:rPr>
      </w:pPr>
    </w:p>
    <w:p w14:paraId="4A090F29">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24F528F">
      <w:pPr>
        <w:autoSpaceDE w:val="0"/>
        <w:autoSpaceDN w:val="0"/>
        <w:adjustRightInd w:val="0"/>
        <w:snapToGrid w:val="0"/>
        <w:spacing w:line="360" w:lineRule="auto"/>
        <w:ind w:left="605" w:leftChars="18" w:hanging="567" w:hangingChars="270"/>
        <w:jc w:val="left"/>
        <w:rPr>
          <w:rFonts w:hint="eastAsia" w:ascii="宋体" w:hAnsi="宋体" w:eastAsia="宋体" w:cs="Times New Roman"/>
          <w:b/>
          <w:color w:val="auto"/>
          <w:kern w:val="0"/>
          <w:szCs w:val="21"/>
          <w:highlight w:val="none"/>
          <w:u w:val="single"/>
        </w:rPr>
      </w:pPr>
      <w:r>
        <w:rPr>
          <w:rFonts w:hint="eastAsia" w:ascii="宋体" w:hAnsi="宋体" w:eastAsia="宋体" w:cs="Times New Roman"/>
          <w:color w:val="auto"/>
          <w:kern w:val="0"/>
          <w:szCs w:val="21"/>
          <w:highlight w:val="none"/>
        </w:rPr>
        <w:t>（1）</w:t>
      </w:r>
      <w:r>
        <w:rPr>
          <w:rFonts w:hint="eastAsia" w:ascii="宋体" w:hAnsi="宋体" w:eastAsia="宋体" w:cs="Times New Roman"/>
          <w:b/>
          <w:bCs/>
          <w:color w:val="auto"/>
          <w:szCs w:val="21"/>
          <w:highlight w:val="none"/>
          <w:u w:val="single"/>
          <w:lang w:val="en-US" w:eastAsia="zh-CN"/>
        </w:rPr>
        <w:t>本项目报价方式</w:t>
      </w:r>
      <w:r>
        <w:rPr>
          <w:rFonts w:hint="eastAsia" w:ascii="宋体" w:hAnsi="宋体" w:eastAsia="宋体" w:cs="Times New Roman"/>
          <w:b/>
          <w:bCs/>
          <w:color w:val="auto"/>
          <w:szCs w:val="21"/>
          <w:highlight w:val="none"/>
          <w:u w:val="single"/>
        </w:rPr>
        <w:t>为检测服务系数</w:t>
      </w:r>
      <w:r>
        <w:rPr>
          <w:rFonts w:hint="eastAsia" w:ascii="宋体" w:hAnsi="宋体" w:eastAsia="宋体" w:cs="Times New Roman"/>
          <w:b/>
          <w:color w:val="auto"/>
          <w:kern w:val="0"/>
          <w:szCs w:val="21"/>
          <w:highlight w:val="none"/>
          <w:u w:val="single"/>
        </w:rPr>
        <w:t>，报价人填报的检测服务系数≤0.80（保留小数点后2位），且不能为0.00或负数，否则将视为无效</w:t>
      </w:r>
      <w:r>
        <w:rPr>
          <w:rFonts w:hint="eastAsia" w:ascii="宋体" w:hAnsi="宋体" w:eastAsia="宋体" w:cs="Times New Roman"/>
          <w:b/>
          <w:color w:val="auto"/>
          <w:kern w:val="0"/>
          <w:szCs w:val="21"/>
          <w:highlight w:val="none"/>
          <w:u w:val="single"/>
          <w:lang w:val="en-US" w:eastAsia="zh-CN"/>
        </w:rPr>
        <w:t>响应</w:t>
      </w:r>
      <w:r>
        <w:rPr>
          <w:rFonts w:hint="eastAsia" w:ascii="宋体" w:hAnsi="宋体" w:eastAsia="宋体" w:cs="Times New Roman"/>
          <w:b/>
          <w:color w:val="auto"/>
          <w:kern w:val="0"/>
          <w:szCs w:val="21"/>
          <w:highlight w:val="none"/>
          <w:u w:val="single"/>
        </w:rPr>
        <w:t>。</w:t>
      </w:r>
    </w:p>
    <w:p w14:paraId="5F922D4D">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）响应供应商的响应报价高于响应最高限价的，该响应供应商的响应文件将被视为无效响应</w:t>
      </w:r>
      <w:r>
        <w:rPr>
          <w:rFonts w:hint="eastAsia" w:ascii="宋体" w:hAnsi="宋体" w:eastAsia="宋体" w:cs="Times New Roman"/>
          <w:b/>
          <w:bCs/>
          <w:color w:val="auto"/>
          <w:kern w:val="0"/>
          <w:szCs w:val="21"/>
          <w:highlight w:val="none"/>
          <w:lang w:val="en-US" w:eastAsia="zh-CN"/>
        </w:rPr>
        <w:t>文件</w:t>
      </w:r>
      <w:r>
        <w:rPr>
          <w:rFonts w:hint="eastAsia" w:ascii="宋体" w:hAnsi="宋体" w:eastAsia="宋体" w:cs="Times New Roman"/>
          <w:b/>
          <w:bCs/>
          <w:color w:val="auto"/>
          <w:kern w:val="0"/>
          <w:szCs w:val="21"/>
          <w:highlight w:val="none"/>
        </w:rPr>
        <w:t>。</w:t>
      </w:r>
    </w:p>
    <w:p w14:paraId="13C5AF0D">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）对不同文字文本</w:t>
      </w:r>
      <w:r>
        <w:rPr>
          <w:rFonts w:hint="eastAsia" w:ascii="宋体" w:hAnsi="宋体" w:eastAsia="宋体" w:cs="Times New Roman"/>
          <w:color w:val="auto"/>
          <w:kern w:val="0"/>
          <w:szCs w:val="21"/>
          <w:highlight w:val="none"/>
          <w:lang w:val="en-US" w:eastAsia="zh-CN"/>
        </w:rPr>
        <w:t>谈判</w:t>
      </w:r>
      <w:r>
        <w:rPr>
          <w:rFonts w:hint="eastAsia" w:ascii="宋体" w:hAnsi="宋体" w:eastAsia="宋体" w:cs="Times New Roman"/>
          <w:color w:val="auto"/>
          <w:kern w:val="0"/>
          <w:szCs w:val="21"/>
          <w:highlight w:val="none"/>
        </w:rPr>
        <w:t>文件的解释发生异议的，以中文文本为准。</w:t>
      </w:r>
    </w:p>
    <w:p w14:paraId="0772DF93">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本表一式二份，一份随首次报价信封一起提交，一份编入响应文件</w:t>
      </w:r>
      <w:r>
        <w:rPr>
          <w:rFonts w:hint="eastAsia" w:ascii="宋体" w:hAnsi="宋体" w:eastAsia="宋体" w:cs="Times New Roman"/>
          <w:b/>
          <w:bCs/>
          <w:color w:val="auto"/>
          <w:kern w:val="0"/>
          <w:szCs w:val="21"/>
          <w:highlight w:val="none"/>
          <w:lang w:val="zh-CN"/>
        </w:rPr>
        <w:t>。</w:t>
      </w:r>
    </w:p>
    <w:p w14:paraId="44FD89E4">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）报价保留小数点后两位。</w:t>
      </w:r>
    </w:p>
    <w:p w14:paraId="3DE1ADC6">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330C3F44">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7F494156">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响应供应商：（</w:t>
      </w:r>
      <w:r>
        <w:rPr>
          <w:rFonts w:hint="eastAsia" w:ascii="宋体" w:hAnsi="宋体" w:eastAsia="宋体" w:cs="宋体"/>
          <w:color w:val="auto"/>
          <w:szCs w:val="24"/>
          <w:highlight w:val="none"/>
          <w:lang w:val="zh-CN"/>
        </w:rPr>
        <w:t>加盖响应供应商法人公章</w:t>
      </w:r>
      <w:r>
        <w:rPr>
          <w:rFonts w:hint="eastAsia" w:ascii="宋体" w:hAnsi="宋体" w:eastAsia="宋体" w:cs="宋体"/>
          <w:color w:val="auto"/>
          <w:szCs w:val="21"/>
          <w:highlight w:val="none"/>
          <w:lang w:val="zh-CN"/>
        </w:rPr>
        <w:t>）</w:t>
      </w:r>
    </w:p>
    <w:p w14:paraId="54DE932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A767E86">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C7DEACD">
      <w:pPr>
        <w:autoSpaceDE/>
        <w:autoSpaceDN/>
        <w:adjustRightInd/>
        <w:spacing w:line="240" w:lineRule="auto"/>
        <w:ind w:left="0" w:firstLine="0" w:firstLineChars="0"/>
        <w:jc w:val="left"/>
        <w:outlineLvl w:val="9"/>
        <w:rPr>
          <w:rFonts w:ascii="宋体" w:hAnsi="宋体" w:eastAsia="宋体" w:cs="Times New Roman"/>
          <w:color w:val="auto"/>
          <w:sz w:val="24"/>
          <w:szCs w:val="24"/>
          <w:highlight w:val="none"/>
          <w:lang w:val="zh-CN"/>
        </w:rPr>
      </w:pPr>
      <w:r>
        <w:rPr>
          <w:rFonts w:ascii="宋体" w:hAnsi="宋体" w:eastAsia="宋体" w:cs="Times New Roman"/>
          <w:color w:val="auto"/>
          <w:szCs w:val="24"/>
          <w:highlight w:val="none"/>
          <w:lang w:val="zh-CN"/>
        </w:rPr>
        <w:br w:type="page"/>
      </w:r>
      <w:bookmarkStart w:id="325" w:name="_Toc102860074"/>
      <w:bookmarkStart w:id="326" w:name="_Toc140596928"/>
      <w:bookmarkStart w:id="327" w:name="_Toc1977725"/>
      <w:bookmarkStart w:id="328" w:name="_Toc102860418"/>
      <w:bookmarkStart w:id="329" w:name="_Toc160099511"/>
      <w:bookmarkStart w:id="330" w:name="_Toc27299"/>
      <w:bookmarkStart w:id="331" w:name="_Toc104991875"/>
      <w:bookmarkStart w:id="332" w:name="_Toc20202"/>
      <w:bookmarkStart w:id="333" w:name="_Toc10079"/>
      <w:bookmarkStart w:id="334" w:name="_Toc94107209"/>
      <w:bookmarkStart w:id="335" w:name="_Toc20759_WPSOffice_Level2"/>
      <w:bookmarkStart w:id="336" w:name="_Toc486167712"/>
      <w:bookmarkStart w:id="337" w:name="_Toc533708124"/>
      <w:r>
        <w:rPr>
          <w:rFonts w:hint="eastAsia" w:ascii="宋体" w:hAnsi="宋体" w:eastAsia="宋体" w:cs="宋体"/>
          <w:b/>
          <w:bCs/>
          <w:color w:val="auto"/>
          <w:sz w:val="30"/>
          <w:szCs w:val="30"/>
          <w:highlight w:val="none"/>
          <w:lang w:val="zh-CN"/>
        </w:rPr>
        <w:t>四</w:t>
      </w:r>
      <w:r>
        <w:rPr>
          <w:rFonts w:hint="eastAsia" w:ascii="宋体" w:hAnsi="宋体" w:eastAsia="宋体" w:cs="宋体"/>
          <w:b/>
          <w:color w:val="auto"/>
          <w:kern w:val="0"/>
          <w:sz w:val="32"/>
          <w:szCs w:val="32"/>
          <w:highlight w:val="none"/>
        </w:rPr>
        <w:t>、响应供应商资格证明文件</w:t>
      </w:r>
      <w:bookmarkEnd w:id="325"/>
      <w:bookmarkEnd w:id="326"/>
      <w:bookmarkEnd w:id="327"/>
      <w:bookmarkEnd w:id="328"/>
      <w:bookmarkEnd w:id="329"/>
      <w:bookmarkEnd w:id="330"/>
      <w:bookmarkEnd w:id="331"/>
      <w:bookmarkEnd w:id="332"/>
      <w:bookmarkEnd w:id="333"/>
      <w:bookmarkEnd w:id="334"/>
    </w:p>
    <w:p w14:paraId="40390503">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338" w:name="_Toc102860075"/>
      <w:bookmarkStart w:id="339" w:name="_Toc102860419"/>
      <w:bookmarkStart w:id="340" w:name="_Toc94107210"/>
      <w:bookmarkStart w:id="341" w:name="_Toc104991876"/>
      <w:bookmarkStart w:id="342" w:name="_Toc140596929"/>
      <w:bookmarkStart w:id="343" w:name="_Toc160099512"/>
      <w:bookmarkStart w:id="344" w:name="_Toc8616"/>
      <w:bookmarkStart w:id="345" w:name="_Toc12140"/>
      <w:bookmarkStart w:id="346" w:name="_Toc15061"/>
      <w:bookmarkStart w:id="347" w:name="_Toc19777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多证合一营业执照（或事业单位法人证书）复印件</w:t>
      </w:r>
      <w:bookmarkEnd w:id="338"/>
      <w:bookmarkEnd w:id="339"/>
      <w:bookmarkEnd w:id="340"/>
      <w:bookmarkEnd w:id="341"/>
      <w:bookmarkEnd w:id="342"/>
      <w:bookmarkEnd w:id="343"/>
      <w:bookmarkEnd w:id="344"/>
      <w:bookmarkEnd w:id="345"/>
      <w:bookmarkEnd w:id="346"/>
    </w:p>
    <w:p w14:paraId="3072C35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25E42BE">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6" w:type="first"/>
          <w:footerReference r:id="rId5" w:type="default"/>
          <w:pgSz w:w="11906" w:h="16838"/>
          <w:pgMar w:top="1191" w:right="1043" w:bottom="1191" w:left="1043" w:header="720" w:footer="720" w:gutter="0"/>
          <w:pgNumType w:fmt="decimal"/>
          <w:cols w:space="720" w:num="1"/>
          <w:titlePg/>
          <w:docGrid w:linePitch="326" w:charSpace="0"/>
        </w:sectPr>
      </w:pPr>
    </w:p>
    <w:p w14:paraId="2F0CECF6">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348" w:name="_Toc140596930"/>
      <w:bookmarkStart w:id="349" w:name="_Toc160099513"/>
      <w:bookmarkStart w:id="350" w:name="_Toc94107211"/>
      <w:bookmarkStart w:id="351" w:name="_Toc102860076"/>
      <w:bookmarkStart w:id="352" w:name="_Toc104991877"/>
      <w:bookmarkStart w:id="353" w:name="_Toc102860420"/>
      <w:bookmarkStart w:id="354" w:name="_Toc26391"/>
      <w:bookmarkStart w:id="355" w:name="_Toc5054"/>
      <w:bookmarkStart w:id="356" w:name="_Toc12912"/>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.2 </w:t>
      </w:r>
      <w:bookmarkEnd w:id="348"/>
      <w:bookmarkEnd w:id="349"/>
      <w:bookmarkEnd w:id="350"/>
      <w:bookmarkEnd w:id="351"/>
      <w:bookmarkEnd w:id="352"/>
      <w:bookmarkEnd w:id="353"/>
      <w:r>
        <w:rPr>
          <w:rFonts w:hint="eastAsia" w:ascii="宋体" w:hAnsi="宋体" w:eastAsia="宋体" w:cs="宋体"/>
          <w:b/>
          <w:color w:val="auto"/>
          <w:kern w:val="0"/>
          <w:sz w:val="30"/>
          <w:szCs w:val="30"/>
          <w:highlight w:val="none"/>
        </w:rPr>
        <w:t>开户许可证（基本存款账户）复印件，如响应供应商企业银行账户开户所在地区已取消企业银行账户许可，响应供应商应提供基本存款账户开户名称、开户银行、账号、编号等信息及相关备案证明（如有）或其他能证明其为基本存款账户的资料复印件</w:t>
      </w:r>
      <w:bookmarkEnd w:id="354"/>
      <w:bookmarkEnd w:id="355"/>
      <w:bookmarkEnd w:id="356"/>
    </w:p>
    <w:p w14:paraId="6BF4FCC6">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357" w:name="_Toc102860077"/>
      <w:bookmarkStart w:id="358" w:name="_Toc104991878"/>
      <w:bookmarkStart w:id="359" w:name="_Toc26814"/>
      <w:bookmarkStart w:id="360" w:name="_Toc24339"/>
      <w:bookmarkStart w:id="361" w:name="_Toc94107212"/>
      <w:bookmarkStart w:id="362" w:name="_Toc160099514"/>
      <w:bookmarkStart w:id="363" w:name="_Toc102860421"/>
      <w:bookmarkStart w:id="364" w:name="_Toc6458"/>
      <w:bookmarkStart w:id="365" w:name="_Toc140596931"/>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w:t>
      </w:r>
      <w:r>
        <w:rPr>
          <w:rFonts w:hint="eastAsia" w:ascii="宋体" w:hAnsi="宋体" w:eastAsia="宋体" w:cs="宋体"/>
          <w:b/>
          <w:color w:val="auto"/>
          <w:kern w:val="0"/>
          <w:sz w:val="30"/>
          <w:szCs w:val="30"/>
          <w:highlight w:val="none"/>
          <w:lang w:eastAsia="zh-CN"/>
        </w:rPr>
        <w:t>响应</w:t>
      </w:r>
      <w:r>
        <w:rPr>
          <w:rFonts w:hint="eastAsia" w:ascii="宋体" w:hAnsi="宋体" w:eastAsia="宋体" w:cs="宋体"/>
          <w:b/>
          <w:color w:val="auto"/>
          <w:kern w:val="0"/>
          <w:sz w:val="30"/>
          <w:szCs w:val="30"/>
          <w:highlight w:val="none"/>
        </w:rPr>
        <w:t>时只需提供法定代表人身份证明书，委托他人为</w:t>
      </w:r>
      <w:r>
        <w:rPr>
          <w:rFonts w:hint="eastAsia" w:ascii="宋体" w:hAnsi="宋体" w:eastAsia="宋体" w:cs="宋体"/>
          <w:b/>
          <w:color w:val="auto"/>
          <w:kern w:val="0"/>
          <w:sz w:val="30"/>
          <w:szCs w:val="30"/>
          <w:highlight w:val="none"/>
          <w:lang w:eastAsia="zh-CN"/>
        </w:rPr>
        <w:t>响应</w:t>
      </w:r>
      <w:r>
        <w:rPr>
          <w:rFonts w:hint="eastAsia" w:ascii="宋体" w:hAnsi="宋体" w:eastAsia="宋体" w:cs="宋体"/>
          <w:b/>
          <w:color w:val="auto"/>
          <w:kern w:val="0"/>
          <w:sz w:val="30"/>
          <w:szCs w:val="30"/>
          <w:highlight w:val="none"/>
        </w:rPr>
        <w:t>代表或签署响应文件时需同时提供法定代表人授权书）</w:t>
      </w:r>
      <w:bookmarkEnd w:id="357"/>
      <w:bookmarkEnd w:id="358"/>
      <w:bookmarkEnd w:id="359"/>
      <w:bookmarkEnd w:id="360"/>
      <w:bookmarkEnd w:id="361"/>
      <w:bookmarkEnd w:id="362"/>
      <w:bookmarkEnd w:id="363"/>
      <w:bookmarkEnd w:id="364"/>
      <w:bookmarkEnd w:id="365"/>
    </w:p>
    <w:p w14:paraId="30437DFF">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335"/>
      <w:bookmarkEnd w:id="336"/>
      <w:bookmarkEnd w:id="337"/>
      <w:bookmarkEnd w:id="347"/>
    </w:p>
    <w:p w14:paraId="0FEC30FC">
      <w:pPr>
        <w:spacing w:before="120" w:after="120" w:line="360" w:lineRule="auto"/>
        <w:ind w:firstLine="608" w:firstLineChars="202"/>
        <w:jc w:val="center"/>
        <w:rPr>
          <w:rFonts w:hint="eastAsia" w:ascii="宋体" w:hAnsi="宋体" w:eastAsia="宋体" w:cs="宋体"/>
          <w:b/>
          <w:color w:val="auto"/>
          <w:sz w:val="30"/>
          <w:szCs w:val="30"/>
          <w:highlight w:val="none"/>
        </w:rPr>
      </w:pPr>
      <w:bookmarkStart w:id="366" w:name="_Toc11033_WPSOffice_Level3"/>
      <w:r>
        <w:rPr>
          <w:rFonts w:hint="eastAsia" w:ascii="宋体" w:hAnsi="宋体" w:eastAsia="宋体" w:cs="宋体"/>
          <w:b/>
          <w:color w:val="auto"/>
          <w:sz w:val="30"/>
          <w:szCs w:val="30"/>
          <w:highlight w:val="none"/>
        </w:rPr>
        <w:t>法定代</w:t>
      </w:r>
      <w:bookmarkStart w:id="367" w:name="_Toc45995270"/>
      <w:bookmarkStart w:id="368" w:name="_Toc36971359"/>
      <w:r>
        <w:rPr>
          <w:rFonts w:hint="eastAsia" w:ascii="宋体" w:hAnsi="宋体" w:eastAsia="宋体" w:cs="宋体"/>
          <w:b/>
          <w:color w:val="auto"/>
          <w:sz w:val="30"/>
          <w:szCs w:val="30"/>
          <w:highlight w:val="none"/>
        </w:rPr>
        <w:t>表人身份证明书</w:t>
      </w:r>
      <w:bookmarkEnd w:id="366"/>
    </w:p>
    <w:p w14:paraId="77F7398E">
      <w:pPr>
        <w:spacing w:before="120" w:after="120" w:line="360" w:lineRule="auto"/>
        <w:ind w:firstLine="608" w:firstLineChars="202"/>
        <w:jc w:val="center"/>
        <w:rPr>
          <w:rFonts w:hint="eastAsia" w:ascii="宋体" w:hAnsi="宋体" w:eastAsia="宋体" w:cs="宋体"/>
          <w:b/>
          <w:color w:val="auto"/>
          <w:sz w:val="30"/>
          <w:szCs w:val="30"/>
          <w:highlight w:val="none"/>
        </w:rPr>
      </w:pPr>
    </w:p>
    <w:bookmarkEnd w:id="367"/>
    <w:bookmarkEnd w:id="368"/>
    <w:p w14:paraId="48EA8D12">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3D671C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621CC0D">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9F1B7E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2A5D700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04CF1708">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D05A722">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434C07F6">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响应供应商：（加盖响应供应商法人公章）</w:t>
      </w:r>
    </w:p>
    <w:p w14:paraId="68DBFE45">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A26A421">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D41C8F9"/>
                          <w:p w14:paraId="192FDFA5"/>
                          <w:p w14:paraId="1F6E24F5"/>
                          <w:p w14:paraId="13D507F3"/>
                          <w:p w14:paraId="3E5DFB04">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D41C8F9"/>
                    <w:p w14:paraId="192FDFA5"/>
                    <w:p w14:paraId="1F6E24F5"/>
                    <w:p w14:paraId="13D507F3"/>
                    <w:p w14:paraId="3E5DFB04">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E9A16BF"/>
                          <w:p w14:paraId="54DDAD83"/>
                          <w:p w14:paraId="4A5D2AE2"/>
                          <w:p w14:paraId="038C7BDC"/>
                          <w:p w14:paraId="31D89127">
                            <w:pPr>
                              <w:jc w:val="center"/>
                              <w:rPr>
                                <w:rFonts w:hint="eastAsia" w:ascii="宋体" w:hAnsi="宋体" w:eastAsia="宋体" w:cs="宋体"/>
                                <w:szCs w:val="21"/>
                              </w:rPr>
                            </w:pPr>
                            <w:r>
                              <w:rPr>
                                <w:rFonts w:hint="eastAsia" w:ascii="宋体" w:hAnsi="宋体" w:eastAsia="宋体" w:cs="宋体"/>
                                <w:szCs w:val="21"/>
                              </w:rPr>
                              <w:t>法定代表人身份证反面</w:t>
                            </w:r>
                          </w:p>
                          <w:p w14:paraId="33ECD69D">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E9A16BF"/>
                    <w:p w14:paraId="54DDAD83"/>
                    <w:p w14:paraId="4A5D2AE2"/>
                    <w:p w14:paraId="038C7BDC"/>
                    <w:p w14:paraId="31D89127">
                      <w:pPr>
                        <w:jc w:val="center"/>
                        <w:rPr>
                          <w:rFonts w:hint="eastAsia" w:ascii="宋体" w:hAnsi="宋体" w:eastAsia="宋体" w:cs="宋体"/>
                          <w:szCs w:val="21"/>
                        </w:rPr>
                      </w:pPr>
                      <w:r>
                        <w:rPr>
                          <w:rFonts w:hint="eastAsia" w:ascii="宋体" w:hAnsi="宋体" w:eastAsia="宋体" w:cs="宋体"/>
                          <w:szCs w:val="21"/>
                        </w:rPr>
                        <w:t>法定代表人身份证反面</w:t>
                      </w:r>
                    </w:p>
                    <w:p w14:paraId="33ECD69D">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664D66A"/>
                          <w:p w14:paraId="1BD5E76C"/>
                          <w:p w14:paraId="7612DFF5"/>
                          <w:p w14:paraId="1790E325"/>
                          <w:p w14:paraId="5F87CBA3">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2664D66A"/>
                    <w:p w14:paraId="1BD5E76C"/>
                    <w:p w14:paraId="7612DFF5"/>
                    <w:p w14:paraId="1790E325"/>
                    <w:p w14:paraId="5F87CBA3">
                      <w:pPr>
                        <w:jc w:val="center"/>
                      </w:pPr>
                      <w:r>
                        <w:rPr>
                          <w:rFonts w:hint="eastAsia"/>
                        </w:rPr>
                        <w:t>身份证正面</w:t>
                      </w:r>
                    </w:p>
                  </w:txbxContent>
                </v:textbox>
              </v:shape>
            </w:pict>
          </mc:Fallback>
        </mc:AlternateContent>
      </w:r>
    </w:p>
    <w:p w14:paraId="122F1703">
      <w:pPr>
        <w:autoSpaceDE w:val="0"/>
        <w:autoSpaceDN w:val="0"/>
        <w:adjustRightInd w:val="0"/>
        <w:jc w:val="left"/>
        <w:rPr>
          <w:rFonts w:ascii="宋体" w:hAnsi="宋体" w:eastAsia="宋体" w:cs="宋体"/>
          <w:color w:val="auto"/>
          <w:kern w:val="0"/>
          <w:sz w:val="24"/>
          <w:szCs w:val="24"/>
          <w:highlight w:val="none"/>
        </w:rPr>
      </w:pPr>
    </w:p>
    <w:p w14:paraId="7F0193D7">
      <w:pPr>
        <w:autoSpaceDE w:val="0"/>
        <w:autoSpaceDN w:val="0"/>
        <w:adjustRightInd w:val="0"/>
        <w:jc w:val="left"/>
        <w:rPr>
          <w:rFonts w:ascii="宋体" w:hAnsi="宋体" w:eastAsia="宋体" w:cs="宋体"/>
          <w:color w:val="auto"/>
          <w:kern w:val="0"/>
          <w:sz w:val="24"/>
          <w:szCs w:val="24"/>
          <w:highlight w:val="none"/>
        </w:rPr>
      </w:pPr>
    </w:p>
    <w:p w14:paraId="11F20619">
      <w:pPr>
        <w:autoSpaceDE w:val="0"/>
        <w:autoSpaceDN w:val="0"/>
        <w:adjustRightInd w:val="0"/>
        <w:jc w:val="left"/>
        <w:rPr>
          <w:rFonts w:ascii="宋体" w:hAnsi="宋体" w:eastAsia="宋体" w:cs="宋体"/>
          <w:color w:val="auto"/>
          <w:kern w:val="0"/>
          <w:sz w:val="24"/>
          <w:szCs w:val="24"/>
          <w:highlight w:val="none"/>
        </w:rPr>
      </w:pPr>
    </w:p>
    <w:p w14:paraId="3A6079AE">
      <w:pPr>
        <w:autoSpaceDE w:val="0"/>
        <w:autoSpaceDN w:val="0"/>
        <w:adjustRightInd w:val="0"/>
        <w:jc w:val="left"/>
        <w:rPr>
          <w:rFonts w:ascii="宋体" w:hAnsi="宋体" w:eastAsia="宋体" w:cs="宋体"/>
          <w:color w:val="auto"/>
          <w:kern w:val="0"/>
          <w:sz w:val="24"/>
          <w:szCs w:val="24"/>
          <w:highlight w:val="none"/>
        </w:rPr>
      </w:pPr>
    </w:p>
    <w:p w14:paraId="6AB583F0">
      <w:pPr>
        <w:autoSpaceDE w:val="0"/>
        <w:autoSpaceDN w:val="0"/>
        <w:adjustRightInd w:val="0"/>
        <w:jc w:val="left"/>
        <w:rPr>
          <w:rFonts w:ascii="宋体" w:hAnsi="宋体" w:eastAsia="宋体" w:cs="宋体"/>
          <w:color w:val="auto"/>
          <w:kern w:val="0"/>
          <w:sz w:val="24"/>
          <w:szCs w:val="24"/>
          <w:highlight w:val="none"/>
        </w:rPr>
      </w:pPr>
    </w:p>
    <w:p w14:paraId="4FD2E495">
      <w:pPr>
        <w:autoSpaceDE w:val="0"/>
        <w:autoSpaceDN w:val="0"/>
        <w:adjustRightInd w:val="0"/>
        <w:jc w:val="left"/>
        <w:rPr>
          <w:rFonts w:ascii="宋体" w:hAnsi="宋体" w:eastAsia="宋体" w:cs="宋体"/>
          <w:color w:val="auto"/>
          <w:kern w:val="0"/>
          <w:sz w:val="24"/>
          <w:szCs w:val="24"/>
          <w:highlight w:val="none"/>
        </w:rPr>
      </w:pPr>
    </w:p>
    <w:p w14:paraId="072E71E1">
      <w:pPr>
        <w:autoSpaceDE w:val="0"/>
        <w:autoSpaceDN w:val="0"/>
        <w:adjustRightInd w:val="0"/>
        <w:jc w:val="left"/>
        <w:rPr>
          <w:rFonts w:ascii="宋体" w:hAnsi="宋体" w:eastAsia="宋体" w:cs="宋体"/>
          <w:color w:val="auto"/>
          <w:kern w:val="0"/>
          <w:sz w:val="24"/>
          <w:szCs w:val="24"/>
          <w:highlight w:val="none"/>
        </w:rPr>
      </w:pPr>
    </w:p>
    <w:p w14:paraId="00A34E4B">
      <w:pPr>
        <w:autoSpaceDE w:val="0"/>
        <w:autoSpaceDN w:val="0"/>
        <w:adjustRightInd w:val="0"/>
        <w:jc w:val="left"/>
        <w:rPr>
          <w:rFonts w:ascii="宋体" w:hAnsi="宋体" w:eastAsia="宋体" w:cs="宋体"/>
          <w:color w:val="auto"/>
          <w:kern w:val="0"/>
          <w:sz w:val="24"/>
          <w:szCs w:val="24"/>
          <w:highlight w:val="none"/>
        </w:rPr>
      </w:pPr>
    </w:p>
    <w:p w14:paraId="3485A2A5">
      <w:pPr>
        <w:autoSpaceDE w:val="0"/>
        <w:autoSpaceDN w:val="0"/>
        <w:adjustRightInd w:val="0"/>
        <w:jc w:val="left"/>
        <w:rPr>
          <w:rFonts w:ascii="宋体" w:hAnsi="宋体" w:eastAsia="宋体" w:cs="宋体"/>
          <w:color w:val="auto"/>
          <w:kern w:val="0"/>
          <w:sz w:val="24"/>
          <w:szCs w:val="24"/>
          <w:highlight w:val="none"/>
        </w:rPr>
      </w:pPr>
    </w:p>
    <w:p w14:paraId="0F021645">
      <w:pPr>
        <w:autoSpaceDE w:val="0"/>
        <w:autoSpaceDN w:val="0"/>
        <w:adjustRightInd w:val="0"/>
        <w:jc w:val="left"/>
        <w:rPr>
          <w:rFonts w:ascii="宋体" w:hAnsi="宋体" w:eastAsia="宋体" w:cs="宋体"/>
          <w:b/>
          <w:color w:val="auto"/>
          <w:kern w:val="0"/>
          <w:szCs w:val="21"/>
          <w:highlight w:val="none"/>
        </w:rPr>
      </w:pPr>
    </w:p>
    <w:p w14:paraId="23889CCC">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4625A3D">
      <w:pPr>
        <w:autoSpaceDE w:val="0"/>
        <w:autoSpaceDN w:val="0"/>
        <w:adjustRightInd w:val="0"/>
        <w:jc w:val="left"/>
        <w:rPr>
          <w:rFonts w:ascii="宋体" w:hAnsi="宋体" w:eastAsia="宋体" w:cs="宋体"/>
          <w:color w:val="auto"/>
          <w:kern w:val="0"/>
          <w:szCs w:val="21"/>
          <w:highlight w:val="none"/>
        </w:rPr>
      </w:pPr>
    </w:p>
    <w:p w14:paraId="6AC97ACA">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299"/>
      <w:bookmarkEnd w:id="300"/>
      <w:bookmarkEnd w:id="301"/>
      <w:bookmarkStart w:id="369" w:name="_Toc1977727"/>
      <w:bookmarkStart w:id="370" w:name="_Toc486167713"/>
      <w:bookmarkStart w:id="371" w:name="_Toc6240_WPSOffice_Level2"/>
      <w:bookmarkStart w:id="372" w:name="_Toc533708125"/>
      <w:r>
        <w:rPr>
          <w:rFonts w:hint="eastAsia" w:ascii="宋体" w:hAnsi="宋体" w:eastAsia="宋体" w:cs="宋体"/>
          <w:b/>
          <w:color w:val="auto"/>
          <w:szCs w:val="24"/>
          <w:highlight w:val="none"/>
        </w:rPr>
        <w:t>（2）法定代表人授权书格式</w:t>
      </w:r>
      <w:bookmarkEnd w:id="369"/>
      <w:bookmarkEnd w:id="370"/>
      <w:bookmarkEnd w:id="371"/>
      <w:bookmarkEnd w:id="372"/>
    </w:p>
    <w:p w14:paraId="44BCC3D5">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549F75DA">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373" w:name="_Toc29146_WPSOffice_Level3"/>
      <w:r>
        <w:rPr>
          <w:rFonts w:hint="eastAsia" w:ascii="宋体" w:hAnsi="宋体" w:eastAsia="宋体" w:cs="宋体"/>
          <w:b/>
          <w:bCs/>
          <w:color w:val="auto"/>
          <w:sz w:val="30"/>
          <w:szCs w:val="30"/>
          <w:highlight w:val="none"/>
          <w:lang w:val="zh-CN"/>
        </w:rPr>
        <w:t>法定代表人授权书</w:t>
      </w:r>
      <w:bookmarkEnd w:id="373"/>
    </w:p>
    <w:p w14:paraId="785B9DC9">
      <w:pPr>
        <w:autoSpaceDE w:val="0"/>
        <w:autoSpaceDN w:val="0"/>
        <w:adjustRightInd w:val="0"/>
        <w:spacing w:line="360" w:lineRule="auto"/>
        <w:jc w:val="center"/>
        <w:rPr>
          <w:rFonts w:ascii="宋体" w:hAnsi="宋体" w:eastAsia="宋体" w:cs="宋体"/>
          <w:color w:val="auto"/>
          <w:szCs w:val="28"/>
          <w:highlight w:val="none"/>
          <w:lang w:val="zh-CN"/>
        </w:rPr>
      </w:pPr>
    </w:p>
    <w:p w14:paraId="5B478B53">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致：东莞市水务环境投资控股集团建设管理有限公司</w:t>
      </w:r>
    </w:p>
    <w:p w14:paraId="43BB932F">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（响应供应商地址）的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（响应供应商名称）在下面签字或盖私章的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东莞市大朗蔡边水质净化厂工程第三方检测（不含基桩完整性检测）</w:t>
      </w:r>
      <w:r>
        <w:rPr>
          <w:rFonts w:hint="eastAsia" w:ascii="宋体" w:hAnsi="宋体" w:eastAsia="宋体" w:cs="宋体"/>
          <w:color w:val="auto"/>
          <w:szCs w:val="21"/>
          <w:highlight w:val="none"/>
          <w:lang w:val="zh-CN"/>
        </w:rPr>
        <w:t>（采购编号：</w:t>
      </w:r>
      <w:r>
        <w:rPr>
          <w:rFonts w:hint="eastAsia" w:ascii="宋体" w:hAnsi="宋体" w:eastAsia="宋体" w:cs="宋体"/>
          <w:color w:val="auto"/>
          <w:szCs w:val="21"/>
          <w:highlight w:val="none"/>
          <w:u w:val="single"/>
          <w:lang w:val="zh-CN"/>
        </w:rPr>
        <w:t>0832-SFCX25DG109C</w:t>
      </w:r>
      <w:r>
        <w:rPr>
          <w:rFonts w:hint="eastAsia" w:ascii="宋体" w:hAnsi="宋体" w:eastAsia="宋体" w:cs="宋体"/>
          <w:color w:val="auto"/>
          <w:szCs w:val="21"/>
          <w:highlight w:val="none"/>
          <w:lang w:val="zh-CN"/>
        </w:rPr>
        <w:t>）的响应文件，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递交响应文件、参与响应文件开启会、代表我公司应谈判小组的要求对响应文件进行澄清、进行合同谈判和签署合同，以我公司的名义处理一切与之有关的事宜，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我承认代理人全权代表我所签署的本项目响应文件的内容及</w:t>
      </w:r>
      <w:r>
        <w:rPr>
          <w:rFonts w:hint="eastAsia" w:ascii="宋体" w:hAnsi="宋体" w:eastAsia="宋体" w:cs="宋体"/>
          <w:color w:val="auto"/>
          <w:szCs w:val="24"/>
          <w:highlight w:val="none"/>
          <w:lang w:val="zh-CN"/>
        </w:rPr>
        <w:t>所进行的上述活动。</w:t>
      </w:r>
    </w:p>
    <w:p w14:paraId="6F4116A4">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日签字生效，有效期至响应文件失效期止，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022ACF0">
      <w:pPr>
        <w:spacing w:before="120" w:after="120" w:line="360" w:lineRule="auto"/>
        <w:ind w:left="348" w:leftChars="136" w:hanging="62"/>
        <w:rPr>
          <w:rFonts w:ascii="宋体" w:hAnsi="宋体" w:eastAsia="宋体" w:cs="宋体"/>
          <w:color w:val="auto"/>
          <w:szCs w:val="24"/>
          <w:highlight w:val="none"/>
        </w:rPr>
      </w:pPr>
    </w:p>
    <w:p w14:paraId="35F7784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响应供应商：（加盖响应供应商法人公章）</w:t>
      </w:r>
    </w:p>
    <w:p w14:paraId="7448358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响应供应商地址：</w:t>
      </w:r>
    </w:p>
    <w:p w14:paraId="2095F16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1A8EA58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4B5554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6BE469C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C54765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1275B4F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282C545"/>
                          <w:p w14:paraId="038C9A02"/>
                          <w:p w14:paraId="1E3F1743"/>
                          <w:p w14:paraId="7EAE8B61"/>
                          <w:p w14:paraId="4C856E7C">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282C545"/>
                    <w:p w14:paraId="038C9A02"/>
                    <w:p w14:paraId="1E3F1743"/>
                    <w:p w14:paraId="7EAE8B61"/>
                    <w:p w14:paraId="4C856E7C">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65E0B2E"/>
                          <w:p w14:paraId="0A0791E5"/>
                          <w:p w14:paraId="4075C857"/>
                          <w:p w14:paraId="545B527D"/>
                          <w:p w14:paraId="65EC4BCB">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65E0B2E"/>
                    <w:p w14:paraId="0A0791E5"/>
                    <w:p w14:paraId="4075C857"/>
                    <w:p w14:paraId="545B527D"/>
                    <w:p w14:paraId="65EC4BCB">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14:paraId="25C3A67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1925EE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97B7D5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705B12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FB7A51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95C37D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02775F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708AB0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1AE028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76E72B1"/>
                          <w:p w14:paraId="145F498F">
                            <w:pPr>
                              <w:jc w:val="center"/>
                              <w:rPr>
                                <w:rFonts w:hAnsi="宋体"/>
                                <w:color w:val="FF0000"/>
                              </w:rPr>
                            </w:pPr>
                          </w:p>
                          <w:p w14:paraId="6BB9EAFF">
                            <w:pPr>
                              <w:jc w:val="center"/>
                              <w:rPr>
                                <w:rFonts w:hAnsi="宋体"/>
                                <w:color w:val="FF0000"/>
                              </w:rPr>
                            </w:pPr>
                          </w:p>
                          <w:p w14:paraId="5968089B">
                            <w:pPr>
                              <w:jc w:val="center"/>
                              <w:rPr>
                                <w:rFonts w:hAnsi="宋体"/>
                                <w:color w:val="FF0000"/>
                              </w:rPr>
                            </w:pPr>
                          </w:p>
                          <w:p w14:paraId="7F3D06B5">
                            <w:pPr>
                              <w:jc w:val="center"/>
                              <w:rPr>
                                <w:rFonts w:hint="eastAsia" w:ascii="宋体" w:hAnsi="宋体" w:eastAsia="宋体" w:cs="宋体"/>
                              </w:rPr>
                            </w:pPr>
                            <w:r>
                              <w:rPr>
                                <w:rFonts w:hint="eastAsia" w:ascii="宋体" w:hAnsi="宋体" w:eastAsia="宋体" w:cs="宋体"/>
                              </w:rPr>
                              <w:t>被授权人身份证反面</w:t>
                            </w:r>
                          </w:p>
                          <w:p w14:paraId="47984447"/>
                          <w:p w14:paraId="3AADB63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C1xTbJCAgAAigQAAA4AAAAAAAAAAQAg&#10;AAAAKAEAAGRycy9lMm9Eb2MueG1sUEsFBgAAAAAGAAYAWQEAANwFAAAAAA==&#10;">
                <v:fill on="t" focussize="0,0"/>
                <v:stroke color="#000000" miterlimit="8" joinstyle="miter"/>
                <v:imagedata o:title=""/>
                <o:lock v:ext="edit" aspectratio="f"/>
                <v:textbox>
                  <w:txbxContent>
                    <w:p w14:paraId="676E72B1"/>
                    <w:p w14:paraId="145F498F">
                      <w:pPr>
                        <w:jc w:val="center"/>
                        <w:rPr>
                          <w:rFonts w:hAnsi="宋体"/>
                          <w:color w:val="FF0000"/>
                        </w:rPr>
                      </w:pPr>
                    </w:p>
                    <w:p w14:paraId="6BB9EAFF">
                      <w:pPr>
                        <w:jc w:val="center"/>
                        <w:rPr>
                          <w:rFonts w:hAnsi="宋体"/>
                          <w:color w:val="FF0000"/>
                        </w:rPr>
                      </w:pPr>
                    </w:p>
                    <w:p w14:paraId="5968089B">
                      <w:pPr>
                        <w:jc w:val="center"/>
                        <w:rPr>
                          <w:rFonts w:hAnsi="宋体"/>
                          <w:color w:val="FF0000"/>
                        </w:rPr>
                      </w:pPr>
                    </w:p>
                    <w:p w14:paraId="7F3D06B5">
                      <w:pPr>
                        <w:jc w:val="center"/>
                        <w:rPr>
                          <w:rFonts w:hint="eastAsia" w:ascii="宋体" w:hAnsi="宋体" w:eastAsia="宋体" w:cs="宋体"/>
                        </w:rPr>
                      </w:pPr>
                      <w:r>
                        <w:rPr>
                          <w:rFonts w:hint="eastAsia" w:ascii="宋体" w:hAnsi="宋体" w:eastAsia="宋体" w:cs="宋体"/>
                        </w:rPr>
                        <w:t>被授权人身份证反面</w:t>
                      </w:r>
                    </w:p>
                    <w:p w14:paraId="47984447"/>
                    <w:p w14:paraId="3AADB63D"/>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46E1282"/>
                          <w:p w14:paraId="78B15C1E">
                            <w:pPr>
                              <w:jc w:val="center"/>
                              <w:rPr>
                                <w:rFonts w:hAnsi="宋体"/>
                                <w:color w:val="FF0000"/>
                              </w:rPr>
                            </w:pPr>
                          </w:p>
                          <w:p w14:paraId="26D396CE">
                            <w:pPr>
                              <w:jc w:val="center"/>
                              <w:rPr>
                                <w:rFonts w:hAnsi="宋体"/>
                                <w:color w:val="FF0000"/>
                              </w:rPr>
                            </w:pPr>
                          </w:p>
                          <w:p w14:paraId="13F8D40A">
                            <w:pPr>
                              <w:jc w:val="center"/>
                              <w:rPr>
                                <w:rFonts w:hAnsi="宋体"/>
                                <w:color w:val="FF0000"/>
                              </w:rPr>
                            </w:pPr>
                          </w:p>
                          <w:p w14:paraId="046EC54D">
                            <w:pPr>
                              <w:jc w:val="center"/>
                              <w:rPr>
                                <w:rFonts w:hint="eastAsia" w:ascii="宋体" w:hAnsi="宋体" w:eastAsia="宋体" w:cs="宋体"/>
                              </w:rPr>
                            </w:pPr>
                            <w:r>
                              <w:rPr>
                                <w:rFonts w:hint="eastAsia" w:ascii="宋体" w:hAnsi="宋体" w:eastAsia="宋体" w:cs="宋体"/>
                              </w:rPr>
                              <w:t>被授权人身份证正面</w:t>
                            </w:r>
                          </w:p>
                          <w:p w14:paraId="2CBB6DBA"/>
                          <w:p w14:paraId="3029570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JUr120UCAACKBAAADgAAAAAAAAAB&#10;ACAAAAAnAQAAZHJzL2Uyb0RvYy54bWxQSwUGAAAAAAYABgBZAQAA3gUAAAAA&#10;">
                <v:fill on="t" focussize="0,0"/>
                <v:stroke color="#000000" miterlimit="8" joinstyle="miter"/>
                <v:imagedata o:title=""/>
                <o:lock v:ext="edit" aspectratio="f"/>
                <v:textbox>
                  <w:txbxContent>
                    <w:p w14:paraId="746E1282"/>
                    <w:p w14:paraId="78B15C1E">
                      <w:pPr>
                        <w:jc w:val="center"/>
                        <w:rPr>
                          <w:rFonts w:hAnsi="宋体"/>
                          <w:color w:val="FF0000"/>
                        </w:rPr>
                      </w:pPr>
                    </w:p>
                    <w:p w14:paraId="26D396CE">
                      <w:pPr>
                        <w:jc w:val="center"/>
                        <w:rPr>
                          <w:rFonts w:hAnsi="宋体"/>
                          <w:color w:val="FF0000"/>
                        </w:rPr>
                      </w:pPr>
                    </w:p>
                    <w:p w14:paraId="13F8D40A">
                      <w:pPr>
                        <w:jc w:val="center"/>
                        <w:rPr>
                          <w:rFonts w:hAnsi="宋体"/>
                          <w:color w:val="FF0000"/>
                        </w:rPr>
                      </w:pPr>
                    </w:p>
                    <w:p w14:paraId="046EC54D">
                      <w:pPr>
                        <w:jc w:val="center"/>
                        <w:rPr>
                          <w:rFonts w:hint="eastAsia" w:ascii="宋体" w:hAnsi="宋体" w:eastAsia="宋体" w:cs="宋体"/>
                        </w:rPr>
                      </w:pPr>
                      <w:r>
                        <w:rPr>
                          <w:rFonts w:hint="eastAsia" w:ascii="宋体" w:hAnsi="宋体" w:eastAsia="宋体" w:cs="宋体"/>
                        </w:rPr>
                        <w:t>被授权人身份证正面</w:t>
                      </w:r>
                    </w:p>
                    <w:p w14:paraId="2CBB6DBA"/>
                    <w:p w14:paraId="30295703"/>
                  </w:txbxContent>
                </v:textbox>
              </v:shape>
            </w:pict>
          </mc:Fallback>
        </mc:AlternateContent>
      </w:r>
    </w:p>
    <w:p w14:paraId="4D28548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7E2A63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84B200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A90969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D6056E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370FFBC">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1906" w:h="16838"/>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5B4CFC18">
      <w:pPr>
        <w:pStyle w:val="5"/>
        <w:pageBreakBefore/>
        <w:widowControl/>
        <w:spacing w:line="360" w:lineRule="auto"/>
        <w:rPr>
          <w:rFonts w:hint="eastAsia" w:ascii="宋体" w:hAnsi="宋体" w:eastAsia="宋体" w:cs="宋体"/>
          <w:b/>
          <w:bCs w:val="0"/>
          <w:color w:val="auto"/>
          <w:kern w:val="0"/>
          <w:sz w:val="30"/>
          <w:szCs w:val="30"/>
          <w:highlight w:val="none"/>
        </w:rPr>
      </w:pPr>
      <w:bookmarkStart w:id="374" w:name="_Toc21989"/>
      <w:bookmarkStart w:id="375" w:name="_Toc6745"/>
      <w:bookmarkStart w:id="376" w:name="_Toc15611"/>
      <w:bookmarkStart w:id="377" w:name="_Toc2031_WPSOffice_Level2"/>
      <w:bookmarkStart w:id="378" w:name="_Toc94107215"/>
      <w:bookmarkStart w:id="379" w:name="_Toc102860423"/>
      <w:bookmarkStart w:id="380" w:name="_Toc102860079"/>
      <w:bookmarkStart w:id="381" w:name="_Toc160099516"/>
      <w:bookmarkStart w:id="382" w:name="_Toc486167714"/>
      <w:bookmarkStart w:id="383" w:name="_Toc140596934"/>
      <w:bookmarkStart w:id="384" w:name="_Toc1977731"/>
      <w:bookmarkStart w:id="385" w:name="_Toc104991881"/>
      <w:bookmarkStart w:id="386" w:name="_Toc533708126"/>
      <w:r>
        <w:rPr>
          <w:rFonts w:hint="eastAsia" w:hAnsi="宋体" w:cs="宋体"/>
          <w:b/>
          <w:color w:val="auto"/>
          <w:kern w:val="0"/>
          <w:sz w:val="32"/>
          <w:szCs w:val="32"/>
          <w:highlight w:val="none"/>
          <w:lang w:val="en-US" w:eastAsia="zh-CN"/>
        </w:rPr>
        <w:t xml:space="preserve">4.4 </w:t>
      </w:r>
      <w:r>
        <w:rPr>
          <w:rFonts w:hint="eastAsia" w:hAnsi="宋体" w:cs="宋体"/>
          <w:b/>
          <w:bCs w:val="0"/>
          <w:color w:val="auto"/>
          <w:kern w:val="0"/>
          <w:sz w:val="30"/>
          <w:szCs w:val="30"/>
          <w:highlight w:val="none"/>
          <w:lang w:eastAsia="zh-CN"/>
        </w:rPr>
        <w:t>供应商</w:t>
      </w:r>
      <w:r>
        <w:rPr>
          <w:rFonts w:hint="eastAsia" w:ascii="宋体" w:hAnsi="宋体" w:eastAsia="宋体" w:cs="宋体"/>
          <w:b/>
          <w:bCs w:val="0"/>
          <w:color w:val="auto"/>
          <w:kern w:val="0"/>
          <w:sz w:val="30"/>
          <w:szCs w:val="30"/>
          <w:highlight w:val="none"/>
        </w:rPr>
        <w:t>须同时具备由住房和城乡建设部门颁发的并在有效期内的建设工程质量检测机构资质证书（须同时涵盖见证取样检测、地基基础工程检测、主体结构工程现场检测、钢结构工程检测），或者是建设工程质量检测机构综合资质证书，或者是建设工程质量检测机构专项资质证书（须同时取得建筑材料及构配件、主体结构及装饰装修、钢结构、地基基础、市政工程材料、道路工程6个专项资质）和计量行政部门颁发的CMA计量认证证书；</w:t>
      </w:r>
    </w:p>
    <w:p w14:paraId="770AD087">
      <w:pPr>
        <w:pStyle w:val="5"/>
        <w:pageBreakBefore/>
        <w:spacing w:line="360" w:lineRule="auto"/>
        <w:rPr>
          <w:rFonts w:hint="eastAsia" w:hAnsi="宋体" w:eastAsia="宋体"/>
          <w:b/>
          <w:color w:val="auto"/>
          <w:sz w:val="30"/>
          <w:szCs w:val="30"/>
          <w:highlight w:val="none"/>
          <w:lang w:val="en-US" w:eastAsia="zh-CN"/>
        </w:rPr>
      </w:pPr>
      <w:r>
        <w:rPr>
          <w:rFonts w:hint="eastAsia" w:hAnsi="宋体" w:cs="宋体"/>
          <w:b/>
          <w:color w:val="auto"/>
          <w:kern w:val="0"/>
          <w:sz w:val="32"/>
          <w:szCs w:val="32"/>
          <w:highlight w:val="none"/>
          <w:lang w:val="en-US" w:eastAsia="zh-CN"/>
        </w:rPr>
        <w:t>4</w:t>
      </w:r>
      <w:r>
        <w:rPr>
          <w:rFonts w:hint="eastAsia" w:ascii="宋体" w:hAnsi="宋体" w:eastAsia="宋体" w:cs="宋体"/>
          <w:b/>
          <w:color w:val="auto"/>
          <w:kern w:val="0"/>
          <w:sz w:val="32"/>
          <w:szCs w:val="32"/>
          <w:highlight w:val="none"/>
          <w:lang w:val="en-US" w:eastAsia="zh-CN"/>
        </w:rPr>
        <w:t>.</w:t>
      </w:r>
      <w:r>
        <w:rPr>
          <w:rFonts w:hint="eastAsia" w:hAnsi="宋体" w:cs="宋体"/>
          <w:b/>
          <w:color w:val="auto"/>
          <w:kern w:val="0"/>
          <w:sz w:val="32"/>
          <w:szCs w:val="32"/>
          <w:highlight w:val="none"/>
          <w:lang w:val="en-US" w:eastAsia="zh-CN"/>
        </w:rPr>
        <w:t xml:space="preserve">5 </w:t>
      </w:r>
      <w:r>
        <w:rPr>
          <w:rFonts w:hint="eastAsia" w:hAnsi="宋体"/>
          <w:b/>
          <w:bCs/>
          <w:color w:val="auto"/>
          <w:kern w:val="2"/>
          <w:sz w:val="32"/>
          <w:szCs w:val="32"/>
          <w:highlight w:val="none"/>
        </w:rPr>
        <w:t>资格业绩</w:t>
      </w:r>
      <w:r>
        <w:rPr>
          <w:rFonts w:hint="eastAsia" w:hAnsi="宋体"/>
          <w:b/>
          <w:bCs/>
          <w:color w:val="auto"/>
          <w:sz w:val="32"/>
          <w:szCs w:val="32"/>
          <w:highlight w:val="none"/>
        </w:rPr>
        <w:t>【响应供应商提供一份自2020年1月1日至今，在国内完成一项市政工程检测业绩，业绩的时间以合同签订的日期为准</w:t>
      </w:r>
      <w:r>
        <w:rPr>
          <w:rFonts w:hint="eastAsia" w:hAnsi="宋体"/>
          <w:b/>
          <w:bCs/>
          <w:color w:val="auto"/>
          <w:sz w:val="32"/>
          <w:szCs w:val="32"/>
          <w:highlight w:val="none"/>
          <w:lang w:eastAsia="zh-CN"/>
        </w:rPr>
        <w:t>】</w:t>
      </w:r>
      <w:bookmarkEnd w:id="374"/>
      <w:bookmarkEnd w:id="375"/>
      <w:bookmarkEnd w:id="376"/>
    </w:p>
    <w:p w14:paraId="7A15BEE5">
      <w:pPr>
        <w:spacing w:line="360" w:lineRule="auto"/>
        <w:rPr>
          <w:rFonts w:hAnsi="宋体"/>
          <w:color w:val="auto"/>
          <w:szCs w:val="21"/>
          <w:highlight w:val="none"/>
          <w:lang w:val="zh-CN"/>
        </w:rPr>
      </w:pPr>
    </w:p>
    <w:tbl>
      <w:tblPr>
        <w:tblStyle w:val="4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78"/>
        <w:gridCol w:w="1125"/>
        <w:gridCol w:w="1129"/>
        <w:gridCol w:w="1130"/>
        <w:gridCol w:w="1318"/>
        <w:gridCol w:w="1130"/>
        <w:gridCol w:w="1130"/>
        <w:gridCol w:w="1130"/>
        <w:gridCol w:w="930"/>
      </w:tblGrid>
      <w:tr w14:paraId="7C4A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97" w:type="pct"/>
            <w:noWrap w:val="0"/>
            <w:vAlign w:val="center"/>
          </w:tcPr>
          <w:p w14:paraId="2BE49D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4" w:type="pct"/>
            <w:noWrap w:val="0"/>
            <w:vAlign w:val="center"/>
          </w:tcPr>
          <w:p w14:paraId="0FF2DB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76" w:type="pct"/>
            <w:noWrap w:val="0"/>
            <w:vAlign w:val="center"/>
          </w:tcPr>
          <w:p w14:paraId="33F04C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76" w:type="pct"/>
            <w:noWrap w:val="0"/>
            <w:vAlign w:val="center"/>
          </w:tcPr>
          <w:p w14:paraId="0B6F12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672" w:type="pct"/>
            <w:noWrap w:val="0"/>
            <w:vAlign w:val="center"/>
          </w:tcPr>
          <w:p w14:paraId="5D7B8E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576" w:type="pct"/>
            <w:noWrap w:val="0"/>
            <w:vAlign w:val="center"/>
          </w:tcPr>
          <w:p w14:paraId="51ABF9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576" w:type="pct"/>
            <w:noWrap w:val="0"/>
            <w:vAlign w:val="center"/>
          </w:tcPr>
          <w:p w14:paraId="782FDD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576" w:type="pct"/>
            <w:noWrap w:val="0"/>
            <w:vAlign w:val="center"/>
          </w:tcPr>
          <w:p w14:paraId="741D7F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74" w:type="pct"/>
            <w:noWrap w:val="0"/>
            <w:vAlign w:val="center"/>
          </w:tcPr>
          <w:p w14:paraId="45A446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965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7DEF80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4" w:type="pct"/>
            <w:noWrap w:val="0"/>
            <w:vAlign w:val="center"/>
          </w:tcPr>
          <w:p w14:paraId="1A839D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4B14C8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3F6956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72" w:type="pct"/>
            <w:noWrap w:val="0"/>
            <w:vAlign w:val="center"/>
          </w:tcPr>
          <w:p w14:paraId="29B668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top"/>
          </w:tcPr>
          <w:p w14:paraId="53F813A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399EE0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2C48F9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4" w:type="pct"/>
            <w:noWrap w:val="0"/>
            <w:vAlign w:val="center"/>
          </w:tcPr>
          <w:p w14:paraId="17B899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8BB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12B96BA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4" w:type="pct"/>
            <w:noWrap w:val="0"/>
            <w:vAlign w:val="center"/>
          </w:tcPr>
          <w:p w14:paraId="4B7596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46E4BC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7246BC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72" w:type="pct"/>
            <w:noWrap w:val="0"/>
            <w:vAlign w:val="center"/>
          </w:tcPr>
          <w:p w14:paraId="7BFA74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top"/>
          </w:tcPr>
          <w:p w14:paraId="50E37E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0D813F8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6A0D0C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4" w:type="pct"/>
            <w:noWrap w:val="0"/>
            <w:vAlign w:val="center"/>
          </w:tcPr>
          <w:p w14:paraId="071CAA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5A9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742BB6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4" w:type="pct"/>
            <w:noWrap w:val="0"/>
            <w:vAlign w:val="center"/>
          </w:tcPr>
          <w:p w14:paraId="50FCAE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0A085C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262B86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72" w:type="pct"/>
            <w:noWrap w:val="0"/>
            <w:vAlign w:val="center"/>
          </w:tcPr>
          <w:p w14:paraId="566389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top"/>
          </w:tcPr>
          <w:p w14:paraId="09418A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0A1904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5B6EFC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4" w:type="pct"/>
            <w:noWrap w:val="0"/>
            <w:vAlign w:val="center"/>
          </w:tcPr>
          <w:p w14:paraId="41C991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67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48FC6E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4" w:type="pct"/>
            <w:noWrap w:val="0"/>
            <w:vAlign w:val="center"/>
          </w:tcPr>
          <w:p w14:paraId="75B3E9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67A8C3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709774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72" w:type="pct"/>
            <w:noWrap w:val="0"/>
            <w:vAlign w:val="center"/>
          </w:tcPr>
          <w:p w14:paraId="5426FF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top"/>
          </w:tcPr>
          <w:p w14:paraId="3D9460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0CCF7C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5D3569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4" w:type="pct"/>
            <w:noWrap w:val="0"/>
            <w:vAlign w:val="center"/>
          </w:tcPr>
          <w:p w14:paraId="02BDCC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729333D7">
      <w:pPr>
        <w:spacing w:line="360" w:lineRule="auto"/>
        <w:ind w:left="424" w:hanging="424" w:hangingChars="201"/>
        <w:rPr>
          <w:rFonts w:ascii="宋体" w:hAnsi="宋体" w:eastAsia="宋体" w:cs="宋体"/>
          <w:b/>
          <w:color w:val="auto"/>
          <w:szCs w:val="21"/>
          <w:highlight w:val="none"/>
          <w:lang w:val="zh-CN"/>
        </w:rPr>
      </w:pPr>
    </w:p>
    <w:p w14:paraId="2D2A523E">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5FD8A372">
      <w:pPr>
        <w:spacing w:line="360" w:lineRule="auto"/>
        <w:ind w:left="424" w:hanging="422" w:hangingChars="201"/>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（1）</w:t>
      </w:r>
      <w:r>
        <w:rPr>
          <w:rFonts w:hint="eastAsia" w:ascii="宋体" w:hAnsi="宋体" w:eastAsia="宋体" w:cs="宋体"/>
          <w:b w:val="0"/>
          <w:bCs w:val="0"/>
          <w:color w:val="auto"/>
          <w:szCs w:val="21"/>
          <w:highlight w:val="none"/>
        </w:rPr>
        <w:t>作为</w:t>
      </w:r>
      <w:r>
        <w:rPr>
          <w:rFonts w:hint="eastAsia" w:ascii="宋体" w:hAnsi="宋体" w:eastAsia="宋体" w:cs="宋体"/>
          <w:b w:val="0"/>
          <w:bCs w:val="0"/>
          <w:color w:val="auto"/>
          <w:szCs w:val="21"/>
          <w:highlight w:val="none"/>
          <w:lang w:val="en-US" w:eastAsia="zh-CN"/>
        </w:rPr>
        <w:t>响应供应商</w:t>
      </w:r>
      <w:r>
        <w:rPr>
          <w:rFonts w:hint="eastAsia" w:ascii="宋体" w:hAnsi="宋体" w:eastAsia="宋体" w:cs="宋体"/>
          <w:b w:val="0"/>
          <w:bCs w:val="0"/>
          <w:color w:val="auto"/>
          <w:szCs w:val="21"/>
          <w:highlight w:val="none"/>
        </w:rPr>
        <w:t>资格条件证明的业绩放置在此处</w:t>
      </w:r>
      <w:r>
        <w:rPr>
          <w:rFonts w:hint="eastAsia" w:ascii="宋体" w:hAnsi="宋体" w:eastAsia="宋体" w:cs="宋体"/>
          <w:b w:val="0"/>
          <w:bCs w:val="0"/>
          <w:color w:val="auto"/>
          <w:szCs w:val="21"/>
          <w:highlight w:val="none"/>
          <w:lang w:val="zh-CN"/>
        </w:rPr>
        <w:t>。</w:t>
      </w:r>
    </w:p>
    <w:p w14:paraId="59A2910A">
      <w:pPr>
        <w:spacing w:line="360" w:lineRule="auto"/>
        <w:ind w:left="422" w:hanging="422" w:hangingChars="201"/>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（2）</w:t>
      </w:r>
      <w:r>
        <w:rPr>
          <w:rFonts w:hint="eastAsia" w:ascii="宋体" w:hAnsi="宋体" w:eastAsia="宋体" w:cs="宋体"/>
          <w:b w:val="0"/>
          <w:bCs w:val="0"/>
          <w:color w:val="auto"/>
          <w:szCs w:val="21"/>
          <w:highlight w:val="none"/>
        </w:rPr>
        <w:t>业绩须附合同复印件加盖</w:t>
      </w:r>
      <w:r>
        <w:rPr>
          <w:rFonts w:hint="eastAsia" w:ascii="宋体" w:hAnsi="宋体" w:eastAsia="宋体" w:cs="宋体"/>
          <w:b w:val="0"/>
          <w:bCs w:val="0"/>
          <w:color w:val="auto"/>
          <w:szCs w:val="21"/>
          <w:highlight w:val="none"/>
          <w:lang w:eastAsia="zh-CN"/>
        </w:rPr>
        <w:t>响应供应商</w:t>
      </w:r>
      <w:r>
        <w:rPr>
          <w:rFonts w:hint="eastAsia" w:ascii="宋体" w:hAnsi="宋体" w:eastAsia="宋体" w:cs="宋体"/>
          <w:b w:val="0"/>
          <w:bCs w:val="0"/>
          <w:color w:val="auto"/>
          <w:szCs w:val="21"/>
          <w:highlight w:val="none"/>
        </w:rPr>
        <w:t>公章</w:t>
      </w:r>
      <w:r>
        <w:rPr>
          <w:rFonts w:hint="eastAsia" w:ascii="宋体" w:hAnsi="宋体" w:eastAsia="宋体" w:cs="宋体"/>
          <w:b w:val="0"/>
          <w:bCs w:val="0"/>
          <w:color w:val="auto"/>
          <w:szCs w:val="21"/>
          <w:highlight w:val="none"/>
          <w:lang w:val="zh-CN"/>
        </w:rPr>
        <w:t>。</w:t>
      </w:r>
    </w:p>
    <w:p w14:paraId="777EE174">
      <w:pPr>
        <w:tabs>
          <w:tab w:val="left" w:pos="567"/>
        </w:tabs>
        <w:autoSpaceDE w:val="0"/>
        <w:autoSpaceDN w:val="0"/>
        <w:adjustRightInd w:val="0"/>
        <w:spacing w:line="360" w:lineRule="auto"/>
        <w:jc w:val="left"/>
        <w:outlineLvl w:val="9"/>
        <w:rPr>
          <w:rFonts w:hint="eastAsia" w:ascii="宋体" w:hAnsi="宋体" w:eastAsia="宋体" w:cs="宋体"/>
          <w:b w:val="0"/>
          <w:bCs w:val="0"/>
          <w:color w:val="auto"/>
          <w:szCs w:val="21"/>
          <w:highlight w:val="none"/>
          <w:lang w:val="zh-CN"/>
        </w:rPr>
      </w:pPr>
      <w:bookmarkStart w:id="387" w:name="_Toc6253"/>
      <w:bookmarkStart w:id="388" w:name="_Toc14967"/>
      <w:r>
        <w:rPr>
          <w:rFonts w:hint="eastAsia" w:ascii="宋体" w:hAnsi="宋体" w:eastAsia="宋体" w:cs="宋体"/>
          <w:b w:val="0"/>
          <w:bCs w:val="0"/>
          <w:color w:val="auto"/>
          <w:szCs w:val="21"/>
          <w:highlight w:val="none"/>
          <w:lang w:val="zh-CN"/>
        </w:rPr>
        <w:t>（3）</w:t>
      </w:r>
      <w:bookmarkEnd w:id="387"/>
      <w:bookmarkEnd w:id="388"/>
      <w:r>
        <w:rPr>
          <w:rFonts w:hint="eastAsia" w:ascii="宋体" w:hAnsi="宋体" w:eastAsia="宋体" w:cs="宋体"/>
          <w:b w:val="0"/>
          <w:bCs w:val="0"/>
          <w:color w:val="auto"/>
          <w:szCs w:val="21"/>
          <w:highlight w:val="none"/>
          <w:lang w:val="zh-CN"/>
        </w:rPr>
        <w:t>若合同无法反映资格业绩条件的（合同签订日期为</w:t>
      </w:r>
      <w:r>
        <w:rPr>
          <w:rFonts w:hint="eastAsia" w:ascii="宋体" w:hAnsi="宋体" w:eastAsia="宋体" w:cs="宋体"/>
          <w:color w:val="auto"/>
          <w:szCs w:val="21"/>
          <w:highlight w:val="none"/>
          <w:lang w:val="zh-CN"/>
        </w:rPr>
        <w:t>自2020年1月1日至今，在国内完成一项市政工程检测业绩，业绩的时间以合同签订的日期为准</w:t>
      </w:r>
      <w:r>
        <w:rPr>
          <w:rFonts w:hint="eastAsia" w:ascii="宋体" w:hAnsi="宋体" w:eastAsia="宋体" w:cs="宋体"/>
          <w:b w:val="0"/>
          <w:bCs w:val="0"/>
          <w:color w:val="auto"/>
          <w:szCs w:val="21"/>
          <w:highlight w:val="none"/>
          <w:lang w:val="zh-CN"/>
        </w:rPr>
        <w:t>，还需提供合同买方出具的书面补充情况说明文件复印件作为辅助证明（补充说明文件复印件能显示合同买方公章）。</w:t>
      </w:r>
    </w:p>
    <w:p w14:paraId="3AC3967F">
      <w:pPr>
        <w:tabs>
          <w:tab w:val="left" w:pos="567"/>
        </w:tabs>
        <w:autoSpaceDE w:val="0"/>
        <w:autoSpaceDN w:val="0"/>
        <w:adjustRightInd w:val="0"/>
        <w:spacing w:line="360" w:lineRule="auto"/>
        <w:jc w:val="left"/>
        <w:outlineLvl w:val="9"/>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zh-CN"/>
        </w:rPr>
        <w:t>）未按上述要求在此格式下提供证明材料的业绩，或在此格式下所附材料无法证明符合资格要求的业绩，按无效</w:t>
      </w:r>
      <w:r>
        <w:rPr>
          <w:rFonts w:hint="eastAsia" w:ascii="宋体" w:hAnsi="宋体" w:eastAsia="宋体" w:cs="宋体"/>
          <w:b w:val="0"/>
          <w:bCs w:val="0"/>
          <w:color w:val="auto"/>
          <w:szCs w:val="21"/>
          <w:highlight w:val="none"/>
          <w:lang w:val="en-US" w:eastAsia="zh-CN"/>
        </w:rPr>
        <w:t>响应</w:t>
      </w:r>
      <w:r>
        <w:rPr>
          <w:rFonts w:hint="eastAsia" w:ascii="宋体" w:hAnsi="宋体" w:eastAsia="宋体" w:cs="宋体"/>
          <w:b w:val="0"/>
          <w:bCs w:val="0"/>
          <w:color w:val="auto"/>
          <w:szCs w:val="21"/>
          <w:highlight w:val="none"/>
          <w:lang w:val="zh-CN"/>
        </w:rPr>
        <w:t>文件处理。</w:t>
      </w:r>
    </w:p>
    <w:p w14:paraId="2D824370">
      <w:pPr>
        <w:rPr>
          <w:rFonts w:hint="eastAsia" w:ascii="宋体" w:hAnsi="宋体" w:eastAsia="宋体" w:cs="宋体"/>
          <w:b/>
          <w:color w:val="auto"/>
          <w:kern w:val="0"/>
          <w:sz w:val="32"/>
          <w:szCs w:val="32"/>
          <w:highlight w:val="none"/>
          <w:lang w:val="en-US" w:eastAsia="zh-CN"/>
        </w:rPr>
      </w:pPr>
      <w:bookmarkStart w:id="389" w:name="_Toc419"/>
      <w:r>
        <w:rPr>
          <w:rFonts w:hint="eastAsia" w:ascii="宋体" w:hAnsi="宋体" w:eastAsia="宋体" w:cs="宋体"/>
          <w:b/>
          <w:color w:val="auto"/>
          <w:kern w:val="0"/>
          <w:sz w:val="32"/>
          <w:szCs w:val="32"/>
          <w:highlight w:val="none"/>
          <w:lang w:val="en-US" w:eastAsia="zh-CN"/>
        </w:rPr>
        <w:br w:type="page"/>
      </w:r>
    </w:p>
    <w:p w14:paraId="37065110">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390" w:name="_Toc16426"/>
      <w:bookmarkStart w:id="391" w:name="_Toc18063"/>
      <w:r>
        <w:rPr>
          <w:rFonts w:hint="eastAsia" w:ascii="宋体" w:hAnsi="宋体" w:eastAsia="宋体" w:cs="宋体"/>
          <w:b/>
          <w:color w:val="auto"/>
          <w:kern w:val="0"/>
          <w:sz w:val="32"/>
          <w:szCs w:val="32"/>
          <w:highlight w:val="none"/>
          <w:lang w:val="en-US" w:eastAsia="zh-CN"/>
        </w:rPr>
        <w:t xml:space="preserve">4.6 </w:t>
      </w: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eastAsia="zh-CN"/>
        </w:rPr>
        <w:t>响应供应商</w:t>
      </w:r>
      <w:r>
        <w:rPr>
          <w:rFonts w:hint="eastAsia" w:ascii="宋体" w:hAnsi="宋体" w:eastAsia="宋体" w:cs="宋体"/>
          <w:b/>
          <w:color w:val="auto"/>
          <w:kern w:val="0"/>
          <w:sz w:val="30"/>
          <w:szCs w:val="30"/>
          <w:highlight w:val="none"/>
        </w:rPr>
        <w:t>牵涉的其他（失信和违法）处罚说明格式</w:t>
      </w:r>
      <w:bookmarkEnd w:id="389"/>
      <w:bookmarkEnd w:id="390"/>
      <w:bookmarkEnd w:id="391"/>
    </w:p>
    <w:p w14:paraId="378BAA69">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eastAsia="zh-CN"/>
        </w:rPr>
        <w:t>响应供应商</w:t>
      </w:r>
      <w:r>
        <w:rPr>
          <w:rFonts w:hint="eastAsia" w:ascii="宋体" w:hAnsi="宋体" w:eastAsia="宋体" w:cs="宋体"/>
          <w:b/>
          <w:color w:val="auto"/>
          <w:kern w:val="0"/>
          <w:sz w:val="30"/>
          <w:szCs w:val="30"/>
          <w:highlight w:val="none"/>
        </w:rPr>
        <w:t>牵涉的其他（失信和违法）</w:t>
      </w:r>
      <w:r>
        <w:rPr>
          <w:rFonts w:hint="eastAsia" w:ascii="宋体" w:hAnsi="宋体" w:eastAsia="宋体" w:cs="宋体"/>
          <w:b/>
          <w:bCs/>
          <w:color w:val="auto"/>
          <w:sz w:val="32"/>
          <w:szCs w:val="32"/>
          <w:highlight w:val="none"/>
          <w:lang w:val="zh-CN"/>
        </w:rPr>
        <w:t>处罚说明</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BE5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0C3D853">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62C883B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8F74EF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6273BA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495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66E7F03">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11D955E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0D1AC09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0D0E8D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CD2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9B2D18F">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1966758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0E8DD27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0AA1C32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5D0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721C882">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eastAsia="zh-CN"/>
              </w:rPr>
              <w:t>严重失信主体</w:t>
            </w:r>
          </w:p>
        </w:tc>
        <w:tc>
          <w:tcPr>
            <w:tcW w:w="1417" w:type="dxa"/>
            <w:vAlign w:val="center"/>
          </w:tcPr>
          <w:p w14:paraId="721C786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28F590C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7488398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708760A3">
      <w:pPr>
        <w:autoSpaceDE w:val="0"/>
        <w:autoSpaceDN w:val="0"/>
        <w:adjustRightInd w:val="0"/>
        <w:spacing w:line="360" w:lineRule="auto"/>
        <w:jc w:val="left"/>
        <w:rPr>
          <w:rFonts w:ascii="宋体" w:hAnsi="宋体" w:eastAsia="宋体" w:cs="宋体"/>
          <w:color w:val="auto"/>
          <w:kern w:val="0"/>
          <w:szCs w:val="21"/>
          <w:highlight w:val="none"/>
        </w:rPr>
      </w:pPr>
    </w:p>
    <w:p w14:paraId="4807BEC7">
      <w:pPr>
        <w:autoSpaceDE w:val="0"/>
        <w:autoSpaceDN w:val="0"/>
        <w:adjustRightInd w:val="0"/>
        <w:spacing w:line="360" w:lineRule="auto"/>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w:t>
      </w:r>
      <w:r>
        <w:rPr>
          <w:rFonts w:hint="eastAsia" w:ascii="宋体" w:hAnsi="宋体" w:eastAsia="宋体" w:cs="宋体"/>
          <w:color w:val="auto"/>
          <w:kern w:val="0"/>
          <w:szCs w:val="21"/>
          <w:highlight w:val="none"/>
          <w:lang w:eastAsia="zh-CN"/>
        </w:rPr>
        <w:t>响应供应商</w:t>
      </w:r>
      <w:r>
        <w:rPr>
          <w:rFonts w:hint="eastAsia" w:ascii="宋体" w:hAnsi="宋体" w:eastAsia="宋体" w:cs="宋体"/>
          <w:color w:val="auto"/>
          <w:kern w:val="0"/>
          <w:szCs w:val="21"/>
          <w:highlight w:val="none"/>
        </w:rPr>
        <w:t>及其不具有独立法人资格的分支机构的实际情况自行编写，无相关事项的，在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宋体"/>
          <w:color w:val="auto"/>
          <w:kern w:val="0"/>
          <w:szCs w:val="21"/>
          <w:highlight w:val="none"/>
          <w:lang w:eastAsia="zh-CN"/>
        </w:rPr>
        <w:t>响应供应商</w:t>
      </w:r>
      <w:r>
        <w:rPr>
          <w:rFonts w:hint="eastAsia" w:ascii="宋体" w:hAnsi="宋体" w:eastAsia="宋体" w:cs="宋体"/>
          <w:color w:val="auto"/>
          <w:kern w:val="0"/>
          <w:szCs w:val="21"/>
          <w:highlight w:val="none"/>
        </w:rPr>
        <w:t>须提供相关材料(复印件)佐证，需原件备查</w:t>
      </w:r>
      <w:r>
        <w:rPr>
          <w:rFonts w:hint="eastAsia" w:ascii="宋体" w:hAnsi="宋体" w:eastAsia="宋体" w:cs="宋体"/>
          <w:color w:val="auto"/>
          <w:szCs w:val="21"/>
          <w:highlight w:val="none"/>
          <w:lang w:val="zh-CN"/>
        </w:rPr>
        <w:t>。</w:t>
      </w:r>
    </w:p>
    <w:p w14:paraId="3272F7AE">
      <w:pPr>
        <w:autoSpaceDE w:val="0"/>
        <w:autoSpaceDN w:val="0"/>
        <w:adjustRightInd w:val="0"/>
        <w:spacing w:line="360" w:lineRule="auto"/>
        <w:jc w:val="left"/>
        <w:rPr>
          <w:rFonts w:hint="eastAsia" w:ascii="宋体" w:hAnsi="宋体" w:eastAsia="宋体" w:cs="宋体"/>
          <w:color w:val="auto"/>
          <w:szCs w:val="24"/>
          <w:highlight w:val="none"/>
          <w:lang w:val="zh-CN"/>
        </w:rPr>
      </w:pPr>
    </w:p>
    <w:p w14:paraId="37A6D89C">
      <w:pPr>
        <w:autoSpaceDE w:val="0"/>
        <w:autoSpaceDN w:val="0"/>
        <w:adjustRightInd w:val="0"/>
        <w:spacing w:line="360" w:lineRule="auto"/>
        <w:jc w:val="left"/>
        <w:rPr>
          <w:rFonts w:hint="eastAsia" w:ascii="宋体" w:hAnsi="宋体" w:eastAsia="宋体" w:cs="宋体"/>
          <w:color w:val="auto"/>
          <w:szCs w:val="24"/>
          <w:highlight w:val="none"/>
          <w:lang w:val="zh-CN"/>
        </w:rPr>
      </w:pPr>
    </w:p>
    <w:p w14:paraId="341FC63C">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响应供应商</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（加盖响应供应商法人公章）</w:t>
      </w:r>
    </w:p>
    <w:p w14:paraId="0B240053">
      <w:pPr>
        <w:autoSpaceDE w:val="0"/>
        <w:autoSpaceDN w:val="0"/>
        <w:adjustRightInd w:val="0"/>
        <w:spacing w:line="360" w:lineRule="auto"/>
        <w:ind w:right="368" w:rightChars="175" w:firstLine="6237"/>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82DF441">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6BAE6A59">
      <w:pPr>
        <w:autoSpaceDE w:val="0"/>
        <w:autoSpaceDN w:val="0"/>
        <w:adjustRightInd w:val="0"/>
        <w:spacing w:line="360" w:lineRule="auto"/>
        <w:jc w:val="center"/>
        <w:outlineLvl w:val="2"/>
        <w:rPr>
          <w:rFonts w:hint="default" w:ascii="宋体" w:hAnsi="宋体" w:eastAsia="宋体" w:cs="宋体"/>
          <w:color w:val="auto"/>
          <w:kern w:val="0"/>
          <w:sz w:val="24"/>
          <w:szCs w:val="24"/>
          <w:highlight w:val="none"/>
          <w:lang w:val="en-US" w:eastAsia="zh-CN"/>
        </w:rPr>
      </w:pPr>
      <w:r>
        <w:rPr>
          <w:rFonts w:hint="eastAsia" w:ascii="宋体" w:hAnsi="宋体" w:eastAsia="宋体" w:cs="宋体"/>
          <w:b/>
          <w:color w:val="auto"/>
          <w:kern w:val="0"/>
          <w:sz w:val="32"/>
          <w:szCs w:val="32"/>
          <w:highlight w:val="none"/>
          <w:lang w:val="en-US" w:eastAsia="zh-CN"/>
        </w:rPr>
        <w:t xml:space="preserve">4.7 </w:t>
      </w:r>
      <w:r>
        <w:rPr>
          <w:rFonts w:hint="eastAsia" w:ascii="宋体" w:hAnsi="宋体" w:eastAsia="宋体" w:cs="宋体"/>
          <w:b/>
          <w:color w:val="auto"/>
          <w:kern w:val="0"/>
          <w:sz w:val="30"/>
          <w:szCs w:val="30"/>
          <w:highlight w:val="none"/>
          <w:lang w:val="en-US" w:eastAsia="zh-CN"/>
        </w:rPr>
        <w:t>拟委任的主要人员汇总表</w:t>
      </w:r>
    </w:p>
    <w:p w14:paraId="6BDB1785">
      <w:pPr>
        <w:pStyle w:val="70"/>
        <w:spacing w:line="360" w:lineRule="auto"/>
        <w:ind w:firstLine="0" w:firstLineChars="0"/>
        <w:jc w:val="both"/>
        <w:rPr>
          <w:rFonts w:hint="eastAsia" w:ascii="宋体" w:hAnsi="宋体" w:eastAsia="宋体"/>
          <w:b/>
          <w:color w:val="auto"/>
          <w:sz w:val="30"/>
          <w:szCs w:val="30"/>
          <w:highlight w:val="none"/>
        </w:rPr>
      </w:pPr>
    </w:p>
    <w:tbl>
      <w:tblPr>
        <w:tblStyle w:val="45"/>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016"/>
        <w:gridCol w:w="845"/>
        <w:gridCol w:w="1231"/>
        <w:gridCol w:w="791"/>
        <w:gridCol w:w="1269"/>
        <w:gridCol w:w="1429"/>
        <w:gridCol w:w="1588"/>
        <w:gridCol w:w="1110"/>
      </w:tblGrid>
      <w:tr w14:paraId="7A229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39" w:type="pct"/>
            <w:vAlign w:val="center"/>
          </w:tcPr>
          <w:p w14:paraId="79247B9C">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510" w:type="pct"/>
            <w:vAlign w:val="center"/>
          </w:tcPr>
          <w:p w14:paraId="105FA2C4">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姓名</w:t>
            </w:r>
          </w:p>
        </w:tc>
        <w:tc>
          <w:tcPr>
            <w:tcW w:w="424" w:type="pct"/>
            <w:vAlign w:val="center"/>
          </w:tcPr>
          <w:p w14:paraId="7DC7B6EC">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性别</w:t>
            </w:r>
          </w:p>
        </w:tc>
        <w:tc>
          <w:tcPr>
            <w:tcW w:w="618" w:type="pct"/>
            <w:vAlign w:val="center"/>
          </w:tcPr>
          <w:p w14:paraId="24B65447">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出生日期</w:t>
            </w:r>
          </w:p>
        </w:tc>
        <w:tc>
          <w:tcPr>
            <w:tcW w:w="397" w:type="pct"/>
            <w:vAlign w:val="center"/>
          </w:tcPr>
          <w:p w14:paraId="1DF14743">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学历</w:t>
            </w:r>
          </w:p>
        </w:tc>
        <w:tc>
          <w:tcPr>
            <w:tcW w:w="637" w:type="pct"/>
            <w:vAlign w:val="center"/>
          </w:tcPr>
          <w:p w14:paraId="484EE716">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职称或注册专业</w:t>
            </w:r>
          </w:p>
        </w:tc>
        <w:tc>
          <w:tcPr>
            <w:tcW w:w="717" w:type="pct"/>
            <w:vAlign w:val="center"/>
          </w:tcPr>
          <w:p w14:paraId="4755AD55">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职称等级/注册类别</w:t>
            </w:r>
          </w:p>
        </w:tc>
        <w:tc>
          <w:tcPr>
            <w:tcW w:w="797" w:type="pct"/>
            <w:vAlign w:val="center"/>
          </w:tcPr>
          <w:p w14:paraId="00DC3322">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在本项目拟任职务/岗位</w:t>
            </w:r>
          </w:p>
        </w:tc>
        <w:tc>
          <w:tcPr>
            <w:tcW w:w="557" w:type="pct"/>
            <w:vAlign w:val="center"/>
          </w:tcPr>
          <w:p w14:paraId="392E3ED3">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12D25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39" w:type="pct"/>
            <w:vAlign w:val="center"/>
          </w:tcPr>
          <w:p w14:paraId="5F0AA76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10" w:type="pct"/>
            <w:vAlign w:val="center"/>
          </w:tcPr>
          <w:p w14:paraId="418C7FA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424" w:type="pct"/>
            <w:vAlign w:val="center"/>
          </w:tcPr>
          <w:p w14:paraId="7050D30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18" w:type="pct"/>
            <w:vAlign w:val="center"/>
          </w:tcPr>
          <w:p w14:paraId="4CEDAF6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397" w:type="pct"/>
            <w:vAlign w:val="center"/>
          </w:tcPr>
          <w:p w14:paraId="26DF76D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37" w:type="pct"/>
            <w:vAlign w:val="center"/>
          </w:tcPr>
          <w:p w14:paraId="0AA9278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17" w:type="pct"/>
            <w:vAlign w:val="center"/>
          </w:tcPr>
          <w:p w14:paraId="018C22C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97" w:type="pct"/>
            <w:vAlign w:val="center"/>
          </w:tcPr>
          <w:p w14:paraId="206370D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57" w:type="pct"/>
            <w:vAlign w:val="center"/>
          </w:tcPr>
          <w:p w14:paraId="169220C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r>
      <w:tr w14:paraId="04354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39" w:type="pct"/>
            <w:vAlign w:val="center"/>
          </w:tcPr>
          <w:p w14:paraId="5232D9E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10" w:type="pct"/>
            <w:vAlign w:val="center"/>
          </w:tcPr>
          <w:p w14:paraId="30CD288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424" w:type="pct"/>
            <w:vAlign w:val="center"/>
          </w:tcPr>
          <w:p w14:paraId="3953786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18" w:type="pct"/>
            <w:vAlign w:val="center"/>
          </w:tcPr>
          <w:p w14:paraId="42FFDCB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397" w:type="pct"/>
            <w:vAlign w:val="center"/>
          </w:tcPr>
          <w:p w14:paraId="32C5CDE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37" w:type="pct"/>
            <w:vAlign w:val="center"/>
          </w:tcPr>
          <w:p w14:paraId="6079618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17" w:type="pct"/>
            <w:vAlign w:val="center"/>
          </w:tcPr>
          <w:p w14:paraId="1EF9A17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97" w:type="pct"/>
            <w:vAlign w:val="center"/>
          </w:tcPr>
          <w:p w14:paraId="439DF13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57" w:type="pct"/>
            <w:vAlign w:val="center"/>
          </w:tcPr>
          <w:p w14:paraId="7F44114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r>
      <w:tr w14:paraId="0C991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39" w:type="pct"/>
            <w:vAlign w:val="center"/>
          </w:tcPr>
          <w:p w14:paraId="4B74C3B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10" w:type="pct"/>
            <w:vAlign w:val="center"/>
          </w:tcPr>
          <w:p w14:paraId="110A441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424" w:type="pct"/>
            <w:vAlign w:val="center"/>
          </w:tcPr>
          <w:p w14:paraId="3516417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18" w:type="pct"/>
            <w:vAlign w:val="center"/>
          </w:tcPr>
          <w:p w14:paraId="0E71F1A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397" w:type="pct"/>
            <w:vAlign w:val="center"/>
          </w:tcPr>
          <w:p w14:paraId="053EDBA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37" w:type="pct"/>
            <w:vAlign w:val="center"/>
          </w:tcPr>
          <w:p w14:paraId="23EA21D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17" w:type="pct"/>
            <w:vAlign w:val="center"/>
          </w:tcPr>
          <w:p w14:paraId="60D28AB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97" w:type="pct"/>
            <w:vAlign w:val="center"/>
          </w:tcPr>
          <w:p w14:paraId="1981BEC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57" w:type="pct"/>
            <w:vAlign w:val="center"/>
          </w:tcPr>
          <w:p w14:paraId="28C530F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r>
      <w:tr w14:paraId="2A9E3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39" w:type="pct"/>
            <w:vAlign w:val="center"/>
          </w:tcPr>
          <w:p w14:paraId="5963CEE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10" w:type="pct"/>
            <w:vAlign w:val="center"/>
          </w:tcPr>
          <w:p w14:paraId="4F5AA67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424" w:type="pct"/>
            <w:vAlign w:val="center"/>
          </w:tcPr>
          <w:p w14:paraId="2E8752C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18" w:type="pct"/>
            <w:vAlign w:val="center"/>
          </w:tcPr>
          <w:p w14:paraId="7449E71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397" w:type="pct"/>
            <w:vAlign w:val="center"/>
          </w:tcPr>
          <w:p w14:paraId="031E8F3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37" w:type="pct"/>
            <w:vAlign w:val="center"/>
          </w:tcPr>
          <w:p w14:paraId="5AD41A3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17" w:type="pct"/>
            <w:vAlign w:val="center"/>
          </w:tcPr>
          <w:p w14:paraId="26DD57A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97" w:type="pct"/>
            <w:vAlign w:val="center"/>
          </w:tcPr>
          <w:p w14:paraId="43DD04A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57" w:type="pct"/>
            <w:vAlign w:val="center"/>
          </w:tcPr>
          <w:p w14:paraId="0BAD830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r>
      <w:tr w14:paraId="0FFEE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39" w:type="pct"/>
            <w:vAlign w:val="center"/>
          </w:tcPr>
          <w:p w14:paraId="50BB035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10" w:type="pct"/>
            <w:vAlign w:val="center"/>
          </w:tcPr>
          <w:p w14:paraId="0B51D23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424" w:type="pct"/>
            <w:vAlign w:val="center"/>
          </w:tcPr>
          <w:p w14:paraId="1430E8F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18" w:type="pct"/>
            <w:vAlign w:val="center"/>
          </w:tcPr>
          <w:p w14:paraId="7BF74A3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397" w:type="pct"/>
            <w:vAlign w:val="center"/>
          </w:tcPr>
          <w:p w14:paraId="6A31117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37" w:type="pct"/>
            <w:vAlign w:val="center"/>
          </w:tcPr>
          <w:p w14:paraId="13B937D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17" w:type="pct"/>
            <w:vAlign w:val="center"/>
          </w:tcPr>
          <w:p w14:paraId="1470EA1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97" w:type="pct"/>
            <w:vAlign w:val="center"/>
          </w:tcPr>
          <w:p w14:paraId="105AEA6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57" w:type="pct"/>
            <w:vAlign w:val="center"/>
          </w:tcPr>
          <w:p w14:paraId="021DBFC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r>
      <w:tr w14:paraId="60639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39" w:type="pct"/>
            <w:vAlign w:val="center"/>
          </w:tcPr>
          <w:p w14:paraId="00FCB99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10" w:type="pct"/>
            <w:vAlign w:val="center"/>
          </w:tcPr>
          <w:p w14:paraId="1E82524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424" w:type="pct"/>
            <w:vAlign w:val="center"/>
          </w:tcPr>
          <w:p w14:paraId="57C3CF6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18" w:type="pct"/>
            <w:vAlign w:val="center"/>
          </w:tcPr>
          <w:p w14:paraId="297CCC9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397" w:type="pct"/>
            <w:vAlign w:val="center"/>
          </w:tcPr>
          <w:p w14:paraId="1246657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37" w:type="pct"/>
            <w:vAlign w:val="center"/>
          </w:tcPr>
          <w:p w14:paraId="629F929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17" w:type="pct"/>
            <w:vAlign w:val="center"/>
          </w:tcPr>
          <w:p w14:paraId="72AC568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97" w:type="pct"/>
            <w:vAlign w:val="center"/>
          </w:tcPr>
          <w:p w14:paraId="25D855C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57" w:type="pct"/>
            <w:vAlign w:val="center"/>
          </w:tcPr>
          <w:p w14:paraId="1AD3298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r>
      <w:tr w14:paraId="1C0B2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39" w:type="pct"/>
            <w:vAlign w:val="center"/>
          </w:tcPr>
          <w:p w14:paraId="513F853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10" w:type="pct"/>
            <w:vAlign w:val="center"/>
          </w:tcPr>
          <w:p w14:paraId="7DC3464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424" w:type="pct"/>
            <w:vAlign w:val="center"/>
          </w:tcPr>
          <w:p w14:paraId="050CA75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18" w:type="pct"/>
            <w:vAlign w:val="center"/>
          </w:tcPr>
          <w:p w14:paraId="2E18B07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397" w:type="pct"/>
            <w:vAlign w:val="center"/>
          </w:tcPr>
          <w:p w14:paraId="5DB3E8D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37" w:type="pct"/>
            <w:vAlign w:val="center"/>
          </w:tcPr>
          <w:p w14:paraId="38C89FF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17" w:type="pct"/>
            <w:vAlign w:val="center"/>
          </w:tcPr>
          <w:p w14:paraId="41F7E6D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97" w:type="pct"/>
            <w:vAlign w:val="center"/>
          </w:tcPr>
          <w:p w14:paraId="5BFD415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57" w:type="pct"/>
            <w:vAlign w:val="center"/>
          </w:tcPr>
          <w:p w14:paraId="200139A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r>
      <w:tr w14:paraId="712F7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39" w:type="pct"/>
            <w:vAlign w:val="center"/>
          </w:tcPr>
          <w:p w14:paraId="230B3D9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10" w:type="pct"/>
            <w:vAlign w:val="center"/>
          </w:tcPr>
          <w:p w14:paraId="4B875BE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424" w:type="pct"/>
            <w:vAlign w:val="center"/>
          </w:tcPr>
          <w:p w14:paraId="68D8F92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18" w:type="pct"/>
            <w:vAlign w:val="center"/>
          </w:tcPr>
          <w:p w14:paraId="31FCA98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397" w:type="pct"/>
            <w:vAlign w:val="center"/>
          </w:tcPr>
          <w:p w14:paraId="2E5F402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37" w:type="pct"/>
            <w:vAlign w:val="center"/>
          </w:tcPr>
          <w:p w14:paraId="21FADAA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17" w:type="pct"/>
            <w:vAlign w:val="center"/>
          </w:tcPr>
          <w:p w14:paraId="5B15B0A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97" w:type="pct"/>
            <w:vAlign w:val="center"/>
          </w:tcPr>
          <w:p w14:paraId="1B46162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57" w:type="pct"/>
            <w:vAlign w:val="center"/>
          </w:tcPr>
          <w:p w14:paraId="7AB9FC7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r>
      <w:tr w14:paraId="2561E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39" w:type="pct"/>
            <w:vAlign w:val="center"/>
          </w:tcPr>
          <w:p w14:paraId="3053910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10" w:type="pct"/>
            <w:vAlign w:val="center"/>
          </w:tcPr>
          <w:p w14:paraId="1D7E3F1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424" w:type="pct"/>
            <w:vAlign w:val="center"/>
          </w:tcPr>
          <w:p w14:paraId="38D5E38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18" w:type="pct"/>
            <w:vAlign w:val="center"/>
          </w:tcPr>
          <w:p w14:paraId="466819F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397" w:type="pct"/>
            <w:vAlign w:val="center"/>
          </w:tcPr>
          <w:p w14:paraId="5C0AD55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37" w:type="pct"/>
            <w:vAlign w:val="center"/>
          </w:tcPr>
          <w:p w14:paraId="6E8B1B8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17" w:type="pct"/>
            <w:vAlign w:val="center"/>
          </w:tcPr>
          <w:p w14:paraId="20B9CC8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97" w:type="pct"/>
            <w:vAlign w:val="center"/>
          </w:tcPr>
          <w:p w14:paraId="25E07F5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57" w:type="pct"/>
            <w:vAlign w:val="center"/>
          </w:tcPr>
          <w:p w14:paraId="67EF2A9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r>
      <w:tr w14:paraId="74F25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39" w:type="pct"/>
            <w:vAlign w:val="center"/>
          </w:tcPr>
          <w:p w14:paraId="6AFB614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10" w:type="pct"/>
            <w:vAlign w:val="center"/>
          </w:tcPr>
          <w:p w14:paraId="3FCD168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424" w:type="pct"/>
            <w:vAlign w:val="center"/>
          </w:tcPr>
          <w:p w14:paraId="45CAFA6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18" w:type="pct"/>
            <w:vAlign w:val="center"/>
          </w:tcPr>
          <w:p w14:paraId="4DDEAB0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397" w:type="pct"/>
            <w:vAlign w:val="center"/>
          </w:tcPr>
          <w:p w14:paraId="2D64AD3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37" w:type="pct"/>
            <w:vAlign w:val="center"/>
          </w:tcPr>
          <w:p w14:paraId="17F00A4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17" w:type="pct"/>
            <w:vAlign w:val="center"/>
          </w:tcPr>
          <w:p w14:paraId="690EFDC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97" w:type="pct"/>
            <w:vAlign w:val="center"/>
          </w:tcPr>
          <w:p w14:paraId="02F3C76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557" w:type="pct"/>
            <w:vAlign w:val="center"/>
          </w:tcPr>
          <w:p w14:paraId="67A42C7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r>
    </w:tbl>
    <w:p w14:paraId="0F63AC9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10043EA9">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）拟投入本项目的技术负责人和关键岗位人员需提供简历表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4CAA7A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C2295EF">
      <w:pPr>
        <w:pStyle w:val="221"/>
        <w:spacing w:after="312" w:afterLines="100"/>
        <w:jc w:val="center"/>
        <w:outlineLvl w:val="2"/>
        <w:rPr>
          <w:rFonts w:hint="eastAsia"/>
          <w:b/>
          <w:bCs/>
          <w:color w:val="auto"/>
          <w:highlight w:val="none"/>
        </w:rPr>
      </w:pPr>
      <w:r>
        <w:rPr>
          <w:rFonts w:hint="eastAsia" w:ascii="宋体" w:hAnsi="宋体" w:eastAsia="宋体" w:cs="宋体"/>
          <w:b/>
          <w:bCs/>
          <w:color w:val="auto"/>
          <w:sz w:val="30"/>
          <w:szCs w:val="30"/>
          <w:highlight w:val="none"/>
          <w:lang w:val="en-US" w:eastAsia="zh-CN"/>
        </w:rPr>
        <w:t>4.</w:t>
      </w:r>
      <w:r>
        <w:rPr>
          <w:rFonts w:hint="eastAsia" w:ascii="宋体" w:hAnsi="宋体" w:cs="宋体"/>
          <w:b/>
          <w:bCs/>
          <w:color w:val="auto"/>
          <w:sz w:val="30"/>
          <w:szCs w:val="30"/>
          <w:highlight w:val="none"/>
          <w:lang w:val="en-US" w:eastAsia="zh-CN"/>
        </w:rPr>
        <w:t>8</w:t>
      </w:r>
      <w:r>
        <w:rPr>
          <w:rFonts w:hint="eastAsia" w:ascii="宋体" w:hAnsi="宋体" w:eastAsia="宋体" w:cs="宋体"/>
          <w:b/>
          <w:bCs/>
          <w:color w:val="auto"/>
          <w:sz w:val="30"/>
          <w:szCs w:val="30"/>
          <w:highlight w:val="none"/>
          <w:lang w:val="en-US" w:eastAsia="zh-CN"/>
        </w:rPr>
        <w:t xml:space="preserve"> </w:t>
      </w:r>
      <w:r>
        <w:rPr>
          <w:rFonts w:hint="eastAsia"/>
          <w:b/>
          <w:bCs/>
          <w:color w:val="auto"/>
          <w:highlight w:val="none"/>
        </w:rPr>
        <w:t>主要人员简历表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416"/>
        <w:gridCol w:w="809"/>
        <w:gridCol w:w="1117"/>
        <w:gridCol w:w="1245"/>
        <w:gridCol w:w="825"/>
        <w:gridCol w:w="1474"/>
        <w:gridCol w:w="468"/>
        <w:gridCol w:w="2219"/>
      </w:tblGrid>
      <w:tr w14:paraId="133A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6" w:type="pct"/>
            <w:vAlign w:val="center"/>
          </w:tcPr>
          <w:p w14:paraId="1BC285D7">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姓  名</w:t>
            </w:r>
          </w:p>
        </w:tc>
        <w:tc>
          <w:tcPr>
            <w:tcW w:w="615" w:type="pct"/>
            <w:gridSpan w:val="2"/>
            <w:vAlign w:val="center"/>
          </w:tcPr>
          <w:p w14:paraId="79D450FF">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561" w:type="pct"/>
            <w:vAlign w:val="center"/>
          </w:tcPr>
          <w:p w14:paraId="661CAB23">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年龄</w:t>
            </w:r>
          </w:p>
        </w:tc>
        <w:tc>
          <w:tcPr>
            <w:tcW w:w="624" w:type="pct"/>
            <w:vAlign w:val="center"/>
          </w:tcPr>
          <w:p w14:paraId="58E08649">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1389" w:type="pct"/>
            <w:gridSpan w:val="3"/>
            <w:vAlign w:val="center"/>
          </w:tcPr>
          <w:p w14:paraId="08A52A45">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执业资格证书（或上岗证书）名称</w:t>
            </w:r>
          </w:p>
        </w:tc>
        <w:tc>
          <w:tcPr>
            <w:tcW w:w="1112" w:type="pct"/>
            <w:vAlign w:val="center"/>
          </w:tcPr>
          <w:p w14:paraId="7BF09CE4">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r>
      <w:tr w14:paraId="2B53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6" w:type="pct"/>
            <w:vAlign w:val="center"/>
          </w:tcPr>
          <w:p w14:paraId="27938182">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职  称</w:t>
            </w:r>
          </w:p>
        </w:tc>
        <w:tc>
          <w:tcPr>
            <w:tcW w:w="615" w:type="pct"/>
            <w:gridSpan w:val="2"/>
            <w:vAlign w:val="center"/>
          </w:tcPr>
          <w:p w14:paraId="6105BBC2">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561" w:type="pct"/>
            <w:vAlign w:val="center"/>
          </w:tcPr>
          <w:p w14:paraId="77E2627A">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学历</w:t>
            </w:r>
          </w:p>
        </w:tc>
        <w:tc>
          <w:tcPr>
            <w:tcW w:w="624" w:type="pct"/>
            <w:vAlign w:val="center"/>
          </w:tcPr>
          <w:p w14:paraId="025975E7">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1389" w:type="pct"/>
            <w:gridSpan w:val="3"/>
            <w:vAlign w:val="center"/>
          </w:tcPr>
          <w:p w14:paraId="162CBBB6">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拟在本项目任职</w:t>
            </w:r>
          </w:p>
        </w:tc>
        <w:tc>
          <w:tcPr>
            <w:tcW w:w="1112" w:type="pct"/>
            <w:vAlign w:val="center"/>
          </w:tcPr>
          <w:p w14:paraId="10F4EDA9">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r>
      <w:tr w14:paraId="0EBB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6" w:type="pct"/>
            <w:vAlign w:val="center"/>
          </w:tcPr>
          <w:p w14:paraId="3DBF551C">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工作年限</w:t>
            </w:r>
          </w:p>
        </w:tc>
        <w:tc>
          <w:tcPr>
            <w:tcW w:w="1801" w:type="pct"/>
            <w:gridSpan w:val="4"/>
            <w:vAlign w:val="center"/>
          </w:tcPr>
          <w:p w14:paraId="42E8699E">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1389" w:type="pct"/>
            <w:gridSpan w:val="3"/>
            <w:vAlign w:val="center"/>
          </w:tcPr>
          <w:p w14:paraId="073E4A2B">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从事工作年限</w:t>
            </w:r>
          </w:p>
        </w:tc>
        <w:tc>
          <w:tcPr>
            <w:tcW w:w="1112" w:type="pct"/>
            <w:vAlign w:val="center"/>
          </w:tcPr>
          <w:p w14:paraId="30B7203C">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r>
      <w:tr w14:paraId="0E3D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96" w:type="pct"/>
            <w:vAlign w:val="center"/>
          </w:tcPr>
          <w:p w14:paraId="1C72F7D4">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毕业学校</w:t>
            </w:r>
          </w:p>
        </w:tc>
        <w:tc>
          <w:tcPr>
            <w:tcW w:w="4303" w:type="pct"/>
            <w:gridSpan w:val="8"/>
            <w:vAlign w:val="center"/>
          </w:tcPr>
          <w:p w14:paraId="5969B466">
            <w:pPr>
              <w:keepNext w:val="0"/>
              <w:keepLines w:val="0"/>
              <w:suppressLineNumbers w:val="0"/>
              <w:spacing w:before="100" w:beforeAutospacing="1" w:after="100" w:afterAutospacing="1" w:line="440" w:lineRule="exact"/>
              <w:ind w:left="0" w:right="0" w:firstLine="1155" w:firstLineChars="550"/>
              <w:rPr>
                <w:rFonts w:hint="default"/>
                <w:color w:val="auto"/>
                <w:szCs w:val="22"/>
                <w:highlight w:val="none"/>
              </w:rPr>
            </w:pPr>
            <w:r>
              <w:rPr>
                <w:rFonts w:hint="default"/>
                <w:color w:val="auto"/>
                <w:szCs w:val="22"/>
                <w:highlight w:val="none"/>
              </w:rPr>
              <w:t>年毕业于            学校        专业</w:t>
            </w:r>
          </w:p>
        </w:tc>
      </w:tr>
      <w:tr w14:paraId="3645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000" w:type="pct"/>
            <w:gridSpan w:val="9"/>
            <w:vAlign w:val="center"/>
          </w:tcPr>
          <w:p w14:paraId="3902AAAB">
            <w:pPr>
              <w:keepNext w:val="0"/>
              <w:keepLines w:val="0"/>
              <w:suppressLineNumbers w:val="0"/>
              <w:spacing w:before="100" w:beforeAutospacing="1" w:after="100" w:afterAutospacing="1" w:line="440" w:lineRule="exact"/>
              <w:ind w:left="0" w:right="0"/>
              <w:jc w:val="left"/>
              <w:rPr>
                <w:rFonts w:hint="default"/>
                <w:color w:val="auto"/>
                <w:szCs w:val="22"/>
                <w:highlight w:val="none"/>
              </w:rPr>
            </w:pPr>
            <w:r>
              <w:rPr>
                <w:rFonts w:hint="default"/>
                <w:color w:val="auto"/>
                <w:szCs w:val="22"/>
                <w:highlight w:val="none"/>
              </w:rPr>
              <w:t>主要工作经历</w:t>
            </w:r>
          </w:p>
        </w:tc>
      </w:tr>
      <w:tr w14:paraId="4654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05" w:type="pct"/>
            <w:gridSpan w:val="2"/>
            <w:vAlign w:val="center"/>
          </w:tcPr>
          <w:p w14:paraId="5C91FF62">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时  间</w:t>
            </w:r>
          </w:p>
        </w:tc>
        <w:tc>
          <w:tcPr>
            <w:tcW w:w="2006" w:type="pct"/>
            <w:gridSpan w:val="4"/>
            <w:vAlign w:val="center"/>
          </w:tcPr>
          <w:p w14:paraId="619FAFDD">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参加过的类似项目</w:t>
            </w:r>
          </w:p>
        </w:tc>
        <w:tc>
          <w:tcPr>
            <w:tcW w:w="740" w:type="pct"/>
            <w:vAlign w:val="center"/>
          </w:tcPr>
          <w:p w14:paraId="43183061">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担任职务</w:t>
            </w:r>
          </w:p>
        </w:tc>
        <w:tc>
          <w:tcPr>
            <w:tcW w:w="1347" w:type="pct"/>
            <w:gridSpan w:val="2"/>
            <w:vAlign w:val="center"/>
          </w:tcPr>
          <w:p w14:paraId="672503AB">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委托人及联系电话</w:t>
            </w:r>
          </w:p>
        </w:tc>
      </w:tr>
      <w:tr w14:paraId="5AFB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tcPr>
          <w:p w14:paraId="7D658C86">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2006" w:type="pct"/>
            <w:gridSpan w:val="4"/>
          </w:tcPr>
          <w:p w14:paraId="710A709F">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740" w:type="pct"/>
          </w:tcPr>
          <w:p w14:paraId="08A2B1A4">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1347" w:type="pct"/>
            <w:gridSpan w:val="2"/>
          </w:tcPr>
          <w:p w14:paraId="43B863F8">
            <w:pPr>
              <w:keepNext w:val="0"/>
              <w:keepLines w:val="0"/>
              <w:suppressLineNumbers w:val="0"/>
              <w:spacing w:before="0" w:beforeAutospacing="0" w:after="0" w:afterAutospacing="0" w:line="440" w:lineRule="exact"/>
              <w:ind w:left="0" w:right="0"/>
              <w:rPr>
                <w:rFonts w:hint="default"/>
                <w:color w:val="auto"/>
                <w:szCs w:val="22"/>
                <w:highlight w:val="none"/>
              </w:rPr>
            </w:pPr>
          </w:p>
        </w:tc>
      </w:tr>
      <w:tr w14:paraId="7805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tcPr>
          <w:p w14:paraId="00104B8C">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2006" w:type="pct"/>
            <w:gridSpan w:val="4"/>
          </w:tcPr>
          <w:p w14:paraId="36C6506D">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740" w:type="pct"/>
          </w:tcPr>
          <w:p w14:paraId="074A6545">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1347" w:type="pct"/>
            <w:gridSpan w:val="2"/>
          </w:tcPr>
          <w:p w14:paraId="34214939">
            <w:pPr>
              <w:keepNext w:val="0"/>
              <w:keepLines w:val="0"/>
              <w:suppressLineNumbers w:val="0"/>
              <w:spacing w:before="0" w:beforeAutospacing="0" w:after="0" w:afterAutospacing="0" w:line="440" w:lineRule="exact"/>
              <w:ind w:left="0" w:right="0"/>
              <w:rPr>
                <w:rFonts w:hint="default"/>
                <w:color w:val="auto"/>
                <w:szCs w:val="22"/>
                <w:highlight w:val="none"/>
              </w:rPr>
            </w:pPr>
          </w:p>
        </w:tc>
      </w:tr>
      <w:tr w14:paraId="74B6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tcPr>
          <w:p w14:paraId="3406988E">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2006" w:type="pct"/>
            <w:gridSpan w:val="4"/>
          </w:tcPr>
          <w:p w14:paraId="3F2A502E">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740" w:type="pct"/>
          </w:tcPr>
          <w:p w14:paraId="02F9052C">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1347" w:type="pct"/>
            <w:gridSpan w:val="2"/>
          </w:tcPr>
          <w:p w14:paraId="09B13AF7">
            <w:pPr>
              <w:keepNext w:val="0"/>
              <w:keepLines w:val="0"/>
              <w:suppressLineNumbers w:val="0"/>
              <w:spacing w:before="0" w:beforeAutospacing="0" w:after="0" w:afterAutospacing="0" w:line="440" w:lineRule="exact"/>
              <w:ind w:left="0" w:right="0"/>
              <w:rPr>
                <w:rFonts w:hint="default"/>
                <w:color w:val="auto"/>
                <w:szCs w:val="22"/>
                <w:highlight w:val="none"/>
              </w:rPr>
            </w:pPr>
          </w:p>
        </w:tc>
      </w:tr>
      <w:tr w14:paraId="2F70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vAlign w:val="center"/>
          </w:tcPr>
          <w:p w14:paraId="2F2E52F5">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2006" w:type="pct"/>
            <w:gridSpan w:val="4"/>
            <w:vAlign w:val="center"/>
          </w:tcPr>
          <w:p w14:paraId="4B62AEE5">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740" w:type="pct"/>
            <w:vAlign w:val="center"/>
          </w:tcPr>
          <w:p w14:paraId="538FFBEE">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1347" w:type="pct"/>
            <w:gridSpan w:val="2"/>
            <w:vAlign w:val="center"/>
          </w:tcPr>
          <w:p w14:paraId="0722458A">
            <w:pPr>
              <w:keepNext w:val="0"/>
              <w:keepLines w:val="0"/>
              <w:suppressLineNumbers w:val="0"/>
              <w:spacing w:before="0" w:beforeAutospacing="0" w:after="0" w:afterAutospacing="0" w:line="440" w:lineRule="exact"/>
              <w:ind w:left="0" w:right="0"/>
              <w:rPr>
                <w:rFonts w:hint="default"/>
                <w:color w:val="auto"/>
                <w:szCs w:val="22"/>
                <w:highlight w:val="none"/>
              </w:rPr>
            </w:pPr>
          </w:p>
        </w:tc>
      </w:tr>
      <w:tr w14:paraId="706D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vAlign w:val="center"/>
          </w:tcPr>
          <w:p w14:paraId="044406B3">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备</w:t>
            </w:r>
            <w:r>
              <w:rPr>
                <w:rFonts w:hint="eastAsia"/>
                <w:color w:val="auto"/>
                <w:szCs w:val="22"/>
                <w:highlight w:val="none"/>
              </w:rPr>
              <w:t xml:space="preserve">  </w:t>
            </w:r>
            <w:r>
              <w:rPr>
                <w:rFonts w:hint="default"/>
                <w:color w:val="auto"/>
                <w:szCs w:val="22"/>
                <w:highlight w:val="none"/>
              </w:rPr>
              <w:t>注</w:t>
            </w:r>
          </w:p>
        </w:tc>
        <w:tc>
          <w:tcPr>
            <w:tcW w:w="4094" w:type="pct"/>
            <w:gridSpan w:val="7"/>
            <w:vAlign w:val="center"/>
          </w:tcPr>
          <w:p w14:paraId="3963409A">
            <w:pPr>
              <w:keepNext w:val="0"/>
              <w:keepLines w:val="0"/>
              <w:suppressLineNumbers w:val="0"/>
              <w:spacing w:before="0" w:beforeAutospacing="0" w:after="0" w:afterAutospacing="0" w:line="440" w:lineRule="exact"/>
              <w:ind w:left="0" w:right="0"/>
              <w:rPr>
                <w:rFonts w:hint="default"/>
                <w:color w:val="auto"/>
                <w:szCs w:val="22"/>
                <w:highlight w:val="none"/>
              </w:rPr>
            </w:pPr>
          </w:p>
        </w:tc>
      </w:tr>
    </w:tbl>
    <w:p w14:paraId="0C7BA61A">
      <w:pPr>
        <w:pStyle w:val="221"/>
        <w:spacing w:after="312" w:afterLines="100"/>
        <w:jc w:val="center"/>
        <w:outlineLvl w:val="9"/>
        <w:rPr>
          <w:rFonts w:hint="eastAsia"/>
          <w:b/>
          <w:bCs/>
          <w:color w:val="auto"/>
          <w:highlight w:val="none"/>
        </w:rPr>
      </w:pPr>
    </w:p>
    <w:p w14:paraId="01996796">
      <w:pPr>
        <w:spacing w:line="360" w:lineRule="auto"/>
        <w:ind w:firstLine="407" w:firstLineChars="135"/>
        <w:rPr>
          <w:rFonts w:hint="default" w:ascii="宋体" w:hAnsi="宋体" w:eastAsia="宋体" w:cs="宋体"/>
          <w:b/>
          <w:bCs/>
          <w:color w:val="auto"/>
          <w:sz w:val="30"/>
          <w:szCs w:val="30"/>
          <w:highlight w:val="none"/>
          <w:lang w:val="en-US" w:eastAsia="zh-CN"/>
        </w:rPr>
      </w:pPr>
    </w:p>
    <w:p w14:paraId="6C943793">
      <w:pPr>
        <w:autoSpaceDE w:val="0"/>
        <w:autoSpaceDN w:val="0"/>
        <w:adjustRightInd w:val="0"/>
        <w:spacing w:line="360" w:lineRule="auto"/>
        <w:ind w:right="781" w:rightChars="372" w:firstLine="2811" w:firstLineChars="1339"/>
        <w:rPr>
          <w:rFonts w:hint="eastAsia" w:ascii="宋体" w:hAnsi="宋体" w:eastAsia="宋体" w:cs="宋体"/>
          <w:color w:val="auto"/>
          <w:sz w:val="21"/>
          <w:szCs w:val="21"/>
          <w:highlight w:val="none"/>
          <w:lang w:val="zh-CN"/>
        </w:rPr>
      </w:pPr>
    </w:p>
    <w:p w14:paraId="1EBD7592">
      <w:pPr>
        <w:pStyle w:val="221"/>
        <w:numPr>
          <w:ilvl w:val="0"/>
          <w:numId w:val="0"/>
        </w:numPr>
        <w:jc w:val="center"/>
        <w:outlineLvl w:val="9"/>
        <w:rPr>
          <w:rFonts w:hint="eastAsia" w:ascii="宋体" w:hAnsi="宋体" w:eastAsia="宋体" w:cs="宋体"/>
          <w:b/>
          <w:color w:val="auto"/>
          <w:kern w:val="0"/>
          <w:sz w:val="32"/>
          <w:szCs w:val="32"/>
          <w:highlight w:val="none"/>
          <w:lang w:val="en-US" w:eastAsia="zh-CN"/>
        </w:rPr>
      </w:pPr>
    </w:p>
    <w:p w14:paraId="51F6E35D">
      <w:pPr>
        <w:jc w:val="cente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3FBA4FCB">
      <w:pPr>
        <w:spacing w:line="360" w:lineRule="auto"/>
        <w:jc w:val="center"/>
        <w:outlineLvl w:val="2"/>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4.9</w:t>
      </w:r>
      <w:r>
        <w:rPr>
          <w:rFonts w:hint="eastAsia" w:ascii="宋体" w:hAnsi="宋体" w:eastAsia="宋体" w:cs="宋体"/>
          <w:b/>
          <w:color w:val="auto"/>
          <w:kern w:val="0"/>
          <w:sz w:val="32"/>
          <w:szCs w:val="32"/>
          <w:highlight w:val="none"/>
          <w:lang w:eastAsia="zh-CN"/>
        </w:rPr>
        <w:t>供应商</w:t>
      </w:r>
      <w:r>
        <w:rPr>
          <w:rFonts w:hint="eastAsia" w:ascii="宋体" w:hAnsi="宋体" w:eastAsia="宋体" w:cs="宋体"/>
          <w:b/>
          <w:color w:val="auto"/>
          <w:kern w:val="0"/>
          <w:sz w:val="32"/>
          <w:szCs w:val="32"/>
          <w:highlight w:val="none"/>
        </w:rPr>
        <w:t>“东莞市工程质量检测监管平台”完成注册备案相关网页截图或中标后在7个工作日内完成备案的承诺函</w:t>
      </w:r>
    </w:p>
    <w:p w14:paraId="7C2FF632">
      <w:pPr>
        <w:autoSpaceDE w:val="0"/>
        <w:autoSpaceDN w:val="0"/>
        <w:adjustRightInd w:val="0"/>
        <w:spacing w:line="360" w:lineRule="auto"/>
        <w:jc w:val="center"/>
        <w:outlineLvl w:val="2"/>
        <w:rPr>
          <w:rFonts w:hint="default" w:ascii="宋体" w:hAnsi="宋体" w:eastAsia="宋体" w:cs="宋体"/>
          <w:b/>
          <w:color w:val="auto"/>
          <w:kern w:val="0"/>
          <w:sz w:val="32"/>
          <w:szCs w:val="32"/>
          <w:highlight w:val="none"/>
          <w:lang w:val="en-US" w:eastAsia="zh-CN"/>
        </w:rPr>
      </w:pPr>
      <w:r>
        <w:rPr>
          <w:rFonts w:hint="eastAsia" w:ascii="宋体" w:hAnsi="宋体" w:eastAsia="宋体" w:cs="宋体"/>
          <w:b/>
          <w:bCs w:val="0"/>
          <w:color w:val="auto"/>
          <w:kern w:val="0"/>
          <w:sz w:val="32"/>
          <w:szCs w:val="32"/>
          <w:highlight w:val="none"/>
        </w:rPr>
        <w:t>（</w:t>
      </w:r>
      <w:r>
        <w:rPr>
          <w:rFonts w:hint="eastAsia" w:ascii="宋体" w:hAnsi="宋体" w:eastAsia="宋体" w:cs="宋体"/>
          <w:b/>
          <w:bCs w:val="0"/>
          <w:color w:val="auto"/>
          <w:kern w:val="0"/>
          <w:sz w:val="32"/>
          <w:szCs w:val="32"/>
          <w:highlight w:val="none"/>
          <w:lang w:eastAsia="zh-CN"/>
        </w:rPr>
        <w:t>供应商</w:t>
      </w:r>
      <w:r>
        <w:rPr>
          <w:rFonts w:hint="eastAsia" w:ascii="宋体" w:hAnsi="宋体" w:eastAsia="宋体" w:cs="宋体"/>
          <w:b/>
          <w:bCs w:val="0"/>
          <w:color w:val="auto"/>
          <w:kern w:val="0"/>
          <w:sz w:val="32"/>
          <w:szCs w:val="32"/>
          <w:highlight w:val="none"/>
        </w:rPr>
        <w:t>自行拟定</w:t>
      </w:r>
      <w:r>
        <w:rPr>
          <w:rFonts w:hint="eastAsia" w:ascii="宋体" w:hAnsi="宋体" w:eastAsia="宋体" w:cs="宋体"/>
          <w:b/>
          <w:bCs w:val="0"/>
          <w:color w:val="auto"/>
          <w:kern w:val="0"/>
          <w:sz w:val="32"/>
          <w:szCs w:val="32"/>
          <w:highlight w:val="none"/>
          <w:lang w:eastAsia="zh-CN"/>
        </w:rPr>
        <w:t>，</w:t>
      </w:r>
      <w:r>
        <w:rPr>
          <w:rFonts w:hint="eastAsia" w:ascii="宋体" w:hAnsi="宋体" w:eastAsia="宋体" w:cs="宋体"/>
          <w:b/>
          <w:bCs w:val="0"/>
          <w:color w:val="auto"/>
          <w:kern w:val="0"/>
          <w:sz w:val="32"/>
          <w:szCs w:val="32"/>
          <w:highlight w:val="none"/>
          <w:lang w:val="en-US" w:eastAsia="zh-CN"/>
        </w:rPr>
        <w:t>加盖供应商公章）</w:t>
      </w:r>
    </w:p>
    <w:p w14:paraId="218D9562">
      <w:pPr>
        <w:rPr>
          <w:rFonts w:ascii="宋体" w:hAnsi="宋体" w:eastAsia="宋体" w:cs="宋体"/>
          <w:color w:val="auto"/>
          <w:szCs w:val="24"/>
          <w:highlight w:val="none"/>
          <w:lang w:val="zh-CN"/>
        </w:rPr>
      </w:pPr>
      <w:r>
        <w:rPr>
          <w:rFonts w:hint="eastAsia" w:ascii="宋体" w:hAnsi="宋体" w:eastAsia="宋体" w:cs="宋体"/>
          <w:b/>
          <w:color w:val="auto"/>
          <w:kern w:val="0"/>
          <w:sz w:val="32"/>
          <w:szCs w:val="32"/>
          <w:highlight w:val="none"/>
          <w:lang w:val="en-US" w:eastAsia="zh-CN"/>
        </w:rPr>
        <w:br w:type="page"/>
      </w:r>
    </w:p>
    <w:p w14:paraId="39462B39">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392" w:name="_Toc5053"/>
      <w:bookmarkStart w:id="393" w:name="_Toc18849"/>
      <w:bookmarkStart w:id="394" w:name="_Toc5475"/>
      <w:r>
        <w:rPr>
          <w:rFonts w:hint="eastAsia" w:ascii="宋体" w:hAnsi="宋体" w:eastAsia="宋体" w:cs="宋体"/>
          <w:b/>
          <w:color w:val="auto"/>
          <w:sz w:val="32"/>
          <w:szCs w:val="32"/>
          <w:highlight w:val="none"/>
          <w:lang w:val="zh-CN"/>
        </w:rPr>
        <w:t>五</w:t>
      </w:r>
      <w:r>
        <w:rPr>
          <w:rFonts w:hint="eastAsia" w:ascii="宋体" w:hAnsi="宋体" w:eastAsia="宋体" w:cs="宋体"/>
          <w:b/>
          <w:color w:val="auto"/>
          <w:kern w:val="0"/>
          <w:sz w:val="32"/>
          <w:szCs w:val="32"/>
          <w:highlight w:val="none"/>
        </w:rPr>
        <w:t>、供应商基本情况一览表</w:t>
      </w:r>
      <w:bookmarkEnd w:id="377"/>
      <w:bookmarkEnd w:id="378"/>
      <w:bookmarkEnd w:id="379"/>
      <w:bookmarkEnd w:id="380"/>
      <w:bookmarkEnd w:id="381"/>
      <w:bookmarkEnd w:id="382"/>
      <w:bookmarkEnd w:id="383"/>
      <w:bookmarkEnd w:id="384"/>
      <w:bookmarkEnd w:id="385"/>
      <w:bookmarkEnd w:id="386"/>
      <w:bookmarkEnd w:id="392"/>
      <w:bookmarkEnd w:id="393"/>
      <w:bookmarkEnd w:id="394"/>
    </w:p>
    <w:p w14:paraId="0292641A">
      <w:pPr>
        <w:autoSpaceDE w:val="0"/>
        <w:autoSpaceDN w:val="0"/>
        <w:adjustRightInd w:val="0"/>
        <w:spacing w:line="360" w:lineRule="auto"/>
        <w:jc w:val="center"/>
        <w:rPr>
          <w:rFonts w:ascii="宋体" w:hAnsi="宋体" w:eastAsia="宋体" w:cs="宋体"/>
          <w:b/>
          <w:bCs/>
          <w:color w:val="auto"/>
          <w:sz w:val="30"/>
          <w:szCs w:val="30"/>
          <w:highlight w:val="none"/>
        </w:rPr>
      </w:pPr>
      <w:bookmarkStart w:id="395" w:name="_Toc2773_WPSOffice_Level3"/>
      <w:r>
        <w:rPr>
          <w:rFonts w:hint="eastAsia" w:ascii="宋体" w:hAnsi="宋体" w:eastAsia="宋体" w:cs="宋体"/>
          <w:b/>
          <w:bCs/>
          <w:color w:val="auto"/>
          <w:sz w:val="30"/>
          <w:szCs w:val="30"/>
          <w:highlight w:val="none"/>
          <w:lang w:val="zh-CN"/>
        </w:rPr>
        <w:t>供应商基本情况一览表</w:t>
      </w:r>
      <w:bookmarkEnd w:id="395"/>
    </w:p>
    <w:p w14:paraId="143DF8BE">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6D013FF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（1）响应供应商名称：________________________________________</w:t>
      </w:r>
    </w:p>
    <w:p w14:paraId="672BB89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69F7292F">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5E8A4F3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2141ED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D2777D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550C7A6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6ED744A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403167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622A2EB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975F18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F90CA5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74B6113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251FC6F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6027FD1B">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397BAB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7775948D">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3A8BA846">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32956221">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4921040C">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0146FED">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2024348E">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5E96A22A">
      <w:pPr>
        <w:autoSpaceDE w:val="0"/>
        <w:autoSpaceDN w:val="0"/>
        <w:adjustRightInd w:val="0"/>
        <w:spacing w:line="360" w:lineRule="auto"/>
        <w:ind w:firstLine="420" w:firstLineChars="200"/>
        <w:rPr>
          <w:rFonts w:ascii="宋体" w:hAnsi="宋体" w:eastAsia="宋体" w:cs="宋体"/>
          <w:color w:val="auto"/>
          <w:szCs w:val="24"/>
          <w:highlight w:val="none"/>
        </w:rPr>
      </w:pPr>
    </w:p>
    <w:p w14:paraId="14150E5A">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响应供应商</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（加盖响应供应商法人公章）</w:t>
      </w:r>
    </w:p>
    <w:p w14:paraId="69B2737D">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40ADCA5">
      <w:pPr>
        <w:rPr>
          <w:rFonts w:hint="eastAsia" w:ascii="宋体" w:hAnsi="宋体" w:eastAsia="宋体" w:cs="宋体"/>
          <w:b/>
          <w:color w:val="auto"/>
          <w:kern w:val="0"/>
          <w:sz w:val="32"/>
          <w:szCs w:val="32"/>
          <w:highlight w:val="none"/>
          <w:lang w:val="zh-CN"/>
        </w:rPr>
      </w:pPr>
      <w:bookmarkStart w:id="396" w:name="_Toc486167716"/>
      <w:bookmarkStart w:id="397" w:name="_Toc533708130"/>
      <w:bookmarkStart w:id="398" w:name="_Toc94107217"/>
      <w:bookmarkStart w:id="399" w:name="_Toc1977736"/>
      <w:bookmarkStart w:id="400" w:name="_Toc140596936"/>
      <w:bookmarkStart w:id="401" w:name="_Toc104991883"/>
      <w:bookmarkStart w:id="402" w:name="_Toc102860081"/>
      <w:bookmarkStart w:id="403" w:name="_Toc160099517"/>
      <w:bookmarkStart w:id="404" w:name="_Toc102860425"/>
      <w:bookmarkStart w:id="405" w:name="_Toc739_WPSOffice_Level2"/>
    </w:p>
    <w:p w14:paraId="5D4476F9">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1913CAE3">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406" w:name="_Toc31770"/>
      <w:bookmarkStart w:id="407" w:name="_Toc24129"/>
      <w:bookmarkStart w:id="408" w:name="_Toc8715"/>
      <w:r>
        <w:rPr>
          <w:rFonts w:hint="eastAsia" w:ascii="宋体" w:hAnsi="宋体" w:eastAsia="宋体" w:cs="宋体"/>
          <w:b/>
          <w:color w:val="auto"/>
          <w:kern w:val="0"/>
          <w:sz w:val="32"/>
          <w:szCs w:val="32"/>
          <w:highlight w:val="none"/>
          <w:lang w:val="en-US" w:eastAsia="zh-CN"/>
        </w:rPr>
        <w:t>六、</w:t>
      </w:r>
      <w:r>
        <w:rPr>
          <w:rFonts w:hint="eastAsia" w:ascii="宋体" w:hAnsi="宋体" w:eastAsia="宋体" w:cs="宋体"/>
          <w:b/>
          <w:color w:val="auto"/>
          <w:kern w:val="0"/>
          <w:sz w:val="32"/>
          <w:szCs w:val="32"/>
          <w:highlight w:val="none"/>
          <w:lang w:val="zh-CN"/>
        </w:rPr>
        <w:t>合同条款偏离表格式</w:t>
      </w:r>
      <w:bookmarkEnd w:id="396"/>
      <w:bookmarkEnd w:id="397"/>
      <w:bookmarkEnd w:id="398"/>
      <w:bookmarkEnd w:id="399"/>
      <w:bookmarkEnd w:id="400"/>
      <w:bookmarkEnd w:id="401"/>
      <w:bookmarkEnd w:id="402"/>
      <w:bookmarkEnd w:id="403"/>
      <w:bookmarkEnd w:id="404"/>
      <w:bookmarkEnd w:id="405"/>
      <w:bookmarkEnd w:id="406"/>
      <w:bookmarkEnd w:id="407"/>
      <w:bookmarkEnd w:id="408"/>
    </w:p>
    <w:p w14:paraId="22CBE98B">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409" w:name="_Toc26412_WPSOffice_Level3"/>
      <w:r>
        <w:rPr>
          <w:rFonts w:hint="eastAsia" w:ascii="宋体" w:hAnsi="宋体" w:eastAsia="宋体" w:cs="宋体"/>
          <w:b/>
          <w:bCs/>
          <w:color w:val="auto"/>
          <w:kern w:val="0"/>
          <w:sz w:val="28"/>
          <w:szCs w:val="30"/>
          <w:highlight w:val="none"/>
          <w:lang w:val="zh-CN"/>
        </w:rPr>
        <w:t>东莞市大朗蔡边水质净化厂工程第三方检测（不含基桩完整性检测）</w:t>
      </w:r>
    </w:p>
    <w:p w14:paraId="32296F38">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409"/>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1366"/>
        <w:gridCol w:w="2936"/>
        <w:gridCol w:w="1293"/>
        <w:gridCol w:w="3384"/>
      </w:tblGrid>
      <w:tr w14:paraId="0F08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1" w:type="pct"/>
            <w:vMerge w:val="restart"/>
            <w:vAlign w:val="center"/>
          </w:tcPr>
          <w:p w14:paraId="405B2A1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序号</w:t>
            </w:r>
          </w:p>
        </w:tc>
        <w:tc>
          <w:tcPr>
            <w:tcW w:w="2160" w:type="pct"/>
            <w:gridSpan w:val="2"/>
            <w:vAlign w:val="center"/>
          </w:tcPr>
          <w:p w14:paraId="64E8572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谈判文件要求</w:t>
            </w:r>
          </w:p>
        </w:tc>
        <w:tc>
          <w:tcPr>
            <w:tcW w:w="2348" w:type="pct"/>
            <w:gridSpan w:val="2"/>
            <w:vAlign w:val="center"/>
          </w:tcPr>
          <w:p w14:paraId="61F8191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响应文件内容</w:t>
            </w:r>
          </w:p>
        </w:tc>
      </w:tr>
      <w:tr w14:paraId="6D44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1" w:type="pct"/>
            <w:vMerge w:val="continue"/>
            <w:vAlign w:val="center"/>
          </w:tcPr>
          <w:p w14:paraId="4FFFD92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686" w:type="pct"/>
            <w:vAlign w:val="center"/>
          </w:tcPr>
          <w:p w14:paraId="2A32F23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条款号</w:t>
            </w:r>
          </w:p>
        </w:tc>
        <w:tc>
          <w:tcPr>
            <w:tcW w:w="1473" w:type="pct"/>
            <w:vAlign w:val="center"/>
          </w:tcPr>
          <w:p w14:paraId="4AD4C9D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简要内容</w:t>
            </w:r>
          </w:p>
        </w:tc>
        <w:tc>
          <w:tcPr>
            <w:tcW w:w="649" w:type="pct"/>
            <w:vAlign w:val="center"/>
          </w:tcPr>
          <w:p w14:paraId="35E7EF9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偏离情况</w:t>
            </w:r>
          </w:p>
        </w:tc>
        <w:tc>
          <w:tcPr>
            <w:tcW w:w="1699" w:type="pct"/>
            <w:vAlign w:val="center"/>
          </w:tcPr>
          <w:p w14:paraId="4313979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具体偏离内容</w:t>
            </w:r>
          </w:p>
        </w:tc>
      </w:tr>
      <w:tr w14:paraId="5A54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48453F3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w:t>
            </w:r>
          </w:p>
        </w:tc>
        <w:tc>
          <w:tcPr>
            <w:tcW w:w="686" w:type="pct"/>
            <w:vAlign w:val="center"/>
          </w:tcPr>
          <w:p w14:paraId="6656ABD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第一条</w:t>
            </w:r>
          </w:p>
        </w:tc>
        <w:tc>
          <w:tcPr>
            <w:tcW w:w="1473" w:type="pct"/>
            <w:vAlign w:val="center"/>
          </w:tcPr>
          <w:p w14:paraId="43470D9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工程</w:t>
            </w:r>
            <w:r>
              <w:rPr>
                <w:rFonts w:hint="eastAsia" w:ascii="宋体" w:hAnsi="宋体" w:eastAsia="宋体" w:cs="宋体"/>
                <w:b w:val="0"/>
                <w:bCs w:val="0"/>
                <w:color w:val="auto"/>
                <w:kern w:val="0"/>
                <w:szCs w:val="21"/>
                <w:highlight w:val="none"/>
              </w:rPr>
              <w:t>概况</w:t>
            </w:r>
          </w:p>
        </w:tc>
        <w:tc>
          <w:tcPr>
            <w:tcW w:w="649" w:type="pct"/>
            <w:vAlign w:val="center"/>
          </w:tcPr>
          <w:p w14:paraId="7A4D1EF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351550B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5599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783081E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w:t>
            </w:r>
          </w:p>
        </w:tc>
        <w:tc>
          <w:tcPr>
            <w:tcW w:w="686" w:type="pct"/>
            <w:vAlign w:val="center"/>
          </w:tcPr>
          <w:p w14:paraId="3182456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第二条</w:t>
            </w:r>
          </w:p>
        </w:tc>
        <w:tc>
          <w:tcPr>
            <w:tcW w:w="1473" w:type="pct"/>
            <w:vAlign w:val="center"/>
          </w:tcPr>
          <w:p w14:paraId="4149BD0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rPr>
              <w:t>检测内容</w:t>
            </w:r>
          </w:p>
        </w:tc>
        <w:tc>
          <w:tcPr>
            <w:tcW w:w="649" w:type="pct"/>
            <w:vAlign w:val="center"/>
          </w:tcPr>
          <w:p w14:paraId="173C11C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1ADDDFD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093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76EF08A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3</w:t>
            </w:r>
          </w:p>
        </w:tc>
        <w:tc>
          <w:tcPr>
            <w:tcW w:w="686" w:type="pct"/>
            <w:vAlign w:val="center"/>
          </w:tcPr>
          <w:p w14:paraId="0A4AC6A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第三条</w:t>
            </w:r>
          </w:p>
        </w:tc>
        <w:tc>
          <w:tcPr>
            <w:tcW w:w="1473" w:type="pct"/>
            <w:vAlign w:val="center"/>
          </w:tcPr>
          <w:p w14:paraId="2364320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rPr>
              <w:t>检测数量</w:t>
            </w:r>
          </w:p>
        </w:tc>
        <w:tc>
          <w:tcPr>
            <w:tcW w:w="649" w:type="pct"/>
            <w:vAlign w:val="center"/>
          </w:tcPr>
          <w:p w14:paraId="4DF2B9C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6B4B0F6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2779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8E1591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4</w:t>
            </w:r>
          </w:p>
        </w:tc>
        <w:tc>
          <w:tcPr>
            <w:tcW w:w="686" w:type="pct"/>
            <w:vAlign w:val="center"/>
          </w:tcPr>
          <w:p w14:paraId="73D7E48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第四条</w:t>
            </w:r>
          </w:p>
        </w:tc>
        <w:tc>
          <w:tcPr>
            <w:tcW w:w="1473" w:type="pct"/>
            <w:vAlign w:val="center"/>
          </w:tcPr>
          <w:p w14:paraId="3B8167E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rPr>
              <w:t>检测依据（如有新规范，以新的为准）</w:t>
            </w:r>
          </w:p>
        </w:tc>
        <w:tc>
          <w:tcPr>
            <w:tcW w:w="649" w:type="pct"/>
            <w:vAlign w:val="center"/>
          </w:tcPr>
          <w:p w14:paraId="7A7DA5A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06FBA03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03AD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54F0923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5</w:t>
            </w:r>
          </w:p>
        </w:tc>
        <w:tc>
          <w:tcPr>
            <w:tcW w:w="686" w:type="pct"/>
            <w:vAlign w:val="center"/>
          </w:tcPr>
          <w:p w14:paraId="6BD8E18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第五条</w:t>
            </w:r>
          </w:p>
        </w:tc>
        <w:tc>
          <w:tcPr>
            <w:tcW w:w="1473" w:type="pct"/>
            <w:vAlign w:val="center"/>
          </w:tcPr>
          <w:p w14:paraId="36D6A0E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rPr>
              <w:t>检测费用支付方式</w:t>
            </w:r>
          </w:p>
        </w:tc>
        <w:tc>
          <w:tcPr>
            <w:tcW w:w="649" w:type="pct"/>
            <w:vAlign w:val="center"/>
          </w:tcPr>
          <w:p w14:paraId="47BDB3E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3A61695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327C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7CB64F5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6</w:t>
            </w:r>
          </w:p>
        </w:tc>
        <w:tc>
          <w:tcPr>
            <w:tcW w:w="686" w:type="pct"/>
            <w:vAlign w:val="center"/>
          </w:tcPr>
          <w:p w14:paraId="589BDEE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第六条</w:t>
            </w:r>
          </w:p>
        </w:tc>
        <w:tc>
          <w:tcPr>
            <w:tcW w:w="1473" w:type="pct"/>
            <w:vAlign w:val="center"/>
          </w:tcPr>
          <w:p w14:paraId="5640628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rPr>
              <w:t>双方权利及义务</w:t>
            </w:r>
          </w:p>
        </w:tc>
        <w:tc>
          <w:tcPr>
            <w:tcW w:w="649" w:type="pct"/>
            <w:vAlign w:val="center"/>
          </w:tcPr>
          <w:p w14:paraId="413BDB1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7D916F9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250D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E1EDE9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7</w:t>
            </w:r>
          </w:p>
        </w:tc>
        <w:tc>
          <w:tcPr>
            <w:tcW w:w="686" w:type="pct"/>
            <w:vAlign w:val="center"/>
          </w:tcPr>
          <w:p w14:paraId="6484356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第七条</w:t>
            </w:r>
          </w:p>
        </w:tc>
        <w:tc>
          <w:tcPr>
            <w:tcW w:w="1473" w:type="pct"/>
            <w:vAlign w:val="center"/>
          </w:tcPr>
          <w:p w14:paraId="223AFC3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rPr>
              <w:t>成果要求</w:t>
            </w:r>
          </w:p>
        </w:tc>
        <w:tc>
          <w:tcPr>
            <w:tcW w:w="649" w:type="pct"/>
            <w:vAlign w:val="center"/>
          </w:tcPr>
          <w:p w14:paraId="4931E63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0F79E9C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3751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4B37D1B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8</w:t>
            </w:r>
          </w:p>
        </w:tc>
        <w:tc>
          <w:tcPr>
            <w:tcW w:w="686" w:type="pct"/>
            <w:vAlign w:val="center"/>
          </w:tcPr>
          <w:p w14:paraId="61C15F9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第八条</w:t>
            </w:r>
          </w:p>
        </w:tc>
        <w:tc>
          <w:tcPr>
            <w:tcW w:w="1473" w:type="pct"/>
            <w:vAlign w:val="center"/>
          </w:tcPr>
          <w:p w14:paraId="444B3FE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rPr>
              <w:t>质量控制标准</w:t>
            </w:r>
          </w:p>
        </w:tc>
        <w:tc>
          <w:tcPr>
            <w:tcW w:w="649" w:type="pct"/>
            <w:vAlign w:val="center"/>
          </w:tcPr>
          <w:p w14:paraId="05303A5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4427B40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17AD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DFCD98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9</w:t>
            </w:r>
          </w:p>
        </w:tc>
        <w:tc>
          <w:tcPr>
            <w:tcW w:w="686" w:type="pct"/>
            <w:vAlign w:val="center"/>
          </w:tcPr>
          <w:p w14:paraId="1ACF3D2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第九条</w:t>
            </w:r>
          </w:p>
        </w:tc>
        <w:tc>
          <w:tcPr>
            <w:tcW w:w="1473" w:type="pct"/>
            <w:vAlign w:val="center"/>
          </w:tcPr>
          <w:p w14:paraId="2BFCE1D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rPr>
              <w:t>人员及设备要求</w:t>
            </w:r>
          </w:p>
        </w:tc>
        <w:tc>
          <w:tcPr>
            <w:tcW w:w="649" w:type="pct"/>
            <w:vAlign w:val="center"/>
          </w:tcPr>
          <w:p w14:paraId="7A02E12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24450A6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2F19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C2F230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10</w:t>
            </w:r>
          </w:p>
        </w:tc>
        <w:tc>
          <w:tcPr>
            <w:tcW w:w="686" w:type="pct"/>
            <w:vAlign w:val="center"/>
          </w:tcPr>
          <w:p w14:paraId="325568E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第十条</w:t>
            </w:r>
          </w:p>
        </w:tc>
        <w:tc>
          <w:tcPr>
            <w:tcW w:w="1473" w:type="pct"/>
            <w:vAlign w:val="center"/>
          </w:tcPr>
          <w:p w14:paraId="6AD011A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违约责任</w:t>
            </w:r>
          </w:p>
        </w:tc>
        <w:tc>
          <w:tcPr>
            <w:tcW w:w="649" w:type="pct"/>
            <w:vAlign w:val="center"/>
          </w:tcPr>
          <w:p w14:paraId="2F6E597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6CDF3A7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5C8D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C7BF95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11</w:t>
            </w:r>
          </w:p>
        </w:tc>
        <w:tc>
          <w:tcPr>
            <w:tcW w:w="686" w:type="pct"/>
            <w:vAlign w:val="center"/>
          </w:tcPr>
          <w:p w14:paraId="6349BB1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第十一条</w:t>
            </w:r>
          </w:p>
        </w:tc>
        <w:tc>
          <w:tcPr>
            <w:tcW w:w="1473" w:type="pct"/>
            <w:vAlign w:val="center"/>
          </w:tcPr>
          <w:p w14:paraId="03E7608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rPr>
              <w:t>履约担保</w:t>
            </w:r>
          </w:p>
        </w:tc>
        <w:tc>
          <w:tcPr>
            <w:tcW w:w="649" w:type="pct"/>
            <w:vAlign w:val="center"/>
          </w:tcPr>
          <w:p w14:paraId="2EE53FF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1E994A7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7A62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3A2EBB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12</w:t>
            </w:r>
          </w:p>
        </w:tc>
        <w:tc>
          <w:tcPr>
            <w:tcW w:w="686" w:type="pct"/>
            <w:vAlign w:val="center"/>
          </w:tcPr>
          <w:p w14:paraId="653F97A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第十二条</w:t>
            </w:r>
          </w:p>
        </w:tc>
        <w:tc>
          <w:tcPr>
            <w:tcW w:w="1473" w:type="pct"/>
            <w:vAlign w:val="center"/>
          </w:tcPr>
          <w:p w14:paraId="3F93F74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rPr>
              <w:t>其他约定</w:t>
            </w:r>
          </w:p>
        </w:tc>
        <w:tc>
          <w:tcPr>
            <w:tcW w:w="649" w:type="pct"/>
            <w:vAlign w:val="center"/>
          </w:tcPr>
          <w:p w14:paraId="4488EA7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7D428EC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23CF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3BCB699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13</w:t>
            </w:r>
          </w:p>
        </w:tc>
        <w:tc>
          <w:tcPr>
            <w:tcW w:w="686" w:type="pct"/>
            <w:vAlign w:val="center"/>
          </w:tcPr>
          <w:p w14:paraId="6C2E245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val="en-US"/>
              </w:rPr>
            </w:pPr>
            <w:r>
              <w:rPr>
                <w:rFonts w:hint="eastAsia" w:ascii="宋体" w:hAnsi="宋体" w:eastAsia="宋体" w:cs="宋体"/>
                <w:b w:val="0"/>
                <w:bCs w:val="0"/>
                <w:color w:val="auto"/>
                <w:kern w:val="0"/>
                <w:szCs w:val="21"/>
                <w:highlight w:val="none"/>
              </w:rPr>
              <w:t>第十</w:t>
            </w:r>
            <w:r>
              <w:rPr>
                <w:rFonts w:hint="eastAsia" w:ascii="宋体" w:hAnsi="宋体" w:eastAsia="宋体" w:cs="宋体"/>
                <w:b w:val="0"/>
                <w:bCs w:val="0"/>
                <w:color w:val="auto"/>
                <w:kern w:val="0"/>
                <w:szCs w:val="21"/>
                <w:highlight w:val="none"/>
                <w:lang w:eastAsia="zh-CN"/>
              </w:rPr>
              <w:t>三</w:t>
            </w:r>
            <w:r>
              <w:rPr>
                <w:rFonts w:hint="eastAsia" w:ascii="宋体" w:hAnsi="宋体" w:eastAsia="宋体" w:cs="宋体"/>
                <w:b w:val="0"/>
                <w:bCs w:val="0"/>
                <w:color w:val="auto"/>
                <w:kern w:val="0"/>
                <w:szCs w:val="21"/>
                <w:highlight w:val="none"/>
              </w:rPr>
              <w:t>条</w:t>
            </w:r>
          </w:p>
        </w:tc>
        <w:tc>
          <w:tcPr>
            <w:tcW w:w="1473" w:type="pct"/>
            <w:vAlign w:val="center"/>
          </w:tcPr>
          <w:p w14:paraId="3010C21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val="en-US"/>
              </w:rPr>
            </w:pPr>
            <w:r>
              <w:rPr>
                <w:rFonts w:hint="eastAsia" w:ascii="宋体" w:hAnsi="宋体" w:eastAsia="宋体" w:cs="宋体"/>
                <w:b w:val="0"/>
                <w:bCs w:val="0"/>
                <w:color w:val="auto"/>
                <w:sz w:val="21"/>
                <w:szCs w:val="21"/>
                <w:highlight w:val="none"/>
              </w:rPr>
              <w:t>附则</w:t>
            </w:r>
          </w:p>
        </w:tc>
        <w:tc>
          <w:tcPr>
            <w:tcW w:w="649" w:type="pct"/>
            <w:vAlign w:val="center"/>
          </w:tcPr>
          <w:p w14:paraId="79D461D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lang w:val="en-US"/>
              </w:rPr>
            </w:pPr>
          </w:p>
        </w:tc>
        <w:tc>
          <w:tcPr>
            <w:tcW w:w="1699" w:type="pct"/>
            <w:vAlign w:val="center"/>
          </w:tcPr>
          <w:p w14:paraId="0BF5371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lang w:val="en-US"/>
              </w:rPr>
            </w:pPr>
          </w:p>
        </w:tc>
      </w:tr>
      <w:tr w14:paraId="4A26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3BC41EE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14</w:t>
            </w:r>
          </w:p>
        </w:tc>
        <w:tc>
          <w:tcPr>
            <w:tcW w:w="686" w:type="pct"/>
            <w:vAlign w:val="center"/>
          </w:tcPr>
          <w:p w14:paraId="4E75BE4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eastAsia="zh-CN"/>
              </w:rPr>
            </w:pPr>
            <w:r>
              <w:rPr>
                <w:rFonts w:hint="eastAsia" w:ascii="宋体" w:hAnsi="宋体" w:eastAsia="宋体" w:cs="宋体"/>
                <w:b w:val="0"/>
                <w:bCs w:val="0"/>
                <w:color w:val="auto"/>
                <w:kern w:val="0"/>
                <w:szCs w:val="21"/>
                <w:highlight w:val="none"/>
                <w:lang w:val="en-US" w:eastAsia="zh-CN"/>
              </w:rPr>
              <w:t>第十四条</w:t>
            </w:r>
          </w:p>
        </w:tc>
        <w:tc>
          <w:tcPr>
            <w:tcW w:w="1473" w:type="pct"/>
            <w:vAlign w:val="center"/>
          </w:tcPr>
          <w:p w14:paraId="4160F34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rPr>
              <w:t>合同争议</w:t>
            </w:r>
          </w:p>
        </w:tc>
        <w:tc>
          <w:tcPr>
            <w:tcW w:w="649" w:type="pct"/>
            <w:vAlign w:val="center"/>
          </w:tcPr>
          <w:p w14:paraId="07752C7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2B69CD8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6FE7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3BE94D3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15</w:t>
            </w:r>
          </w:p>
        </w:tc>
        <w:tc>
          <w:tcPr>
            <w:tcW w:w="686" w:type="pct"/>
            <w:vAlign w:val="center"/>
          </w:tcPr>
          <w:p w14:paraId="1960D20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eastAsia="zh-CN"/>
              </w:rPr>
            </w:pPr>
            <w:r>
              <w:rPr>
                <w:rFonts w:hint="eastAsia" w:ascii="宋体" w:hAnsi="宋体" w:eastAsia="宋体" w:cs="宋体"/>
                <w:b w:val="0"/>
                <w:bCs w:val="0"/>
                <w:color w:val="auto"/>
                <w:kern w:val="0"/>
                <w:szCs w:val="21"/>
                <w:highlight w:val="none"/>
                <w:lang w:val="en-US" w:eastAsia="zh-CN"/>
              </w:rPr>
              <w:t>第十五条</w:t>
            </w:r>
          </w:p>
        </w:tc>
        <w:tc>
          <w:tcPr>
            <w:tcW w:w="1473" w:type="pct"/>
            <w:vAlign w:val="center"/>
          </w:tcPr>
          <w:p w14:paraId="204772F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eastAsia="zh-CN"/>
              </w:rPr>
            </w:pPr>
            <w:r>
              <w:rPr>
                <w:rFonts w:hint="eastAsia" w:ascii="宋体" w:hAnsi="宋体" w:eastAsia="宋体" w:cs="宋体"/>
                <w:b w:val="0"/>
                <w:bCs w:val="0"/>
                <w:color w:val="auto"/>
                <w:sz w:val="21"/>
                <w:szCs w:val="21"/>
                <w:highlight w:val="none"/>
              </w:rPr>
              <w:t>合同生效</w:t>
            </w:r>
          </w:p>
        </w:tc>
        <w:tc>
          <w:tcPr>
            <w:tcW w:w="649" w:type="pct"/>
            <w:vAlign w:val="center"/>
          </w:tcPr>
          <w:p w14:paraId="04ACFB5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6E7188B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3597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AB0DA3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eastAsia="zh-CN"/>
              </w:rPr>
            </w:pPr>
            <w:r>
              <w:rPr>
                <w:rFonts w:hint="eastAsia" w:ascii="宋体" w:hAnsi="宋体" w:eastAsia="宋体" w:cs="宋体"/>
                <w:b w:val="0"/>
                <w:bCs w:val="0"/>
                <w:color w:val="auto"/>
                <w:kern w:val="0"/>
                <w:szCs w:val="21"/>
                <w:highlight w:val="none"/>
                <w:lang w:val="en-US" w:eastAsia="zh-CN"/>
              </w:rPr>
              <w:t>16</w:t>
            </w:r>
          </w:p>
        </w:tc>
        <w:tc>
          <w:tcPr>
            <w:tcW w:w="686" w:type="pct"/>
            <w:vAlign w:val="center"/>
          </w:tcPr>
          <w:p w14:paraId="554F717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第十六条</w:t>
            </w:r>
          </w:p>
        </w:tc>
        <w:tc>
          <w:tcPr>
            <w:tcW w:w="1473" w:type="pct"/>
            <w:vAlign w:val="center"/>
          </w:tcPr>
          <w:p w14:paraId="2EB890E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rPr>
              <w:t>合同份数</w:t>
            </w:r>
          </w:p>
        </w:tc>
        <w:tc>
          <w:tcPr>
            <w:tcW w:w="649" w:type="pct"/>
            <w:vAlign w:val="center"/>
          </w:tcPr>
          <w:p w14:paraId="616499F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1C5E969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2E75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3B4ECC6C">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eastAsia="zh-CN"/>
              </w:rPr>
            </w:pPr>
            <w:r>
              <w:rPr>
                <w:rFonts w:hint="eastAsia" w:ascii="宋体" w:hAnsi="宋体" w:eastAsia="宋体" w:cs="宋体"/>
                <w:b w:val="0"/>
                <w:bCs w:val="0"/>
                <w:color w:val="auto"/>
                <w:kern w:val="0"/>
                <w:szCs w:val="21"/>
                <w:highlight w:val="none"/>
                <w:lang w:val="en-US" w:eastAsia="zh-CN"/>
              </w:rPr>
              <w:t>17</w:t>
            </w:r>
          </w:p>
        </w:tc>
        <w:tc>
          <w:tcPr>
            <w:tcW w:w="686" w:type="pct"/>
            <w:vAlign w:val="center"/>
          </w:tcPr>
          <w:p w14:paraId="5461EBC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附件</w:t>
            </w:r>
            <w:r>
              <w:rPr>
                <w:rFonts w:hint="eastAsia" w:ascii="宋体" w:hAnsi="宋体" w:eastAsia="宋体" w:cs="宋体"/>
                <w:b w:val="0"/>
                <w:bCs w:val="0"/>
                <w:color w:val="auto"/>
                <w:kern w:val="0"/>
                <w:szCs w:val="21"/>
                <w:highlight w:val="none"/>
                <w:lang w:eastAsia="zh-CN"/>
              </w:rPr>
              <w:t>一</w:t>
            </w:r>
          </w:p>
        </w:tc>
        <w:tc>
          <w:tcPr>
            <w:tcW w:w="1473" w:type="pct"/>
            <w:vAlign w:val="center"/>
          </w:tcPr>
          <w:p w14:paraId="6604611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rPr>
              <w:t>《工程量清单计价表》</w:t>
            </w:r>
          </w:p>
        </w:tc>
        <w:tc>
          <w:tcPr>
            <w:tcW w:w="649" w:type="pct"/>
            <w:vAlign w:val="center"/>
          </w:tcPr>
          <w:p w14:paraId="3E03151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5C8AAD5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5E4B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ABB2C5F">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eastAsia="zh-CN"/>
              </w:rPr>
            </w:pPr>
            <w:r>
              <w:rPr>
                <w:rFonts w:hint="eastAsia" w:ascii="宋体" w:hAnsi="宋体" w:eastAsia="宋体" w:cs="宋体"/>
                <w:b w:val="0"/>
                <w:bCs w:val="0"/>
                <w:color w:val="auto"/>
                <w:kern w:val="0"/>
                <w:szCs w:val="21"/>
                <w:highlight w:val="none"/>
                <w:lang w:val="en-US" w:eastAsia="zh-CN"/>
              </w:rPr>
              <w:t>18</w:t>
            </w:r>
          </w:p>
        </w:tc>
        <w:tc>
          <w:tcPr>
            <w:tcW w:w="686" w:type="pct"/>
            <w:vAlign w:val="center"/>
          </w:tcPr>
          <w:p w14:paraId="53637F2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eastAsia="zh-CN"/>
              </w:rPr>
              <w:t>附件二</w:t>
            </w:r>
          </w:p>
        </w:tc>
        <w:tc>
          <w:tcPr>
            <w:tcW w:w="1473" w:type="pct"/>
            <w:vAlign w:val="center"/>
          </w:tcPr>
          <w:p w14:paraId="7A39FD5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eastAsia="zh-CN"/>
              </w:rPr>
              <w:t>廉洁协议书</w:t>
            </w:r>
          </w:p>
        </w:tc>
        <w:tc>
          <w:tcPr>
            <w:tcW w:w="649" w:type="pct"/>
            <w:vAlign w:val="center"/>
          </w:tcPr>
          <w:p w14:paraId="7440BDC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4BCAA46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4452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67BB183">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19</w:t>
            </w:r>
          </w:p>
        </w:tc>
        <w:tc>
          <w:tcPr>
            <w:tcW w:w="686" w:type="pct"/>
            <w:vAlign w:val="center"/>
          </w:tcPr>
          <w:p w14:paraId="50051A74">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eastAsia="zh-CN"/>
              </w:rPr>
              <w:t>附件三</w:t>
            </w:r>
          </w:p>
        </w:tc>
        <w:tc>
          <w:tcPr>
            <w:tcW w:w="1473" w:type="pct"/>
            <w:vAlign w:val="center"/>
          </w:tcPr>
          <w:p w14:paraId="2A9240B0">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rPr>
              <w:t>安全生产责任书</w:t>
            </w:r>
          </w:p>
        </w:tc>
        <w:tc>
          <w:tcPr>
            <w:tcW w:w="649" w:type="pct"/>
            <w:vAlign w:val="center"/>
          </w:tcPr>
          <w:p w14:paraId="0D2D256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32C1064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0719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38D1B544">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20</w:t>
            </w:r>
          </w:p>
        </w:tc>
        <w:tc>
          <w:tcPr>
            <w:tcW w:w="686" w:type="pct"/>
            <w:vAlign w:val="center"/>
          </w:tcPr>
          <w:p w14:paraId="3BE9243E">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eastAsia="zh-CN"/>
              </w:rPr>
              <w:t>附件</w:t>
            </w:r>
            <w:r>
              <w:rPr>
                <w:rFonts w:hint="eastAsia" w:ascii="宋体" w:hAnsi="宋体" w:eastAsia="宋体" w:cs="宋体"/>
                <w:b w:val="0"/>
                <w:bCs w:val="0"/>
                <w:color w:val="auto"/>
                <w:kern w:val="0"/>
                <w:szCs w:val="21"/>
                <w:highlight w:val="none"/>
                <w:lang w:val="en-US" w:eastAsia="zh-CN"/>
              </w:rPr>
              <w:t>四</w:t>
            </w:r>
          </w:p>
        </w:tc>
        <w:tc>
          <w:tcPr>
            <w:tcW w:w="1473" w:type="pct"/>
            <w:vAlign w:val="center"/>
          </w:tcPr>
          <w:p w14:paraId="383E092B">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rPr>
              <w:t>诚信履约承诺书</w:t>
            </w:r>
          </w:p>
        </w:tc>
        <w:tc>
          <w:tcPr>
            <w:tcW w:w="649" w:type="pct"/>
            <w:vAlign w:val="center"/>
          </w:tcPr>
          <w:p w14:paraId="5E2FF2A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2A80464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40C0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37792997">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21</w:t>
            </w:r>
          </w:p>
        </w:tc>
        <w:tc>
          <w:tcPr>
            <w:tcW w:w="686" w:type="pct"/>
            <w:vAlign w:val="center"/>
          </w:tcPr>
          <w:p w14:paraId="510A9638">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eastAsia="zh-CN"/>
              </w:rPr>
              <w:t>附件</w:t>
            </w:r>
            <w:r>
              <w:rPr>
                <w:rFonts w:hint="eastAsia" w:ascii="宋体" w:hAnsi="宋体" w:eastAsia="宋体" w:cs="宋体"/>
                <w:b w:val="0"/>
                <w:bCs w:val="0"/>
                <w:color w:val="auto"/>
                <w:kern w:val="0"/>
                <w:szCs w:val="21"/>
                <w:highlight w:val="none"/>
                <w:lang w:val="en-US" w:eastAsia="zh-CN"/>
              </w:rPr>
              <w:t>五</w:t>
            </w:r>
          </w:p>
        </w:tc>
        <w:tc>
          <w:tcPr>
            <w:tcW w:w="1473" w:type="pct"/>
            <w:vAlign w:val="center"/>
          </w:tcPr>
          <w:p w14:paraId="16573758">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rPr>
              <w:t>检测单位履约考核评分表</w:t>
            </w:r>
          </w:p>
        </w:tc>
        <w:tc>
          <w:tcPr>
            <w:tcW w:w="649" w:type="pct"/>
            <w:vAlign w:val="center"/>
          </w:tcPr>
          <w:p w14:paraId="27D4FA9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6EE3697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0F42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613CF847">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22</w:t>
            </w:r>
          </w:p>
        </w:tc>
        <w:tc>
          <w:tcPr>
            <w:tcW w:w="686" w:type="pct"/>
            <w:vAlign w:val="center"/>
          </w:tcPr>
          <w:p w14:paraId="4C82893C">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eastAsia="zh-CN"/>
              </w:rPr>
              <w:t>附件</w:t>
            </w:r>
            <w:r>
              <w:rPr>
                <w:rFonts w:hint="eastAsia" w:ascii="宋体" w:hAnsi="宋体" w:eastAsia="宋体" w:cs="宋体"/>
                <w:b w:val="0"/>
                <w:bCs w:val="0"/>
                <w:color w:val="auto"/>
                <w:kern w:val="0"/>
                <w:szCs w:val="21"/>
                <w:highlight w:val="none"/>
                <w:lang w:val="en-US" w:eastAsia="zh-CN"/>
              </w:rPr>
              <w:t>六</w:t>
            </w:r>
          </w:p>
        </w:tc>
        <w:tc>
          <w:tcPr>
            <w:tcW w:w="1473" w:type="pct"/>
            <w:vAlign w:val="center"/>
          </w:tcPr>
          <w:p w14:paraId="30DFA4D5">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 w:val="21"/>
                <w:szCs w:val="21"/>
                <w:highlight w:val="none"/>
                <w:lang w:val="en-US" w:eastAsia="zh-CN"/>
              </w:rPr>
              <w:t>履约担保格式</w:t>
            </w:r>
          </w:p>
        </w:tc>
        <w:tc>
          <w:tcPr>
            <w:tcW w:w="649" w:type="pct"/>
            <w:vAlign w:val="center"/>
          </w:tcPr>
          <w:p w14:paraId="63103C1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58B5FDE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7545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DB8A6D4">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23</w:t>
            </w:r>
          </w:p>
        </w:tc>
        <w:tc>
          <w:tcPr>
            <w:tcW w:w="686" w:type="pct"/>
            <w:vAlign w:val="center"/>
          </w:tcPr>
          <w:p w14:paraId="69B0DFF4">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eastAsia="zh-CN"/>
              </w:rPr>
              <w:t>附件</w:t>
            </w:r>
            <w:r>
              <w:rPr>
                <w:rFonts w:hint="eastAsia" w:ascii="宋体" w:hAnsi="宋体" w:eastAsia="宋体" w:cs="宋体"/>
                <w:b w:val="0"/>
                <w:bCs w:val="0"/>
                <w:color w:val="auto"/>
                <w:kern w:val="0"/>
                <w:szCs w:val="21"/>
                <w:highlight w:val="none"/>
                <w:lang w:val="en-US" w:eastAsia="zh-CN"/>
              </w:rPr>
              <w:t>七</w:t>
            </w:r>
          </w:p>
        </w:tc>
        <w:tc>
          <w:tcPr>
            <w:tcW w:w="1473" w:type="pct"/>
            <w:vAlign w:val="center"/>
          </w:tcPr>
          <w:p w14:paraId="7043AFA5">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检测服务人员表</w:t>
            </w:r>
          </w:p>
        </w:tc>
        <w:tc>
          <w:tcPr>
            <w:tcW w:w="649" w:type="pct"/>
            <w:vAlign w:val="center"/>
          </w:tcPr>
          <w:p w14:paraId="5630F41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4CDBA2F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52A4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4FD815F">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24</w:t>
            </w:r>
          </w:p>
        </w:tc>
        <w:tc>
          <w:tcPr>
            <w:tcW w:w="686" w:type="pct"/>
            <w:vAlign w:val="center"/>
          </w:tcPr>
          <w:p w14:paraId="577CA364">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eastAsia="zh-CN"/>
              </w:rPr>
              <w:t>附件</w:t>
            </w:r>
            <w:r>
              <w:rPr>
                <w:rFonts w:hint="eastAsia" w:ascii="宋体" w:hAnsi="宋体" w:eastAsia="宋体" w:cs="宋体"/>
                <w:b w:val="0"/>
                <w:bCs w:val="0"/>
                <w:color w:val="auto"/>
                <w:kern w:val="0"/>
                <w:szCs w:val="21"/>
                <w:highlight w:val="none"/>
                <w:lang w:val="en-US" w:eastAsia="zh-CN"/>
              </w:rPr>
              <w:t>八</w:t>
            </w:r>
          </w:p>
        </w:tc>
        <w:tc>
          <w:tcPr>
            <w:tcW w:w="1473" w:type="pct"/>
            <w:vAlign w:val="center"/>
          </w:tcPr>
          <w:p w14:paraId="65CEA8D0">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通知书</w:t>
            </w:r>
          </w:p>
        </w:tc>
        <w:tc>
          <w:tcPr>
            <w:tcW w:w="649" w:type="pct"/>
            <w:vAlign w:val="center"/>
          </w:tcPr>
          <w:p w14:paraId="2855F6E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0335DDB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r w14:paraId="18AD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CAA637B">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25</w:t>
            </w:r>
          </w:p>
        </w:tc>
        <w:tc>
          <w:tcPr>
            <w:tcW w:w="686" w:type="pct"/>
            <w:vAlign w:val="center"/>
          </w:tcPr>
          <w:p w14:paraId="39CC09A2">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eastAsia="zh-CN"/>
              </w:rPr>
              <w:t>附件</w:t>
            </w:r>
            <w:r>
              <w:rPr>
                <w:rFonts w:hint="eastAsia" w:ascii="宋体" w:hAnsi="宋体" w:eastAsia="宋体" w:cs="宋体"/>
                <w:b w:val="0"/>
                <w:bCs w:val="0"/>
                <w:color w:val="auto"/>
                <w:kern w:val="0"/>
                <w:szCs w:val="21"/>
                <w:highlight w:val="none"/>
                <w:lang w:val="en-US" w:eastAsia="zh-CN"/>
              </w:rPr>
              <w:t>九</w:t>
            </w:r>
          </w:p>
        </w:tc>
        <w:tc>
          <w:tcPr>
            <w:tcW w:w="1473" w:type="pct"/>
            <w:vAlign w:val="center"/>
          </w:tcPr>
          <w:p w14:paraId="70397AA7">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用户需求书</w:t>
            </w:r>
          </w:p>
        </w:tc>
        <w:tc>
          <w:tcPr>
            <w:tcW w:w="649" w:type="pct"/>
            <w:vAlign w:val="center"/>
          </w:tcPr>
          <w:p w14:paraId="0A82BA5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c>
          <w:tcPr>
            <w:tcW w:w="1699" w:type="pct"/>
            <w:vAlign w:val="center"/>
          </w:tcPr>
          <w:p w14:paraId="3EAFD47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val="0"/>
                <w:color w:val="auto"/>
                <w:kern w:val="0"/>
                <w:szCs w:val="21"/>
                <w:highlight w:val="none"/>
              </w:rPr>
            </w:pPr>
          </w:p>
        </w:tc>
      </w:tr>
    </w:tbl>
    <w:p w14:paraId="55EF59B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34DC5AE">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F46051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响应供应商应对照谈判文件合同格式内合同条款及附件，逐条、如实地填写“偏离情况”项。“偏离情况”项为正偏离（或负偏离）的，必须在“具体偏离内容”项内详细说明与谈判文件的偏离内容，“偏离情况”项为无偏离的，在“具体偏离内容”项内填“无”。若发现虚假填写本表，或对合同及其附件响应有负偏离的，按无效响应文件处理。若发现此表未逐条填写视为完全满足谈判文件要求</w:t>
      </w:r>
      <w:r>
        <w:rPr>
          <w:rFonts w:hint="eastAsia" w:ascii="宋体" w:hAnsi="宋体" w:eastAsia="宋体" w:cs="Times New Roman"/>
          <w:b/>
          <w:color w:val="auto"/>
          <w:kern w:val="0"/>
          <w:szCs w:val="21"/>
          <w:highlight w:val="none"/>
        </w:rPr>
        <w:t>。</w:t>
      </w:r>
    </w:p>
    <w:p w14:paraId="3E9ECAB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响应文件对谈判文件合同条款的响应程度）分为：正偏离、负偏离、无偏离。正偏离是指响应供应商提供的服务（或货物、或工程）商务条件优于谈判文件的要求；负偏离是指响应供应商提供的服务（或货物、或工程）商务条件不满足或不完全满足谈判文件的要求；无偏离是指响应供应商提供的服务（或货物、或工程）商务条件完全满足谈判文件的要求。</w:t>
      </w:r>
    </w:p>
    <w:p w14:paraId="66E3646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（3）谈判文件“第五篇</w:t>
      </w:r>
      <w:r>
        <w:rPr>
          <w:rFonts w:ascii="宋体" w:hAnsi="宋体" w:eastAsia="宋体" w:cs="宋体"/>
          <w:color w:val="auto"/>
          <w:szCs w:val="21"/>
          <w:highlight w:val="none"/>
        </w:rPr>
        <w:t xml:space="preserve"> 相关保函格式”作为重要的商务条款，响应供应商的响应情况列入本合同条款偏离表。</w:t>
      </w:r>
    </w:p>
    <w:p w14:paraId="1C3B2EC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（4）如响应供应商差异内容较多可另附页说明，并在本偏离表“具体偏离内容”项注明其在响应文件中的具体页码。</w:t>
      </w:r>
    </w:p>
    <w:p w14:paraId="7E7B4CBB">
      <w:pPr>
        <w:spacing w:line="360" w:lineRule="auto"/>
        <w:ind w:left="357" w:leftChars="-100" w:hanging="567" w:hangingChars="270"/>
        <w:rPr>
          <w:rFonts w:ascii="宋体" w:hAnsi="宋体" w:eastAsia="宋体" w:cs="宋体"/>
          <w:color w:val="auto"/>
          <w:szCs w:val="21"/>
          <w:highlight w:val="none"/>
        </w:rPr>
      </w:pPr>
    </w:p>
    <w:p w14:paraId="2BB64075">
      <w:pPr>
        <w:spacing w:line="360" w:lineRule="auto"/>
        <w:ind w:left="357" w:leftChars="-100" w:hanging="567" w:hangingChars="270"/>
        <w:rPr>
          <w:rFonts w:ascii="宋体" w:hAnsi="宋体" w:eastAsia="宋体" w:cs="宋体"/>
          <w:color w:val="auto"/>
          <w:szCs w:val="21"/>
          <w:highlight w:val="none"/>
        </w:rPr>
      </w:pPr>
    </w:p>
    <w:p w14:paraId="6854E915">
      <w:pPr>
        <w:spacing w:line="360" w:lineRule="auto"/>
        <w:ind w:left="357" w:leftChars="-100" w:hanging="567" w:hangingChars="270"/>
        <w:rPr>
          <w:rFonts w:ascii="宋体" w:hAnsi="宋体" w:eastAsia="宋体" w:cs="宋体"/>
          <w:color w:val="auto"/>
          <w:szCs w:val="21"/>
          <w:highlight w:val="none"/>
        </w:rPr>
      </w:pPr>
    </w:p>
    <w:p w14:paraId="13867964">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响应供应商：</w:t>
      </w:r>
      <w:r>
        <w:rPr>
          <w:rFonts w:hint="eastAsia" w:ascii="宋体" w:hAnsi="宋体" w:eastAsia="宋体" w:cs="宋体"/>
          <w:color w:val="auto"/>
          <w:kern w:val="0"/>
          <w:szCs w:val="21"/>
          <w:highlight w:val="none"/>
          <w:lang w:val="zh-CN"/>
        </w:rPr>
        <w:t>（加盖响应供应商法人公章）</w:t>
      </w:r>
    </w:p>
    <w:p w14:paraId="7277630A">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7449510">
      <w:pPr>
        <w:tabs>
          <w:tab w:val="left" w:pos="567"/>
        </w:tabs>
        <w:autoSpaceDE w:val="0"/>
        <w:autoSpaceDN w:val="0"/>
        <w:adjustRightInd w:val="0"/>
        <w:spacing w:line="360" w:lineRule="auto"/>
        <w:jc w:val="left"/>
        <w:outlineLvl w:val="9"/>
        <w:rPr>
          <w:rFonts w:ascii="宋体" w:hAnsi="宋体" w:eastAsia="宋体" w:cs="Times New Roman"/>
          <w:color w:val="auto"/>
          <w:szCs w:val="24"/>
          <w:highlight w:val="none"/>
          <w:lang w:val="zh-CN"/>
        </w:rPr>
      </w:pPr>
      <w:r>
        <w:rPr>
          <w:rFonts w:hint="eastAsia" w:ascii="宋体" w:hAnsi="宋体" w:eastAsia="宋体" w:cs="宋体"/>
          <w:b/>
          <w:bCs/>
          <w:color w:val="auto"/>
          <w:kern w:val="0"/>
          <w:sz w:val="30"/>
          <w:szCs w:val="30"/>
          <w:highlight w:val="none"/>
          <w:lang w:val="zh-CN"/>
        </w:rPr>
        <w:br w:type="page"/>
      </w:r>
      <w:bookmarkStart w:id="410" w:name="_Toc486167717"/>
      <w:bookmarkStart w:id="411" w:name="_Toc27980_WPSOffice_Level2"/>
    </w:p>
    <w:bookmarkEnd w:id="410"/>
    <w:bookmarkEnd w:id="411"/>
    <w:p w14:paraId="1ED210DF">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412" w:name="_Toc16646"/>
      <w:bookmarkStart w:id="413" w:name="_Toc142508378"/>
      <w:bookmarkStart w:id="414" w:name="_Toc18413"/>
      <w:bookmarkStart w:id="415" w:name="_Toc19890"/>
      <w:bookmarkStart w:id="416" w:name="_Toc9273"/>
      <w:bookmarkStart w:id="417" w:name="_Toc31965"/>
      <w:bookmarkStart w:id="418" w:name="_Toc104991885"/>
      <w:bookmarkStart w:id="419" w:name="_Toc140596938"/>
      <w:bookmarkStart w:id="420" w:name="_Toc2249"/>
      <w:bookmarkStart w:id="421" w:name="_Toc486167719"/>
      <w:bookmarkStart w:id="422" w:name="_Toc102860083"/>
      <w:bookmarkStart w:id="423" w:name="_Toc18175_WPSOffice_Level2"/>
      <w:bookmarkStart w:id="424" w:name="_Toc160099518"/>
      <w:bookmarkStart w:id="425" w:name="_Toc1977737"/>
      <w:bookmarkStart w:id="426" w:name="_Toc533708132"/>
      <w:bookmarkStart w:id="427" w:name="_Toc94107220"/>
      <w:bookmarkStart w:id="428" w:name="_Toc102860427"/>
      <w:r>
        <w:rPr>
          <w:rFonts w:hint="eastAsia" w:ascii="宋体" w:hAnsi="宋体" w:eastAsia="宋体" w:cs="宋体"/>
          <w:b/>
          <w:bCs/>
          <w:color w:val="auto"/>
          <w:kern w:val="0"/>
          <w:sz w:val="32"/>
          <w:szCs w:val="32"/>
          <w:highlight w:val="none"/>
          <w:lang w:val="zh-CN"/>
        </w:rPr>
        <w:t>七、响应保证金汇入情况说明</w:t>
      </w:r>
      <w:bookmarkEnd w:id="412"/>
      <w:bookmarkEnd w:id="413"/>
      <w:bookmarkEnd w:id="414"/>
      <w:bookmarkEnd w:id="415"/>
      <w:bookmarkEnd w:id="416"/>
      <w:bookmarkEnd w:id="417"/>
    </w:p>
    <w:p w14:paraId="312217AD">
      <w:pPr>
        <w:autoSpaceDE w:val="0"/>
        <w:autoSpaceDN w:val="0"/>
        <w:adjustRightInd w:val="0"/>
        <w:spacing w:line="360" w:lineRule="auto"/>
        <w:jc w:val="left"/>
        <w:rPr>
          <w:rFonts w:ascii="宋体" w:hAnsi="宋体" w:eastAsia="宋体" w:cs="宋体"/>
          <w:color w:val="auto"/>
          <w:szCs w:val="24"/>
          <w:highlight w:val="none"/>
        </w:rPr>
      </w:pPr>
    </w:p>
    <w:p w14:paraId="32779AD8">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429" w:name="_Toc31832_WPSOffice_Level3"/>
      <w:r>
        <w:rPr>
          <w:rFonts w:hint="eastAsia" w:ascii="宋体" w:hAnsi="宋体" w:eastAsia="宋体" w:cs="宋体"/>
          <w:b/>
          <w:bCs/>
          <w:color w:val="auto"/>
          <w:kern w:val="0"/>
          <w:sz w:val="24"/>
          <w:szCs w:val="24"/>
          <w:highlight w:val="none"/>
          <w:lang w:eastAsia="zh-CN"/>
        </w:rPr>
        <w:t>响应保证金</w:t>
      </w:r>
      <w:r>
        <w:rPr>
          <w:rFonts w:hint="eastAsia" w:ascii="宋体" w:hAnsi="宋体" w:eastAsia="宋体" w:cs="宋体"/>
          <w:b/>
          <w:bCs/>
          <w:color w:val="auto"/>
          <w:kern w:val="0"/>
          <w:sz w:val="24"/>
          <w:szCs w:val="24"/>
          <w:highlight w:val="none"/>
        </w:rPr>
        <w:t>汇入情况说明</w:t>
      </w:r>
      <w:bookmarkEnd w:id="429"/>
    </w:p>
    <w:p w14:paraId="033B8130">
      <w:pPr>
        <w:autoSpaceDE w:val="0"/>
        <w:autoSpaceDN w:val="0"/>
        <w:adjustRightInd w:val="0"/>
        <w:spacing w:line="360" w:lineRule="auto"/>
        <w:jc w:val="center"/>
        <w:rPr>
          <w:rFonts w:ascii="宋体" w:hAnsi="宋体" w:eastAsia="宋体" w:cs="宋体"/>
          <w:b/>
          <w:bCs/>
          <w:color w:val="auto"/>
          <w:kern w:val="0"/>
          <w:szCs w:val="24"/>
          <w:highlight w:val="none"/>
        </w:rPr>
      </w:pPr>
    </w:p>
    <w:p w14:paraId="6274D1A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东莞市水务环境投资控股集团建设管理有限公司</w:t>
      </w:r>
      <w:r>
        <w:rPr>
          <w:rFonts w:hint="eastAsia" w:ascii="宋体" w:hAnsi="宋体" w:eastAsia="宋体" w:cs="宋体"/>
          <w:color w:val="auto"/>
          <w:szCs w:val="21"/>
          <w:highlight w:val="none"/>
        </w:rPr>
        <w:t>：</w:t>
      </w:r>
    </w:p>
    <w:p w14:paraId="36914B4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东莞市大朗蔡边水质净化厂工程第三方检测（不含基桩完整性检测）</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采购编号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0832-SFCX25DG109C</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谈判文件</w:t>
      </w:r>
      <w:r>
        <w:rPr>
          <w:rFonts w:hint="eastAsia" w:ascii="宋体" w:hAnsi="宋体" w:eastAsia="宋体" w:cs="宋体"/>
          <w:color w:val="auto"/>
          <w:szCs w:val="21"/>
          <w:highlight w:val="none"/>
        </w:rPr>
        <w:t>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40EA11C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w:t>
      </w:r>
      <w:r>
        <w:rPr>
          <w:rFonts w:hint="eastAsia" w:ascii="宋体" w:hAnsi="宋体" w:eastAsia="宋体" w:cs="宋体"/>
          <w:color w:val="auto"/>
          <w:szCs w:val="21"/>
          <w:highlight w:val="none"/>
          <w:lang w:eastAsia="zh-CN"/>
        </w:rPr>
        <w:t>响应保证金</w:t>
      </w:r>
      <w:r>
        <w:rPr>
          <w:rFonts w:hint="eastAsia" w:ascii="宋体" w:hAnsi="宋体" w:eastAsia="宋体" w:cs="宋体"/>
          <w:color w:val="auto"/>
          <w:szCs w:val="21"/>
          <w:highlight w:val="none"/>
        </w:rPr>
        <w:t>的汇款情况：（详见附件－</w:t>
      </w:r>
      <w:r>
        <w:rPr>
          <w:rFonts w:hint="eastAsia" w:ascii="宋体" w:hAnsi="宋体" w:eastAsia="宋体" w:cs="宋体"/>
          <w:color w:val="auto"/>
          <w:szCs w:val="21"/>
          <w:highlight w:val="none"/>
          <w:lang w:eastAsia="zh-CN"/>
        </w:rPr>
        <w:t>响应保证金</w:t>
      </w:r>
      <w:r>
        <w:rPr>
          <w:rFonts w:hint="eastAsia" w:ascii="宋体" w:hAnsi="宋体" w:eastAsia="宋体" w:cs="宋体"/>
          <w:color w:val="auto"/>
          <w:szCs w:val="21"/>
          <w:highlight w:val="none"/>
        </w:rPr>
        <w:t>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54C1AAC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4247DA7F">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7C1FDE8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90C62A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7F8A0C9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732EE0D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0856EF9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响应保证金</w:t>
      </w:r>
      <w:r>
        <w:rPr>
          <w:rFonts w:hint="eastAsia" w:ascii="宋体" w:hAnsi="宋体" w:eastAsia="宋体" w:cs="宋体"/>
          <w:color w:val="auto"/>
          <w:szCs w:val="21"/>
          <w:highlight w:val="none"/>
        </w:rPr>
        <w:t>退回时，请按上述资料退回。</w:t>
      </w:r>
    </w:p>
    <w:p w14:paraId="7091DECA">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lang w:eastAsia="zh-CN"/>
        </w:rPr>
        <w:t>供应商</w:t>
      </w:r>
      <w:r>
        <w:rPr>
          <w:rFonts w:hint="eastAsia" w:ascii="宋体" w:hAnsi="宋体" w:eastAsia="宋体" w:cs="宋体"/>
          <w:bCs/>
          <w:color w:val="auto"/>
          <w:szCs w:val="24"/>
          <w:highlight w:val="none"/>
        </w:rPr>
        <w:t>法人公章</w:t>
      </w:r>
      <w:r>
        <w:rPr>
          <w:rFonts w:hint="eastAsia" w:ascii="宋体" w:hAnsi="宋体" w:eastAsia="宋体" w:cs="宋体"/>
          <w:color w:val="auto"/>
          <w:szCs w:val="24"/>
          <w:highlight w:val="none"/>
        </w:rPr>
        <w:t>）</w:t>
      </w:r>
    </w:p>
    <w:p w14:paraId="5D1DCC0B">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35D7B76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73F7A97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6348FDF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22C511E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37F9BB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31386C3D">
      <w:pPr>
        <w:spacing w:line="360" w:lineRule="auto"/>
        <w:ind w:left="340" w:leftChars="162" w:firstLine="425"/>
        <w:rPr>
          <w:rFonts w:ascii="宋体" w:hAnsi="宋体" w:eastAsia="宋体" w:cs="宋体"/>
          <w:b/>
          <w:bCs/>
          <w:color w:val="auto"/>
          <w:szCs w:val="21"/>
          <w:highlight w:val="none"/>
        </w:rPr>
      </w:pPr>
      <w:bookmarkStart w:id="430" w:name="_Toc26208_WPSOffice_Level3"/>
      <w:r>
        <w:rPr>
          <w:rFonts w:hint="eastAsia" w:ascii="宋体" w:hAnsi="宋体" w:eastAsia="宋体" w:cs="宋体"/>
          <w:b/>
          <w:bCs/>
          <w:color w:val="auto"/>
          <w:szCs w:val="21"/>
          <w:highlight w:val="none"/>
        </w:rPr>
        <w:t>附：1、我方</w:t>
      </w:r>
      <w:r>
        <w:rPr>
          <w:rFonts w:hint="eastAsia" w:ascii="宋体" w:hAnsi="宋体" w:eastAsia="宋体" w:cs="宋体"/>
          <w:b/>
          <w:bCs/>
          <w:color w:val="auto"/>
          <w:szCs w:val="21"/>
          <w:highlight w:val="none"/>
          <w:lang w:eastAsia="zh-CN"/>
        </w:rPr>
        <w:t>响应保证金</w:t>
      </w:r>
      <w:r>
        <w:rPr>
          <w:rFonts w:hint="eastAsia" w:ascii="宋体" w:hAnsi="宋体" w:eastAsia="宋体" w:cs="宋体"/>
          <w:b/>
          <w:bCs/>
          <w:color w:val="auto"/>
          <w:szCs w:val="21"/>
          <w:highlight w:val="none"/>
        </w:rPr>
        <w:t>汇款凭证（复印件）</w:t>
      </w:r>
      <w:bookmarkEnd w:id="430"/>
    </w:p>
    <w:p w14:paraId="3990750D">
      <w:pPr>
        <w:spacing w:line="360" w:lineRule="auto"/>
        <w:ind w:left="340" w:leftChars="162" w:firstLine="839" w:firstLineChars="398"/>
        <w:rPr>
          <w:rFonts w:ascii="宋体" w:hAnsi="宋体" w:eastAsia="宋体" w:cs="宋体"/>
          <w:b/>
          <w:bCs/>
          <w:color w:val="auto"/>
          <w:szCs w:val="21"/>
          <w:highlight w:val="none"/>
        </w:rPr>
      </w:pPr>
      <w:bookmarkStart w:id="431" w:name="_Toc12992_WPSOffice_Level3"/>
      <w:r>
        <w:rPr>
          <w:rFonts w:hint="eastAsia" w:ascii="宋体" w:hAnsi="宋体" w:eastAsia="宋体" w:cs="宋体"/>
          <w:b/>
          <w:bCs/>
          <w:color w:val="auto"/>
          <w:szCs w:val="21"/>
          <w:highlight w:val="none"/>
        </w:rPr>
        <w:t>2、我方基本账户开户许可证（复印件）</w:t>
      </w:r>
      <w:bookmarkEnd w:id="431"/>
    </w:p>
    <w:p w14:paraId="66F1C640">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445FC3A8">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2658AD8F">
      <w:pPr>
        <w:spacing w:line="360" w:lineRule="auto"/>
        <w:rPr>
          <w:rFonts w:ascii="宋体" w:hAnsi="宋体" w:eastAsia="宋体" w:cs="宋体"/>
          <w:b/>
          <w:color w:val="auto"/>
          <w:kern w:val="0"/>
          <w:szCs w:val="21"/>
          <w:highlight w:val="none"/>
        </w:rPr>
      </w:pPr>
    </w:p>
    <w:p w14:paraId="2AE7A924">
      <w:pP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br w:type="page"/>
      </w:r>
    </w:p>
    <w:p w14:paraId="6A582500">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sectPr>
          <w:footerReference r:id="rId9" w:type="default"/>
          <w:pgSz w:w="11906" w:h="16838"/>
          <w:pgMar w:top="1440" w:right="1080" w:bottom="1440" w:left="1080" w:header="720" w:footer="720" w:gutter="0"/>
          <w:pgNumType w:fmt="decimal"/>
          <w:cols w:space="720" w:num="1"/>
          <w:titlePg/>
          <w:docGrid w:linePitch="326" w:charSpace="0"/>
        </w:sectPr>
      </w:pPr>
      <w:bookmarkStart w:id="432" w:name="_Toc20082"/>
      <w:bookmarkStart w:id="433" w:name="_Toc17003"/>
      <w:r>
        <w:rPr>
          <w:rFonts w:hint="eastAsia" w:ascii="宋体" w:hAnsi="宋体" w:eastAsia="宋体" w:cs="宋体"/>
          <w:b/>
          <w:bCs/>
          <w:color w:val="auto"/>
          <w:kern w:val="0"/>
          <w:sz w:val="32"/>
          <w:szCs w:val="32"/>
          <w:highlight w:val="none"/>
          <w:lang w:val="en-US" w:eastAsia="zh-CN"/>
        </w:rPr>
        <w:t>八</w:t>
      </w:r>
      <w:r>
        <w:rPr>
          <w:rFonts w:hint="eastAsia" w:ascii="宋体" w:hAnsi="宋体" w:eastAsia="宋体" w:cs="宋体"/>
          <w:b/>
          <w:bCs/>
          <w:color w:val="auto"/>
          <w:kern w:val="0"/>
          <w:sz w:val="32"/>
          <w:szCs w:val="32"/>
          <w:highlight w:val="none"/>
          <w:lang w:val="zh-CN"/>
        </w:rPr>
        <w:t>、</w:t>
      </w:r>
      <w:bookmarkEnd w:id="418"/>
      <w:bookmarkEnd w:id="419"/>
      <w:bookmarkEnd w:id="420"/>
      <w:bookmarkEnd w:id="421"/>
      <w:bookmarkEnd w:id="422"/>
      <w:bookmarkEnd w:id="423"/>
      <w:bookmarkEnd w:id="424"/>
      <w:bookmarkEnd w:id="425"/>
      <w:bookmarkEnd w:id="426"/>
      <w:bookmarkEnd w:id="427"/>
      <w:bookmarkEnd w:id="428"/>
      <w:bookmarkStart w:id="434" w:name="_Toc94107221"/>
      <w:bookmarkStart w:id="435" w:name="_Toc102860084"/>
      <w:bookmarkStart w:id="436" w:name="_Toc1977738"/>
      <w:bookmarkStart w:id="437" w:name="_Toc104991886"/>
      <w:bookmarkStart w:id="438" w:name="_Toc102860428"/>
      <w:bookmarkStart w:id="439" w:name="_Toc6809"/>
      <w:bookmarkStart w:id="440" w:name="_Toc140596939"/>
      <w:bookmarkStart w:id="441" w:name="_Toc160099519"/>
      <w:bookmarkStart w:id="442" w:name="_Toc533708134"/>
      <w:bookmarkStart w:id="443" w:name="_Toc486167721"/>
      <w:r>
        <w:rPr>
          <w:rFonts w:hint="eastAsia" w:ascii="宋体" w:hAnsi="宋体" w:eastAsia="宋体" w:cs="宋体"/>
          <w:b/>
          <w:bCs/>
          <w:color w:val="auto"/>
          <w:kern w:val="0"/>
          <w:sz w:val="32"/>
          <w:szCs w:val="32"/>
          <w:highlight w:val="none"/>
          <w:lang w:val="zh-CN"/>
        </w:rPr>
        <w:t>供应商资格证明文件以外的其他资质证书、知识产权证书及获得的相关获奖、认证证书、社会评价资料证明文件复印件等供应商认为有需要证明其具备为本次采购项目提供货物和服务能力的有关其它商务文件（不做强制要求）</w:t>
      </w:r>
      <w:bookmarkEnd w:id="432"/>
      <w:bookmarkEnd w:id="433"/>
      <w:bookmarkEnd w:id="434"/>
      <w:bookmarkEnd w:id="435"/>
      <w:bookmarkEnd w:id="436"/>
      <w:bookmarkEnd w:id="437"/>
      <w:bookmarkEnd w:id="438"/>
      <w:bookmarkEnd w:id="439"/>
      <w:bookmarkEnd w:id="440"/>
      <w:bookmarkEnd w:id="441"/>
    </w:p>
    <w:p w14:paraId="0E3D649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44" w:name="_Toc140596940"/>
      <w:bookmarkStart w:id="445" w:name="_Toc15147"/>
      <w:bookmarkStart w:id="446" w:name="_Toc22750"/>
      <w:bookmarkStart w:id="447" w:name="_Toc24110"/>
      <w:bookmarkStart w:id="448" w:name="_Toc1977739"/>
      <w:bookmarkStart w:id="449" w:name="_Toc102860429"/>
      <w:bookmarkStart w:id="450" w:name="_Toc104991887"/>
      <w:bookmarkStart w:id="451" w:name="_Toc102860085"/>
      <w:bookmarkStart w:id="452" w:name="_Toc160099520"/>
      <w:bookmarkStart w:id="453" w:name="_Toc94107222"/>
      <w:r>
        <w:rPr>
          <w:rFonts w:hint="eastAsia" w:ascii="宋体" w:hAnsi="宋体" w:eastAsia="宋体" w:cs="宋体"/>
          <w:b/>
          <w:color w:val="auto"/>
          <w:kern w:val="0"/>
          <w:sz w:val="32"/>
          <w:szCs w:val="32"/>
          <w:highlight w:val="none"/>
          <w:lang w:eastAsia="zh-CN"/>
        </w:rPr>
        <w:t>九</w:t>
      </w:r>
      <w:r>
        <w:rPr>
          <w:rFonts w:hint="eastAsia" w:ascii="宋体" w:hAnsi="宋体" w:eastAsia="宋体" w:cs="宋体"/>
          <w:b/>
          <w:color w:val="auto"/>
          <w:kern w:val="0"/>
          <w:sz w:val="32"/>
          <w:szCs w:val="32"/>
          <w:highlight w:val="none"/>
        </w:rPr>
        <w:t>、技术响应文件格式</w:t>
      </w:r>
      <w:bookmarkEnd w:id="442"/>
      <w:bookmarkEnd w:id="444"/>
      <w:bookmarkEnd w:id="445"/>
      <w:bookmarkEnd w:id="446"/>
      <w:bookmarkEnd w:id="447"/>
      <w:bookmarkEnd w:id="448"/>
      <w:bookmarkEnd w:id="449"/>
      <w:bookmarkEnd w:id="450"/>
      <w:bookmarkEnd w:id="451"/>
      <w:bookmarkEnd w:id="452"/>
      <w:bookmarkEnd w:id="453"/>
    </w:p>
    <w:p w14:paraId="57AD66EB">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响应供应商应按照谈判文件响应供应商须知关于响应文件组成部分的要求编制技术文件，主要包括但不限于以下内容：</w:t>
      </w:r>
    </w:p>
    <w:p w14:paraId="5E6C94D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52BC9B94">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2、总体实施方案（</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自行编写）；</w:t>
      </w:r>
    </w:p>
    <w:p w14:paraId="47BA2A97">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进度保障措施（</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自行编写）；</w:t>
      </w:r>
    </w:p>
    <w:p w14:paraId="3BEF2AAC">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应急处理方案（</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自行编写）；</w:t>
      </w:r>
    </w:p>
    <w:p w14:paraId="6B77546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售后服务方案（</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自行编写）；</w:t>
      </w:r>
    </w:p>
    <w:p w14:paraId="6AB836A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、响应供应商认为有必要提供的其它材料（不做强制要求）。</w:t>
      </w:r>
    </w:p>
    <w:p w14:paraId="59F3BD7C">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443"/>
      <w:bookmarkStart w:id="454" w:name="_Toc94107223"/>
      <w:bookmarkStart w:id="455" w:name="_Toc533708135"/>
      <w:bookmarkStart w:id="456" w:name="_Toc31169"/>
      <w:bookmarkStart w:id="457" w:name="_Toc160099521"/>
      <w:bookmarkStart w:id="458" w:name="_Toc102860430"/>
      <w:bookmarkStart w:id="459" w:name="_Toc14778"/>
      <w:bookmarkStart w:id="460" w:name="_Toc1977740"/>
      <w:bookmarkStart w:id="461" w:name="_Toc140596941"/>
      <w:bookmarkStart w:id="462" w:name="_Toc104991888"/>
      <w:bookmarkStart w:id="463" w:name="_Toc102860086"/>
      <w:bookmarkStart w:id="464" w:name="_Toc2851"/>
      <w:r>
        <w:rPr>
          <w:rFonts w:hint="eastAsia" w:ascii="宋体" w:hAnsi="宋体" w:eastAsia="宋体" w:cs="宋体"/>
          <w:b/>
          <w:color w:val="auto"/>
          <w:kern w:val="0"/>
          <w:sz w:val="30"/>
          <w:szCs w:val="30"/>
          <w:highlight w:val="none"/>
          <w:lang w:val="en-US" w:eastAsia="zh-CN"/>
        </w:rPr>
        <w:t>9</w:t>
      </w:r>
      <w:r>
        <w:rPr>
          <w:rFonts w:hint="eastAsia" w:ascii="宋体" w:hAnsi="宋体" w:eastAsia="宋体" w:cs="宋体"/>
          <w:b/>
          <w:color w:val="auto"/>
          <w:kern w:val="0"/>
          <w:sz w:val="30"/>
          <w:szCs w:val="30"/>
          <w:highlight w:val="none"/>
        </w:rPr>
        <w:t>.1 用户需求偏离表格式</w:t>
      </w:r>
      <w:bookmarkEnd w:id="454"/>
      <w:bookmarkEnd w:id="455"/>
      <w:bookmarkEnd w:id="456"/>
      <w:bookmarkEnd w:id="457"/>
      <w:bookmarkEnd w:id="458"/>
      <w:bookmarkEnd w:id="459"/>
      <w:bookmarkEnd w:id="460"/>
      <w:bookmarkEnd w:id="461"/>
      <w:bookmarkEnd w:id="462"/>
      <w:bookmarkEnd w:id="463"/>
      <w:bookmarkEnd w:id="464"/>
    </w:p>
    <w:p w14:paraId="6B7163C6">
      <w:pPr>
        <w:spacing w:before="120" w:after="120" w:line="360" w:lineRule="auto"/>
        <w:jc w:val="center"/>
        <w:rPr>
          <w:rFonts w:ascii="宋体" w:hAnsi="宋体" w:eastAsia="宋体" w:cs="Times New Roman"/>
          <w:color w:val="auto"/>
          <w:kern w:val="0"/>
          <w:szCs w:val="21"/>
          <w:highlight w:val="none"/>
        </w:rPr>
      </w:pPr>
      <w:bookmarkStart w:id="465" w:name="_Toc17449_WPSOffice_Level3"/>
      <w:r>
        <w:rPr>
          <w:rFonts w:hint="eastAsia" w:ascii="宋体" w:hAnsi="宋体" w:eastAsia="宋体" w:cs="宋体"/>
          <w:b/>
          <w:color w:val="auto"/>
          <w:kern w:val="0"/>
          <w:sz w:val="30"/>
          <w:szCs w:val="30"/>
          <w:highlight w:val="none"/>
          <w:lang w:val="zh-CN"/>
        </w:rPr>
        <w:t>用户需求偏离表</w:t>
      </w:r>
      <w:bookmarkEnd w:id="465"/>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919"/>
        <w:gridCol w:w="6206"/>
        <w:gridCol w:w="699"/>
        <w:gridCol w:w="837"/>
        <w:gridCol w:w="803"/>
      </w:tblGrid>
      <w:tr w14:paraId="49DA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restart"/>
            <w:vAlign w:val="center"/>
          </w:tcPr>
          <w:p w14:paraId="30E0873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0" w:type="pct"/>
            <w:gridSpan w:val="2"/>
            <w:vAlign w:val="center"/>
          </w:tcPr>
          <w:p w14:paraId="4EAB175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谈判文件要求</w:t>
            </w:r>
          </w:p>
        </w:tc>
        <w:tc>
          <w:tcPr>
            <w:tcW w:w="1163" w:type="pct"/>
            <w:gridSpan w:val="3"/>
            <w:vAlign w:val="center"/>
          </w:tcPr>
          <w:p w14:paraId="25ACD30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响应文件内容</w:t>
            </w:r>
          </w:p>
        </w:tc>
      </w:tr>
      <w:tr w14:paraId="196F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continue"/>
            <w:vAlign w:val="center"/>
          </w:tcPr>
          <w:p w14:paraId="65856AFA">
            <w:pPr>
              <w:keepNext/>
              <w:keepLines/>
              <w:suppressLineNumbers w:val="0"/>
              <w:spacing w:before="0" w:beforeAutospacing="0" w:after="0" w:afterAutospacing="0" w:line="400" w:lineRule="exact"/>
              <w:ind w:left="0" w:right="0"/>
              <w:jc w:val="center"/>
              <w:outlineLvl w:val="0"/>
              <w:rPr>
                <w:rFonts w:hint="eastAsia" w:ascii="宋体" w:hAnsi="宋体" w:eastAsia="宋体" w:cs="宋体"/>
                <w:color w:val="auto"/>
                <w:kern w:val="0"/>
                <w:sz w:val="21"/>
                <w:szCs w:val="21"/>
                <w:highlight w:val="none"/>
              </w:rPr>
            </w:pPr>
          </w:p>
        </w:tc>
        <w:tc>
          <w:tcPr>
            <w:tcW w:w="458" w:type="pct"/>
            <w:vAlign w:val="center"/>
          </w:tcPr>
          <w:p w14:paraId="77F59A5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1" w:type="pct"/>
            <w:vAlign w:val="center"/>
          </w:tcPr>
          <w:p w14:paraId="1E50043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69A8EA5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7" w:type="pct"/>
            <w:vAlign w:val="center"/>
          </w:tcPr>
          <w:p w14:paraId="761F00A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7" w:type="pct"/>
            <w:vAlign w:val="center"/>
          </w:tcPr>
          <w:p w14:paraId="32127F3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6A09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85" w:type="pct"/>
            <w:vAlign w:val="center"/>
          </w:tcPr>
          <w:p w14:paraId="3A84DA4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8" w:type="pct"/>
            <w:vAlign w:val="center"/>
          </w:tcPr>
          <w:p w14:paraId="32147689">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一</w:t>
            </w:r>
          </w:p>
        </w:tc>
        <w:tc>
          <w:tcPr>
            <w:tcW w:w="6206" w:type="dxa"/>
            <w:vAlign w:val="center"/>
          </w:tcPr>
          <w:p w14:paraId="07A866E0">
            <w:pPr>
              <w:pStyle w:val="166"/>
              <w:keepNext w:val="0"/>
              <w:keepLines w:val="0"/>
              <w:suppressLineNumbers w:val="0"/>
              <w:spacing w:before="0" w:beforeAutospacing="0" w:after="0" w:afterAutospacing="0" w:line="400" w:lineRule="exact"/>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项目概况</w:t>
            </w:r>
          </w:p>
        </w:tc>
        <w:tc>
          <w:tcPr>
            <w:tcW w:w="348" w:type="pct"/>
            <w:vAlign w:val="center"/>
          </w:tcPr>
          <w:p w14:paraId="5549F3EC">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7" w:type="pct"/>
            <w:vAlign w:val="center"/>
          </w:tcPr>
          <w:p w14:paraId="3821C09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397" w:type="pct"/>
            <w:vAlign w:val="center"/>
          </w:tcPr>
          <w:p w14:paraId="630E360A">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7F8C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85" w:type="pct"/>
            <w:vAlign w:val="center"/>
          </w:tcPr>
          <w:p w14:paraId="04FF9A7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8" w:type="pct"/>
            <w:vAlign w:val="center"/>
          </w:tcPr>
          <w:p w14:paraId="539E3935">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二</w:t>
            </w:r>
          </w:p>
        </w:tc>
        <w:tc>
          <w:tcPr>
            <w:tcW w:w="6206" w:type="dxa"/>
            <w:vAlign w:val="center"/>
          </w:tcPr>
          <w:p w14:paraId="6B0B8C43">
            <w:pPr>
              <w:pStyle w:val="166"/>
              <w:keepNext w:val="0"/>
              <w:keepLines w:val="0"/>
              <w:suppressLineNumbers w:val="0"/>
              <w:spacing w:before="0" w:beforeAutospacing="0" w:after="0" w:afterAutospacing="0" w:line="400" w:lineRule="exact"/>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总体服务要求</w:t>
            </w:r>
          </w:p>
        </w:tc>
        <w:tc>
          <w:tcPr>
            <w:tcW w:w="348" w:type="pct"/>
            <w:vAlign w:val="center"/>
          </w:tcPr>
          <w:p w14:paraId="0859623C">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7" w:type="pct"/>
            <w:vAlign w:val="center"/>
          </w:tcPr>
          <w:p w14:paraId="4D1710D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397" w:type="pct"/>
            <w:vAlign w:val="center"/>
          </w:tcPr>
          <w:p w14:paraId="26E1877B">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391E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6EDB6A6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8" w:type="pct"/>
            <w:vAlign w:val="center"/>
          </w:tcPr>
          <w:p w14:paraId="09987D8A">
            <w:pPr>
              <w:keepNext w:val="0"/>
              <w:keepLines w:val="0"/>
              <w:suppressLineNumbers w:val="0"/>
              <w:spacing w:before="0" w:beforeAutospacing="0" w:after="0" w:afterAutospacing="0" w:line="400" w:lineRule="exact"/>
              <w:ind w:left="0" w:right="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三</w:t>
            </w:r>
          </w:p>
        </w:tc>
        <w:tc>
          <w:tcPr>
            <w:tcW w:w="6206" w:type="dxa"/>
            <w:vAlign w:val="center"/>
          </w:tcPr>
          <w:p w14:paraId="49962C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SA"/>
              </w:rPr>
              <w:t>合同价款</w:t>
            </w:r>
          </w:p>
        </w:tc>
        <w:tc>
          <w:tcPr>
            <w:tcW w:w="348" w:type="pct"/>
            <w:vAlign w:val="center"/>
          </w:tcPr>
          <w:p w14:paraId="5E281483">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7" w:type="pct"/>
            <w:vAlign w:val="center"/>
          </w:tcPr>
          <w:p w14:paraId="7A4538A8">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397" w:type="pct"/>
            <w:vAlign w:val="center"/>
          </w:tcPr>
          <w:p w14:paraId="12543C4F">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0567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1C0D0D9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bookmarkStart w:id="466" w:name="_Toc5258"/>
            <w:r>
              <w:rPr>
                <w:rFonts w:hint="eastAsia" w:ascii="宋体" w:hAnsi="宋体" w:eastAsia="宋体" w:cs="宋体"/>
                <w:color w:val="auto"/>
                <w:kern w:val="0"/>
                <w:sz w:val="21"/>
                <w:szCs w:val="21"/>
                <w:highlight w:val="none"/>
                <w:lang w:val="en-US" w:eastAsia="zh-CN"/>
              </w:rPr>
              <w:t>4</w:t>
            </w:r>
          </w:p>
        </w:tc>
        <w:tc>
          <w:tcPr>
            <w:tcW w:w="458" w:type="pct"/>
            <w:vAlign w:val="center"/>
          </w:tcPr>
          <w:p w14:paraId="03056054">
            <w:pPr>
              <w:keepNext w:val="0"/>
              <w:keepLines w:val="0"/>
              <w:suppressLineNumbers w:val="0"/>
              <w:spacing w:before="0" w:beforeAutospacing="0" w:after="0" w:afterAutospacing="0" w:line="400" w:lineRule="exact"/>
              <w:ind w:left="0" w:right="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四</w:t>
            </w:r>
          </w:p>
        </w:tc>
        <w:tc>
          <w:tcPr>
            <w:tcW w:w="6206" w:type="dxa"/>
            <w:vAlign w:val="center"/>
          </w:tcPr>
          <w:p w14:paraId="1771A72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SA"/>
              </w:rPr>
              <w:t>费用支付</w:t>
            </w:r>
          </w:p>
        </w:tc>
        <w:tc>
          <w:tcPr>
            <w:tcW w:w="348" w:type="pct"/>
            <w:vAlign w:val="center"/>
          </w:tcPr>
          <w:p w14:paraId="55E8957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7" w:type="pct"/>
            <w:vAlign w:val="center"/>
          </w:tcPr>
          <w:p w14:paraId="64747B8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397" w:type="pct"/>
            <w:vAlign w:val="center"/>
          </w:tcPr>
          <w:p w14:paraId="68B5759C">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4838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2B5F3E1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bookmarkStart w:id="467" w:name="_Toc6894"/>
            <w:r>
              <w:rPr>
                <w:rFonts w:hint="eastAsia" w:ascii="宋体" w:hAnsi="宋体" w:eastAsia="宋体" w:cs="宋体"/>
                <w:color w:val="auto"/>
                <w:kern w:val="0"/>
                <w:sz w:val="21"/>
                <w:szCs w:val="21"/>
                <w:highlight w:val="none"/>
                <w:lang w:val="en-US" w:eastAsia="zh-CN"/>
              </w:rPr>
              <w:t>5</w:t>
            </w:r>
          </w:p>
        </w:tc>
        <w:tc>
          <w:tcPr>
            <w:tcW w:w="458" w:type="pct"/>
            <w:vAlign w:val="center"/>
          </w:tcPr>
          <w:p w14:paraId="56C5CD6C">
            <w:pPr>
              <w:keepNext w:val="0"/>
              <w:keepLines w:val="0"/>
              <w:suppressLineNumbers w:val="0"/>
              <w:spacing w:before="0" w:beforeAutospacing="0" w:after="0" w:afterAutospacing="0" w:line="400" w:lineRule="exact"/>
              <w:ind w:left="0" w:right="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五</w:t>
            </w:r>
          </w:p>
        </w:tc>
        <w:tc>
          <w:tcPr>
            <w:tcW w:w="6206" w:type="dxa"/>
            <w:vAlign w:val="center"/>
          </w:tcPr>
          <w:p w14:paraId="4FFF90C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考核制度</w:t>
            </w:r>
          </w:p>
        </w:tc>
        <w:tc>
          <w:tcPr>
            <w:tcW w:w="348" w:type="pct"/>
            <w:vAlign w:val="center"/>
          </w:tcPr>
          <w:p w14:paraId="31872E5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7" w:type="pct"/>
            <w:vAlign w:val="center"/>
          </w:tcPr>
          <w:p w14:paraId="23C7C99E">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397" w:type="pct"/>
            <w:vAlign w:val="center"/>
          </w:tcPr>
          <w:p w14:paraId="2CA47214">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741D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12198E77">
            <w:pPr>
              <w:keepNext/>
              <w:keepLines/>
              <w:suppressLineNumbers w:val="0"/>
              <w:tabs>
                <w:tab w:val="left" w:pos="414"/>
              </w:tabs>
              <w:spacing w:before="0" w:beforeAutospacing="0" w:after="0" w:afterAutospacing="0" w:line="400" w:lineRule="exact"/>
              <w:ind w:left="0" w:right="0"/>
              <w:jc w:val="left"/>
              <w:outlineLvl w:val="2"/>
              <w:rPr>
                <w:rFonts w:hint="eastAsia" w:ascii="宋体" w:hAnsi="宋体" w:eastAsia="宋体" w:cs="宋体"/>
                <w:color w:val="auto"/>
                <w:kern w:val="0"/>
                <w:sz w:val="21"/>
                <w:szCs w:val="21"/>
                <w:highlight w:val="none"/>
                <w:lang w:eastAsia="zh-CN"/>
              </w:rPr>
            </w:pPr>
            <w:bookmarkStart w:id="468" w:name="_Toc11914"/>
            <w:r>
              <w:rPr>
                <w:rFonts w:hint="eastAsia" w:ascii="宋体" w:hAnsi="宋体" w:eastAsia="宋体" w:cs="宋体"/>
                <w:color w:val="auto"/>
                <w:kern w:val="0"/>
                <w:sz w:val="21"/>
                <w:szCs w:val="21"/>
                <w:highlight w:val="none"/>
                <w:lang w:eastAsia="zh-CN"/>
              </w:rPr>
              <w:t>用户需求书“★”条款</w:t>
            </w:r>
            <w:bookmarkEnd w:id="466"/>
            <w:bookmarkEnd w:id="467"/>
            <w:bookmarkEnd w:id="468"/>
          </w:p>
        </w:tc>
      </w:tr>
      <w:tr w14:paraId="0EB1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17A17CE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458" w:type="pct"/>
            <w:vAlign w:val="center"/>
          </w:tcPr>
          <w:p w14:paraId="3B5EE5B6">
            <w:pPr>
              <w:keepNext w:val="0"/>
              <w:keepLines w:val="0"/>
              <w:suppressLineNumbers w:val="0"/>
              <w:spacing w:before="0" w:beforeAutospacing="0" w:after="0" w:afterAutospacing="0"/>
              <w:ind w:left="0" w:right="0"/>
              <w:jc w:val="center"/>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val="en-US" w:eastAsia="zh-CN"/>
              </w:rPr>
              <w:t>二</w:t>
            </w:r>
          </w:p>
        </w:tc>
        <w:tc>
          <w:tcPr>
            <w:tcW w:w="3091" w:type="pct"/>
            <w:vAlign w:val="top"/>
          </w:tcPr>
          <w:p w14:paraId="1650A46C">
            <w:pPr>
              <w:pStyle w:val="166"/>
              <w:keepNext w:val="0"/>
              <w:keepLines w:val="0"/>
              <w:suppressLineNumbers w:val="0"/>
              <w:spacing w:before="0" w:beforeAutospacing="0" w:after="0" w:afterAutospacing="0" w:line="400" w:lineRule="exact"/>
              <w:ind w:left="0" w:right="0" w:firstLine="0" w:firstLineChars="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二、总体服务要求</w:t>
            </w:r>
          </w:p>
          <w:p w14:paraId="3D0FF9D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（七）其他要求</w:t>
            </w:r>
          </w:p>
          <w:p w14:paraId="248CFF26">
            <w:pPr>
              <w:pStyle w:val="166"/>
              <w:keepNext w:val="0"/>
              <w:keepLines w:val="0"/>
              <w:suppressLineNumbers w:val="0"/>
              <w:spacing w:before="0" w:beforeAutospacing="0" w:after="0" w:afterAutospacing="0" w:line="400" w:lineRule="exact"/>
              <w:ind w:left="0" w:right="0" w:firstLine="0" w:firstLineChars="0"/>
              <w:rPr>
                <w:rFonts w:hint="eastAsia" w:ascii="宋体" w:hAnsi="宋体" w:eastAsia="宋体" w:cs="宋体"/>
                <w:b w:val="0"/>
                <w:bCs w:val="0"/>
                <w:color w:val="auto"/>
                <w:kern w:val="0"/>
                <w:sz w:val="21"/>
                <w:szCs w:val="21"/>
                <w:highlight w:val="none"/>
              </w:rPr>
            </w:pPr>
            <w:r>
              <w:rPr>
                <w:rFonts w:hint="eastAsia" w:ascii="宋体" w:hAnsi="宋体" w:eastAsia="宋体" w:cs="宋体"/>
                <w:b/>
                <w:color w:val="auto"/>
                <w:sz w:val="21"/>
                <w:szCs w:val="21"/>
                <w:highlight w:val="none"/>
                <w:u w:val="single"/>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en-US"/>
              </w:rPr>
              <w:t>须严格按照东莞市住房和城乡建设局规定，使用“东莞市工程质量检测监管平台”开展相关检测工作，</w:t>
            </w:r>
            <w:r>
              <w:rPr>
                <w:rFonts w:hint="eastAsia" w:ascii="宋体" w:hAnsi="宋体" w:eastAsia="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en-US"/>
              </w:rPr>
              <w:t>须在“东莞市工程质量检测监管平台”完成注册备案，并提供相关网页截图。（须在投标时提供已备案网页截图，或在投标时提供</w:t>
            </w:r>
            <w:r>
              <w:rPr>
                <w:rFonts w:hint="eastAsia"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rPr>
              <w:t>后须在7个工作日内完成备案的承诺函）</w:t>
            </w:r>
          </w:p>
        </w:tc>
        <w:tc>
          <w:tcPr>
            <w:tcW w:w="348" w:type="pct"/>
            <w:vAlign w:val="center"/>
          </w:tcPr>
          <w:p w14:paraId="74FBF080">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7" w:type="pct"/>
            <w:vAlign w:val="center"/>
          </w:tcPr>
          <w:p w14:paraId="0D2353D3">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397" w:type="pct"/>
            <w:vAlign w:val="center"/>
          </w:tcPr>
          <w:p w14:paraId="0BB6DC09">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bl>
    <w:p w14:paraId="3CD51A10">
      <w:pPr>
        <w:spacing w:line="360" w:lineRule="auto"/>
        <w:rPr>
          <w:rFonts w:ascii="宋体" w:hAnsi="宋体" w:eastAsia="宋体" w:cs="宋体"/>
          <w:color w:val="auto"/>
          <w:szCs w:val="21"/>
          <w:highlight w:val="none"/>
        </w:rPr>
      </w:pPr>
    </w:p>
    <w:p w14:paraId="49032C0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339732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响应供应商应对照谈判文件用户需求书的响应(其中</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用户需求书特别说明</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lang w:val="en-US" w:eastAsia="zh-CN"/>
        </w:rPr>
        <w:t>及</w:t>
      </w:r>
      <w:r>
        <w:rPr>
          <w:rFonts w:hint="eastAsia" w:ascii="宋体" w:hAnsi="宋体" w:eastAsia="宋体" w:cs="宋体"/>
          <w:b/>
          <w:color w:val="auto"/>
          <w:szCs w:val="21"/>
          <w:highlight w:val="none"/>
          <w:u w:val="single"/>
        </w:rPr>
        <w:t>“第一节 项目的基本情况及污水处理厂设计”</w:t>
      </w:r>
      <w:r>
        <w:rPr>
          <w:rFonts w:hint="eastAsia" w:ascii="宋体" w:hAnsi="宋体" w:eastAsia="宋体" w:cs="宋体"/>
          <w:b/>
          <w:color w:val="auto"/>
          <w:szCs w:val="21"/>
          <w:highlight w:val="none"/>
          <w:u w:val="single"/>
          <w:lang w:val="en-US"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若发现未填写本表，或虚假填写本表，或伪造、变造证明材料的，按无效响应文件处理</w:t>
      </w:r>
      <w:r>
        <w:rPr>
          <w:rFonts w:hint="eastAsia" w:ascii="宋体" w:hAnsi="宋体" w:eastAsia="宋体" w:cs="宋体"/>
          <w:b/>
          <w:color w:val="auto"/>
          <w:szCs w:val="21"/>
          <w:highlight w:val="none"/>
          <w:u w:val="single"/>
        </w:rPr>
        <w:t>。未填写“★”条款以外的条款的，视为完全满足</w:t>
      </w:r>
      <w:r>
        <w:rPr>
          <w:rFonts w:hint="eastAsia" w:ascii="宋体" w:hAnsi="宋体" w:eastAsia="宋体" w:cs="宋体"/>
          <w:b/>
          <w:color w:val="auto"/>
          <w:szCs w:val="21"/>
          <w:highlight w:val="none"/>
          <w:u w:val="single"/>
          <w:lang w:val="en-US" w:eastAsia="zh-CN"/>
        </w:rPr>
        <w:t>谈判</w:t>
      </w:r>
      <w:r>
        <w:rPr>
          <w:rFonts w:hint="eastAsia" w:ascii="宋体" w:hAnsi="宋体" w:eastAsia="宋体" w:cs="宋体"/>
          <w:b/>
          <w:color w:val="auto"/>
          <w:szCs w:val="21"/>
          <w:highlight w:val="none"/>
          <w:u w:val="single"/>
        </w:rPr>
        <w:t>文件要求。</w:t>
      </w:r>
    </w:p>
    <w:p w14:paraId="7471AB2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响应文件对谈判文件用户需求的响应程度）分为：正偏离、负偏离、无偏离。正偏离是指响应供应商对用户需求响应优于谈判文件的要求；负偏离是指响应供应商对用户需求响应不满足或不完全满足谈判文件的要求；无偏离是指响应供应商对用户需求响应完全满足谈判文件的要求。 </w:t>
      </w:r>
    </w:p>
    <w:p w14:paraId="4EFD1EB0">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谈判文件的偏离内容，“偏离情况”项为无偏离的，在“实质性响应的具体内容”项内填“完全响应谈判文件要求”即可，也可进一步说明响应的具体内容。响应供应商可将反映</w:t>
      </w:r>
      <w:r>
        <w:rPr>
          <w:rFonts w:hint="eastAsia" w:ascii="宋体" w:hAnsi="宋体" w:eastAsia="宋体" w:cs="Times New Roman"/>
          <w:b/>
          <w:color w:val="auto"/>
          <w:kern w:val="0"/>
          <w:szCs w:val="21"/>
          <w:highlight w:val="none"/>
          <w:u w:val="single"/>
          <w:lang w:eastAsia="zh-CN"/>
        </w:rPr>
        <w:t>拟供货物</w:t>
      </w:r>
      <w:r>
        <w:rPr>
          <w:rFonts w:hint="eastAsia" w:ascii="宋体" w:hAnsi="宋体" w:eastAsia="宋体" w:cs="Times New Roman"/>
          <w:b/>
          <w:color w:val="auto"/>
          <w:kern w:val="0"/>
          <w:szCs w:val="21"/>
          <w:highlight w:val="none"/>
          <w:u w:val="single"/>
        </w:rPr>
        <w:t>技术参数、性能、功能的技术支持资料作为本表的附件，并在本偏离表“对应证明材料页码”项内注明其在响应文件中的具体页码。</w:t>
      </w:r>
    </w:p>
    <w:p w14:paraId="4B45955C">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”的地方均被视为重要的技术指标要求或性能要求。响应供应商要特别加以注意，必须对此回答并完全满足这些要求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lang w:val="zh-CN"/>
        </w:rPr>
        <w:t>。</w:t>
      </w:r>
    </w:p>
    <w:p w14:paraId="3A643038">
      <w:pPr>
        <w:spacing w:line="360" w:lineRule="auto"/>
        <w:rPr>
          <w:rFonts w:ascii="宋体" w:hAnsi="宋体" w:eastAsia="宋体" w:cs="宋体"/>
          <w:color w:val="auto"/>
          <w:szCs w:val="21"/>
          <w:highlight w:val="none"/>
        </w:rPr>
      </w:pPr>
    </w:p>
    <w:p w14:paraId="6151DB50">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响应供应商：（</w:t>
      </w:r>
      <w:r>
        <w:rPr>
          <w:rFonts w:hint="eastAsia" w:ascii="宋体" w:hAnsi="宋体" w:eastAsia="宋体" w:cs="宋体"/>
          <w:color w:val="auto"/>
          <w:szCs w:val="21"/>
          <w:highlight w:val="none"/>
          <w:lang w:val="zh-CN"/>
        </w:rPr>
        <w:t>加盖响应供应商法人公章</w:t>
      </w:r>
      <w:r>
        <w:rPr>
          <w:rFonts w:hint="eastAsia" w:ascii="宋体" w:hAnsi="宋体" w:eastAsia="宋体" w:cs="宋体"/>
          <w:color w:val="auto"/>
          <w:kern w:val="0"/>
          <w:szCs w:val="21"/>
          <w:highlight w:val="none"/>
        </w:rPr>
        <w:t>）</w:t>
      </w:r>
    </w:p>
    <w:p w14:paraId="6C75902E">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4AE54568">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469" w:name="_Toc160099524"/>
      <w:bookmarkStart w:id="470" w:name="_Toc104991892"/>
      <w:bookmarkStart w:id="471" w:name="_Toc102860434"/>
      <w:bookmarkStart w:id="472" w:name="_Toc140596945"/>
      <w:bookmarkStart w:id="473" w:name="_Toc102860090"/>
      <w:bookmarkStart w:id="474" w:name="_Toc94107227"/>
    </w:p>
    <w:p w14:paraId="48E3074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75" w:name="_Toc32425"/>
      <w:bookmarkStart w:id="476" w:name="_Toc7952"/>
      <w:bookmarkStart w:id="477" w:name="_Toc15856"/>
      <w:r>
        <w:rPr>
          <w:rFonts w:hint="eastAsia" w:ascii="宋体" w:hAnsi="宋体" w:eastAsia="宋体" w:cs="宋体"/>
          <w:b/>
          <w:color w:val="auto"/>
          <w:kern w:val="0"/>
          <w:sz w:val="30"/>
          <w:szCs w:val="30"/>
          <w:highlight w:val="none"/>
          <w:lang w:val="en-US" w:eastAsia="zh-CN"/>
        </w:rPr>
        <w:t>9</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lang w:val="en-US" w:eastAsia="zh-CN"/>
        </w:rPr>
        <w:t>2</w:t>
      </w:r>
      <w:r>
        <w:rPr>
          <w:rFonts w:ascii="宋体" w:hAnsi="宋体" w:eastAsia="宋体" w:cs="宋体"/>
          <w:b/>
          <w:color w:val="auto"/>
          <w:kern w:val="0"/>
          <w:sz w:val="30"/>
          <w:szCs w:val="30"/>
          <w:highlight w:val="none"/>
        </w:rPr>
        <w:t xml:space="preserve"> </w:t>
      </w:r>
      <w:bookmarkEnd w:id="469"/>
      <w:bookmarkEnd w:id="470"/>
      <w:bookmarkEnd w:id="471"/>
      <w:bookmarkEnd w:id="472"/>
      <w:bookmarkEnd w:id="473"/>
      <w:bookmarkEnd w:id="474"/>
      <w:bookmarkEnd w:id="475"/>
      <w:r>
        <w:rPr>
          <w:rFonts w:hint="eastAsia" w:ascii="宋体" w:hAnsi="宋体" w:eastAsia="宋体" w:cs="宋体"/>
          <w:b/>
          <w:color w:val="auto"/>
          <w:kern w:val="0"/>
          <w:sz w:val="30"/>
          <w:szCs w:val="30"/>
          <w:highlight w:val="none"/>
        </w:rPr>
        <w:t>总体实施方案</w:t>
      </w:r>
      <w:bookmarkEnd w:id="476"/>
      <w:bookmarkEnd w:id="477"/>
    </w:p>
    <w:p w14:paraId="662ED38C">
      <w:pPr>
        <w:autoSpaceDE w:val="0"/>
        <w:autoSpaceDN w:val="0"/>
        <w:adjustRightInd w:val="0"/>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说明：响应供应商自行提供书面说明和资料。</w:t>
      </w:r>
    </w:p>
    <w:p w14:paraId="7A99422C">
      <w:pPr>
        <w:autoSpaceDE w:val="0"/>
        <w:autoSpaceDN w:val="0"/>
        <w:adjustRightInd w:val="0"/>
        <w:jc w:val="left"/>
        <w:rPr>
          <w:rFonts w:ascii="宋体" w:hAnsi="宋体" w:eastAsia="宋体" w:cs="Times New Roman"/>
          <w:color w:val="auto"/>
          <w:kern w:val="0"/>
          <w:sz w:val="24"/>
          <w:szCs w:val="24"/>
          <w:highlight w:val="none"/>
        </w:rPr>
      </w:pPr>
    </w:p>
    <w:p w14:paraId="25230782">
      <w:pPr>
        <w:autoSpaceDE w:val="0"/>
        <w:autoSpaceDN w:val="0"/>
        <w:adjustRightInd w:val="0"/>
        <w:jc w:val="left"/>
        <w:rPr>
          <w:rFonts w:ascii="宋体" w:hAnsi="宋体" w:eastAsia="宋体" w:cs="Times New Roman"/>
          <w:color w:val="auto"/>
          <w:kern w:val="0"/>
          <w:sz w:val="24"/>
          <w:szCs w:val="24"/>
          <w:highlight w:val="none"/>
        </w:rPr>
      </w:pPr>
    </w:p>
    <w:p w14:paraId="728BFCEB">
      <w:pPr>
        <w:autoSpaceDE w:val="0"/>
        <w:autoSpaceDN w:val="0"/>
        <w:adjustRightInd w:val="0"/>
        <w:jc w:val="left"/>
        <w:rPr>
          <w:rFonts w:ascii="宋体" w:hAnsi="宋体" w:eastAsia="宋体" w:cs="Times New Roman"/>
          <w:color w:val="auto"/>
          <w:kern w:val="0"/>
          <w:sz w:val="24"/>
          <w:szCs w:val="24"/>
          <w:highlight w:val="none"/>
        </w:rPr>
      </w:pPr>
    </w:p>
    <w:p w14:paraId="0AF11706">
      <w:pPr>
        <w:autoSpaceDE w:val="0"/>
        <w:autoSpaceDN w:val="0"/>
        <w:adjustRightInd w:val="0"/>
        <w:jc w:val="left"/>
        <w:rPr>
          <w:rFonts w:ascii="宋体" w:hAnsi="宋体" w:eastAsia="宋体" w:cs="Times New Roman"/>
          <w:color w:val="auto"/>
          <w:kern w:val="0"/>
          <w:sz w:val="24"/>
          <w:szCs w:val="24"/>
          <w:highlight w:val="none"/>
        </w:rPr>
      </w:pPr>
    </w:p>
    <w:p w14:paraId="760F0261">
      <w:pPr>
        <w:autoSpaceDE w:val="0"/>
        <w:autoSpaceDN w:val="0"/>
        <w:adjustRightInd w:val="0"/>
        <w:jc w:val="left"/>
        <w:rPr>
          <w:rFonts w:ascii="宋体" w:hAnsi="宋体" w:eastAsia="宋体" w:cs="Times New Roman"/>
          <w:color w:val="auto"/>
          <w:kern w:val="0"/>
          <w:sz w:val="24"/>
          <w:szCs w:val="24"/>
          <w:highlight w:val="none"/>
        </w:rPr>
      </w:pPr>
    </w:p>
    <w:p w14:paraId="2A1041B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ascii="宋体" w:hAnsi="宋体" w:eastAsia="宋体" w:cs="Times New Roman"/>
          <w:color w:val="auto"/>
          <w:kern w:val="0"/>
          <w:sz w:val="24"/>
          <w:szCs w:val="24"/>
          <w:highlight w:val="none"/>
        </w:rPr>
        <w:br w:type="page"/>
      </w:r>
      <w:bookmarkStart w:id="478" w:name="_Toc102860091"/>
      <w:bookmarkStart w:id="479" w:name="_Toc102860435"/>
      <w:bookmarkStart w:id="480" w:name="_Toc104991893"/>
      <w:bookmarkStart w:id="481" w:name="_Toc1448"/>
      <w:bookmarkStart w:id="482" w:name="_Toc94107228"/>
      <w:bookmarkStart w:id="483" w:name="_Toc160099525"/>
      <w:bookmarkStart w:id="484" w:name="_Toc140596946"/>
      <w:bookmarkStart w:id="485" w:name="_Toc8285"/>
      <w:bookmarkStart w:id="486" w:name="_Toc31147"/>
      <w:r>
        <w:rPr>
          <w:rFonts w:hint="eastAsia" w:ascii="宋体" w:hAnsi="宋体" w:eastAsia="宋体" w:cs="宋体"/>
          <w:b/>
          <w:color w:val="auto"/>
          <w:kern w:val="0"/>
          <w:sz w:val="30"/>
          <w:szCs w:val="30"/>
          <w:highlight w:val="none"/>
          <w:lang w:val="en-US" w:eastAsia="zh-CN"/>
        </w:rPr>
        <w:t>9</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bookmarkEnd w:id="478"/>
      <w:bookmarkEnd w:id="479"/>
      <w:bookmarkEnd w:id="480"/>
      <w:bookmarkEnd w:id="481"/>
      <w:bookmarkEnd w:id="482"/>
      <w:bookmarkEnd w:id="483"/>
      <w:bookmarkEnd w:id="484"/>
      <w:r>
        <w:rPr>
          <w:rFonts w:hint="eastAsia" w:ascii="宋体" w:hAnsi="宋体" w:eastAsia="宋体" w:cs="宋体"/>
          <w:b/>
          <w:color w:val="auto"/>
          <w:kern w:val="0"/>
          <w:sz w:val="30"/>
          <w:szCs w:val="30"/>
          <w:highlight w:val="none"/>
        </w:rPr>
        <w:t>进度保障措施</w:t>
      </w:r>
      <w:bookmarkEnd w:id="485"/>
      <w:bookmarkEnd w:id="486"/>
    </w:p>
    <w:p w14:paraId="3AF0118D">
      <w:pPr>
        <w:autoSpaceDE w:val="0"/>
        <w:autoSpaceDN w:val="0"/>
        <w:adjustRightInd w:val="0"/>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说明：响应供应商自行提供书面说明和资料。</w:t>
      </w:r>
    </w:p>
    <w:p w14:paraId="6D56C0A9">
      <w:pPr>
        <w:tabs>
          <w:tab w:val="left" w:pos="567"/>
        </w:tabs>
        <w:autoSpaceDE w:val="0"/>
        <w:autoSpaceDN w:val="0"/>
        <w:adjustRightInd w:val="0"/>
        <w:spacing w:line="360" w:lineRule="auto"/>
        <w:jc w:val="left"/>
        <w:outlineLvl w:val="9"/>
        <w:rPr>
          <w:rFonts w:ascii="宋体" w:hAnsi="宋体" w:eastAsia="宋体" w:cs="Times New Roman"/>
          <w:color w:val="auto"/>
          <w:kern w:val="3"/>
          <w:szCs w:val="21"/>
          <w:highlight w:val="none"/>
        </w:rPr>
      </w:pPr>
      <w:r>
        <w:rPr>
          <w:rFonts w:ascii="宋体" w:hAnsi="宋体" w:eastAsia="宋体" w:cs="Times New Roman"/>
          <w:color w:val="auto"/>
          <w:kern w:val="3"/>
          <w:szCs w:val="21"/>
          <w:highlight w:val="none"/>
        </w:rPr>
        <w:t xml:space="preserve"> </w:t>
      </w:r>
    </w:p>
    <w:p w14:paraId="15DE41A9">
      <w:pPr>
        <w:spacing w:line="360" w:lineRule="auto"/>
        <w:ind w:firstLine="4200" w:firstLineChars="2000"/>
        <w:rPr>
          <w:rFonts w:ascii="宋体" w:hAnsi="宋体" w:eastAsia="宋体" w:cs="Times New Roman"/>
          <w:color w:val="auto"/>
          <w:kern w:val="0"/>
          <w:szCs w:val="21"/>
          <w:highlight w:val="none"/>
        </w:rPr>
      </w:pPr>
    </w:p>
    <w:p w14:paraId="7D95402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ascii="宋体" w:hAnsi="宋体" w:eastAsia="宋体" w:cs="Times New Roman"/>
          <w:color w:val="auto"/>
          <w:kern w:val="0"/>
          <w:sz w:val="24"/>
          <w:szCs w:val="24"/>
          <w:highlight w:val="none"/>
        </w:rPr>
        <w:br w:type="page"/>
      </w:r>
      <w:bookmarkStart w:id="487" w:name="_Toc25929"/>
      <w:bookmarkStart w:id="488" w:name="_Toc11874"/>
      <w:bookmarkStart w:id="489" w:name="_Toc1977744"/>
      <w:bookmarkStart w:id="490" w:name="_Toc160099526"/>
      <w:bookmarkStart w:id="491" w:name="_Toc104991895"/>
      <w:bookmarkStart w:id="492" w:name="_Toc140596948"/>
      <w:bookmarkStart w:id="493" w:name="_Toc102860093"/>
      <w:bookmarkStart w:id="494" w:name="_Toc102860437"/>
      <w:bookmarkStart w:id="495" w:name="_Toc533708139"/>
      <w:r>
        <w:rPr>
          <w:rFonts w:hint="eastAsia" w:ascii="宋体" w:hAnsi="宋体" w:eastAsia="宋体" w:cs="宋体"/>
          <w:b/>
          <w:color w:val="auto"/>
          <w:kern w:val="0"/>
          <w:sz w:val="30"/>
          <w:szCs w:val="30"/>
          <w:highlight w:val="none"/>
          <w:lang w:val="en-US" w:eastAsia="zh-CN"/>
        </w:rPr>
        <w:t>9</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应急处理方案</w:t>
      </w:r>
      <w:bookmarkEnd w:id="487"/>
      <w:bookmarkEnd w:id="488"/>
    </w:p>
    <w:p w14:paraId="54313E8D">
      <w:pPr>
        <w:autoSpaceDE w:val="0"/>
        <w:autoSpaceDN w:val="0"/>
        <w:adjustRightInd w:val="0"/>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说明：响应供应商自行提供书面说明和资料。</w:t>
      </w:r>
    </w:p>
    <w:p w14:paraId="32E4AD92">
      <w:pPr>
        <w:tabs>
          <w:tab w:val="left" w:pos="567"/>
        </w:tabs>
        <w:autoSpaceDE w:val="0"/>
        <w:autoSpaceDN w:val="0"/>
        <w:adjustRightInd w:val="0"/>
        <w:spacing w:line="360" w:lineRule="auto"/>
        <w:jc w:val="left"/>
        <w:outlineLvl w:val="9"/>
        <w:rPr>
          <w:rFonts w:ascii="宋体" w:hAnsi="宋体" w:eastAsia="宋体" w:cs="Times New Roman"/>
          <w:color w:val="auto"/>
          <w:kern w:val="3"/>
          <w:szCs w:val="21"/>
          <w:highlight w:val="none"/>
        </w:rPr>
      </w:pPr>
      <w:r>
        <w:rPr>
          <w:rFonts w:ascii="宋体" w:hAnsi="宋体" w:eastAsia="宋体" w:cs="Times New Roman"/>
          <w:color w:val="auto"/>
          <w:kern w:val="3"/>
          <w:szCs w:val="21"/>
          <w:highlight w:val="none"/>
        </w:rPr>
        <w:t xml:space="preserve"> </w:t>
      </w:r>
    </w:p>
    <w:p w14:paraId="79443524">
      <w:pPr>
        <w:numPr>
          <w:ilvl w:val="0"/>
          <w:numId w:val="0"/>
        </w:numPr>
        <w:autoSpaceDE w:val="0"/>
        <w:autoSpaceDN w:val="0"/>
        <w:adjustRightInd w:val="0"/>
        <w:snapToGrid w:val="0"/>
        <w:spacing w:line="360" w:lineRule="auto"/>
        <w:ind w:left="840" w:leftChars="0" w:firstLine="0" w:firstLineChars="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41969F6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96" w:name="_Toc9784"/>
      <w:bookmarkStart w:id="497" w:name="_Toc10103"/>
      <w:r>
        <w:rPr>
          <w:rFonts w:hint="eastAsia" w:ascii="宋体" w:hAnsi="宋体" w:eastAsia="宋体" w:cs="宋体"/>
          <w:b/>
          <w:color w:val="auto"/>
          <w:kern w:val="0"/>
          <w:sz w:val="30"/>
          <w:szCs w:val="30"/>
          <w:highlight w:val="none"/>
          <w:lang w:val="en-US" w:eastAsia="zh-CN"/>
        </w:rPr>
        <w:t>9</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售后服务方案</w:t>
      </w:r>
      <w:bookmarkEnd w:id="496"/>
      <w:bookmarkEnd w:id="497"/>
    </w:p>
    <w:p w14:paraId="75511ABE">
      <w:pPr>
        <w:autoSpaceDE w:val="0"/>
        <w:autoSpaceDN w:val="0"/>
        <w:adjustRightInd w:val="0"/>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说明：响应供应商自行提供书面说明和资料。</w:t>
      </w:r>
    </w:p>
    <w:p w14:paraId="5BC73D4A">
      <w:pPr>
        <w:tabs>
          <w:tab w:val="left" w:pos="567"/>
        </w:tabs>
        <w:autoSpaceDE w:val="0"/>
        <w:autoSpaceDN w:val="0"/>
        <w:adjustRightInd w:val="0"/>
        <w:spacing w:line="360" w:lineRule="auto"/>
        <w:jc w:val="left"/>
        <w:outlineLvl w:val="9"/>
        <w:rPr>
          <w:rFonts w:ascii="宋体" w:hAnsi="宋体" w:eastAsia="宋体" w:cs="Times New Roman"/>
          <w:color w:val="auto"/>
          <w:kern w:val="3"/>
          <w:szCs w:val="21"/>
          <w:highlight w:val="none"/>
        </w:rPr>
      </w:pPr>
      <w:r>
        <w:rPr>
          <w:rFonts w:ascii="宋体" w:hAnsi="宋体" w:eastAsia="宋体" w:cs="Times New Roman"/>
          <w:color w:val="auto"/>
          <w:kern w:val="3"/>
          <w:szCs w:val="21"/>
          <w:highlight w:val="none"/>
        </w:rPr>
        <w:t xml:space="preserve"> </w:t>
      </w:r>
    </w:p>
    <w:p w14:paraId="07985612">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bookmarkEnd w:id="489"/>
    <w:bookmarkEnd w:id="490"/>
    <w:bookmarkEnd w:id="491"/>
    <w:bookmarkEnd w:id="492"/>
    <w:bookmarkEnd w:id="493"/>
    <w:bookmarkEnd w:id="494"/>
    <w:p w14:paraId="35A3505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ascii="宋体" w:hAnsi="宋体" w:eastAsia="宋体" w:cs="宋体"/>
          <w:b/>
          <w:color w:val="auto"/>
          <w:kern w:val="0"/>
          <w:sz w:val="30"/>
          <w:szCs w:val="30"/>
          <w:highlight w:val="none"/>
        </w:rPr>
      </w:pPr>
      <w:bookmarkStart w:id="498" w:name="_Toc102860094"/>
      <w:bookmarkStart w:id="499" w:name="_Toc102860438"/>
      <w:bookmarkStart w:id="500" w:name="_Toc104991896"/>
      <w:bookmarkStart w:id="501" w:name="_Toc140596949"/>
      <w:bookmarkStart w:id="502" w:name="_Toc160099527"/>
      <w:r>
        <w:rPr>
          <w:rFonts w:hint="eastAsia" w:ascii="宋体" w:hAnsi="宋体" w:eastAsia="宋体" w:cs="宋体"/>
          <w:b/>
          <w:color w:val="auto"/>
          <w:kern w:val="0"/>
          <w:sz w:val="30"/>
          <w:szCs w:val="30"/>
          <w:highlight w:val="none"/>
          <w:lang w:val="en-US" w:eastAsia="zh-CN"/>
        </w:rPr>
        <w:t>9</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lang w:val="en-US" w:eastAsia="zh-CN"/>
        </w:rPr>
        <w:t>6</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响应供应商认为有必要提供的其它材料（不做强制要求）</w:t>
      </w:r>
      <w:bookmarkEnd w:id="498"/>
      <w:bookmarkEnd w:id="499"/>
      <w:bookmarkEnd w:id="500"/>
      <w:bookmarkEnd w:id="501"/>
      <w:bookmarkEnd w:id="502"/>
    </w:p>
    <w:p w14:paraId="43A28AE5">
      <w:pPr>
        <w:autoSpaceDE w:val="0"/>
        <w:autoSpaceDN w:val="0"/>
        <w:adjustRightInd w:val="0"/>
        <w:jc w:val="left"/>
        <w:rPr>
          <w:rFonts w:ascii="宋体" w:hAnsi="宋体" w:eastAsia="宋体" w:cs="Times New Roman"/>
          <w:color w:val="auto"/>
          <w:kern w:val="0"/>
          <w:sz w:val="24"/>
          <w:szCs w:val="24"/>
          <w:highlight w:val="none"/>
        </w:rPr>
      </w:pPr>
    </w:p>
    <w:p w14:paraId="08232600">
      <w:pPr>
        <w:autoSpaceDE w:val="0"/>
        <w:autoSpaceDN w:val="0"/>
        <w:adjustRightInd w:val="0"/>
        <w:jc w:val="left"/>
        <w:rPr>
          <w:rFonts w:ascii="宋体" w:hAnsi="宋体" w:eastAsia="宋体" w:cs="Times New Roman"/>
          <w:color w:val="auto"/>
          <w:kern w:val="0"/>
          <w:sz w:val="24"/>
          <w:szCs w:val="24"/>
          <w:highlight w:val="none"/>
        </w:rPr>
      </w:pPr>
    </w:p>
    <w:p w14:paraId="0FB797C4">
      <w:pPr>
        <w:autoSpaceDE w:val="0"/>
        <w:autoSpaceDN w:val="0"/>
        <w:adjustRightInd w:val="0"/>
        <w:jc w:val="left"/>
        <w:rPr>
          <w:rFonts w:ascii="宋体" w:hAnsi="宋体" w:eastAsia="宋体" w:cs="Times New Roman"/>
          <w:color w:val="auto"/>
          <w:kern w:val="0"/>
          <w:sz w:val="24"/>
          <w:szCs w:val="24"/>
          <w:highlight w:val="none"/>
        </w:rPr>
      </w:pPr>
    </w:p>
    <w:p w14:paraId="68806F70">
      <w:pPr>
        <w:autoSpaceDE w:val="0"/>
        <w:autoSpaceDN w:val="0"/>
        <w:adjustRightInd w:val="0"/>
        <w:jc w:val="left"/>
        <w:rPr>
          <w:rFonts w:ascii="宋体" w:hAnsi="宋体" w:eastAsia="宋体" w:cs="Times New Roman"/>
          <w:color w:val="auto"/>
          <w:kern w:val="0"/>
          <w:sz w:val="24"/>
          <w:szCs w:val="24"/>
          <w:highlight w:val="none"/>
        </w:rPr>
      </w:pPr>
    </w:p>
    <w:p w14:paraId="7509B46D">
      <w:pPr>
        <w:autoSpaceDE w:val="0"/>
        <w:autoSpaceDN w:val="0"/>
        <w:adjustRightInd w:val="0"/>
        <w:jc w:val="left"/>
        <w:rPr>
          <w:rFonts w:ascii="宋体" w:hAnsi="宋体" w:eastAsia="宋体" w:cs="Times New Roman"/>
          <w:color w:val="auto"/>
          <w:kern w:val="0"/>
          <w:sz w:val="24"/>
          <w:szCs w:val="24"/>
          <w:highlight w:val="none"/>
        </w:rPr>
      </w:pPr>
    </w:p>
    <w:p w14:paraId="4F1ADBED">
      <w:pPr>
        <w:autoSpaceDE w:val="0"/>
        <w:autoSpaceDN w:val="0"/>
        <w:adjustRightInd w:val="0"/>
        <w:jc w:val="left"/>
        <w:rPr>
          <w:rFonts w:ascii="宋体" w:hAnsi="宋体" w:eastAsia="宋体" w:cs="Times New Roman"/>
          <w:color w:val="auto"/>
          <w:kern w:val="0"/>
          <w:sz w:val="24"/>
          <w:szCs w:val="24"/>
          <w:highlight w:val="none"/>
        </w:rPr>
      </w:pPr>
    </w:p>
    <w:p w14:paraId="2D41E0E5">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3AF442A8">
      <w:pPr>
        <w:autoSpaceDE w:val="0"/>
        <w:autoSpaceDN w:val="0"/>
        <w:adjustRightInd w:val="0"/>
        <w:jc w:val="left"/>
        <w:rPr>
          <w:rFonts w:ascii="宋体" w:hAnsi="宋体" w:eastAsia="宋体" w:cs="Times New Roman"/>
          <w:color w:val="auto"/>
          <w:kern w:val="0"/>
          <w:sz w:val="24"/>
          <w:szCs w:val="24"/>
          <w:highlight w:val="none"/>
        </w:rPr>
      </w:pPr>
    </w:p>
    <w:p w14:paraId="533FF65F">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503" w:name="_Toc18873"/>
      <w:bookmarkStart w:id="504" w:name="_Toc160099528"/>
      <w:bookmarkStart w:id="505" w:name="_Toc521918141"/>
      <w:bookmarkStart w:id="506" w:name="_Toc522047402"/>
      <w:bookmarkStart w:id="507" w:name="_Toc22601_WPSOffice_Level1"/>
      <w:r>
        <w:rPr>
          <w:rFonts w:hint="eastAsia" w:ascii="宋体" w:hAnsi="宋体" w:eastAsia="宋体" w:cs="宋体"/>
          <w:b/>
          <w:bCs/>
          <w:color w:val="auto"/>
          <w:kern w:val="44"/>
          <w:sz w:val="32"/>
          <w:szCs w:val="32"/>
          <w:highlight w:val="none"/>
          <w:lang w:val="zh-CN"/>
        </w:rPr>
        <w:t>附件一：评审工作大纲</w:t>
      </w:r>
      <w:bookmarkEnd w:id="503"/>
      <w:bookmarkEnd w:id="504"/>
    </w:p>
    <w:p w14:paraId="2D4E15D7">
      <w:pPr>
        <w:autoSpaceDE w:val="0"/>
        <w:autoSpaceDN w:val="0"/>
        <w:adjustRightInd w:val="0"/>
        <w:spacing w:line="400" w:lineRule="atLeast"/>
        <w:jc w:val="center"/>
        <w:rPr>
          <w:rFonts w:ascii="宋体" w:hAnsi="宋体" w:eastAsia="宋体" w:cs="宋体"/>
          <w:b/>
          <w:bCs/>
          <w:color w:val="auto"/>
          <w:szCs w:val="21"/>
          <w:highlight w:val="none"/>
        </w:rPr>
      </w:pPr>
    </w:p>
    <w:p w14:paraId="766DDAD0">
      <w:pPr>
        <w:autoSpaceDE w:val="0"/>
        <w:autoSpaceDN w:val="0"/>
        <w:adjustRightInd w:val="0"/>
        <w:spacing w:line="400" w:lineRule="atLeast"/>
        <w:jc w:val="center"/>
        <w:rPr>
          <w:rFonts w:ascii="宋体" w:hAnsi="宋体" w:eastAsia="宋体" w:cs="宋体"/>
          <w:b/>
          <w:bCs/>
          <w:color w:val="auto"/>
          <w:szCs w:val="21"/>
          <w:highlight w:val="none"/>
        </w:rPr>
      </w:pPr>
    </w:p>
    <w:p w14:paraId="0A23D87A">
      <w:pPr>
        <w:autoSpaceDE w:val="0"/>
        <w:autoSpaceDN w:val="0"/>
        <w:adjustRightInd w:val="0"/>
        <w:spacing w:line="400" w:lineRule="atLeast"/>
        <w:jc w:val="center"/>
        <w:rPr>
          <w:rFonts w:ascii="宋体" w:hAnsi="宋体" w:eastAsia="宋体" w:cs="宋体"/>
          <w:b/>
          <w:bCs/>
          <w:color w:val="auto"/>
          <w:szCs w:val="21"/>
          <w:highlight w:val="none"/>
        </w:rPr>
      </w:pPr>
    </w:p>
    <w:p w14:paraId="6F9C02E8">
      <w:pPr>
        <w:autoSpaceDE w:val="0"/>
        <w:autoSpaceDN w:val="0"/>
        <w:adjustRightInd w:val="0"/>
        <w:spacing w:line="400" w:lineRule="atLeast"/>
        <w:jc w:val="center"/>
        <w:rPr>
          <w:rFonts w:ascii="宋体" w:hAnsi="宋体" w:eastAsia="宋体" w:cs="宋体"/>
          <w:b/>
          <w:bCs/>
          <w:color w:val="auto"/>
          <w:szCs w:val="21"/>
          <w:highlight w:val="none"/>
        </w:rPr>
      </w:pPr>
    </w:p>
    <w:p w14:paraId="3866F7F6">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东莞市大朗蔡边水质净化厂工程第三方检测（不含基桩完整性检测）</w:t>
      </w:r>
    </w:p>
    <w:p w14:paraId="76F14958">
      <w:pPr>
        <w:autoSpaceDE w:val="0"/>
        <w:autoSpaceDN w:val="0"/>
        <w:adjustRightInd w:val="0"/>
        <w:spacing w:line="360" w:lineRule="auto"/>
        <w:jc w:val="center"/>
        <w:rPr>
          <w:rFonts w:ascii="宋体" w:hAnsi="宋体" w:eastAsia="宋体" w:cs="宋体"/>
          <w:b/>
          <w:bCs/>
          <w:color w:val="auto"/>
          <w:sz w:val="36"/>
          <w:szCs w:val="36"/>
          <w:highlight w:val="none"/>
        </w:rPr>
      </w:pPr>
      <w:bookmarkStart w:id="508" w:name="_Toc14752_WPSOffice_Level1"/>
      <w:r>
        <w:rPr>
          <w:rFonts w:hint="eastAsia" w:ascii="宋体" w:hAnsi="宋体" w:eastAsia="宋体" w:cs="宋体"/>
          <w:b/>
          <w:bCs/>
          <w:color w:val="auto"/>
          <w:sz w:val="36"/>
          <w:szCs w:val="36"/>
          <w:highlight w:val="none"/>
          <w:lang w:val="zh-CN"/>
        </w:rPr>
        <w:t>（采购编号：0832-SFCX25DG109C）</w:t>
      </w:r>
      <w:bookmarkEnd w:id="508"/>
    </w:p>
    <w:p w14:paraId="0D1C6987">
      <w:pPr>
        <w:autoSpaceDE w:val="0"/>
        <w:autoSpaceDN w:val="0"/>
        <w:adjustRightInd w:val="0"/>
        <w:spacing w:line="400" w:lineRule="atLeast"/>
        <w:jc w:val="center"/>
        <w:rPr>
          <w:rFonts w:ascii="宋体" w:hAnsi="宋体" w:eastAsia="宋体" w:cs="宋体"/>
          <w:b/>
          <w:bCs/>
          <w:color w:val="auto"/>
          <w:sz w:val="36"/>
          <w:szCs w:val="36"/>
          <w:highlight w:val="none"/>
        </w:rPr>
      </w:pPr>
    </w:p>
    <w:p w14:paraId="0D1720A6">
      <w:pPr>
        <w:autoSpaceDE w:val="0"/>
        <w:autoSpaceDN w:val="0"/>
        <w:adjustRightInd w:val="0"/>
        <w:spacing w:line="400" w:lineRule="atLeast"/>
        <w:jc w:val="center"/>
        <w:rPr>
          <w:rFonts w:ascii="宋体" w:hAnsi="宋体" w:eastAsia="宋体" w:cs="宋体"/>
          <w:b/>
          <w:bCs/>
          <w:color w:val="auto"/>
          <w:sz w:val="36"/>
          <w:szCs w:val="36"/>
          <w:highlight w:val="none"/>
        </w:rPr>
      </w:pPr>
    </w:p>
    <w:p w14:paraId="319B893E">
      <w:pPr>
        <w:autoSpaceDE w:val="0"/>
        <w:autoSpaceDN w:val="0"/>
        <w:adjustRightInd w:val="0"/>
        <w:spacing w:line="400" w:lineRule="atLeast"/>
        <w:jc w:val="center"/>
        <w:rPr>
          <w:rFonts w:ascii="宋体" w:hAnsi="宋体" w:eastAsia="宋体" w:cs="宋体"/>
          <w:b/>
          <w:bCs/>
          <w:color w:val="auto"/>
          <w:sz w:val="36"/>
          <w:szCs w:val="36"/>
          <w:highlight w:val="none"/>
        </w:rPr>
      </w:pPr>
    </w:p>
    <w:p w14:paraId="4190A08E">
      <w:pPr>
        <w:autoSpaceDE w:val="0"/>
        <w:autoSpaceDN w:val="0"/>
        <w:adjustRightInd w:val="0"/>
        <w:spacing w:line="400" w:lineRule="atLeast"/>
        <w:jc w:val="center"/>
        <w:rPr>
          <w:rFonts w:ascii="宋体" w:hAnsi="宋体" w:eastAsia="宋体" w:cs="宋体"/>
          <w:b/>
          <w:bCs/>
          <w:color w:val="auto"/>
          <w:sz w:val="36"/>
          <w:szCs w:val="36"/>
          <w:highlight w:val="none"/>
        </w:rPr>
      </w:pPr>
    </w:p>
    <w:p w14:paraId="6960BE0A">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509" w:name="_Toc18947_WPSOffice_Level2"/>
      <w:r>
        <w:rPr>
          <w:rFonts w:hint="eastAsia" w:ascii="宋体" w:hAnsi="宋体" w:eastAsia="宋体" w:cs="宋体"/>
          <w:b/>
          <w:bCs/>
          <w:color w:val="auto"/>
          <w:sz w:val="72"/>
          <w:szCs w:val="72"/>
          <w:highlight w:val="none"/>
          <w:lang w:val="zh-CN"/>
        </w:rPr>
        <w:t>评审工作大纲</w:t>
      </w:r>
      <w:bookmarkEnd w:id="509"/>
    </w:p>
    <w:p w14:paraId="38623F2C">
      <w:pPr>
        <w:autoSpaceDE w:val="0"/>
        <w:autoSpaceDN w:val="0"/>
        <w:adjustRightInd w:val="0"/>
        <w:spacing w:line="400" w:lineRule="atLeast"/>
        <w:jc w:val="center"/>
        <w:rPr>
          <w:rFonts w:ascii="宋体" w:hAnsi="宋体" w:eastAsia="宋体" w:cs="宋体"/>
          <w:b/>
          <w:bCs/>
          <w:color w:val="auto"/>
          <w:sz w:val="36"/>
          <w:szCs w:val="36"/>
          <w:highlight w:val="none"/>
        </w:rPr>
      </w:pPr>
    </w:p>
    <w:p w14:paraId="6D70D8BF">
      <w:pPr>
        <w:autoSpaceDE w:val="0"/>
        <w:autoSpaceDN w:val="0"/>
        <w:adjustRightInd w:val="0"/>
        <w:spacing w:line="400" w:lineRule="atLeast"/>
        <w:rPr>
          <w:rFonts w:ascii="宋体" w:hAnsi="宋体" w:eastAsia="宋体" w:cs="宋体"/>
          <w:b/>
          <w:bCs/>
          <w:color w:val="auto"/>
          <w:sz w:val="36"/>
          <w:szCs w:val="36"/>
          <w:highlight w:val="none"/>
        </w:rPr>
      </w:pPr>
    </w:p>
    <w:p w14:paraId="035362DD">
      <w:pPr>
        <w:autoSpaceDE w:val="0"/>
        <w:autoSpaceDN w:val="0"/>
        <w:adjustRightInd w:val="0"/>
        <w:spacing w:line="400" w:lineRule="atLeast"/>
        <w:jc w:val="center"/>
        <w:rPr>
          <w:rFonts w:ascii="宋体" w:hAnsi="宋体" w:eastAsia="宋体" w:cs="宋体"/>
          <w:b/>
          <w:bCs/>
          <w:color w:val="auto"/>
          <w:sz w:val="36"/>
          <w:szCs w:val="36"/>
          <w:highlight w:val="none"/>
        </w:rPr>
      </w:pPr>
    </w:p>
    <w:p w14:paraId="5FEF4B6A">
      <w:pPr>
        <w:autoSpaceDE w:val="0"/>
        <w:autoSpaceDN w:val="0"/>
        <w:adjustRightInd w:val="0"/>
        <w:spacing w:line="400" w:lineRule="atLeast"/>
        <w:jc w:val="center"/>
        <w:rPr>
          <w:rFonts w:ascii="宋体" w:hAnsi="宋体" w:eastAsia="宋体" w:cs="宋体"/>
          <w:b/>
          <w:bCs/>
          <w:color w:val="auto"/>
          <w:sz w:val="36"/>
          <w:szCs w:val="36"/>
          <w:highlight w:val="none"/>
        </w:rPr>
      </w:pPr>
    </w:p>
    <w:p w14:paraId="4DBF3D6A">
      <w:pPr>
        <w:autoSpaceDE w:val="0"/>
        <w:autoSpaceDN w:val="0"/>
        <w:adjustRightInd w:val="0"/>
        <w:spacing w:line="400" w:lineRule="atLeast"/>
        <w:jc w:val="center"/>
        <w:rPr>
          <w:rFonts w:ascii="宋体" w:hAnsi="宋体" w:eastAsia="宋体" w:cs="宋体"/>
          <w:b/>
          <w:bCs/>
          <w:color w:val="auto"/>
          <w:sz w:val="36"/>
          <w:szCs w:val="36"/>
          <w:highlight w:val="none"/>
        </w:rPr>
      </w:pPr>
    </w:p>
    <w:p w14:paraId="5FA7F8AF">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广东华迪工程管理有限公司</w:t>
      </w:r>
    </w:p>
    <w:p w14:paraId="1C2D747D">
      <w:pPr>
        <w:autoSpaceDE w:val="0"/>
        <w:autoSpaceDN w:val="0"/>
        <w:adjustRightInd w:val="0"/>
        <w:spacing w:line="400" w:lineRule="atLeast"/>
        <w:jc w:val="center"/>
        <w:rPr>
          <w:rFonts w:ascii="宋体" w:hAnsi="宋体" w:eastAsia="宋体" w:cs="宋体"/>
          <w:b/>
          <w:bCs/>
          <w:color w:val="auto"/>
          <w:sz w:val="36"/>
          <w:szCs w:val="36"/>
          <w:highlight w:val="none"/>
        </w:rPr>
      </w:pPr>
    </w:p>
    <w:p w14:paraId="2B0C7BAA">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510" w:name="_Toc32395_WPSOffice_Level1"/>
      <w:r>
        <w:rPr>
          <w:rFonts w:hint="eastAsia" w:ascii="宋体" w:hAnsi="宋体" w:eastAsia="宋体" w:cs="宋体"/>
          <w:b/>
          <w:bCs/>
          <w:color w:val="auto"/>
          <w:sz w:val="36"/>
          <w:szCs w:val="36"/>
          <w:highlight w:val="none"/>
          <w:lang w:val="zh-CN"/>
        </w:rPr>
        <w:t>目录</w:t>
      </w:r>
      <w:bookmarkEnd w:id="510"/>
    </w:p>
    <w:p w14:paraId="787132C1">
      <w:pPr>
        <w:autoSpaceDE w:val="0"/>
        <w:autoSpaceDN w:val="0"/>
        <w:adjustRightInd w:val="0"/>
        <w:spacing w:line="400" w:lineRule="atLeast"/>
        <w:jc w:val="center"/>
        <w:rPr>
          <w:rFonts w:ascii="宋体" w:hAnsi="宋体" w:eastAsia="宋体" w:cs="宋体"/>
          <w:color w:val="auto"/>
          <w:sz w:val="44"/>
          <w:szCs w:val="44"/>
          <w:highlight w:val="none"/>
        </w:rPr>
      </w:pPr>
    </w:p>
    <w:p w14:paraId="281CF5CF">
      <w:pPr>
        <w:autoSpaceDE w:val="0"/>
        <w:autoSpaceDN w:val="0"/>
        <w:adjustRightInd w:val="0"/>
        <w:spacing w:line="360" w:lineRule="auto"/>
        <w:ind w:left="567" w:hanging="567"/>
        <w:rPr>
          <w:rFonts w:ascii="宋体" w:hAnsi="宋体" w:eastAsia="宋体" w:cs="宋体"/>
          <w:color w:val="auto"/>
          <w:szCs w:val="30"/>
          <w:highlight w:val="none"/>
        </w:rPr>
      </w:pPr>
      <w:bookmarkStart w:id="51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511"/>
    </w:p>
    <w:p w14:paraId="1CBDC13C">
      <w:pPr>
        <w:autoSpaceDE w:val="0"/>
        <w:autoSpaceDN w:val="0"/>
        <w:adjustRightInd w:val="0"/>
        <w:spacing w:line="360" w:lineRule="auto"/>
        <w:ind w:left="567" w:hanging="567"/>
        <w:rPr>
          <w:rFonts w:ascii="宋体" w:hAnsi="宋体" w:eastAsia="宋体" w:cs="宋体"/>
          <w:color w:val="auto"/>
          <w:szCs w:val="30"/>
          <w:highlight w:val="none"/>
        </w:rPr>
      </w:pPr>
      <w:bookmarkStart w:id="51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响应文件的初审</w:t>
      </w:r>
      <w:bookmarkEnd w:id="512"/>
    </w:p>
    <w:p w14:paraId="202A1287">
      <w:pPr>
        <w:autoSpaceDE w:val="0"/>
        <w:autoSpaceDN w:val="0"/>
        <w:adjustRightInd w:val="0"/>
        <w:spacing w:line="360" w:lineRule="auto"/>
        <w:ind w:left="567" w:hanging="567"/>
        <w:rPr>
          <w:rFonts w:ascii="宋体" w:hAnsi="宋体" w:eastAsia="宋体" w:cs="宋体"/>
          <w:color w:val="auto"/>
          <w:szCs w:val="30"/>
          <w:highlight w:val="none"/>
        </w:rPr>
      </w:pPr>
      <w:bookmarkStart w:id="51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513"/>
    </w:p>
    <w:p w14:paraId="063B7E99">
      <w:pPr>
        <w:autoSpaceDE w:val="0"/>
        <w:autoSpaceDN w:val="0"/>
        <w:adjustRightInd w:val="0"/>
        <w:spacing w:line="360" w:lineRule="auto"/>
        <w:ind w:left="567" w:hanging="567"/>
        <w:rPr>
          <w:rFonts w:ascii="宋体" w:hAnsi="宋体" w:eastAsia="宋体" w:cs="宋体"/>
          <w:color w:val="auto"/>
          <w:szCs w:val="30"/>
          <w:highlight w:val="none"/>
        </w:rPr>
      </w:pPr>
      <w:bookmarkStart w:id="514" w:name="_Toc1206_WPSOffice_Level1"/>
      <w:r>
        <w:rPr>
          <w:rFonts w:hint="eastAsia" w:ascii="宋体" w:hAnsi="宋体" w:eastAsia="宋体" w:cs="宋体"/>
          <w:color w:val="auto"/>
          <w:szCs w:val="30"/>
          <w:highlight w:val="none"/>
        </w:rPr>
        <w:t>四、 谈判和最后报价</w:t>
      </w:r>
      <w:bookmarkEnd w:id="514"/>
    </w:p>
    <w:p w14:paraId="44F32238">
      <w:pPr>
        <w:autoSpaceDE w:val="0"/>
        <w:autoSpaceDN w:val="0"/>
        <w:adjustRightInd w:val="0"/>
        <w:spacing w:line="360" w:lineRule="auto"/>
        <w:ind w:left="567" w:hanging="567"/>
        <w:rPr>
          <w:rFonts w:ascii="宋体" w:hAnsi="宋体" w:eastAsia="宋体" w:cs="宋体"/>
          <w:color w:val="auto"/>
          <w:szCs w:val="30"/>
          <w:highlight w:val="none"/>
        </w:rPr>
      </w:pPr>
      <w:bookmarkStart w:id="51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推荐成交候选人</w:t>
      </w:r>
      <w:bookmarkEnd w:id="515"/>
    </w:p>
    <w:p w14:paraId="5E59C98F">
      <w:pPr>
        <w:autoSpaceDE w:val="0"/>
        <w:autoSpaceDN w:val="0"/>
        <w:adjustRightInd w:val="0"/>
        <w:spacing w:line="360" w:lineRule="auto"/>
        <w:ind w:left="567" w:hanging="567"/>
        <w:rPr>
          <w:rFonts w:ascii="宋体" w:hAnsi="宋体" w:eastAsia="宋体" w:cs="宋体"/>
          <w:color w:val="auto"/>
          <w:szCs w:val="30"/>
          <w:highlight w:val="none"/>
        </w:rPr>
      </w:pPr>
      <w:bookmarkStart w:id="51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编写评审报告</w:t>
      </w:r>
      <w:bookmarkEnd w:id="516"/>
    </w:p>
    <w:p w14:paraId="451BF0C3">
      <w:pPr>
        <w:autoSpaceDE w:val="0"/>
        <w:autoSpaceDN w:val="0"/>
        <w:adjustRightInd w:val="0"/>
        <w:spacing w:line="360" w:lineRule="auto"/>
        <w:ind w:left="567" w:hanging="567"/>
        <w:rPr>
          <w:rFonts w:ascii="宋体" w:hAnsi="宋体" w:eastAsia="宋体" w:cs="宋体"/>
          <w:color w:val="auto"/>
          <w:szCs w:val="30"/>
          <w:highlight w:val="none"/>
        </w:rPr>
      </w:pPr>
      <w:bookmarkStart w:id="51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517"/>
    </w:p>
    <w:p w14:paraId="639F2A75">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2F9D2F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0874F22">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1AD40A3E">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51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518"/>
    </w:p>
    <w:p w14:paraId="78F7A9BE">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1F3F9956">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东莞市大朗蔡边水质净化厂工程第三方检测（不含基桩完整性检测）</w:t>
      </w:r>
      <w:r>
        <w:rPr>
          <w:rFonts w:hint="eastAsia" w:ascii="宋体" w:hAnsi="宋体" w:eastAsia="宋体" w:cs="宋体"/>
          <w:color w:val="auto"/>
          <w:szCs w:val="21"/>
          <w:highlight w:val="none"/>
          <w:lang w:val="zh-CN"/>
        </w:rPr>
        <w:t>(采购编号：0832-SFCX25DG109C</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采购</w:t>
      </w:r>
      <w:r>
        <w:rPr>
          <w:rFonts w:hint="eastAsia" w:ascii="宋体" w:hAnsi="宋体" w:eastAsia="宋体" w:cs="宋体"/>
          <w:color w:val="auto"/>
          <w:kern w:val="0"/>
          <w:szCs w:val="32"/>
          <w:highlight w:val="none"/>
        </w:rPr>
        <w:t>按照《中华人民共和国招标投标法》等有关规定进行。</w:t>
      </w:r>
    </w:p>
    <w:p w14:paraId="6F42D738">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评审必须遵循公平、公正、诚实信用的原则。</w:t>
      </w:r>
    </w:p>
    <w:p w14:paraId="6574641E">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采购代理机构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广东华迪工程管理有限公司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织评审工作，全过程接受采购人、主管部门的监督、管理和指导。</w:t>
      </w:r>
    </w:p>
    <w:p w14:paraId="5B8740AA">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评审按照谈判文件规定的内容进行。</w:t>
      </w:r>
    </w:p>
    <w:p w14:paraId="55CA04BF">
      <w:pPr>
        <w:numPr>
          <w:ilvl w:val="1"/>
          <w:numId w:val="7"/>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本办法的评审对象是指响应供应商按照谈判文件要求提供的有效响应文件，包括响应供应商应谈判小组要求对原响应文件作出的正式书面澄清文件。</w:t>
      </w:r>
    </w:p>
    <w:p w14:paraId="4D2CD1E1">
      <w:pPr>
        <w:autoSpaceDE w:val="0"/>
        <w:autoSpaceDN w:val="0"/>
        <w:adjustRightInd w:val="0"/>
        <w:spacing w:line="360" w:lineRule="auto"/>
        <w:rPr>
          <w:rFonts w:ascii="宋体" w:hAnsi="宋体" w:eastAsia="宋体" w:cs="宋体"/>
          <w:color w:val="auto"/>
          <w:sz w:val="24"/>
          <w:szCs w:val="24"/>
          <w:highlight w:val="none"/>
          <w:lang w:val="zh-CN"/>
        </w:rPr>
      </w:pPr>
    </w:p>
    <w:p w14:paraId="620D99D2">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谈判小组的组成</w:t>
      </w:r>
    </w:p>
    <w:p w14:paraId="303F3C57">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谈判小组</w:t>
      </w:r>
      <w:r>
        <w:rPr>
          <w:rFonts w:hint="eastAsia" w:ascii="宋体" w:hAnsi="宋体" w:eastAsia="宋体" w:cs="宋体"/>
          <w:color w:val="auto"/>
          <w:kern w:val="0"/>
          <w:szCs w:val="24"/>
          <w:highlight w:val="none"/>
        </w:rPr>
        <w:t>由采购人和技术、经济等方面的专家组成，成员为</w:t>
      </w:r>
      <w:r>
        <w:rPr>
          <w:rFonts w:hint="eastAsia" w:ascii="宋体" w:hAnsi="宋体" w:eastAsia="宋体" w:cs="宋体"/>
          <w:color w:val="auto"/>
          <w:kern w:val="0"/>
          <w:szCs w:val="24"/>
          <w:highlight w:val="none"/>
          <w:lang w:val="en-US" w:eastAsia="zh-CN"/>
        </w:rPr>
        <w:t>3</w:t>
      </w:r>
      <w:r>
        <w:rPr>
          <w:rFonts w:ascii="宋体" w:hAnsi="宋体" w:eastAsia="宋体" w:cs="宋体"/>
          <w:color w:val="auto"/>
          <w:kern w:val="0"/>
          <w:szCs w:val="24"/>
          <w:highlight w:val="none"/>
        </w:rPr>
        <w:t>人以上（含</w:t>
      </w:r>
      <w:r>
        <w:rPr>
          <w:rFonts w:hint="eastAsia" w:ascii="宋体" w:hAnsi="宋体" w:eastAsia="宋体" w:cs="宋体"/>
          <w:color w:val="auto"/>
          <w:kern w:val="0"/>
          <w:szCs w:val="24"/>
          <w:highlight w:val="none"/>
          <w:lang w:val="en-US" w:eastAsia="zh-CN"/>
        </w:rPr>
        <w:t>3</w:t>
      </w:r>
      <w:r>
        <w:rPr>
          <w:rFonts w:ascii="宋体" w:hAnsi="宋体" w:eastAsia="宋体" w:cs="宋体"/>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0D37E400">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评审工作组由采购人、采购代理机构及有关专家组成，由谈判小组确认，并接受其领导。</w:t>
      </w:r>
    </w:p>
    <w:p w14:paraId="300A0FB3">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评审工作组分成谈判小组、采购代理机构秘书组。</w:t>
      </w:r>
    </w:p>
    <w:p w14:paraId="08F612FE">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谈判小组应相对独立工作，负责评审、撰写评审报告。采购代理机构秘书组负责评审过程中资料的保管、发放及回收，协调技术和谈判小组评审工作的进展和整理、汇总评审资料及复核。</w:t>
      </w:r>
    </w:p>
    <w:p w14:paraId="7FE7102A">
      <w:pPr>
        <w:autoSpaceDE w:val="0"/>
        <w:autoSpaceDN w:val="0"/>
        <w:adjustRightInd w:val="0"/>
        <w:spacing w:line="360" w:lineRule="auto"/>
        <w:rPr>
          <w:rFonts w:ascii="宋体" w:hAnsi="宋体" w:eastAsia="宋体" w:cs="宋体"/>
          <w:color w:val="auto"/>
          <w:sz w:val="24"/>
          <w:szCs w:val="24"/>
          <w:highlight w:val="none"/>
          <w:lang w:val="zh-CN"/>
        </w:rPr>
      </w:pPr>
    </w:p>
    <w:p w14:paraId="49E6A5D8">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谈判小组</w:t>
      </w:r>
      <w:r>
        <w:rPr>
          <w:rFonts w:hint="eastAsia" w:ascii="宋体" w:hAnsi="宋体" w:eastAsia="宋体" w:cs="宋体"/>
          <w:b/>
          <w:bCs/>
          <w:color w:val="auto"/>
          <w:szCs w:val="24"/>
          <w:highlight w:val="none"/>
          <w:lang w:val="zh-CN"/>
        </w:rPr>
        <w:t>职责</w:t>
      </w:r>
    </w:p>
    <w:p w14:paraId="37701B2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审查响应文件是否符合谈判文件要求，并作出评价；</w:t>
      </w:r>
    </w:p>
    <w:p w14:paraId="77D089C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要求响应供应商对响应文件有关事项作出解释或者澄清；</w:t>
      </w:r>
    </w:p>
    <w:p w14:paraId="51386B7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推荐成交候选人名单及排序；</w:t>
      </w:r>
    </w:p>
    <w:p w14:paraId="21FD0DD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向采购人、采购代理机构或者有关部门报告非法干预评审工作的行为。</w:t>
      </w:r>
    </w:p>
    <w:p w14:paraId="5FACC62D">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301938D5">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4、谈判小组义务</w:t>
      </w:r>
    </w:p>
    <w:p w14:paraId="2BBCC06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6AC295E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按照谈判文件规定的评审方法和评审标准进行评审，对评审意见承担个人责任；</w:t>
      </w:r>
    </w:p>
    <w:p w14:paraId="22FB94E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对评审过程和结果，以及响应供应商的商业秘密保密；</w:t>
      </w:r>
    </w:p>
    <w:p w14:paraId="243726F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参与评审报告的起草；</w:t>
      </w:r>
    </w:p>
    <w:p w14:paraId="53F5D5B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19254E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配合采购人、采购代理机构答复响应供应商提出的质疑、异议。</w:t>
      </w:r>
    </w:p>
    <w:p w14:paraId="11D997B3">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7612930F">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3CB5FFFE">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b/>
          <w:color w:val="auto"/>
          <w:highlight w:val="none"/>
          <w:lang w:val="zh-CN"/>
        </w:rPr>
        <w:t>竞争性谈判：</w:t>
      </w:r>
    </w:p>
    <w:p w14:paraId="3A4E05CC">
      <w:pPr>
        <w:autoSpaceDE w:val="0"/>
        <w:autoSpaceDN w:val="0"/>
        <w:adjustRightInd w:val="0"/>
        <w:spacing w:line="360" w:lineRule="auto"/>
        <w:ind w:left="477" w:hanging="476" w:hangingChars="227"/>
        <w:jc w:val="left"/>
        <w:rPr>
          <w:rFonts w:ascii="宋体" w:hAnsi="宋体" w:eastAsia="宋体" w:cs="宋体"/>
          <w:color w:val="auto"/>
          <w:kern w:val="0"/>
          <w:sz w:val="21"/>
          <w:szCs w:val="21"/>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宋体"/>
          <w:color w:val="auto"/>
          <w:kern w:val="0"/>
          <w:sz w:val="21"/>
          <w:szCs w:val="21"/>
          <w:highlight w:val="none"/>
          <w:lang w:val="zh-CN"/>
        </w:rPr>
        <w:t>评审首先由谈判小组对供应商的响应文件做资格性检查、符合性审查，对未能通过初审的响应文件不再进入下一阶段谈判。</w:t>
      </w:r>
    </w:p>
    <w:p w14:paraId="5AA48656">
      <w:pPr>
        <w:autoSpaceDE w:val="0"/>
        <w:autoSpaceDN w:val="0"/>
        <w:adjustRightInd w:val="0"/>
        <w:spacing w:line="360" w:lineRule="auto"/>
        <w:ind w:left="477" w:hanging="476" w:hangingChars="227"/>
        <w:jc w:val="left"/>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5.2</w:t>
      </w:r>
      <w:r>
        <w:rPr>
          <w:rFonts w:hint="eastAsia" w:ascii="宋体" w:hAnsi="宋体" w:eastAsia="宋体" w:cs="宋体"/>
          <w:color w:val="auto"/>
          <w:kern w:val="2"/>
          <w:sz w:val="21"/>
          <w:szCs w:val="24"/>
          <w:highlight w:val="none"/>
          <w:lang w:val="zh-CN"/>
        </w:rPr>
        <w:t xml:space="preserve"> </w:t>
      </w:r>
      <w:r>
        <w:rPr>
          <w:rFonts w:hint="eastAsia" w:ascii="宋体" w:hAnsi="宋体" w:eastAsia="宋体" w:cs="宋体"/>
          <w:color w:val="auto"/>
          <w:kern w:val="0"/>
          <w:sz w:val="21"/>
          <w:szCs w:val="21"/>
          <w:highlight w:val="none"/>
          <w:lang w:val="zh-CN"/>
        </w:rPr>
        <w:t>谈判小组将集中与单一通过初审的供应商(以响应供应商签到时间顺序为准)分别进行现场谈判，并给予所有参加谈判的响应供应商平等的谈判机会。如需要，进行必要的澄清工</w:t>
      </w:r>
      <w:r>
        <w:rPr>
          <w:rFonts w:hint="eastAsia" w:ascii="宋体" w:hAnsi="宋体" w:eastAsia="宋体" w:cs="宋体"/>
          <w:color w:val="auto"/>
          <w:kern w:val="0"/>
          <w:sz w:val="24"/>
          <w:szCs w:val="24"/>
          <w:highlight w:val="none"/>
          <w:lang w:val="zh-CN"/>
        </w:rPr>
        <w:t>作</w:t>
      </w:r>
      <w:r>
        <w:rPr>
          <w:rFonts w:hint="eastAsia" w:ascii="宋体" w:hAnsi="宋体" w:eastAsia="宋体" w:cs="宋体"/>
          <w:color w:val="auto"/>
          <w:kern w:val="0"/>
          <w:sz w:val="21"/>
          <w:szCs w:val="21"/>
          <w:highlight w:val="none"/>
          <w:lang w:val="zh-CN"/>
        </w:rPr>
        <w:t>。</w:t>
      </w:r>
    </w:p>
    <w:p w14:paraId="5BC203D3">
      <w:pPr>
        <w:autoSpaceDE w:val="0"/>
        <w:autoSpaceDN w:val="0"/>
        <w:adjustRightInd w:val="0"/>
        <w:spacing w:line="360" w:lineRule="auto"/>
        <w:ind w:left="477" w:hanging="476" w:hangingChars="227"/>
        <w:jc w:val="left"/>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5.3</w:t>
      </w:r>
      <w:r>
        <w:rPr>
          <w:rFonts w:hint="eastAsia" w:ascii="宋体" w:hAnsi="宋体" w:eastAsia="宋体" w:cs="宋体"/>
          <w:color w:val="auto"/>
          <w:kern w:val="2"/>
          <w:sz w:val="21"/>
          <w:szCs w:val="24"/>
          <w:highlight w:val="none"/>
          <w:lang w:val="zh-CN"/>
        </w:rPr>
        <w:t xml:space="preserve"> </w:t>
      </w:r>
      <w:r>
        <w:rPr>
          <w:rFonts w:hint="eastAsia" w:ascii="宋体" w:hAnsi="宋体" w:eastAsia="宋体" w:cs="宋体"/>
          <w:color w:val="auto"/>
          <w:kern w:val="0"/>
          <w:sz w:val="21"/>
          <w:szCs w:val="21"/>
          <w:highlight w:val="none"/>
          <w:lang w:val="zh-CN"/>
        </w:rPr>
        <w:t>谈判小组将逐一对响应文件初审合格的供应商首次报价进行谈判。</w:t>
      </w:r>
    </w:p>
    <w:p w14:paraId="41115775">
      <w:pPr>
        <w:autoSpaceDE w:val="0"/>
        <w:autoSpaceDN w:val="0"/>
        <w:adjustRightInd w:val="0"/>
        <w:spacing w:line="360" w:lineRule="auto"/>
        <w:ind w:left="477" w:hanging="476" w:hangingChars="227"/>
        <w:jc w:val="left"/>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5.4</w:t>
      </w:r>
      <w:r>
        <w:rPr>
          <w:rFonts w:hint="eastAsia" w:ascii="宋体" w:hAnsi="宋体" w:eastAsia="宋体" w:cs="宋体"/>
          <w:color w:val="auto"/>
          <w:kern w:val="2"/>
          <w:sz w:val="21"/>
          <w:szCs w:val="24"/>
          <w:highlight w:val="none"/>
          <w:lang w:val="zh-CN"/>
        </w:rPr>
        <w:t xml:space="preserve"> </w:t>
      </w:r>
      <w:r>
        <w:rPr>
          <w:rFonts w:hint="eastAsia" w:ascii="宋体" w:hAnsi="宋体" w:eastAsia="宋体" w:cs="宋体"/>
          <w:color w:val="auto"/>
          <w:kern w:val="0"/>
          <w:sz w:val="21"/>
          <w:szCs w:val="21"/>
          <w:highlight w:val="none"/>
          <w:lang w:val="zh-CN"/>
        </w:rPr>
        <w:t>在谈判过程中，谈判小组可以根据竞争性谈判文件和谈判情况实质性变动采购需求中的技术、 服务要求以及合同草案条款，但不得变动竞争性谈判文件中的其他内容。实质性变动的内容， 须经采购人确认，对竞争性谈判文件作出的实质性变动是竞争性谈判文件的有效组成部分，谈判小组应当及时以书面形式同时通知所有参加谈判的供应商。</w:t>
      </w:r>
    </w:p>
    <w:p w14:paraId="168671B0">
      <w:pPr>
        <w:autoSpaceDE w:val="0"/>
        <w:autoSpaceDN w:val="0"/>
        <w:adjustRightInd w:val="0"/>
        <w:spacing w:line="360" w:lineRule="auto"/>
        <w:ind w:left="477" w:hanging="476" w:hangingChars="227"/>
        <w:jc w:val="left"/>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5.5</w:t>
      </w:r>
      <w:r>
        <w:rPr>
          <w:rFonts w:hint="eastAsia" w:ascii="宋体" w:hAnsi="宋体" w:eastAsia="宋体" w:cs="宋体"/>
          <w:color w:val="auto"/>
          <w:kern w:val="2"/>
          <w:sz w:val="21"/>
          <w:szCs w:val="24"/>
          <w:highlight w:val="none"/>
          <w:lang w:val="zh-CN"/>
        </w:rPr>
        <w:t xml:space="preserve"> </w:t>
      </w:r>
      <w:r>
        <w:rPr>
          <w:rFonts w:hint="eastAsia" w:ascii="宋体" w:hAnsi="宋体" w:eastAsia="宋体" w:cs="宋体"/>
          <w:color w:val="auto"/>
          <w:kern w:val="0"/>
          <w:sz w:val="21"/>
          <w:szCs w:val="21"/>
          <w:highlight w:val="none"/>
          <w:lang w:val="zh-CN"/>
        </w:rPr>
        <w:t>供应商应当按照竞争性谈判文件的变动情况和谈判小组的要求重新提交响应文件，并由其法定 代表人或授权代表签字或者加盖公章。由授权代表签字的，应当附法定代表人授权书。供应商为自然人的，应当由本人签字并附身份证明。</w:t>
      </w:r>
    </w:p>
    <w:p w14:paraId="08025817">
      <w:pPr>
        <w:autoSpaceDE w:val="0"/>
        <w:autoSpaceDN w:val="0"/>
        <w:adjustRightInd w:val="0"/>
        <w:spacing w:line="360" w:lineRule="auto"/>
        <w:ind w:left="477" w:hanging="476" w:hangingChars="227"/>
        <w:jc w:val="left"/>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5.6</w:t>
      </w:r>
      <w:r>
        <w:rPr>
          <w:rFonts w:hint="eastAsia" w:ascii="宋体" w:hAnsi="宋体" w:eastAsia="宋体" w:cs="宋体"/>
          <w:color w:val="auto"/>
          <w:kern w:val="2"/>
          <w:sz w:val="21"/>
          <w:szCs w:val="24"/>
          <w:highlight w:val="none"/>
          <w:lang w:val="zh-CN"/>
        </w:rPr>
        <w:t xml:space="preserve"> </w:t>
      </w:r>
      <w:r>
        <w:rPr>
          <w:rFonts w:hint="eastAsia" w:ascii="宋体" w:hAnsi="宋体" w:eastAsia="宋体" w:cs="宋体"/>
          <w:color w:val="auto"/>
          <w:kern w:val="0"/>
          <w:sz w:val="21"/>
          <w:szCs w:val="21"/>
          <w:highlight w:val="none"/>
          <w:lang w:val="zh-CN"/>
        </w:rPr>
        <w:t>竞争性谈判文件能够详细列明采购标的的技术、服务要求的，谈判结束后，所有作出实质性响应的有效供应商应在规定的时间内集中密封提交最后报价(最后报价时间视谈判进程由谈判小组决定),最后报价是供应商响应文件的有效组成部分。如在谈判中谈判小组没有对本谈判文件作实质性变动增加新的需求，后一轮报价不得高于前一轮报价。</w:t>
      </w:r>
    </w:p>
    <w:p w14:paraId="70DEDA13">
      <w:pPr>
        <w:autoSpaceDE w:val="0"/>
        <w:autoSpaceDN w:val="0"/>
        <w:adjustRightInd w:val="0"/>
        <w:spacing w:line="360" w:lineRule="auto"/>
        <w:ind w:left="477" w:hanging="476" w:hangingChars="227"/>
        <w:jc w:val="left"/>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w:t>
      </w:r>
      <w:r>
        <w:rPr>
          <w:rFonts w:hint="eastAsia" w:ascii="宋体" w:hAnsi="宋体" w:eastAsia="宋体" w:cs="宋体"/>
          <w:color w:val="auto"/>
          <w:kern w:val="0"/>
          <w:sz w:val="21"/>
          <w:szCs w:val="21"/>
          <w:highlight w:val="none"/>
        </w:rPr>
        <w:t>7</w:t>
      </w:r>
      <w:r>
        <w:rPr>
          <w:rFonts w:hint="eastAsia" w:ascii="宋体" w:hAnsi="宋体" w:eastAsia="宋体" w:cs="宋体"/>
          <w:color w:val="auto"/>
          <w:kern w:val="2"/>
          <w:sz w:val="21"/>
          <w:szCs w:val="24"/>
          <w:highlight w:val="none"/>
          <w:lang w:val="zh-CN"/>
        </w:rPr>
        <w:t xml:space="preserve"> </w:t>
      </w:r>
      <w:r>
        <w:rPr>
          <w:rFonts w:hint="eastAsia" w:ascii="宋体" w:hAnsi="宋体" w:eastAsia="宋体" w:cs="宋体"/>
          <w:color w:val="auto"/>
          <w:kern w:val="0"/>
          <w:sz w:val="21"/>
          <w:szCs w:val="21"/>
          <w:highlight w:val="none"/>
          <w:lang w:val="zh-CN"/>
        </w:rPr>
        <w:t>谈判小组采用最低评标价法对供应商的响应文件和最后报价进行评审。</w:t>
      </w:r>
    </w:p>
    <w:p w14:paraId="0252DBF4">
      <w:pPr>
        <w:keepNext w:val="0"/>
        <w:keepLines w:val="0"/>
        <w:widowControl w:val="0"/>
        <w:suppressLineNumbers w:val="0"/>
        <w:spacing w:before="0" w:beforeAutospacing="0" w:after="0" w:afterAutospacing="0" w:line="360" w:lineRule="auto"/>
        <w:ind w:left="518" w:right="0" w:hanging="518"/>
        <w:jc w:val="both"/>
        <w:rPr>
          <w:rFonts w:hint="eastAsia" w:ascii="宋体" w:hAnsi="宋体" w:eastAsia="宋体" w:cs="宋体"/>
          <w:b/>
          <w:bCs/>
          <w:color w:val="auto"/>
          <w:szCs w:val="21"/>
          <w:highlight w:val="none"/>
          <w:lang w:bidi="ar"/>
        </w:rPr>
      </w:pPr>
      <w:r>
        <w:rPr>
          <w:rFonts w:hint="eastAsia" w:ascii="宋体" w:hAnsi="宋体" w:eastAsia="宋体" w:cs="宋体"/>
          <w:color w:val="auto"/>
          <w:kern w:val="0"/>
          <w:sz w:val="21"/>
          <w:szCs w:val="21"/>
          <w:highlight w:val="none"/>
          <w:lang w:val="zh-CN"/>
        </w:rPr>
        <w:t>5.</w:t>
      </w: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val="zh-CN"/>
        </w:rPr>
        <w:t xml:space="preserve"> 谈判小组根据评审结果编写评审报告</w:t>
      </w:r>
      <w:r>
        <w:rPr>
          <w:rFonts w:hint="eastAsia" w:ascii="宋体" w:hAnsi="宋体" w:eastAsia="宋体" w:cs="宋体"/>
          <w:b/>
          <w:bCs/>
          <w:color w:val="auto"/>
          <w:kern w:val="2"/>
          <w:sz w:val="21"/>
          <w:szCs w:val="21"/>
          <w:highlight w:val="none"/>
          <w:lang w:val="en-US" w:eastAsia="zh-CN" w:bidi="ar"/>
        </w:rPr>
        <w:t>。</w:t>
      </w:r>
    </w:p>
    <w:p w14:paraId="2A43DD12">
      <w:pPr>
        <w:spacing w:line="360" w:lineRule="auto"/>
        <w:ind w:left="0" w:firstLine="0"/>
        <w:rPr>
          <w:rFonts w:ascii="宋体" w:hAnsi="宋体" w:eastAsia="宋体"/>
          <w:b/>
          <w:color w:val="auto"/>
          <w:highlight w:val="none"/>
          <w:lang w:val="zh-CN"/>
        </w:rPr>
      </w:pPr>
    </w:p>
    <w:p w14:paraId="217B6978">
      <w:pPr>
        <w:rPr>
          <w:color w:val="auto"/>
          <w:highlight w:val="none"/>
          <w:lang w:val="zh-CN"/>
        </w:rPr>
      </w:pPr>
    </w:p>
    <w:p w14:paraId="739BA0E1">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519" w:name="_Toc19435_WPSOffice_Level1"/>
      <w:r>
        <w:rPr>
          <w:rFonts w:hint="eastAsia" w:ascii="宋体" w:hAnsi="宋体" w:eastAsia="宋体" w:cs="宋体"/>
          <w:b/>
          <w:bCs/>
          <w:color w:val="auto"/>
          <w:sz w:val="28"/>
          <w:szCs w:val="28"/>
          <w:highlight w:val="none"/>
          <w:lang w:val="zh-CN"/>
        </w:rPr>
        <w:t>二、响应文件的初审</w:t>
      </w:r>
      <w:bookmarkEnd w:id="519"/>
    </w:p>
    <w:p w14:paraId="53AFB845">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6、响应文件的初审分为资格性检查和符合性检查。</w:t>
      </w:r>
    </w:p>
    <w:p w14:paraId="2989710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资格性检查是指谈判小组依据法律法规和谈判文件的规定，对响应文件中的资格证明、响应保证金、</w:t>
      </w:r>
      <w:r>
        <w:rPr>
          <w:rFonts w:hint="eastAsia" w:ascii="宋体" w:hAnsi="宋体" w:eastAsia="宋体" w:cs="宋体"/>
          <w:color w:val="auto"/>
          <w:szCs w:val="24"/>
          <w:highlight w:val="none"/>
          <w:lang w:val="en-US" w:eastAsia="zh-CN"/>
        </w:rPr>
        <w:t>响应供应商</w:t>
      </w:r>
      <w:r>
        <w:rPr>
          <w:rFonts w:hint="eastAsia" w:ascii="宋体" w:hAnsi="宋体" w:eastAsia="宋体" w:cs="宋体"/>
          <w:color w:val="auto"/>
          <w:szCs w:val="24"/>
          <w:highlight w:val="none"/>
          <w:lang w:val="zh-CN"/>
        </w:rPr>
        <w:t>（含其不具有独立法人资格的分支机构）信用（由</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lang w:val="zh-CN"/>
        </w:rPr>
        <w:t>代理机构在递交</w:t>
      </w:r>
      <w:r>
        <w:rPr>
          <w:rFonts w:hint="eastAsia" w:ascii="宋体" w:hAnsi="宋体" w:eastAsia="宋体" w:cs="宋体"/>
          <w:color w:val="auto"/>
          <w:szCs w:val="24"/>
          <w:highlight w:val="none"/>
          <w:lang w:val="en-US" w:eastAsia="zh-CN"/>
        </w:rPr>
        <w:t>响应</w:t>
      </w:r>
      <w:r>
        <w:rPr>
          <w:rFonts w:hint="eastAsia" w:ascii="宋体" w:hAnsi="宋体" w:eastAsia="宋体" w:cs="宋体"/>
          <w:color w:val="auto"/>
          <w:szCs w:val="24"/>
          <w:highlight w:val="none"/>
          <w:lang w:val="zh-CN"/>
        </w:rPr>
        <w:t>文件截止时间当天通过“信用中国”网站对</w:t>
      </w:r>
      <w:r>
        <w:rPr>
          <w:rFonts w:hint="eastAsia" w:ascii="宋体" w:hAnsi="宋体" w:eastAsia="宋体" w:cs="宋体"/>
          <w:color w:val="auto"/>
          <w:szCs w:val="24"/>
          <w:highlight w:val="none"/>
          <w:lang w:val="en-US" w:eastAsia="zh-CN"/>
        </w:rPr>
        <w:t>响应供应商</w:t>
      </w:r>
      <w:r>
        <w:rPr>
          <w:rFonts w:hint="eastAsia" w:ascii="宋体" w:hAnsi="宋体" w:eastAsia="宋体" w:cs="宋体"/>
          <w:color w:val="auto"/>
          <w:szCs w:val="24"/>
          <w:highlight w:val="none"/>
          <w:lang w:val="zh-CN"/>
        </w:rPr>
        <w:t>信用进行查询，</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lang w:val="zh-CN"/>
        </w:rPr>
        <w:t>代理机构将查询情况提交</w:t>
      </w:r>
      <w:r>
        <w:rPr>
          <w:rFonts w:hint="eastAsia" w:ascii="宋体" w:hAnsi="宋体" w:eastAsia="宋体" w:cs="宋体"/>
          <w:color w:val="auto"/>
          <w:szCs w:val="24"/>
          <w:highlight w:val="none"/>
          <w:lang w:val="en-US" w:eastAsia="zh-CN"/>
        </w:rPr>
        <w:t>谈判</w:t>
      </w:r>
      <w:r>
        <w:rPr>
          <w:rFonts w:hint="eastAsia" w:ascii="宋体" w:hAnsi="宋体" w:eastAsia="宋体" w:cs="宋体"/>
          <w:color w:val="auto"/>
          <w:szCs w:val="24"/>
          <w:highlight w:val="none"/>
          <w:lang w:val="zh-CN"/>
        </w:rPr>
        <w:t>评审）等进行审查，以确定响应供应商是否具备</w:t>
      </w:r>
      <w:r>
        <w:rPr>
          <w:rFonts w:hint="eastAsia" w:ascii="宋体" w:hAnsi="宋体" w:eastAsia="宋体" w:cs="宋体"/>
          <w:color w:val="auto"/>
          <w:szCs w:val="24"/>
          <w:highlight w:val="none"/>
          <w:lang w:val="en-US" w:eastAsia="zh-CN"/>
        </w:rPr>
        <w:t>谈判</w:t>
      </w:r>
      <w:r>
        <w:rPr>
          <w:rFonts w:hint="eastAsia" w:ascii="宋体" w:hAnsi="宋体" w:eastAsia="宋体" w:cs="宋体"/>
          <w:color w:val="auto"/>
          <w:szCs w:val="24"/>
          <w:highlight w:val="none"/>
          <w:lang w:val="zh-CN"/>
        </w:rPr>
        <w:t>资格。</w:t>
      </w:r>
    </w:p>
    <w:p w14:paraId="29905BB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符合性检查是指谈判小组依据谈判文件规定，从响应文件的有效性、完整性和对谈判文件的响应程度进行审查，以确定是否对谈判文件的实质性要求作出响应。</w:t>
      </w:r>
    </w:p>
    <w:p w14:paraId="2A1E1951">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指的是符合谈判文件要求的全部“★”条款和验收标准而无任何重大偏离或保留。重大偏离或保留系指实质上影响到合同项下的供货及服务范围、质量和性能，或指与谈判文件有实质不一致，限制了合同项下委托人的权利和承包人的义务, 或对该重大偏离的修改对提交实质性响应的其他响应供应商将不公平。</w:t>
      </w:r>
    </w:p>
    <w:p w14:paraId="14371ACE">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谈判小组决定响应文件的响应性是基于响应文件的内容本身而不靠外部的证据。</w:t>
      </w:r>
      <w:r>
        <w:rPr>
          <w:rFonts w:hint="eastAsia" w:ascii="宋体" w:hAnsi="宋体" w:eastAsia="宋体" w:cs="宋体"/>
          <w:b/>
          <w:bCs/>
          <w:color w:val="auto"/>
          <w:kern w:val="2"/>
          <w:sz w:val="21"/>
          <w:szCs w:val="21"/>
          <w:highlight w:val="none"/>
          <w:u w:val="single"/>
          <w:lang w:val="zh-CN"/>
        </w:rPr>
        <w:t>对是否符合实质性响应竞争性谈判文件有争议的响应文件,谈判小组将以记名方式表决,</w:t>
      </w:r>
      <w:r>
        <w:rPr>
          <w:rFonts w:hint="eastAsia" w:ascii="宋体" w:hAnsi="宋体" w:eastAsia="宋体" w:cs="宋体"/>
          <w:b/>
          <w:bCs/>
          <w:color w:val="auto"/>
          <w:kern w:val="2"/>
          <w:sz w:val="21"/>
          <w:szCs w:val="21"/>
          <w:highlight w:val="none"/>
          <w:u w:val="single"/>
        </w:rPr>
        <w:t>根据少数服从多数的原则，获多数表决通过的供应商</w:t>
      </w:r>
      <w:r>
        <w:rPr>
          <w:rFonts w:hint="eastAsia" w:ascii="宋体" w:hAnsi="宋体" w:eastAsia="宋体" w:cs="宋体"/>
          <w:b/>
          <w:bCs/>
          <w:color w:val="auto"/>
          <w:kern w:val="2"/>
          <w:sz w:val="21"/>
          <w:szCs w:val="21"/>
          <w:highlight w:val="none"/>
          <w:u w:val="single"/>
          <w:lang w:val="zh-CN"/>
        </w:rPr>
        <w:t>才有资格进入下一阶段的评审,否则将被认定为无效响应文件</w:t>
      </w:r>
      <w:r>
        <w:rPr>
          <w:rFonts w:hint="eastAsia" w:ascii="宋体" w:hAnsi="宋体" w:eastAsia="宋体" w:cs="宋体"/>
          <w:b/>
          <w:bCs/>
          <w:color w:val="auto"/>
          <w:kern w:val="2"/>
          <w:sz w:val="21"/>
          <w:szCs w:val="21"/>
          <w:highlight w:val="none"/>
          <w:lang w:val="zh-CN"/>
        </w:rPr>
        <w:t>。</w:t>
      </w:r>
    </w:p>
    <w:p w14:paraId="0ED2ECEC">
      <w:pPr>
        <w:autoSpaceDE w:val="0"/>
        <w:autoSpaceDN w:val="0"/>
        <w:adjustRightInd w:val="0"/>
        <w:spacing w:line="360" w:lineRule="auto"/>
        <w:rPr>
          <w:rFonts w:ascii="宋体" w:hAnsi="宋体" w:eastAsia="宋体" w:cs="宋体"/>
          <w:b/>
          <w:color w:val="auto"/>
          <w:szCs w:val="21"/>
          <w:highlight w:val="none"/>
          <w:lang w:val="zh-CN"/>
        </w:rPr>
      </w:pPr>
    </w:p>
    <w:p w14:paraId="324FFFD7">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7、响应文件出现下列情况之一的，被认定为无效</w:t>
      </w:r>
      <w:r>
        <w:rPr>
          <w:rFonts w:hint="eastAsia" w:ascii="宋体" w:hAnsi="宋体" w:eastAsia="宋体" w:cs="宋体"/>
          <w:b/>
          <w:color w:val="auto"/>
          <w:szCs w:val="21"/>
          <w:highlight w:val="none"/>
          <w:lang w:val="en-US" w:eastAsia="zh-CN"/>
        </w:rPr>
        <w:t>响应文件</w:t>
      </w:r>
      <w:r>
        <w:rPr>
          <w:rFonts w:hint="eastAsia" w:ascii="宋体" w:hAnsi="宋体" w:eastAsia="宋体" w:cs="宋体"/>
          <w:b/>
          <w:color w:val="auto"/>
          <w:szCs w:val="21"/>
          <w:highlight w:val="none"/>
          <w:lang w:val="zh-CN"/>
        </w:rPr>
        <w:t>：</w:t>
      </w:r>
    </w:p>
    <w:p w14:paraId="5F7F0573">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color w:val="auto"/>
          <w:szCs w:val="21"/>
          <w:highlight w:val="none"/>
          <w:lang w:val="zh-CN"/>
        </w:rPr>
        <w:t>供应商未按竞争性谈判文件要求缴纳响应保证金</w:t>
      </w:r>
      <w:r>
        <w:rPr>
          <w:rFonts w:hint="eastAsia" w:ascii="宋体" w:hAnsi="宋体" w:eastAsia="宋体" w:cs="宋体"/>
          <w:b/>
          <w:bCs/>
          <w:color w:val="auto"/>
          <w:kern w:val="0"/>
          <w:szCs w:val="21"/>
          <w:highlight w:val="none"/>
        </w:rPr>
        <w:t>；</w:t>
      </w:r>
    </w:p>
    <w:p w14:paraId="7DF12D76">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响应供应商的响应报价高于响应最高限价；</w:t>
      </w:r>
    </w:p>
    <w:p w14:paraId="50B32EC8">
      <w:pPr>
        <w:tabs>
          <w:tab w:val="left" w:pos="567"/>
        </w:tabs>
        <w:spacing w:line="360" w:lineRule="auto"/>
        <w:ind w:left="632" w:hanging="632" w:hangingChars="300"/>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7.3  供应商以低于企业成本价报价，且供应商不能合理说明或不能提供相关证明材料；</w:t>
      </w:r>
    </w:p>
    <w:p w14:paraId="5B4EF263">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4</w:t>
      </w:r>
      <w:r>
        <w:rPr>
          <w:rFonts w:hint="eastAsia" w:ascii="宋体" w:hAnsi="宋体" w:eastAsia="宋体" w:cs="宋体"/>
          <w:b/>
          <w:color w:val="auto"/>
          <w:kern w:val="0"/>
          <w:szCs w:val="21"/>
          <w:highlight w:val="none"/>
        </w:rPr>
        <w:t xml:space="preserve">  响应供应商递交两份或多份内容不同的响应文件，或在一份响应文件中报有两个或多个报价，且未书面声明哪一个有效；</w:t>
      </w:r>
    </w:p>
    <w:p w14:paraId="7FA4CA7D">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 xml:space="preserve">  </w:t>
      </w:r>
      <w:r>
        <w:rPr>
          <w:rFonts w:hint="eastAsia" w:ascii="宋体" w:hAnsi="宋体" w:eastAsia="宋体" w:cs="宋体"/>
          <w:b/>
          <w:color w:val="auto"/>
          <w:kern w:val="0"/>
          <w:szCs w:val="21"/>
          <w:highlight w:val="none"/>
        </w:rPr>
        <w:t>响应供应商不符合合格响应供应商的基本条件[含未提供资格证明文件，或响应供应商（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eastAsia="zh-CN"/>
        </w:rPr>
        <w:t>严重失信主体</w:t>
      </w:r>
      <w:r>
        <w:rPr>
          <w:rFonts w:hint="eastAsia" w:ascii="宋体" w:hAnsi="宋体" w:eastAsia="宋体" w:cs="宋体"/>
          <w:b/>
          <w:color w:val="auto"/>
          <w:kern w:val="0"/>
          <w:szCs w:val="21"/>
          <w:highlight w:val="none"/>
        </w:rPr>
        <w:t>（处罚期限届满的除外）]；</w:t>
      </w:r>
    </w:p>
    <w:p w14:paraId="0E2F4FFB">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响应文件未按照谈判文件规定要求密封；响应文件无法定代表人或其授权代表签字（或盖私章），或签字人无法定代表人有效授权的；签字盖章不符合谈判文件要求的； </w:t>
      </w:r>
    </w:p>
    <w:p w14:paraId="7AD0B62C">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响应有效期限不符合要求；</w:t>
      </w:r>
    </w:p>
    <w:p w14:paraId="4EE77399">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xml:space="preserve">  响应文件未对采购范围内的全部内容进行</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报价</w:t>
      </w:r>
      <w:r>
        <w:rPr>
          <w:rFonts w:hint="eastAsia" w:ascii="宋体" w:hAnsi="宋体" w:eastAsia="宋体" w:cs="Times New Roman"/>
          <w:b/>
          <w:color w:val="auto"/>
          <w:kern w:val="0"/>
          <w:szCs w:val="21"/>
          <w:highlight w:val="none"/>
        </w:rPr>
        <w:t>或</w:t>
      </w:r>
      <w:r>
        <w:rPr>
          <w:rFonts w:hint="eastAsia" w:ascii="宋体" w:hAnsi="宋体" w:eastAsia="宋体" w:cs="Times New Roman"/>
          <w:b/>
          <w:color w:val="auto"/>
          <w:kern w:val="0"/>
          <w:szCs w:val="21"/>
          <w:highlight w:val="none"/>
          <w:lang w:val="en-US" w:eastAsia="zh-CN"/>
        </w:rPr>
        <w:t>响应</w:t>
      </w:r>
      <w:r>
        <w:rPr>
          <w:rFonts w:hint="eastAsia" w:ascii="宋体" w:hAnsi="宋体" w:eastAsia="宋体" w:cs="Times New Roman"/>
          <w:b/>
          <w:color w:val="auto"/>
          <w:kern w:val="0"/>
          <w:szCs w:val="21"/>
          <w:highlight w:val="none"/>
        </w:rPr>
        <w:t>方案不是唯一</w:t>
      </w:r>
      <w:r>
        <w:rPr>
          <w:rFonts w:hint="eastAsia" w:ascii="宋体" w:hAnsi="宋体" w:eastAsia="宋体" w:cs="宋体"/>
          <w:b/>
          <w:bCs/>
          <w:color w:val="auto"/>
          <w:kern w:val="0"/>
          <w:szCs w:val="21"/>
          <w:highlight w:val="none"/>
        </w:rPr>
        <w:t>；</w:t>
      </w:r>
    </w:p>
    <w:p w14:paraId="29D4E09C">
      <w:pPr>
        <w:spacing w:line="360" w:lineRule="auto"/>
        <w:ind w:left="624" w:hanging="624" w:hangingChars="2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9</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未提供或虚假填写《合同条款偏离表》和《用户需求偏离表》的，或经谈判小组与供应商进行谈判后，供应商最终的《合同条款偏离表》响应条款有重大的负偏离导致采购人利益无法得到保障、存在采购人无法接受的风险的</w:t>
      </w:r>
      <w:r>
        <w:rPr>
          <w:rFonts w:ascii="宋体" w:hAnsi="宋体" w:eastAsia="宋体" w:cs="Times New Roman"/>
          <w:b/>
          <w:color w:val="auto"/>
          <w:kern w:val="0"/>
          <w:szCs w:val="21"/>
          <w:highlight w:val="none"/>
        </w:rPr>
        <w:t>；</w:t>
      </w:r>
    </w:p>
    <w:p w14:paraId="63084AE7">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谈判文件提出的实质性要求和条件（标注★的条款）</w:t>
      </w:r>
      <w:r>
        <w:rPr>
          <w:rFonts w:hint="eastAsia" w:ascii="宋体" w:hAnsi="宋体" w:eastAsia="宋体" w:cs="Times New Roman"/>
          <w:b/>
          <w:color w:val="auto"/>
          <w:kern w:val="0"/>
          <w:szCs w:val="21"/>
          <w:highlight w:val="none"/>
        </w:rPr>
        <w:t>。</w:t>
      </w:r>
    </w:p>
    <w:p w14:paraId="22EA3469">
      <w:pPr>
        <w:autoSpaceDE w:val="0"/>
        <w:autoSpaceDN w:val="0"/>
        <w:adjustRightInd w:val="0"/>
        <w:spacing w:line="360" w:lineRule="auto"/>
        <w:ind w:left="315" w:hanging="315" w:hangingChars="150"/>
        <w:rPr>
          <w:rFonts w:ascii="宋体" w:hAnsi="宋体" w:eastAsia="宋体" w:cs="宋体"/>
          <w:bCs/>
          <w:color w:val="auto"/>
          <w:kern w:val="0"/>
          <w:szCs w:val="24"/>
          <w:highlight w:val="none"/>
          <w:lang w:val="zh-CN"/>
        </w:rPr>
      </w:pPr>
    </w:p>
    <w:p w14:paraId="3F46CFC7">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谈判小组应当书面要求存在细微偏差的响应供应商在评审结束前予以补正。细微偏差是指响应文件在实质上响应谈判文件要求，但在个别地方存在漏项或者提供了不完整的技术方案信息和数据等情况，并且补正这些遗漏或者不完整不会对其他响应供应商造成不公平的结果。细微偏差不影响响应文件的有效性。</w:t>
      </w:r>
    </w:p>
    <w:p w14:paraId="06C41F7A">
      <w:pPr>
        <w:spacing w:line="360" w:lineRule="auto"/>
        <w:ind w:left="480"/>
        <w:rPr>
          <w:rFonts w:ascii="宋体" w:hAnsi="宋体" w:eastAsia="宋体" w:cs="宋体"/>
          <w:b/>
          <w:color w:val="auto"/>
          <w:kern w:val="0"/>
          <w:szCs w:val="21"/>
          <w:highlight w:val="none"/>
        </w:rPr>
      </w:pPr>
    </w:p>
    <w:p w14:paraId="703CB7AD">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520" w:name="_Toc4109_WPSOffice_Level1"/>
      <w:r>
        <w:rPr>
          <w:rFonts w:hint="eastAsia" w:ascii="宋体" w:hAnsi="宋体" w:eastAsia="宋体" w:cs="宋体"/>
          <w:b/>
          <w:bCs/>
          <w:color w:val="auto"/>
          <w:sz w:val="28"/>
          <w:szCs w:val="28"/>
          <w:highlight w:val="none"/>
          <w:lang w:val="zh-CN"/>
        </w:rPr>
        <w:t>三、澄清有关问题</w:t>
      </w:r>
      <w:bookmarkEnd w:id="520"/>
    </w:p>
    <w:p w14:paraId="10E7F68F">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响应文件</w:t>
      </w:r>
      <w:r>
        <w:rPr>
          <w:rFonts w:hint="eastAsia" w:ascii="宋体" w:hAnsi="宋体" w:eastAsia="宋体" w:cs="宋体"/>
          <w:color w:val="auto"/>
          <w:szCs w:val="24"/>
          <w:highlight w:val="none"/>
          <w:lang w:val="zh-CN"/>
        </w:rPr>
        <w:t>的资格性检查及符合性检查过程中，</w:t>
      </w:r>
      <w:r>
        <w:rPr>
          <w:rFonts w:hint="eastAsia" w:ascii="宋体" w:hAnsi="宋体" w:eastAsia="宋体" w:cs="宋体"/>
          <w:color w:val="auto"/>
          <w:kern w:val="0"/>
          <w:szCs w:val="24"/>
          <w:highlight w:val="none"/>
          <w:lang w:val="zh-CN"/>
        </w:rPr>
        <w:t>响应供应商</w:t>
      </w:r>
      <w:r>
        <w:rPr>
          <w:rFonts w:hint="eastAsia" w:ascii="宋体" w:hAnsi="宋体" w:eastAsia="宋体" w:cs="宋体"/>
          <w:color w:val="auto"/>
          <w:szCs w:val="24"/>
          <w:highlight w:val="none"/>
          <w:lang w:val="zh-CN"/>
        </w:rPr>
        <w:t>可应谈判小组要求对</w:t>
      </w:r>
      <w:r>
        <w:rPr>
          <w:rFonts w:hint="eastAsia" w:ascii="宋体" w:hAnsi="宋体" w:eastAsia="宋体" w:cs="宋体"/>
          <w:color w:val="auto"/>
          <w:kern w:val="0"/>
          <w:szCs w:val="24"/>
          <w:highlight w:val="none"/>
          <w:lang w:val="zh-CN"/>
        </w:rPr>
        <w:t>响应文件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响应文件</w:t>
      </w:r>
      <w:r>
        <w:rPr>
          <w:rFonts w:hint="eastAsia" w:ascii="宋体" w:hAnsi="宋体" w:eastAsia="宋体" w:cs="宋体"/>
          <w:color w:val="auto"/>
          <w:szCs w:val="24"/>
          <w:highlight w:val="none"/>
          <w:lang w:val="zh-CN"/>
        </w:rPr>
        <w:t>的一部分。</w:t>
      </w:r>
    </w:p>
    <w:p w14:paraId="11DA2C2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响应文件</w:t>
      </w:r>
      <w:r>
        <w:rPr>
          <w:rFonts w:hint="eastAsia" w:ascii="宋体" w:hAnsi="宋体" w:eastAsia="宋体" w:cs="宋体"/>
          <w:color w:val="auto"/>
          <w:szCs w:val="24"/>
          <w:highlight w:val="none"/>
          <w:lang w:val="zh-CN"/>
        </w:rPr>
        <w:t>中含义不明确、同类问题表述不一致或者有明显文字和计算错误的内容，谈判小组可以书面形式（由谈判小组专家签字）要求响应供应商作出必要的澄清、说明或者纠正。</w:t>
      </w:r>
    </w:p>
    <w:p w14:paraId="34091B4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响应供应商的澄清、说明或者纠正应当采用书面形式，由其授权的代表签字，并不得超出响应文件的范围或者改变响应文件的实质性内容。</w:t>
      </w:r>
    </w:p>
    <w:p w14:paraId="4E5804D9">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经过澄清后仍不符合要求，重大（实质性）偏差仍存在，且不可接受，响应供应商则被认为是“不响应谈判文件要求的响应供应商”，不再进入下一步评审。</w:t>
      </w:r>
    </w:p>
    <w:p w14:paraId="129E0842">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响应文件报价计算错误的修正</w:t>
      </w:r>
    </w:p>
    <w:p w14:paraId="1F47BA54">
      <w:pPr>
        <w:spacing w:line="360" w:lineRule="auto"/>
        <w:ind w:left="567"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（1）谈判小组将对确定为实质上响应谈判文件要求的响应文件进行校核，看其是否有计算或表达上的错误，修正错误的原则为：</w:t>
      </w:r>
    </w:p>
    <w:p w14:paraId="5A8CF059">
      <w:pPr>
        <w:autoSpaceDE w:val="0"/>
        <w:autoSpaceDN w:val="0"/>
        <w:adjustRightInd w:val="0"/>
        <w:spacing w:line="360" w:lineRule="auto"/>
        <w:ind w:firstLine="420" w:firstLineChars="20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A</w:t>
      </w:r>
      <w:r>
        <w:rPr>
          <w:rFonts w:hint="eastAsia" w:ascii="宋体" w:hAnsi="宋体" w:eastAsia="宋体" w:cs="Times New Roman"/>
          <w:color w:val="auto"/>
          <w:szCs w:val="21"/>
          <w:highlight w:val="none"/>
          <w:lang w:val="zh-CN"/>
        </w:rPr>
        <w:t>）当以数字表示的金额与以文字表示的金额不一致时，以文字表示的金额为准。</w:t>
      </w:r>
    </w:p>
    <w:p w14:paraId="39B44890">
      <w:pPr>
        <w:autoSpaceDE w:val="0"/>
        <w:autoSpaceDN w:val="0"/>
        <w:adjustRightInd w:val="0"/>
        <w:spacing w:line="360" w:lineRule="auto"/>
        <w:ind w:firstLine="424" w:firstLineChars="202"/>
        <w:jc w:val="left"/>
        <w:rPr>
          <w:rFonts w:ascii="宋体" w:hAnsi="宋体" w:eastAsia="宋体" w:cs="Times New Roman"/>
          <w:color w:val="auto"/>
          <w:kern w:val="0"/>
          <w:sz w:val="24"/>
          <w:szCs w:val="24"/>
          <w:highlight w:val="none"/>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B</w:t>
      </w:r>
      <w:r>
        <w:rPr>
          <w:rFonts w:hint="eastAsia" w:ascii="宋体" w:hAnsi="宋体" w:eastAsia="宋体" w:cs="Times New Roman"/>
          <w:color w:val="auto"/>
          <w:szCs w:val="21"/>
          <w:highlight w:val="none"/>
          <w:lang w:val="zh-CN"/>
        </w:rPr>
        <w:t>）按前述修正原则排序依次进行修正至唯一值后的报价表经双方确认后，作为响应供应商的响应报价。</w:t>
      </w:r>
    </w:p>
    <w:p w14:paraId="1A3BB834">
      <w:pPr>
        <w:spacing w:line="360" w:lineRule="auto"/>
        <w:ind w:left="422" w:hanging="420" w:hangingChars="200"/>
        <w:jc w:val="both"/>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按上述报价修正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的原则及方法调整或修正响应文件的响应报价，调整后的响应报价对响应供应商起约束作用。如果响应供应商不接受修正后的报价，则其响应将被拒绝，作为无效</w:t>
      </w:r>
      <w:r>
        <w:rPr>
          <w:rFonts w:hint="eastAsia" w:ascii="宋体" w:hAnsi="宋体" w:eastAsia="宋体" w:cs="宋体"/>
          <w:b/>
          <w:color w:val="auto"/>
          <w:kern w:val="0"/>
          <w:szCs w:val="21"/>
          <w:highlight w:val="none"/>
          <w:u w:val="single"/>
          <w:lang w:val="en-US" w:eastAsia="zh-CN"/>
        </w:rPr>
        <w:t>响应文件</w:t>
      </w:r>
      <w:r>
        <w:rPr>
          <w:rFonts w:hint="eastAsia" w:ascii="宋体" w:hAnsi="宋体" w:eastAsia="宋体" w:cs="宋体"/>
          <w:b/>
          <w:color w:val="auto"/>
          <w:kern w:val="0"/>
          <w:szCs w:val="21"/>
          <w:highlight w:val="none"/>
          <w:u w:val="single"/>
          <w:lang w:val="zh-CN"/>
        </w:rPr>
        <w:t>处理</w:t>
      </w:r>
      <w:r>
        <w:rPr>
          <w:rFonts w:hint="eastAsia" w:ascii="宋体" w:hAnsi="宋体" w:eastAsia="宋体" w:cs="宋体"/>
          <w:b/>
          <w:color w:val="auto"/>
          <w:kern w:val="0"/>
          <w:szCs w:val="21"/>
          <w:highlight w:val="none"/>
          <w:lang w:val="zh-CN"/>
        </w:rPr>
        <w:t>。</w:t>
      </w:r>
    </w:p>
    <w:p w14:paraId="4FDAC509">
      <w:pPr>
        <w:spacing w:line="360" w:lineRule="auto"/>
        <w:ind w:left="422" w:hanging="422" w:hangingChars="20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9.5 </w:t>
      </w:r>
      <w:r>
        <w:rPr>
          <w:rFonts w:hint="eastAsia" w:ascii="宋体" w:hAnsi="宋体" w:eastAsia="宋体" w:cs="宋体"/>
          <w:b/>
          <w:bCs/>
          <w:color w:val="auto"/>
          <w:kern w:val="2"/>
          <w:sz w:val="21"/>
          <w:szCs w:val="21"/>
          <w:highlight w:val="none"/>
          <w:u w:val="single"/>
          <w:lang w:val="zh-CN"/>
        </w:rPr>
        <w:t>谈判小组按上述修正误差的原则调整的价格对其响应供应商具有约束力。如果响应供应商不接受修正后的价格，其</w:t>
      </w:r>
      <w:r>
        <w:rPr>
          <w:rFonts w:hint="eastAsia" w:ascii="宋体" w:hAnsi="宋体" w:eastAsia="宋体" w:cs="宋体"/>
          <w:b/>
          <w:bCs/>
          <w:color w:val="auto"/>
          <w:kern w:val="2"/>
          <w:sz w:val="21"/>
          <w:szCs w:val="21"/>
          <w:highlight w:val="none"/>
          <w:u w:val="single"/>
        </w:rPr>
        <w:t>响应</w:t>
      </w:r>
      <w:r>
        <w:rPr>
          <w:rFonts w:hint="eastAsia" w:ascii="宋体" w:hAnsi="宋体" w:eastAsia="宋体" w:cs="宋体"/>
          <w:b/>
          <w:bCs/>
          <w:color w:val="auto"/>
          <w:kern w:val="2"/>
          <w:sz w:val="21"/>
          <w:szCs w:val="21"/>
          <w:highlight w:val="none"/>
          <w:u w:val="single"/>
          <w:lang w:val="zh-CN"/>
        </w:rPr>
        <w:t>将被拒绝，</w:t>
      </w:r>
      <w:r>
        <w:rPr>
          <w:rFonts w:hint="eastAsia" w:ascii="宋体" w:hAnsi="宋体" w:eastAsia="宋体" w:cs="宋体"/>
          <w:b/>
          <w:bCs/>
          <w:color w:val="auto"/>
          <w:kern w:val="2"/>
          <w:sz w:val="21"/>
          <w:szCs w:val="21"/>
          <w:highlight w:val="none"/>
          <w:u w:val="single"/>
        </w:rPr>
        <w:t>作为无效响应处理</w:t>
      </w:r>
      <w:r>
        <w:rPr>
          <w:rFonts w:hint="eastAsia" w:ascii="宋体" w:hAnsi="宋体" w:eastAsia="宋体" w:cs="宋体"/>
          <w:b/>
          <w:bCs/>
          <w:color w:val="auto"/>
          <w:kern w:val="2"/>
          <w:sz w:val="21"/>
          <w:szCs w:val="21"/>
          <w:highlight w:val="none"/>
          <w:lang w:val="zh-CN"/>
        </w:rPr>
        <w:t>。</w:t>
      </w:r>
    </w:p>
    <w:p w14:paraId="676CE6AA">
      <w:pPr>
        <w:spacing w:line="360" w:lineRule="auto"/>
        <w:ind w:left="420" w:hanging="420" w:hanging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 xml:space="preserve">9.6 </w:t>
      </w:r>
      <w:r>
        <w:rPr>
          <w:rFonts w:hint="eastAsia" w:ascii="宋体" w:hAnsi="宋体" w:eastAsia="宋体" w:cs="宋体"/>
          <w:bCs/>
          <w:color w:val="auto"/>
          <w:sz w:val="21"/>
          <w:szCs w:val="21"/>
          <w:highlight w:val="none"/>
          <w:lang w:val="zh-CN"/>
        </w:rPr>
        <w:t>若</w:t>
      </w: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lang w:val="zh-CN"/>
        </w:rPr>
        <w:t>出现</w:t>
      </w:r>
      <w:r>
        <w:rPr>
          <w:rFonts w:hint="eastAsia" w:ascii="宋体" w:hAnsi="宋体" w:eastAsia="宋体" w:cs="宋体"/>
          <w:bCs/>
          <w:color w:val="auto"/>
          <w:sz w:val="21"/>
          <w:szCs w:val="21"/>
          <w:highlight w:val="none"/>
        </w:rPr>
        <w:t>不合理报价</w:t>
      </w:r>
      <w:r>
        <w:rPr>
          <w:rFonts w:hint="eastAsia" w:ascii="宋体" w:hAnsi="宋体" w:eastAsia="宋体" w:cs="宋体"/>
          <w:bCs/>
          <w:color w:val="auto"/>
          <w:sz w:val="21"/>
          <w:szCs w:val="21"/>
          <w:highlight w:val="none"/>
          <w:lang w:val="zh-CN"/>
        </w:rPr>
        <w:t>，有可能影响服务质量和不能诚信履约的，</w:t>
      </w:r>
      <w:r>
        <w:rPr>
          <w:rFonts w:hint="eastAsia" w:ascii="宋体" w:hAnsi="宋体" w:eastAsia="宋体" w:cs="宋体"/>
          <w:bCs/>
          <w:color w:val="auto"/>
          <w:sz w:val="21"/>
          <w:szCs w:val="21"/>
          <w:highlight w:val="none"/>
        </w:rPr>
        <w:t>谈判小组</w:t>
      </w:r>
      <w:r>
        <w:rPr>
          <w:rFonts w:hint="eastAsia" w:ascii="宋体" w:hAnsi="宋体" w:eastAsia="宋体" w:cs="宋体"/>
          <w:bCs/>
          <w:color w:val="auto"/>
          <w:sz w:val="21"/>
          <w:szCs w:val="21"/>
          <w:highlight w:val="none"/>
          <w:lang w:val="zh-CN"/>
        </w:rPr>
        <w:t>将要求该</w:t>
      </w: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lang w:val="zh-CN"/>
        </w:rPr>
        <w:t>作出书面说明并提供相关证明材料，以确定</w:t>
      </w: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lang w:val="zh-CN"/>
        </w:rPr>
        <w:t>是否以超出企业成本价报价。</w:t>
      </w:r>
      <w:r>
        <w:rPr>
          <w:rFonts w:hint="eastAsia" w:ascii="宋体" w:hAnsi="宋体" w:eastAsia="宋体" w:cs="宋体"/>
          <w:b/>
          <w:color w:val="auto"/>
          <w:sz w:val="21"/>
          <w:szCs w:val="21"/>
          <w:highlight w:val="none"/>
          <w:u w:val="single"/>
          <w:lang w:val="zh-CN"/>
        </w:rPr>
        <w:t>若</w:t>
      </w:r>
      <w:r>
        <w:rPr>
          <w:rFonts w:hint="eastAsia" w:ascii="宋体" w:hAnsi="宋体" w:eastAsia="宋体" w:cs="宋体"/>
          <w:b/>
          <w:color w:val="auto"/>
          <w:sz w:val="21"/>
          <w:szCs w:val="21"/>
          <w:highlight w:val="none"/>
          <w:u w:val="single"/>
        </w:rPr>
        <w:t>供应商</w:t>
      </w:r>
      <w:r>
        <w:rPr>
          <w:rFonts w:hint="eastAsia" w:ascii="宋体" w:hAnsi="宋体" w:eastAsia="宋体" w:cs="宋体"/>
          <w:b/>
          <w:color w:val="auto"/>
          <w:sz w:val="21"/>
          <w:szCs w:val="21"/>
          <w:highlight w:val="none"/>
          <w:u w:val="single"/>
          <w:lang w:val="zh-CN"/>
        </w:rPr>
        <w:t>不能合理说明或不能提供相关证明材料的，</w:t>
      </w:r>
      <w:r>
        <w:rPr>
          <w:rFonts w:hint="eastAsia" w:ascii="宋体" w:hAnsi="宋体" w:eastAsia="宋体" w:cs="宋体"/>
          <w:b/>
          <w:color w:val="auto"/>
          <w:sz w:val="21"/>
          <w:szCs w:val="21"/>
          <w:highlight w:val="none"/>
          <w:u w:val="single"/>
        </w:rPr>
        <w:t>谈判小组</w:t>
      </w:r>
      <w:r>
        <w:rPr>
          <w:rFonts w:hint="eastAsia" w:ascii="宋体" w:hAnsi="宋体" w:eastAsia="宋体" w:cs="宋体"/>
          <w:b/>
          <w:color w:val="auto"/>
          <w:sz w:val="21"/>
          <w:szCs w:val="21"/>
          <w:highlight w:val="none"/>
          <w:u w:val="single"/>
          <w:lang w:val="zh-CN"/>
        </w:rPr>
        <w:t>将认定其</w:t>
      </w:r>
      <w:r>
        <w:rPr>
          <w:rFonts w:hint="eastAsia" w:ascii="宋体" w:hAnsi="宋体" w:eastAsia="宋体" w:cs="宋体"/>
          <w:b/>
          <w:color w:val="auto"/>
          <w:sz w:val="21"/>
          <w:szCs w:val="21"/>
          <w:highlight w:val="none"/>
          <w:u w:val="single"/>
        </w:rPr>
        <w:t>响应</w:t>
      </w:r>
      <w:r>
        <w:rPr>
          <w:rFonts w:hint="eastAsia" w:ascii="宋体" w:hAnsi="宋体" w:eastAsia="宋体" w:cs="宋体"/>
          <w:b/>
          <w:color w:val="auto"/>
          <w:sz w:val="21"/>
          <w:szCs w:val="21"/>
          <w:highlight w:val="none"/>
          <w:u w:val="single"/>
          <w:lang w:val="zh-CN"/>
        </w:rPr>
        <w:t>报价超出成本，同时否决其</w:t>
      </w:r>
      <w:r>
        <w:rPr>
          <w:rFonts w:hint="eastAsia" w:ascii="宋体" w:hAnsi="宋体" w:eastAsia="宋体" w:cs="宋体"/>
          <w:b/>
          <w:color w:val="auto"/>
          <w:sz w:val="21"/>
          <w:szCs w:val="21"/>
          <w:highlight w:val="none"/>
          <w:u w:val="single"/>
        </w:rPr>
        <w:t>递交的响应文件</w:t>
      </w:r>
      <w:r>
        <w:rPr>
          <w:rFonts w:hint="eastAsia" w:ascii="宋体" w:hAnsi="宋体" w:eastAsia="宋体" w:cs="宋体"/>
          <w:b/>
          <w:color w:val="auto"/>
          <w:sz w:val="21"/>
          <w:szCs w:val="21"/>
          <w:highlight w:val="none"/>
          <w:lang w:val="zh-CN"/>
        </w:rPr>
        <w:t>。</w:t>
      </w:r>
    </w:p>
    <w:p w14:paraId="7F973FE2">
      <w:pPr>
        <w:spacing w:line="360" w:lineRule="auto"/>
        <w:ind w:left="567" w:hanging="569" w:hangingChars="270"/>
        <w:rPr>
          <w:rFonts w:ascii="宋体" w:hAnsi="宋体" w:eastAsia="宋体" w:cs="宋体"/>
          <w:b/>
          <w:color w:val="auto"/>
          <w:kern w:val="0"/>
          <w:szCs w:val="21"/>
          <w:highlight w:val="none"/>
          <w:lang w:val="zh-CN"/>
        </w:rPr>
      </w:pPr>
    </w:p>
    <w:p w14:paraId="215E6368">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521" w:name="_Toc8518_WPSOffice_Level1"/>
    </w:p>
    <w:p w14:paraId="4932005D">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四、谈判和</w:t>
      </w:r>
      <w:bookmarkEnd w:id="521"/>
      <w:r>
        <w:rPr>
          <w:rFonts w:hint="eastAsia" w:ascii="宋体" w:hAnsi="宋体" w:eastAsia="宋体" w:cs="宋体"/>
          <w:b/>
          <w:bCs/>
          <w:color w:val="auto"/>
          <w:sz w:val="28"/>
          <w:szCs w:val="28"/>
          <w:highlight w:val="none"/>
          <w:lang w:val="zh-CN"/>
        </w:rPr>
        <w:t>最后报价</w:t>
      </w:r>
    </w:p>
    <w:p w14:paraId="0EFC0483">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Times New Roman"/>
          <w:color w:val="auto"/>
          <w:kern w:val="0"/>
          <w:szCs w:val="24"/>
          <w:highlight w:val="none"/>
          <w:lang w:val="zh-CN"/>
        </w:rPr>
        <w:t>谈判小组所有成员应当</w:t>
      </w:r>
      <w:r>
        <w:rPr>
          <w:rFonts w:hint="eastAsia" w:ascii="宋体" w:hAnsi="宋体" w:eastAsia="宋体" w:cs="Times New Roman"/>
          <w:color w:val="auto"/>
          <w:szCs w:val="21"/>
          <w:highlight w:val="none"/>
          <w:lang w:val="zh-CN"/>
        </w:rPr>
        <w:t>集中按递交</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lang w:val="zh-CN"/>
        </w:rPr>
        <w:t>文件的先后顺序逐一与合格的</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kern w:val="0"/>
          <w:szCs w:val="21"/>
          <w:highlight w:val="none"/>
        </w:rPr>
        <w:t>进行相同轮次（一个或多个回合）谈判</w:t>
      </w:r>
      <w:r>
        <w:rPr>
          <w:rFonts w:hint="eastAsia" w:ascii="宋体" w:hAnsi="宋体" w:eastAsia="宋体" w:cs="Times New Roman"/>
          <w:color w:val="auto"/>
          <w:kern w:val="0"/>
          <w:szCs w:val="24"/>
          <w:highlight w:val="none"/>
          <w:lang w:val="zh-CN"/>
        </w:rPr>
        <w:t>，并给予所有参加谈判的供应商平等的谈判机会。</w:t>
      </w:r>
    </w:p>
    <w:p w14:paraId="73099B78">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10.1 在谈判过程中，谈判小组可以根据谈判文件和谈判情况实质性变动采购需求中的技术、服务要求以及合同草案条款，但不得变动谈判文件中的其他内容。实质性变动的内容，须经采购人代表确认。</w:t>
      </w:r>
    </w:p>
    <w:p w14:paraId="483461C2">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10.2 </w:t>
      </w:r>
      <w:r>
        <w:rPr>
          <w:rFonts w:hint="eastAsia" w:ascii="宋体" w:hAnsi="宋体" w:eastAsia="宋体" w:cs="Times New Roman"/>
          <w:color w:val="auto"/>
          <w:kern w:val="0"/>
          <w:szCs w:val="21"/>
          <w:highlight w:val="none"/>
        </w:rPr>
        <w:t>对谈判文件作出的实质性变动是谈判文件的有效组成部分，谈判小组应当及时、同时通知所有参加谈判的供应商。</w:t>
      </w:r>
    </w:p>
    <w:p w14:paraId="60727AD4">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10.</w:t>
      </w:r>
      <w:r>
        <w:rPr>
          <w:rFonts w:hint="eastAsia" w:ascii="宋体" w:hAnsi="宋体" w:eastAsia="宋体" w:cs="Times New Roman"/>
          <w:color w:val="auto"/>
          <w:szCs w:val="24"/>
          <w:highlight w:val="none"/>
          <w:lang w:val="zh-CN"/>
        </w:rPr>
        <w:t>3</w:t>
      </w:r>
      <w:r>
        <w:rPr>
          <w:rFonts w:ascii="宋体" w:hAnsi="宋体" w:eastAsia="宋体" w:cs="Times New Roman"/>
          <w:color w:val="auto"/>
          <w:szCs w:val="24"/>
          <w:highlight w:val="none"/>
          <w:lang w:val="zh-CN"/>
        </w:rPr>
        <w:tab/>
      </w:r>
      <w:r>
        <w:rPr>
          <w:rFonts w:hint="eastAsia" w:ascii="宋体" w:hAnsi="宋体" w:eastAsia="宋体" w:cs="Times New Roman"/>
          <w:color w:val="auto"/>
          <w:szCs w:val="24"/>
          <w:highlight w:val="none"/>
          <w:lang w:val="zh-CN"/>
        </w:rPr>
        <w:t>供应商应当按照谈判文件的变动情况和谈判小组的要求进行最终报价或重新提交响应文件，并由其法定代表人或授权代表签字或者加盖公章。</w:t>
      </w:r>
    </w:p>
    <w:p w14:paraId="1BF487F7">
      <w:pPr>
        <w:spacing w:line="360" w:lineRule="auto"/>
        <w:ind w:left="518" w:hanging="518"/>
        <w:rPr>
          <w:rFonts w:ascii="宋体" w:hAnsi="宋体" w:eastAsia="宋体" w:cs="宋体"/>
          <w:bCs/>
          <w:color w:val="auto"/>
          <w:szCs w:val="24"/>
          <w:highlight w:val="none"/>
          <w:lang w:val="zh-CN"/>
        </w:rPr>
      </w:pPr>
    </w:p>
    <w:p w14:paraId="4FBE5316">
      <w:pPr>
        <w:spacing w:line="360" w:lineRule="auto"/>
        <w:ind w:left="518" w:hanging="518"/>
        <w:rPr>
          <w:rFonts w:ascii="宋体" w:hAnsi="宋体" w:eastAsia="宋体"/>
          <w:bCs/>
          <w:color w:val="auto"/>
          <w:highlight w:val="none"/>
        </w:rPr>
      </w:pPr>
      <w:r>
        <w:rPr>
          <w:rFonts w:hint="eastAsia" w:ascii="宋体" w:hAnsi="宋体" w:eastAsia="宋体" w:cs="宋体"/>
          <w:bCs/>
          <w:color w:val="auto"/>
          <w:szCs w:val="24"/>
          <w:highlight w:val="none"/>
          <w:lang w:val="zh-CN"/>
        </w:rPr>
        <w:t>11、</w:t>
      </w:r>
      <w:r>
        <w:rPr>
          <w:rFonts w:hint="eastAsia" w:ascii="宋体" w:hAnsi="宋体" w:eastAsia="宋体"/>
          <w:bCs/>
          <w:color w:val="auto"/>
          <w:highlight w:val="none"/>
        </w:rPr>
        <w:t>谈判结束后，谈判小组应当要求所有实质性响应的供应商在规定时间内提交最后报价。最后报价是供应商响应文件的有效组成部分。</w:t>
      </w:r>
    </w:p>
    <w:p w14:paraId="6977B3C6">
      <w:pPr>
        <w:spacing w:line="360" w:lineRule="auto"/>
        <w:ind w:left="518" w:hanging="518"/>
        <w:rPr>
          <w:rFonts w:ascii="宋体" w:hAnsi="宋体" w:eastAsia="宋体"/>
          <w:color w:val="auto"/>
          <w:szCs w:val="21"/>
          <w:highlight w:val="none"/>
        </w:rPr>
      </w:pPr>
      <w:r>
        <w:rPr>
          <w:rFonts w:hint="eastAsia" w:ascii="宋体" w:hAnsi="宋体" w:eastAsia="宋体"/>
          <w:color w:val="auto"/>
          <w:highlight w:val="none"/>
          <w:lang w:val="zh-CN"/>
        </w:rPr>
        <w:t>11</w:t>
      </w:r>
      <w:r>
        <w:rPr>
          <w:rFonts w:ascii="宋体" w:hAnsi="宋体" w:eastAsia="宋体"/>
          <w:color w:val="auto"/>
          <w:highlight w:val="none"/>
          <w:lang w:val="zh-CN"/>
        </w:rPr>
        <w:t>.</w:t>
      </w:r>
      <w:r>
        <w:rPr>
          <w:rFonts w:hint="eastAsia" w:ascii="宋体" w:hAnsi="宋体" w:eastAsia="宋体"/>
          <w:color w:val="auto"/>
          <w:highlight w:val="none"/>
          <w:lang w:val="zh-CN"/>
        </w:rPr>
        <w:t>1</w:t>
      </w:r>
      <w:r>
        <w:rPr>
          <w:rFonts w:ascii="宋体" w:hAnsi="宋体" w:eastAsia="宋体"/>
          <w:color w:val="auto"/>
          <w:highlight w:val="none"/>
        </w:rPr>
        <w:t xml:space="preserve"> </w:t>
      </w:r>
      <w:r>
        <w:rPr>
          <w:rFonts w:hint="eastAsia" w:ascii="宋体" w:hAnsi="宋体" w:eastAsia="宋体"/>
          <w:color w:val="auto"/>
          <w:highlight w:val="none"/>
        </w:rPr>
        <w:t>谈判结束后，已提交响应文件的供应商，</w:t>
      </w:r>
      <w:r>
        <w:rPr>
          <w:rFonts w:hint="eastAsia" w:ascii="宋体" w:hAnsi="宋体" w:eastAsia="宋体"/>
          <w:b/>
          <w:bCs/>
          <w:color w:val="auto"/>
          <w:highlight w:val="none"/>
        </w:rPr>
        <w:t>如无实质性变动采购需求中的技术、服务要求以及合同草案条款的，供应商若不参与二次报价环节的，则默认第一次报价为最后报价。</w:t>
      </w:r>
      <w:r>
        <w:rPr>
          <w:rFonts w:hint="eastAsia" w:ascii="宋体" w:hAnsi="宋体" w:eastAsia="宋体"/>
          <w:color w:val="auto"/>
          <w:highlight w:val="none"/>
        </w:rPr>
        <w:t>如有实质性变动采购需求中的技术、服务要求以及合同草案条款的，在提交最后报价之前，供应商可以根据谈判情况退出谈判。</w:t>
      </w:r>
    </w:p>
    <w:p w14:paraId="1A1994F5">
      <w:pPr>
        <w:spacing w:line="360" w:lineRule="auto"/>
        <w:ind w:left="518" w:hanging="518"/>
        <w:rPr>
          <w:rFonts w:ascii="宋体" w:hAnsi="宋体" w:eastAsia="宋体"/>
          <w:color w:val="auto"/>
          <w:highlight w:val="none"/>
          <w:lang w:val="zh-CN"/>
        </w:rPr>
      </w:pPr>
    </w:p>
    <w:p w14:paraId="40CA439B">
      <w:pPr>
        <w:tabs>
          <w:tab w:val="left" w:pos="1701"/>
        </w:tabs>
        <w:autoSpaceDE w:val="0"/>
        <w:autoSpaceDN w:val="0"/>
        <w:adjustRightInd w:val="0"/>
        <w:spacing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12、谈判小组采用最低评审价法对资格性检查和符合性检查合格的响应供应商的响应文件和最后报价进行评审。</w:t>
      </w:r>
    </w:p>
    <w:p w14:paraId="5A4970F8">
      <w:pPr>
        <w:autoSpaceDE w:val="0"/>
        <w:autoSpaceDN w:val="0"/>
        <w:adjustRightInd w:val="0"/>
        <w:spacing w:line="360" w:lineRule="auto"/>
        <w:rPr>
          <w:rFonts w:ascii="宋体" w:hAnsi="宋体" w:eastAsia="宋体" w:cs="宋体"/>
          <w:b/>
          <w:bCs/>
          <w:color w:val="auto"/>
          <w:sz w:val="28"/>
          <w:szCs w:val="28"/>
          <w:highlight w:val="none"/>
        </w:rPr>
      </w:pPr>
    </w:p>
    <w:p w14:paraId="390AACCD">
      <w:pPr>
        <w:autoSpaceDE w:val="0"/>
        <w:autoSpaceDN w:val="0"/>
        <w:adjustRightInd w:val="0"/>
        <w:spacing w:line="360" w:lineRule="auto"/>
        <w:jc w:val="center"/>
        <w:rPr>
          <w:rFonts w:ascii="宋体" w:hAnsi="宋体" w:eastAsia="宋体" w:cs="宋体"/>
          <w:b/>
          <w:bCs/>
          <w:color w:val="auto"/>
          <w:sz w:val="28"/>
          <w:szCs w:val="28"/>
          <w:highlight w:val="none"/>
        </w:rPr>
      </w:pPr>
      <w:bookmarkStart w:id="522" w:name="_Toc518_WPSOffice_Level1"/>
      <w:r>
        <w:rPr>
          <w:rFonts w:hint="eastAsia" w:ascii="宋体" w:hAnsi="宋体" w:eastAsia="宋体" w:cs="宋体"/>
          <w:b/>
          <w:bCs/>
          <w:color w:val="auto"/>
          <w:sz w:val="28"/>
          <w:szCs w:val="28"/>
          <w:highlight w:val="none"/>
          <w:lang w:val="zh-CN"/>
        </w:rPr>
        <w:t>五、推荐成交候选人</w:t>
      </w:r>
      <w:bookmarkEnd w:id="522"/>
    </w:p>
    <w:p w14:paraId="24673FFB">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Arial"/>
          <w:color w:val="auto"/>
          <w:highlight w:val="none"/>
          <w:lang w:val="zh-CN"/>
        </w:rPr>
        <w:t>谈判小组</w:t>
      </w:r>
      <w:r>
        <w:rPr>
          <w:rFonts w:hint="eastAsia" w:ascii="宋体" w:hAnsi="宋体" w:eastAsia="宋体"/>
          <w:color w:val="auto"/>
          <w:szCs w:val="21"/>
          <w:highlight w:val="none"/>
          <w:lang w:val="zh-CN"/>
        </w:rPr>
        <w:t>将</w:t>
      </w:r>
      <w:r>
        <w:rPr>
          <w:rFonts w:hint="eastAsia" w:ascii="宋体" w:hAnsi="宋体" w:eastAsia="宋体"/>
          <w:color w:val="auto"/>
          <w:szCs w:val="21"/>
          <w:highlight w:val="none"/>
        </w:rPr>
        <w:t>从质量和服务均能满足谈判文件实质性响应要求的供应商中，按照最后报价由低到高的顺序向采购人推荐最后报价最低的响应供应商为第一成交候选人，推荐最后报价次低的响应供应商为第二成交候选人。</w:t>
      </w:r>
      <w:r>
        <w:rPr>
          <w:rFonts w:hint="eastAsia" w:ascii="宋体" w:hAnsi="宋体" w:eastAsia="宋体" w:cs="Times New Roman"/>
          <w:color w:val="auto"/>
          <w:kern w:val="0"/>
          <w:szCs w:val="21"/>
          <w:highlight w:val="none"/>
        </w:rPr>
        <w:t>采购人将确定第一成交候选人为成交人。</w:t>
      </w:r>
    </w:p>
    <w:p w14:paraId="10B6C1A9">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lang w:val="en-US" w:eastAsia="zh-CN"/>
        </w:rPr>
        <w:t>如出现两个或以上相同报价，</w:t>
      </w:r>
      <w:r>
        <w:rPr>
          <w:rFonts w:hint="eastAsia" w:ascii="宋体" w:hAnsi="宋体" w:eastAsia="宋体" w:cs="Times New Roman"/>
          <w:color w:val="auto"/>
          <w:kern w:val="0"/>
          <w:szCs w:val="21"/>
          <w:highlight w:val="none"/>
        </w:rPr>
        <w:t>由</w:t>
      </w:r>
      <w:r>
        <w:rPr>
          <w:rFonts w:hint="eastAsia" w:ascii="宋体" w:hAnsi="宋体" w:eastAsia="宋体" w:cs="Times New Roman"/>
          <w:color w:val="auto"/>
          <w:kern w:val="0"/>
          <w:szCs w:val="21"/>
          <w:highlight w:val="none"/>
          <w:lang w:val="en-US" w:eastAsia="zh-CN"/>
        </w:rPr>
        <w:t>谈判小组按供应商提供的商务文件、技术方案及措施等资料综合考虑</w:t>
      </w:r>
      <w:r>
        <w:rPr>
          <w:rFonts w:hint="eastAsia" w:ascii="宋体" w:hAnsi="宋体" w:eastAsia="宋体" w:cs="Times New Roman"/>
          <w:color w:val="auto"/>
          <w:kern w:val="0"/>
          <w:szCs w:val="21"/>
          <w:highlight w:val="none"/>
        </w:rPr>
        <w:t>进行投票，得票多的排名在先。当第一轮投票结果为</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得票数相同时，再次进行投票，如此类推，直到能确定排序次序为止。</w:t>
      </w:r>
      <w:r>
        <w:rPr>
          <w:rFonts w:hint="eastAsia" w:ascii="宋体" w:hAnsi="宋体" w:eastAsia="宋体" w:cs="Times New Roman"/>
          <w:color w:val="auto"/>
          <w:kern w:val="0"/>
          <w:szCs w:val="21"/>
          <w:highlight w:val="none"/>
          <w:lang w:val="en-US" w:eastAsia="zh-CN"/>
        </w:rPr>
        <w:t>推荐得票最高的为第一成交候选人，推荐得票次高的为第二成交候选人</w:t>
      </w:r>
      <w:r>
        <w:rPr>
          <w:rFonts w:ascii="宋体" w:hAnsi="宋体" w:eastAsia="宋体" w:cs="Times New Roman"/>
          <w:color w:val="auto"/>
          <w:kern w:val="0"/>
          <w:szCs w:val="21"/>
          <w:highlight w:val="none"/>
        </w:rPr>
        <w:t>。</w:t>
      </w:r>
    </w:p>
    <w:p w14:paraId="489D853F">
      <w:pPr>
        <w:widowControl/>
        <w:spacing w:line="360" w:lineRule="auto"/>
        <w:jc w:val="left"/>
        <w:rPr>
          <w:rFonts w:ascii="宋体" w:hAnsi="宋体" w:eastAsia="宋体" w:cs="宋体"/>
          <w:color w:val="auto"/>
          <w:kern w:val="0"/>
          <w:szCs w:val="21"/>
          <w:highlight w:val="none"/>
        </w:rPr>
      </w:pPr>
    </w:p>
    <w:p w14:paraId="6B97F702">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523" w:name="_Toc22724_WPSOffice_Level1"/>
      <w:r>
        <w:rPr>
          <w:rFonts w:hint="eastAsia" w:ascii="宋体" w:hAnsi="宋体" w:eastAsia="宋体" w:cs="宋体"/>
          <w:b/>
          <w:bCs/>
          <w:color w:val="auto"/>
          <w:sz w:val="28"/>
          <w:szCs w:val="28"/>
          <w:highlight w:val="none"/>
          <w:lang w:val="zh-CN"/>
        </w:rPr>
        <w:t>六、编写评审报告</w:t>
      </w:r>
      <w:bookmarkEnd w:id="523"/>
    </w:p>
    <w:p w14:paraId="546F6BBB">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、谈判小组根据评审结果撰写评审报告。评审报告是谈判小组根据全体谈判小组成员签字的原始评审记录和评审结果编写的报告，其主要内容包括：</w:t>
      </w:r>
    </w:p>
    <w:p w14:paraId="1FE94D4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（1）谈判邀请时间、谈判日期和地点；</w:t>
      </w:r>
    </w:p>
    <w:p w14:paraId="23373D4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（2）响应供应商名单和谈判小组成员名单；</w:t>
      </w:r>
    </w:p>
    <w:p w14:paraId="5926999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（3）评审方法和标准；</w:t>
      </w:r>
    </w:p>
    <w:p w14:paraId="0E8836E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（4）评审记录和评审情况及说明，包括无效响应供应商名单及原因；</w:t>
      </w:r>
    </w:p>
    <w:p w14:paraId="5413538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（5）评审结果和成交候选响应供应商排序表；</w:t>
      </w:r>
    </w:p>
    <w:p w14:paraId="226166E6">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（6）谈判小组的推荐</w:t>
      </w:r>
      <w:r>
        <w:rPr>
          <w:rFonts w:hint="eastAsia" w:ascii="宋体" w:hAnsi="宋体" w:eastAsia="宋体" w:cs="宋体"/>
          <w:color w:val="auto"/>
          <w:szCs w:val="24"/>
          <w:highlight w:val="none"/>
          <w:lang w:val="zh-CN"/>
        </w:rPr>
        <w:t>建议。</w:t>
      </w:r>
    </w:p>
    <w:p w14:paraId="6B852D23">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416B6B7D">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24" w:name="_Toc23773_WPSOffice_Level1"/>
      <w:r>
        <w:rPr>
          <w:rFonts w:hint="eastAsia" w:ascii="宋体" w:hAnsi="宋体" w:eastAsia="宋体" w:cs="宋体"/>
          <w:b/>
          <w:bCs/>
          <w:color w:val="auto"/>
          <w:sz w:val="28"/>
          <w:szCs w:val="28"/>
          <w:highlight w:val="none"/>
          <w:lang w:val="zh-CN"/>
        </w:rPr>
        <w:t>七、注意事项</w:t>
      </w:r>
      <w:bookmarkEnd w:id="524"/>
    </w:p>
    <w:p w14:paraId="5D720EE9">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4EC0E48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（1）在评审工作期间，所有分发的响应文件、资料等仅限于在评审场所中使用，不得带往其它地方，所有的谈判文件、响应文件、资料等一律编号登记；</w:t>
      </w:r>
    </w:p>
    <w:p w14:paraId="2138D69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0CE4588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响应文件、响应报价、评审方式、谈判小组的决定、评审组织机构、评审人员名单等）披露给未参加评审的任何无关人员，包括上级领导、同级和下级人员，任何与评审无关的人员（包括亲朋好友和同事）不得进入评审场所；</w:t>
      </w:r>
    </w:p>
    <w:p w14:paraId="0B93E017">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在举行与各响应供应商的澄清会之前谈判小组应明确参加会议的人员及主谈人。任何需要响应供应商在澄清会上澄清的问题必须经谈判小组成员签字并由主谈人提出。在澄清期间，对于涉及本规定保密范畴的所有内容，主谈人不得向响应供应商透露；</w:t>
      </w:r>
    </w:p>
    <w:p w14:paraId="382E2B1F">
      <w:pPr>
        <w:widowControl/>
        <w:autoSpaceDE w:val="0"/>
        <w:autoSpaceDN w:val="0"/>
        <w:adjustRightInd w:val="0"/>
        <w:spacing w:line="360" w:lineRule="auto"/>
        <w:ind w:left="436" w:leftChars="-59" w:hanging="560" w:hangingChars="267"/>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bookmarkEnd w:id="495"/>
      <w:bookmarkEnd w:id="505"/>
      <w:bookmarkEnd w:id="506"/>
      <w:bookmarkEnd w:id="507"/>
    </w:p>
    <w:sectPr>
      <w:pgSz w:w="11906" w:h="16838"/>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4A4A">
    <w:pPr>
      <w:pStyle w:val="2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1CFF8">
                          <w:pPr>
                            <w:pStyle w:val="2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A01CFF8">
                    <w:pPr>
                      <w:pStyle w:val="2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8F0D8">
    <w:pPr>
      <w:pStyle w:val="2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182E0">
                          <w:pPr>
                            <w:pStyle w:val="29"/>
                            <w:rPr>
                              <w:rFonts w:hint="default" w:eastAsia="宋体"/>
                              <w:lang w:val="en-US" w:eastAsia="zh-CN"/>
                            </w:rPr>
                          </w:pPr>
                          <w:r>
                            <w:fldChar w:fldCharType="begin"/>
                          </w:r>
                          <w:r>
                            <w:instrText xml:space="preserve"> PAGE  \* MERGEFORMAT </w:instrText>
                          </w:r>
                          <w:r>
                            <w:fldChar w:fldCharType="separate"/>
                          </w:r>
                          <w:r>
                            <w:t>2</w:t>
                          </w:r>
                          <w:r>
                            <w:fldChar w:fldCharType="end"/>
                          </w:r>
                          <w:r>
                            <w:t xml:space="preserve"> / </w:t>
                          </w:r>
                          <w:r>
                            <w:rPr>
                              <w:rFonts w:hint="eastAsia"/>
                              <w:lang w:val="en-US" w:eastAsia="zh-CN"/>
                            </w:rPr>
                            <w:t>103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0182E0">
                    <w:pPr>
                      <w:pStyle w:val="29"/>
                      <w:rPr>
                        <w:rFonts w:hint="default" w:eastAsia="宋体"/>
                        <w:lang w:val="en-US" w:eastAsia="zh-CN"/>
                      </w:rPr>
                    </w:pPr>
                    <w:r>
                      <w:fldChar w:fldCharType="begin"/>
                    </w:r>
                    <w:r>
                      <w:instrText xml:space="preserve"> PAGE  \* MERGEFORMAT </w:instrText>
                    </w:r>
                    <w:r>
                      <w:fldChar w:fldCharType="separate"/>
                    </w:r>
                    <w:r>
                      <w:t>2</w:t>
                    </w:r>
                    <w:r>
                      <w:fldChar w:fldCharType="end"/>
                    </w:r>
                    <w:r>
                      <w:t xml:space="preserve"> / </w:t>
                    </w:r>
                    <w:r>
                      <w:rPr>
                        <w:rFonts w:hint="eastAsia"/>
                        <w:lang w:val="en-US" w:eastAsia="zh-CN"/>
                      </w:rPr>
                      <w:t>103</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2995">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D186C">
                          <w:pPr>
                            <w:pStyle w:val="29"/>
                          </w:pPr>
                          <w:r>
                            <w:fldChar w:fldCharType="begin"/>
                          </w:r>
                          <w:r>
                            <w:instrText xml:space="preserve"> PAGE  \* MERGEFORMAT </w:instrText>
                          </w:r>
                          <w:r>
                            <w:fldChar w:fldCharType="separate"/>
                          </w:r>
                          <w:r>
                            <w:t>68</w:t>
                          </w:r>
                          <w:r>
                            <w:fldChar w:fldCharType="end"/>
                          </w:r>
                          <w:r>
                            <w:t xml:space="preserve"> / </w:t>
                          </w:r>
                          <w:r>
                            <w:fldChar w:fldCharType="begin"/>
                          </w:r>
                          <w:r>
                            <w:instrText xml:space="preserve"> NUMPAGES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7D186C">
                    <w:pPr>
                      <w:pStyle w:val="29"/>
                    </w:pPr>
                    <w:r>
                      <w:fldChar w:fldCharType="begin"/>
                    </w:r>
                    <w:r>
                      <w:instrText xml:space="preserve"> PAGE  \* MERGEFORMAT </w:instrText>
                    </w:r>
                    <w:r>
                      <w:fldChar w:fldCharType="separate"/>
                    </w:r>
                    <w:r>
                      <w:t>68</w:t>
                    </w:r>
                    <w:r>
                      <w:fldChar w:fldCharType="end"/>
                    </w:r>
                    <w:r>
                      <w:t xml:space="preserve"> / </w:t>
                    </w:r>
                    <w:r>
                      <w:fldChar w:fldCharType="begin"/>
                    </w:r>
                    <w:r>
                      <w:instrText xml:space="preserve"> NUMPAGES  \* MERGEFORMAT </w:instrText>
                    </w:r>
                    <w:r>
                      <w:fldChar w:fldCharType="separate"/>
                    </w:r>
                    <w:r>
                      <w:t>102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0BE00">
    <w:pPr>
      <w:pStyle w:val="2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30904">
                          <w:pPr>
                            <w:pStyle w:val="29"/>
                          </w:pPr>
                          <w:r>
                            <w:fldChar w:fldCharType="begin"/>
                          </w:r>
                          <w:r>
                            <w:instrText xml:space="preserve"> PAGE  \* MERGEFORMAT </w:instrText>
                          </w:r>
                          <w:r>
                            <w:fldChar w:fldCharType="separate"/>
                          </w:r>
                          <w:r>
                            <w:t>67</w:t>
                          </w:r>
                          <w:r>
                            <w:fldChar w:fldCharType="end"/>
                          </w:r>
                          <w:r>
                            <w:t xml:space="preserve"> / </w:t>
                          </w:r>
                          <w:r>
                            <w:fldChar w:fldCharType="begin"/>
                          </w:r>
                          <w:r>
                            <w:instrText xml:space="preserve"> NUMPAGES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230904">
                    <w:pPr>
                      <w:pStyle w:val="29"/>
                    </w:pPr>
                    <w:r>
                      <w:fldChar w:fldCharType="begin"/>
                    </w:r>
                    <w:r>
                      <w:instrText xml:space="preserve"> PAGE  \* MERGEFORMAT </w:instrText>
                    </w:r>
                    <w:r>
                      <w:fldChar w:fldCharType="separate"/>
                    </w:r>
                    <w:r>
                      <w:t>67</w:t>
                    </w:r>
                    <w:r>
                      <w:fldChar w:fldCharType="end"/>
                    </w:r>
                    <w:r>
                      <w:t xml:space="preserve"> / </w:t>
                    </w:r>
                    <w:r>
                      <w:fldChar w:fldCharType="begin"/>
                    </w:r>
                    <w:r>
                      <w:instrText xml:space="preserve"> NUMPAGES  \* MERGEFORMAT </w:instrText>
                    </w:r>
                    <w:r>
                      <w:fldChar w:fldCharType="separate"/>
                    </w:r>
                    <w:r>
                      <w:t>102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A2DA">
    <w:pPr>
      <w:pStyle w:val="2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1B9F1">
                          <w:pPr>
                            <w:pStyle w:val="29"/>
                          </w:pPr>
                          <w:r>
                            <w:fldChar w:fldCharType="begin"/>
                          </w:r>
                          <w:r>
                            <w:instrText xml:space="preserve"> PAGE  \* MERGEFORMAT </w:instrText>
                          </w:r>
                          <w:r>
                            <w:fldChar w:fldCharType="separate"/>
                          </w:r>
                          <w:r>
                            <w:t>78</w:t>
                          </w:r>
                          <w:r>
                            <w:fldChar w:fldCharType="end"/>
                          </w:r>
                          <w:r>
                            <w:t xml:space="preserve"> / </w:t>
                          </w:r>
                          <w:r>
                            <w:fldChar w:fldCharType="begin"/>
                          </w:r>
                          <w:r>
                            <w:instrText xml:space="preserve"> NUMPAGES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231B9F1">
                    <w:pPr>
                      <w:pStyle w:val="29"/>
                    </w:pPr>
                    <w:r>
                      <w:fldChar w:fldCharType="begin"/>
                    </w:r>
                    <w:r>
                      <w:instrText xml:space="preserve"> PAGE  \* MERGEFORMAT </w:instrText>
                    </w:r>
                    <w:r>
                      <w:fldChar w:fldCharType="separate"/>
                    </w:r>
                    <w:r>
                      <w:t>78</w:t>
                    </w:r>
                    <w:r>
                      <w:fldChar w:fldCharType="end"/>
                    </w:r>
                    <w:r>
                      <w:t xml:space="preserve"> / </w:t>
                    </w:r>
                    <w:r>
                      <w:fldChar w:fldCharType="begin"/>
                    </w:r>
                    <w:r>
                      <w:instrText xml:space="preserve"> NUMPAGES  \* MERGEFORMAT </w:instrText>
                    </w:r>
                    <w:r>
                      <w:fldChar w:fldCharType="separate"/>
                    </w:r>
                    <w:r>
                      <w:t>102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BD496">
    <w:pPr>
      <w:pStyle w:val="2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449EB">
                          <w:pPr>
                            <w:pStyle w:val="29"/>
                          </w:pPr>
                          <w:r>
                            <w:fldChar w:fldCharType="begin"/>
                          </w:r>
                          <w:r>
                            <w:instrText xml:space="preserve"> PAGE  \* MERGEFORMAT </w:instrText>
                          </w:r>
                          <w:r>
                            <w:fldChar w:fldCharType="separate"/>
                          </w:r>
                          <w:r>
                            <w:t>77</w:t>
                          </w:r>
                          <w:r>
                            <w:fldChar w:fldCharType="end"/>
                          </w:r>
                          <w:r>
                            <w:t xml:space="preserve"> / </w:t>
                          </w:r>
                          <w:r>
                            <w:fldChar w:fldCharType="begin"/>
                          </w:r>
                          <w:r>
                            <w:instrText xml:space="preserve"> NUMPAGES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8A449EB">
                    <w:pPr>
                      <w:pStyle w:val="29"/>
                    </w:pPr>
                    <w:r>
                      <w:fldChar w:fldCharType="begin"/>
                    </w:r>
                    <w:r>
                      <w:instrText xml:space="preserve"> PAGE  \* MERGEFORMAT </w:instrText>
                    </w:r>
                    <w:r>
                      <w:fldChar w:fldCharType="separate"/>
                    </w:r>
                    <w:r>
                      <w:t>77</w:t>
                    </w:r>
                    <w:r>
                      <w:fldChar w:fldCharType="end"/>
                    </w:r>
                    <w:r>
                      <w:t xml:space="preserve"> / </w:t>
                    </w:r>
                    <w:r>
                      <w:fldChar w:fldCharType="begin"/>
                    </w:r>
                    <w:r>
                      <w:instrText xml:space="preserve"> NUMPAGES  \* MERGEFORMAT </w:instrText>
                    </w:r>
                    <w:r>
                      <w:fldChar w:fldCharType="separate"/>
                    </w:r>
                    <w:r>
                      <w:t>102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2FE7C">
    <w:pPr>
      <w:pStyle w:val="2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CCD54">
                          <w:pPr>
                            <w:pStyle w:val="29"/>
                          </w:pPr>
                          <w:r>
                            <w:fldChar w:fldCharType="begin"/>
                          </w:r>
                          <w:r>
                            <w:instrText xml:space="preserve"> PAGE  \* MERGEFORMAT </w:instrText>
                          </w:r>
                          <w:r>
                            <w:fldChar w:fldCharType="separate"/>
                          </w:r>
                          <w:r>
                            <w:t>82</w:t>
                          </w:r>
                          <w:r>
                            <w:fldChar w:fldCharType="end"/>
                          </w:r>
                          <w:r>
                            <w:t xml:space="preserve"> / </w:t>
                          </w:r>
                          <w:r>
                            <w:fldChar w:fldCharType="begin"/>
                          </w:r>
                          <w:r>
                            <w:instrText xml:space="preserve"> NUMPAGES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2ACCD54">
                    <w:pPr>
                      <w:pStyle w:val="29"/>
                    </w:pPr>
                    <w:r>
                      <w:fldChar w:fldCharType="begin"/>
                    </w:r>
                    <w:r>
                      <w:instrText xml:space="preserve"> PAGE  \* MERGEFORMAT </w:instrText>
                    </w:r>
                    <w:r>
                      <w:fldChar w:fldCharType="separate"/>
                    </w:r>
                    <w:r>
                      <w:t>82</w:t>
                    </w:r>
                    <w:r>
                      <w:fldChar w:fldCharType="end"/>
                    </w:r>
                    <w:r>
                      <w:t xml:space="preserve"> / </w:t>
                    </w:r>
                    <w:r>
                      <w:fldChar w:fldCharType="begin"/>
                    </w:r>
                    <w:r>
                      <w:instrText xml:space="preserve"> NUMPAGES  \* MERGEFORMAT </w:instrText>
                    </w:r>
                    <w:r>
                      <w:fldChar w:fldCharType="separate"/>
                    </w:r>
                    <w:r>
                      <w:t>102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63703"/>
    <w:multiLevelType w:val="singleLevel"/>
    <w:tmpl w:val="CE963703"/>
    <w:lvl w:ilvl="0" w:tentative="0">
      <w:start w:val="1"/>
      <w:numFmt w:val="bullet"/>
      <w:pStyle w:val="19"/>
      <w:lvlText w:val=""/>
      <w:lvlJc w:val="left"/>
      <w:pPr>
        <w:tabs>
          <w:tab w:val="left" w:pos="1200"/>
        </w:tabs>
        <w:ind w:left="1200" w:hanging="360"/>
      </w:pPr>
      <w:rPr>
        <w:rFonts w:hint="default" w:ascii="Wingdings" w:hAnsi="Wingdings"/>
      </w:rPr>
    </w:lvl>
  </w:abstractNum>
  <w:abstractNum w:abstractNumId="1">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3C7C09B7"/>
    <w:multiLevelType w:val="singleLevel"/>
    <w:tmpl w:val="3C7C09B7"/>
    <w:lvl w:ilvl="0" w:tentative="0">
      <w:start w:val="2"/>
      <w:numFmt w:val="decimal"/>
      <w:suff w:val="nothing"/>
      <w:lvlText w:val="（%1）"/>
      <w:lvlJc w:val="left"/>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60C59F"/>
    <w:multiLevelType w:val="singleLevel"/>
    <w:tmpl w:val="5860C59F"/>
    <w:lvl w:ilvl="0" w:tentative="0">
      <w:start w:val="3"/>
      <w:numFmt w:val="chineseCounting"/>
      <w:suff w:val="nothing"/>
      <w:lvlText w:val="%1、"/>
      <w:lvlJc w:val="left"/>
    </w:lvl>
  </w:abstractNum>
  <w:abstractNum w:abstractNumId="6">
    <w:nsid w:val="5860D940"/>
    <w:multiLevelType w:val="singleLevel"/>
    <w:tmpl w:val="5860D940"/>
    <w:lvl w:ilvl="0" w:tentative="0">
      <w:start w:val="1"/>
      <w:numFmt w:val="chineseCounting"/>
      <w:suff w:val="nothing"/>
      <w:lvlText w:val="%1、"/>
      <w:lvlJc w:val="left"/>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YjY0YzU5NjdjMzcwMjQ4MDc1N2YxYWVmN2FmOTkifQ=="/>
    <w:docVar w:name="KSO_WPS_MARK_KEY" w:val="2cae4ba4-de45-41f1-a53b-19f2204fc62d"/>
  </w:docVars>
  <w:rsids>
    <w:rsidRoot w:val="001E63B6"/>
    <w:rsid w:val="000011AE"/>
    <w:rsid w:val="00004430"/>
    <w:rsid w:val="00006AEC"/>
    <w:rsid w:val="00013CEB"/>
    <w:rsid w:val="00015A2E"/>
    <w:rsid w:val="000245A6"/>
    <w:rsid w:val="0002570D"/>
    <w:rsid w:val="00027708"/>
    <w:rsid w:val="00035595"/>
    <w:rsid w:val="00035731"/>
    <w:rsid w:val="00037BCE"/>
    <w:rsid w:val="00040BE6"/>
    <w:rsid w:val="00040F92"/>
    <w:rsid w:val="00046C4B"/>
    <w:rsid w:val="0005166C"/>
    <w:rsid w:val="00052FA1"/>
    <w:rsid w:val="00054A52"/>
    <w:rsid w:val="00054D9C"/>
    <w:rsid w:val="00060D1B"/>
    <w:rsid w:val="000622F9"/>
    <w:rsid w:val="0006385C"/>
    <w:rsid w:val="000640CD"/>
    <w:rsid w:val="000768C6"/>
    <w:rsid w:val="000770B9"/>
    <w:rsid w:val="000776B3"/>
    <w:rsid w:val="0008097F"/>
    <w:rsid w:val="000853A8"/>
    <w:rsid w:val="00086847"/>
    <w:rsid w:val="00094AF8"/>
    <w:rsid w:val="000957DF"/>
    <w:rsid w:val="00096234"/>
    <w:rsid w:val="000A1CF3"/>
    <w:rsid w:val="000A31BD"/>
    <w:rsid w:val="000A34F7"/>
    <w:rsid w:val="000A65CD"/>
    <w:rsid w:val="000A73D7"/>
    <w:rsid w:val="000B2945"/>
    <w:rsid w:val="000B4B09"/>
    <w:rsid w:val="000C18B7"/>
    <w:rsid w:val="000C5D06"/>
    <w:rsid w:val="000C6A11"/>
    <w:rsid w:val="000D0B5D"/>
    <w:rsid w:val="000D3477"/>
    <w:rsid w:val="000D5537"/>
    <w:rsid w:val="000D75D3"/>
    <w:rsid w:val="000E3ECA"/>
    <w:rsid w:val="000E4A4F"/>
    <w:rsid w:val="000E4D54"/>
    <w:rsid w:val="000F0A84"/>
    <w:rsid w:val="000F60F9"/>
    <w:rsid w:val="000F7CCE"/>
    <w:rsid w:val="001009D3"/>
    <w:rsid w:val="001059DC"/>
    <w:rsid w:val="0010738F"/>
    <w:rsid w:val="0011440A"/>
    <w:rsid w:val="00114519"/>
    <w:rsid w:val="001233ED"/>
    <w:rsid w:val="00127946"/>
    <w:rsid w:val="001303A4"/>
    <w:rsid w:val="00131275"/>
    <w:rsid w:val="00131E91"/>
    <w:rsid w:val="001321B8"/>
    <w:rsid w:val="001450A8"/>
    <w:rsid w:val="001523C0"/>
    <w:rsid w:val="00152F07"/>
    <w:rsid w:val="0015711A"/>
    <w:rsid w:val="001633D7"/>
    <w:rsid w:val="001644BA"/>
    <w:rsid w:val="001647C7"/>
    <w:rsid w:val="00165203"/>
    <w:rsid w:val="00166309"/>
    <w:rsid w:val="00170004"/>
    <w:rsid w:val="0017375E"/>
    <w:rsid w:val="00174AE6"/>
    <w:rsid w:val="00175404"/>
    <w:rsid w:val="001758D3"/>
    <w:rsid w:val="001761D5"/>
    <w:rsid w:val="00177B51"/>
    <w:rsid w:val="0018078B"/>
    <w:rsid w:val="00183344"/>
    <w:rsid w:val="001845F8"/>
    <w:rsid w:val="0019310A"/>
    <w:rsid w:val="0019682B"/>
    <w:rsid w:val="001A1FCB"/>
    <w:rsid w:val="001B74B3"/>
    <w:rsid w:val="001C1427"/>
    <w:rsid w:val="001C2086"/>
    <w:rsid w:val="001C4AC2"/>
    <w:rsid w:val="001C6FAA"/>
    <w:rsid w:val="001D00B3"/>
    <w:rsid w:val="001D5A65"/>
    <w:rsid w:val="001D6B15"/>
    <w:rsid w:val="001E4158"/>
    <w:rsid w:val="001E4511"/>
    <w:rsid w:val="001E6227"/>
    <w:rsid w:val="001E63B6"/>
    <w:rsid w:val="001E6DD8"/>
    <w:rsid w:val="001F0290"/>
    <w:rsid w:val="001F3DE7"/>
    <w:rsid w:val="001F6A01"/>
    <w:rsid w:val="002014C0"/>
    <w:rsid w:val="00202DB9"/>
    <w:rsid w:val="00215B7A"/>
    <w:rsid w:val="00223D5B"/>
    <w:rsid w:val="00224547"/>
    <w:rsid w:val="0022528C"/>
    <w:rsid w:val="002258BB"/>
    <w:rsid w:val="00225B7D"/>
    <w:rsid w:val="002260FC"/>
    <w:rsid w:val="002315B7"/>
    <w:rsid w:val="002347FE"/>
    <w:rsid w:val="0024360C"/>
    <w:rsid w:val="002451A7"/>
    <w:rsid w:val="002458D6"/>
    <w:rsid w:val="002468C2"/>
    <w:rsid w:val="00247373"/>
    <w:rsid w:val="00253349"/>
    <w:rsid w:val="00253453"/>
    <w:rsid w:val="00257859"/>
    <w:rsid w:val="00260C05"/>
    <w:rsid w:val="00261575"/>
    <w:rsid w:val="00262407"/>
    <w:rsid w:val="00263FF7"/>
    <w:rsid w:val="00265C58"/>
    <w:rsid w:val="00275E0E"/>
    <w:rsid w:val="0028057C"/>
    <w:rsid w:val="0028146F"/>
    <w:rsid w:val="002831F6"/>
    <w:rsid w:val="0028614B"/>
    <w:rsid w:val="00290CBF"/>
    <w:rsid w:val="00291E40"/>
    <w:rsid w:val="0029590E"/>
    <w:rsid w:val="00295AA3"/>
    <w:rsid w:val="002A3AD3"/>
    <w:rsid w:val="002A3EB3"/>
    <w:rsid w:val="002A575B"/>
    <w:rsid w:val="002A6137"/>
    <w:rsid w:val="002A643F"/>
    <w:rsid w:val="002B1734"/>
    <w:rsid w:val="002B5DBC"/>
    <w:rsid w:val="002B7423"/>
    <w:rsid w:val="002B7CA9"/>
    <w:rsid w:val="002C2231"/>
    <w:rsid w:val="002C248C"/>
    <w:rsid w:val="002C4A4A"/>
    <w:rsid w:val="002C5744"/>
    <w:rsid w:val="002D0003"/>
    <w:rsid w:val="002D1442"/>
    <w:rsid w:val="002E4079"/>
    <w:rsid w:val="002E53C4"/>
    <w:rsid w:val="002F10FF"/>
    <w:rsid w:val="002F68EE"/>
    <w:rsid w:val="002F73D2"/>
    <w:rsid w:val="002F7DEF"/>
    <w:rsid w:val="003014E2"/>
    <w:rsid w:val="003021FF"/>
    <w:rsid w:val="00302D85"/>
    <w:rsid w:val="0030753D"/>
    <w:rsid w:val="00311DA1"/>
    <w:rsid w:val="003121B1"/>
    <w:rsid w:val="003155E6"/>
    <w:rsid w:val="0031709C"/>
    <w:rsid w:val="0031735D"/>
    <w:rsid w:val="003223D5"/>
    <w:rsid w:val="00322AA4"/>
    <w:rsid w:val="00325EF0"/>
    <w:rsid w:val="00326230"/>
    <w:rsid w:val="00326290"/>
    <w:rsid w:val="00330DA7"/>
    <w:rsid w:val="00331086"/>
    <w:rsid w:val="00331B68"/>
    <w:rsid w:val="00332B99"/>
    <w:rsid w:val="00332C2D"/>
    <w:rsid w:val="00335872"/>
    <w:rsid w:val="00344808"/>
    <w:rsid w:val="00344D95"/>
    <w:rsid w:val="00345DDD"/>
    <w:rsid w:val="003462FF"/>
    <w:rsid w:val="003476F4"/>
    <w:rsid w:val="00347A73"/>
    <w:rsid w:val="00347CB0"/>
    <w:rsid w:val="00352495"/>
    <w:rsid w:val="00353707"/>
    <w:rsid w:val="00354BE6"/>
    <w:rsid w:val="0035524D"/>
    <w:rsid w:val="00357E51"/>
    <w:rsid w:val="003628C2"/>
    <w:rsid w:val="00364854"/>
    <w:rsid w:val="00366BB7"/>
    <w:rsid w:val="003721DF"/>
    <w:rsid w:val="00374002"/>
    <w:rsid w:val="003748D5"/>
    <w:rsid w:val="003765DF"/>
    <w:rsid w:val="003766A3"/>
    <w:rsid w:val="0037694B"/>
    <w:rsid w:val="00381E11"/>
    <w:rsid w:val="003824D1"/>
    <w:rsid w:val="00393711"/>
    <w:rsid w:val="00393CBD"/>
    <w:rsid w:val="00395C76"/>
    <w:rsid w:val="003A2B25"/>
    <w:rsid w:val="003A5520"/>
    <w:rsid w:val="003B077B"/>
    <w:rsid w:val="003B3342"/>
    <w:rsid w:val="003B5C9C"/>
    <w:rsid w:val="003C193B"/>
    <w:rsid w:val="003D0D72"/>
    <w:rsid w:val="003D17A4"/>
    <w:rsid w:val="003D39E2"/>
    <w:rsid w:val="003D3F68"/>
    <w:rsid w:val="003D69E8"/>
    <w:rsid w:val="003D7286"/>
    <w:rsid w:val="003E006E"/>
    <w:rsid w:val="003E30F8"/>
    <w:rsid w:val="003E399E"/>
    <w:rsid w:val="003E6830"/>
    <w:rsid w:val="003E7AD6"/>
    <w:rsid w:val="003F1113"/>
    <w:rsid w:val="003F3875"/>
    <w:rsid w:val="003F42C0"/>
    <w:rsid w:val="003F51B0"/>
    <w:rsid w:val="003F5FAC"/>
    <w:rsid w:val="00401C43"/>
    <w:rsid w:val="004033E1"/>
    <w:rsid w:val="00405E84"/>
    <w:rsid w:val="0040607F"/>
    <w:rsid w:val="00416369"/>
    <w:rsid w:val="00417860"/>
    <w:rsid w:val="00420A7A"/>
    <w:rsid w:val="004235AF"/>
    <w:rsid w:val="0042558D"/>
    <w:rsid w:val="00426ABB"/>
    <w:rsid w:val="00427A89"/>
    <w:rsid w:val="00430830"/>
    <w:rsid w:val="0043107A"/>
    <w:rsid w:val="00432C43"/>
    <w:rsid w:val="004359C6"/>
    <w:rsid w:val="004359CA"/>
    <w:rsid w:val="004360FC"/>
    <w:rsid w:val="0043632F"/>
    <w:rsid w:val="004378C7"/>
    <w:rsid w:val="00437B9C"/>
    <w:rsid w:val="00437FC4"/>
    <w:rsid w:val="00441805"/>
    <w:rsid w:val="00441A8C"/>
    <w:rsid w:val="004438DD"/>
    <w:rsid w:val="00444B08"/>
    <w:rsid w:val="004551D1"/>
    <w:rsid w:val="0045753C"/>
    <w:rsid w:val="004577C3"/>
    <w:rsid w:val="0046038A"/>
    <w:rsid w:val="00460F3E"/>
    <w:rsid w:val="004637D2"/>
    <w:rsid w:val="00464570"/>
    <w:rsid w:val="004761B2"/>
    <w:rsid w:val="00481355"/>
    <w:rsid w:val="00481AFA"/>
    <w:rsid w:val="0049337D"/>
    <w:rsid w:val="00494E25"/>
    <w:rsid w:val="004A32C6"/>
    <w:rsid w:val="004A4441"/>
    <w:rsid w:val="004B1C50"/>
    <w:rsid w:val="004B3D7A"/>
    <w:rsid w:val="004B5D4C"/>
    <w:rsid w:val="004B604C"/>
    <w:rsid w:val="004C04A8"/>
    <w:rsid w:val="004D7884"/>
    <w:rsid w:val="004E1370"/>
    <w:rsid w:val="004E4ADE"/>
    <w:rsid w:val="004E5028"/>
    <w:rsid w:val="004E5F4E"/>
    <w:rsid w:val="004F2802"/>
    <w:rsid w:val="00500B9E"/>
    <w:rsid w:val="00503499"/>
    <w:rsid w:val="00506501"/>
    <w:rsid w:val="00507BC4"/>
    <w:rsid w:val="00513AFE"/>
    <w:rsid w:val="00513DB6"/>
    <w:rsid w:val="00514012"/>
    <w:rsid w:val="00524E92"/>
    <w:rsid w:val="00531482"/>
    <w:rsid w:val="00531E28"/>
    <w:rsid w:val="005344B1"/>
    <w:rsid w:val="005423E7"/>
    <w:rsid w:val="005572B4"/>
    <w:rsid w:val="0056010A"/>
    <w:rsid w:val="005623EF"/>
    <w:rsid w:val="00563302"/>
    <w:rsid w:val="00566E76"/>
    <w:rsid w:val="005706C0"/>
    <w:rsid w:val="00571307"/>
    <w:rsid w:val="005743EA"/>
    <w:rsid w:val="00576890"/>
    <w:rsid w:val="00576F2E"/>
    <w:rsid w:val="00581210"/>
    <w:rsid w:val="00581FC3"/>
    <w:rsid w:val="005832B2"/>
    <w:rsid w:val="00583DB7"/>
    <w:rsid w:val="005851F1"/>
    <w:rsid w:val="00590A99"/>
    <w:rsid w:val="005910B4"/>
    <w:rsid w:val="00596A23"/>
    <w:rsid w:val="005A21E4"/>
    <w:rsid w:val="005A2299"/>
    <w:rsid w:val="005B735D"/>
    <w:rsid w:val="005C4A71"/>
    <w:rsid w:val="005C6F40"/>
    <w:rsid w:val="005D26E3"/>
    <w:rsid w:val="005D4119"/>
    <w:rsid w:val="005D66C2"/>
    <w:rsid w:val="005D751A"/>
    <w:rsid w:val="005E2AC9"/>
    <w:rsid w:val="005E2C51"/>
    <w:rsid w:val="005E4D67"/>
    <w:rsid w:val="005F3645"/>
    <w:rsid w:val="005F3D7C"/>
    <w:rsid w:val="00600133"/>
    <w:rsid w:val="00602D7E"/>
    <w:rsid w:val="00603BD0"/>
    <w:rsid w:val="0060555D"/>
    <w:rsid w:val="00606161"/>
    <w:rsid w:val="006062B3"/>
    <w:rsid w:val="00610559"/>
    <w:rsid w:val="00612EB1"/>
    <w:rsid w:val="0061352C"/>
    <w:rsid w:val="00614257"/>
    <w:rsid w:val="006165C8"/>
    <w:rsid w:val="00617182"/>
    <w:rsid w:val="006175B4"/>
    <w:rsid w:val="00617AAD"/>
    <w:rsid w:val="00621CDC"/>
    <w:rsid w:val="006229B2"/>
    <w:rsid w:val="00625E3D"/>
    <w:rsid w:val="00630B61"/>
    <w:rsid w:val="006402A6"/>
    <w:rsid w:val="006411CC"/>
    <w:rsid w:val="0064276D"/>
    <w:rsid w:val="00642CD9"/>
    <w:rsid w:val="00643188"/>
    <w:rsid w:val="00644B65"/>
    <w:rsid w:val="006520FB"/>
    <w:rsid w:val="006530F8"/>
    <w:rsid w:val="006537BE"/>
    <w:rsid w:val="00662175"/>
    <w:rsid w:val="0066377C"/>
    <w:rsid w:val="00664B13"/>
    <w:rsid w:val="006654C0"/>
    <w:rsid w:val="0066592B"/>
    <w:rsid w:val="0067518B"/>
    <w:rsid w:val="00675A2E"/>
    <w:rsid w:val="00675C8E"/>
    <w:rsid w:val="00681997"/>
    <w:rsid w:val="0068405C"/>
    <w:rsid w:val="00691017"/>
    <w:rsid w:val="0069152C"/>
    <w:rsid w:val="006958BD"/>
    <w:rsid w:val="0069742C"/>
    <w:rsid w:val="006A29A5"/>
    <w:rsid w:val="006A2BD9"/>
    <w:rsid w:val="006A3C57"/>
    <w:rsid w:val="006A4F83"/>
    <w:rsid w:val="006A5072"/>
    <w:rsid w:val="006B2E47"/>
    <w:rsid w:val="006B2EE9"/>
    <w:rsid w:val="006B5151"/>
    <w:rsid w:val="006B52BA"/>
    <w:rsid w:val="006B6946"/>
    <w:rsid w:val="006C0867"/>
    <w:rsid w:val="006C2D84"/>
    <w:rsid w:val="006C2F7D"/>
    <w:rsid w:val="006C3580"/>
    <w:rsid w:val="006C3F4D"/>
    <w:rsid w:val="006C6349"/>
    <w:rsid w:val="006D0D6C"/>
    <w:rsid w:val="006D2A67"/>
    <w:rsid w:val="006D479F"/>
    <w:rsid w:val="006E2E51"/>
    <w:rsid w:val="006F6DB2"/>
    <w:rsid w:val="00701D19"/>
    <w:rsid w:val="00704A1D"/>
    <w:rsid w:val="00704B3A"/>
    <w:rsid w:val="00710CF8"/>
    <w:rsid w:val="00711E08"/>
    <w:rsid w:val="007122DF"/>
    <w:rsid w:val="007124E4"/>
    <w:rsid w:val="007138FD"/>
    <w:rsid w:val="00716BB1"/>
    <w:rsid w:val="007172FD"/>
    <w:rsid w:val="007200C8"/>
    <w:rsid w:val="007215F6"/>
    <w:rsid w:val="00721A6F"/>
    <w:rsid w:val="00721BAA"/>
    <w:rsid w:val="007230AA"/>
    <w:rsid w:val="00725C15"/>
    <w:rsid w:val="00730F88"/>
    <w:rsid w:val="0073469D"/>
    <w:rsid w:val="00745968"/>
    <w:rsid w:val="00747A3E"/>
    <w:rsid w:val="007730C9"/>
    <w:rsid w:val="00775150"/>
    <w:rsid w:val="00776B48"/>
    <w:rsid w:val="0078099D"/>
    <w:rsid w:val="007832A6"/>
    <w:rsid w:val="00787DE8"/>
    <w:rsid w:val="0079031C"/>
    <w:rsid w:val="0079048F"/>
    <w:rsid w:val="007942D8"/>
    <w:rsid w:val="00794983"/>
    <w:rsid w:val="00796ED7"/>
    <w:rsid w:val="00797F6E"/>
    <w:rsid w:val="007A6E3A"/>
    <w:rsid w:val="007A7740"/>
    <w:rsid w:val="007B2706"/>
    <w:rsid w:val="007B4F1D"/>
    <w:rsid w:val="007B5810"/>
    <w:rsid w:val="007B77D0"/>
    <w:rsid w:val="007C002A"/>
    <w:rsid w:val="007C024B"/>
    <w:rsid w:val="007C5523"/>
    <w:rsid w:val="007C594C"/>
    <w:rsid w:val="007D408A"/>
    <w:rsid w:val="007D4A5A"/>
    <w:rsid w:val="007D6463"/>
    <w:rsid w:val="007D6B20"/>
    <w:rsid w:val="007E0673"/>
    <w:rsid w:val="007E167F"/>
    <w:rsid w:val="007E32FC"/>
    <w:rsid w:val="007F01A2"/>
    <w:rsid w:val="007F0378"/>
    <w:rsid w:val="007F2ABC"/>
    <w:rsid w:val="007F4502"/>
    <w:rsid w:val="007F7FEC"/>
    <w:rsid w:val="008028DB"/>
    <w:rsid w:val="008045FB"/>
    <w:rsid w:val="0081027D"/>
    <w:rsid w:val="00811CE1"/>
    <w:rsid w:val="00815457"/>
    <w:rsid w:val="008179B0"/>
    <w:rsid w:val="00817B3D"/>
    <w:rsid w:val="00822299"/>
    <w:rsid w:val="008229E7"/>
    <w:rsid w:val="008279A7"/>
    <w:rsid w:val="00831B7F"/>
    <w:rsid w:val="00846D7A"/>
    <w:rsid w:val="00847D92"/>
    <w:rsid w:val="0085250F"/>
    <w:rsid w:val="008525D6"/>
    <w:rsid w:val="0085388E"/>
    <w:rsid w:val="00856F5E"/>
    <w:rsid w:val="008604D1"/>
    <w:rsid w:val="008659E9"/>
    <w:rsid w:val="008702B3"/>
    <w:rsid w:val="0087095D"/>
    <w:rsid w:val="00871835"/>
    <w:rsid w:val="00871F12"/>
    <w:rsid w:val="00875420"/>
    <w:rsid w:val="00875899"/>
    <w:rsid w:val="00876184"/>
    <w:rsid w:val="00880885"/>
    <w:rsid w:val="00880A50"/>
    <w:rsid w:val="00884732"/>
    <w:rsid w:val="00887BC8"/>
    <w:rsid w:val="0089007C"/>
    <w:rsid w:val="008928AE"/>
    <w:rsid w:val="00893092"/>
    <w:rsid w:val="00893674"/>
    <w:rsid w:val="00894583"/>
    <w:rsid w:val="008A05ED"/>
    <w:rsid w:val="008A4C9B"/>
    <w:rsid w:val="008B08C5"/>
    <w:rsid w:val="008B5639"/>
    <w:rsid w:val="008B6384"/>
    <w:rsid w:val="008B6557"/>
    <w:rsid w:val="008B74A7"/>
    <w:rsid w:val="008C02C2"/>
    <w:rsid w:val="008C1CB3"/>
    <w:rsid w:val="008C258D"/>
    <w:rsid w:val="008C28A0"/>
    <w:rsid w:val="008C79D2"/>
    <w:rsid w:val="008C7F21"/>
    <w:rsid w:val="008D1795"/>
    <w:rsid w:val="008D28E8"/>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1B29"/>
    <w:rsid w:val="00931F69"/>
    <w:rsid w:val="00932BD9"/>
    <w:rsid w:val="0094152D"/>
    <w:rsid w:val="0094670F"/>
    <w:rsid w:val="009479D0"/>
    <w:rsid w:val="00953CA2"/>
    <w:rsid w:val="00961BA9"/>
    <w:rsid w:val="00966641"/>
    <w:rsid w:val="00967923"/>
    <w:rsid w:val="009701D2"/>
    <w:rsid w:val="0097462A"/>
    <w:rsid w:val="00975940"/>
    <w:rsid w:val="00986292"/>
    <w:rsid w:val="00987779"/>
    <w:rsid w:val="00996340"/>
    <w:rsid w:val="009A2AA5"/>
    <w:rsid w:val="009A63FB"/>
    <w:rsid w:val="009B0D6A"/>
    <w:rsid w:val="009B267A"/>
    <w:rsid w:val="009B55D4"/>
    <w:rsid w:val="009B787A"/>
    <w:rsid w:val="009B7A49"/>
    <w:rsid w:val="009B7AD9"/>
    <w:rsid w:val="009C3180"/>
    <w:rsid w:val="009C387D"/>
    <w:rsid w:val="009C571F"/>
    <w:rsid w:val="009C6BD9"/>
    <w:rsid w:val="009D0461"/>
    <w:rsid w:val="009D4188"/>
    <w:rsid w:val="009D4EFC"/>
    <w:rsid w:val="009D7FA3"/>
    <w:rsid w:val="009E09A0"/>
    <w:rsid w:val="009E216D"/>
    <w:rsid w:val="009E6283"/>
    <w:rsid w:val="009E63CA"/>
    <w:rsid w:val="009F23B0"/>
    <w:rsid w:val="009F34CB"/>
    <w:rsid w:val="009F7460"/>
    <w:rsid w:val="00A031FC"/>
    <w:rsid w:val="00A0367E"/>
    <w:rsid w:val="00A03E44"/>
    <w:rsid w:val="00A03F97"/>
    <w:rsid w:val="00A075A8"/>
    <w:rsid w:val="00A07B11"/>
    <w:rsid w:val="00A10A7B"/>
    <w:rsid w:val="00A15F6A"/>
    <w:rsid w:val="00A22365"/>
    <w:rsid w:val="00A311C2"/>
    <w:rsid w:val="00A32233"/>
    <w:rsid w:val="00A36A24"/>
    <w:rsid w:val="00A376FB"/>
    <w:rsid w:val="00A45306"/>
    <w:rsid w:val="00A45D73"/>
    <w:rsid w:val="00A605C1"/>
    <w:rsid w:val="00A62F8C"/>
    <w:rsid w:val="00A64725"/>
    <w:rsid w:val="00A6666A"/>
    <w:rsid w:val="00A71158"/>
    <w:rsid w:val="00A73490"/>
    <w:rsid w:val="00A73BF2"/>
    <w:rsid w:val="00A74DCC"/>
    <w:rsid w:val="00A819B6"/>
    <w:rsid w:val="00A91C8B"/>
    <w:rsid w:val="00A95824"/>
    <w:rsid w:val="00AB2EDC"/>
    <w:rsid w:val="00AB35C0"/>
    <w:rsid w:val="00AB47F4"/>
    <w:rsid w:val="00AB5FC6"/>
    <w:rsid w:val="00AB62ED"/>
    <w:rsid w:val="00AC136E"/>
    <w:rsid w:val="00AC1F6A"/>
    <w:rsid w:val="00AC413D"/>
    <w:rsid w:val="00AC53AB"/>
    <w:rsid w:val="00AC6C54"/>
    <w:rsid w:val="00AD1434"/>
    <w:rsid w:val="00AD3A9D"/>
    <w:rsid w:val="00AD5F9E"/>
    <w:rsid w:val="00AD79D3"/>
    <w:rsid w:val="00AE25B7"/>
    <w:rsid w:val="00AE5434"/>
    <w:rsid w:val="00AE6DBF"/>
    <w:rsid w:val="00AE75DB"/>
    <w:rsid w:val="00B0092D"/>
    <w:rsid w:val="00B01C60"/>
    <w:rsid w:val="00B01D22"/>
    <w:rsid w:val="00B03A00"/>
    <w:rsid w:val="00B0445D"/>
    <w:rsid w:val="00B0447C"/>
    <w:rsid w:val="00B04CD8"/>
    <w:rsid w:val="00B05E53"/>
    <w:rsid w:val="00B072AA"/>
    <w:rsid w:val="00B10650"/>
    <w:rsid w:val="00B10926"/>
    <w:rsid w:val="00B10E08"/>
    <w:rsid w:val="00B11436"/>
    <w:rsid w:val="00B12341"/>
    <w:rsid w:val="00B14CC7"/>
    <w:rsid w:val="00B25D19"/>
    <w:rsid w:val="00B262E6"/>
    <w:rsid w:val="00B32E0E"/>
    <w:rsid w:val="00B359D9"/>
    <w:rsid w:val="00B35BC7"/>
    <w:rsid w:val="00B37665"/>
    <w:rsid w:val="00B40B8B"/>
    <w:rsid w:val="00B4404D"/>
    <w:rsid w:val="00B50993"/>
    <w:rsid w:val="00B5589D"/>
    <w:rsid w:val="00B56753"/>
    <w:rsid w:val="00B63168"/>
    <w:rsid w:val="00B6388D"/>
    <w:rsid w:val="00B63E9B"/>
    <w:rsid w:val="00B64963"/>
    <w:rsid w:val="00B70085"/>
    <w:rsid w:val="00B7099F"/>
    <w:rsid w:val="00B71873"/>
    <w:rsid w:val="00B72A5D"/>
    <w:rsid w:val="00B7334E"/>
    <w:rsid w:val="00B736B7"/>
    <w:rsid w:val="00B73C45"/>
    <w:rsid w:val="00B82E01"/>
    <w:rsid w:val="00B84DD7"/>
    <w:rsid w:val="00B903AE"/>
    <w:rsid w:val="00B91811"/>
    <w:rsid w:val="00B94460"/>
    <w:rsid w:val="00B9561A"/>
    <w:rsid w:val="00B9752C"/>
    <w:rsid w:val="00BA5C29"/>
    <w:rsid w:val="00BA63F2"/>
    <w:rsid w:val="00BA6AB3"/>
    <w:rsid w:val="00BB0A5D"/>
    <w:rsid w:val="00BB0AF9"/>
    <w:rsid w:val="00BB6C9A"/>
    <w:rsid w:val="00BB78A2"/>
    <w:rsid w:val="00BC0594"/>
    <w:rsid w:val="00BC0EF2"/>
    <w:rsid w:val="00BC11FC"/>
    <w:rsid w:val="00BC1F54"/>
    <w:rsid w:val="00BC4C9D"/>
    <w:rsid w:val="00BC54FC"/>
    <w:rsid w:val="00BC640D"/>
    <w:rsid w:val="00BC6CEA"/>
    <w:rsid w:val="00BD2118"/>
    <w:rsid w:val="00BD5092"/>
    <w:rsid w:val="00BD594D"/>
    <w:rsid w:val="00BD5997"/>
    <w:rsid w:val="00BE1C56"/>
    <w:rsid w:val="00BE6F50"/>
    <w:rsid w:val="00BF12DB"/>
    <w:rsid w:val="00BF1BA3"/>
    <w:rsid w:val="00BF4F28"/>
    <w:rsid w:val="00BF588D"/>
    <w:rsid w:val="00C01939"/>
    <w:rsid w:val="00C03447"/>
    <w:rsid w:val="00C07EF5"/>
    <w:rsid w:val="00C11BCE"/>
    <w:rsid w:val="00C128FE"/>
    <w:rsid w:val="00C13304"/>
    <w:rsid w:val="00C1777A"/>
    <w:rsid w:val="00C17E34"/>
    <w:rsid w:val="00C231CE"/>
    <w:rsid w:val="00C236FA"/>
    <w:rsid w:val="00C24C44"/>
    <w:rsid w:val="00C26B0C"/>
    <w:rsid w:val="00C301DD"/>
    <w:rsid w:val="00C30F18"/>
    <w:rsid w:val="00C331D1"/>
    <w:rsid w:val="00C35958"/>
    <w:rsid w:val="00C35960"/>
    <w:rsid w:val="00C36B20"/>
    <w:rsid w:val="00C372A8"/>
    <w:rsid w:val="00C375FF"/>
    <w:rsid w:val="00C40848"/>
    <w:rsid w:val="00C50E47"/>
    <w:rsid w:val="00C5234F"/>
    <w:rsid w:val="00C562AA"/>
    <w:rsid w:val="00C574F4"/>
    <w:rsid w:val="00C645AF"/>
    <w:rsid w:val="00C65B52"/>
    <w:rsid w:val="00C701BD"/>
    <w:rsid w:val="00C747C6"/>
    <w:rsid w:val="00C756C3"/>
    <w:rsid w:val="00C80F66"/>
    <w:rsid w:val="00C82F83"/>
    <w:rsid w:val="00C84AE8"/>
    <w:rsid w:val="00C85D1B"/>
    <w:rsid w:val="00C96DDA"/>
    <w:rsid w:val="00CB2F40"/>
    <w:rsid w:val="00CB3273"/>
    <w:rsid w:val="00CB5D3E"/>
    <w:rsid w:val="00CC4C46"/>
    <w:rsid w:val="00CC6AAB"/>
    <w:rsid w:val="00CC77FF"/>
    <w:rsid w:val="00CC7CF5"/>
    <w:rsid w:val="00CD14AB"/>
    <w:rsid w:val="00CD4C5B"/>
    <w:rsid w:val="00CD7F00"/>
    <w:rsid w:val="00CE1B2E"/>
    <w:rsid w:val="00CE3C5A"/>
    <w:rsid w:val="00CE59C6"/>
    <w:rsid w:val="00CE7586"/>
    <w:rsid w:val="00CE7975"/>
    <w:rsid w:val="00CF0E26"/>
    <w:rsid w:val="00CF3742"/>
    <w:rsid w:val="00CF72FD"/>
    <w:rsid w:val="00D03659"/>
    <w:rsid w:val="00D03EDF"/>
    <w:rsid w:val="00D10DC0"/>
    <w:rsid w:val="00D11555"/>
    <w:rsid w:val="00D126D8"/>
    <w:rsid w:val="00D13D6D"/>
    <w:rsid w:val="00D20C74"/>
    <w:rsid w:val="00D24FD7"/>
    <w:rsid w:val="00D25647"/>
    <w:rsid w:val="00D33D06"/>
    <w:rsid w:val="00D34FE4"/>
    <w:rsid w:val="00D377A7"/>
    <w:rsid w:val="00D40DA7"/>
    <w:rsid w:val="00D4481D"/>
    <w:rsid w:val="00D44C95"/>
    <w:rsid w:val="00D452A7"/>
    <w:rsid w:val="00D4584F"/>
    <w:rsid w:val="00D50F5D"/>
    <w:rsid w:val="00D54725"/>
    <w:rsid w:val="00D559FF"/>
    <w:rsid w:val="00D57F61"/>
    <w:rsid w:val="00D60965"/>
    <w:rsid w:val="00D62B8C"/>
    <w:rsid w:val="00D62E52"/>
    <w:rsid w:val="00D63276"/>
    <w:rsid w:val="00D66F39"/>
    <w:rsid w:val="00D72137"/>
    <w:rsid w:val="00D760E7"/>
    <w:rsid w:val="00D84015"/>
    <w:rsid w:val="00D84B36"/>
    <w:rsid w:val="00D85853"/>
    <w:rsid w:val="00D912B2"/>
    <w:rsid w:val="00D936A0"/>
    <w:rsid w:val="00D94173"/>
    <w:rsid w:val="00D97162"/>
    <w:rsid w:val="00D97CE9"/>
    <w:rsid w:val="00DA0148"/>
    <w:rsid w:val="00DA36E7"/>
    <w:rsid w:val="00DA4999"/>
    <w:rsid w:val="00DA4FC7"/>
    <w:rsid w:val="00DA550D"/>
    <w:rsid w:val="00DA7017"/>
    <w:rsid w:val="00DB13DD"/>
    <w:rsid w:val="00DB1B31"/>
    <w:rsid w:val="00DB1C27"/>
    <w:rsid w:val="00DB38EE"/>
    <w:rsid w:val="00DB7905"/>
    <w:rsid w:val="00DB7973"/>
    <w:rsid w:val="00DC13AB"/>
    <w:rsid w:val="00DC398C"/>
    <w:rsid w:val="00DC3EF1"/>
    <w:rsid w:val="00DC5E8C"/>
    <w:rsid w:val="00DC5EF2"/>
    <w:rsid w:val="00DC7EF7"/>
    <w:rsid w:val="00DD205B"/>
    <w:rsid w:val="00DD2F4C"/>
    <w:rsid w:val="00DD356D"/>
    <w:rsid w:val="00DD6796"/>
    <w:rsid w:val="00DD6B5E"/>
    <w:rsid w:val="00DD6BD4"/>
    <w:rsid w:val="00DE4E3D"/>
    <w:rsid w:val="00DE5E58"/>
    <w:rsid w:val="00DE7B46"/>
    <w:rsid w:val="00DF487E"/>
    <w:rsid w:val="00E0162C"/>
    <w:rsid w:val="00E02320"/>
    <w:rsid w:val="00E11487"/>
    <w:rsid w:val="00E14ACC"/>
    <w:rsid w:val="00E15A8C"/>
    <w:rsid w:val="00E324E6"/>
    <w:rsid w:val="00E4144C"/>
    <w:rsid w:val="00E44F84"/>
    <w:rsid w:val="00E463C6"/>
    <w:rsid w:val="00E53121"/>
    <w:rsid w:val="00E5318E"/>
    <w:rsid w:val="00E53532"/>
    <w:rsid w:val="00E56901"/>
    <w:rsid w:val="00E6034D"/>
    <w:rsid w:val="00E71967"/>
    <w:rsid w:val="00E73C84"/>
    <w:rsid w:val="00E754B1"/>
    <w:rsid w:val="00E77DF0"/>
    <w:rsid w:val="00E801B5"/>
    <w:rsid w:val="00E81B87"/>
    <w:rsid w:val="00E905E8"/>
    <w:rsid w:val="00E91AD9"/>
    <w:rsid w:val="00E93F56"/>
    <w:rsid w:val="00E952D9"/>
    <w:rsid w:val="00E96773"/>
    <w:rsid w:val="00E97CB9"/>
    <w:rsid w:val="00EA1DC2"/>
    <w:rsid w:val="00EA306C"/>
    <w:rsid w:val="00EB27E9"/>
    <w:rsid w:val="00EB33AB"/>
    <w:rsid w:val="00EB37C9"/>
    <w:rsid w:val="00EB607A"/>
    <w:rsid w:val="00EC134E"/>
    <w:rsid w:val="00ED0445"/>
    <w:rsid w:val="00ED3C3B"/>
    <w:rsid w:val="00ED7C90"/>
    <w:rsid w:val="00EE48C3"/>
    <w:rsid w:val="00EF199D"/>
    <w:rsid w:val="00EF4E12"/>
    <w:rsid w:val="00EF5326"/>
    <w:rsid w:val="00EF65F3"/>
    <w:rsid w:val="00F01510"/>
    <w:rsid w:val="00F02A6D"/>
    <w:rsid w:val="00F0424C"/>
    <w:rsid w:val="00F04B6E"/>
    <w:rsid w:val="00F07AED"/>
    <w:rsid w:val="00F10495"/>
    <w:rsid w:val="00F10DA8"/>
    <w:rsid w:val="00F1168A"/>
    <w:rsid w:val="00F12A10"/>
    <w:rsid w:val="00F178A5"/>
    <w:rsid w:val="00F2391C"/>
    <w:rsid w:val="00F26293"/>
    <w:rsid w:val="00F31E30"/>
    <w:rsid w:val="00F3326F"/>
    <w:rsid w:val="00F334D9"/>
    <w:rsid w:val="00F33D93"/>
    <w:rsid w:val="00F34781"/>
    <w:rsid w:val="00F36D58"/>
    <w:rsid w:val="00F41A5D"/>
    <w:rsid w:val="00F470A2"/>
    <w:rsid w:val="00F552E5"/>
    <w:rsid w:val="00F56AA8"/>
    <w:rsid w:val="00F60825"/>
    <w:rsid w:val="00F67C91"/>
    <w:rsid w:val="00F70B32"/>
    <w:rsid w:val="00F723F9"/>
    <w:rsid w:val="00F80E9B"/>
    <w:rsid w:val="00F82315"/>
    <w:rsid w:val="00F835A6"/>
    <w:rsid w:val="00F83D3C"/>
    <w:rsid w:val="00F840D6"/>
    <w:rsid w:val="00F8684D"/>
    <w:rsid w:val="00F900BE"/>
    <w:rsid w:val="00F903B6"/>
    <w:rsid w:val="00F93916"/>
    <w:rsid w:val="00F95DA9"/>
    <w:rsid w:val="00F97392"/>
    <w:rsid w:val="00F97DF6"/>
    <w:rsid w:val="00FA4EEC"/>
    <w:rsid w:val="00FB2801"/>
    <w:rsid w:val="00FB335B"/>
    <w:rsid w:val="00FB3F23"/>
    <w:rsid w:val="00FB4EAA"/>
    <w:rsid w:val="00FC26F1"/>
    <w:rsid w:val="00FC5512"/>
    <w:rsid w:val="00FC6366"/>
    <w:rsid w:val="00FD0CD9"/>
    <w:rsid w:val="00FD4970"/>
    <w:rsid w:val="00FD6927"/>
    <w:rsid w:val="00FE02D9"/>
    <w:rsid w:val="00FE14F9"/>
    <w:rsid w:val="00FF2EFF"/>
    <w:rsid w:val="00FF406F"/>
    <w:rsid w:val="00FF4843"/>
    <w:rsid w:val="00FF49AE"/>
    <w:rsid w:val="00FF5EEA"/>
    <w:rsid w:val="01E31C58"/>
    <w:rsid w:val="0274782E"/>
    <w:rsid w:val="032F484D"/>
    <w:rsid w:val="0399107E"/>
    <w:rsid w:val="03F12441"/>
    <w:rsid w:val="043800B2"/>
    <w:rsid w:val="04394CEA"/>
    <w:rsid w:val="04640991"/>
    <w:rsid w:val="04C9495C"/>
    <w:rsid w:val="0560706F"/>
    <w:rsid w:val="058F7720"/>
    <w:rsid w:val="059C62E2"/>
    <w:rsid w:val="06400AC6"/>
    <w:rsid w:val="06BB2083"/>
    <w:rsid w:val="076A5E60"/>
    <w:rsid w:val="07E25D0F"/>
    <w:rsid w:val="08A511D7"/>
    <w:rsid w:val="08F116C7"/>
    <w:rsid w:val="091246B7"/>
    <w:rsid w:val="094334CD"/>
    <w:rsid w:val="0A002B1A"/>
    <w:rsid w:val="0A021D94"/>
    <w:rsid w:val="0A093889"/>
    <w:rsid w:val="0A172F05"/>
    <w:rsid w:val="0A920906"/>
    <w:rsid w:val="0B63493C"/>
    <w:rsid w:val="0B6D619D"/>
    <w:rsid w:val="0BF96CCE"/>
    <w:rsid w:val="0C14696F"/>
    <w:rsid w:val="0C321039"/>
    <w:rsid w:val="0C3F1A4F"/>
    <w:rsid w:val="0CBE69F5"/>
    <w:rsid w:val="0D0B2D24"/>
    <w:rsid w:val="0E41411D"/>
    <w:rsid w:val="0EEA0A57"/>
    <w:rsid w:val="0F030C57"/>
    <w:rsid w:val="0F241091"/>
    <w:rsid w:val="0F251137"/>
    <w:rsid w:val="0FF80960"/>
    <w:rsid w:val="1006084F"/>
    <w:rsid w:val="109B002E"/>
    <w:rsid w:val="10E41B4F"/>
    <w:rsid w:val="118111BD"/>
    <w:rsid w:val="119E2DE6"/>
    <w:rsid w:val="12713341"/>
    <w:rsid w:val="12AA12B5"/>
    <w:rsid w:val="12DD1CFF"/>
    <w:rsid w:val="1373528F"/>
    <w:rsid w:val="1394392D"/>
    <w:rsid w:val="13AF9336"/>
    <w:rsid w:val="142E2645"/>
    <w:rsid w:val="146F60C4"/>
    <w:rsid w:val="14D41BB2"/>
    <w:rsid w:val="15596588"/>
    <w:rsid w:val="15714980"/>
    <w:rsid w:val="159C7EB0"/>
    <w:rsid w:val="15B36B64"/>
    <w:rsid w:val="15D43466"/>
    <w:rsid w:val="15EE364B"/>
    <w:rsid w:val="15F968CB"/>
    <w:rsid w:val="166167A3"/>
    <w:rsid w:val="16CF2421"/>
    <w:rsid w:val="17485BB5"/>
    <w:rsid w:val="17661E44"/>
    <w:rsid w:val="17CE6784"/>
    <w:rsid w:val="17D717C7"/>
    <w:rsid w:val="182F3583"/>
    <w:rsid w:val="1A5F7738"/>
    <w:rsid w:val="1A600B89"/>
    <w:rsid w:val="1A620D3B"/>
    <w:rsid w:val="1A6E1674"/>
    <w:rsid w:val="1ABA0739"/>
    <w:rsid w:val="1ABE70B6"/>
    <w:rsid w:val="1ABF21DB"/>
    <w:rsid w:val="1B0940FF"/>
    <w:rsid w:val="1B50328A"/>
    <w:rsid w:val="1B5763C6"/>
    <w:rsid w:val="1B6804C1"/>
    <w:rsid w:val="1BC52228"/>
    <w:rsid w:val="1BED3623"/>
    <w:rsid w:val="1C521AE9"/>
    <w:rsid w:val="1C874183"/>
    <w:rsid w:val="1DCA5724"/>
    <w:rsid w:val="1ED905CE"/>
    <w:rsid w:val="1FBEC6D0"/>
    <w:rsid w:val="207A1985"/>
    <w:rsid w:val="20BF6545"/>
    <w:rsid w:val="2119360A"/>
    <w:rsid w:val="21686BE6"/>
    <w:rsid w:val="21D05D9F"/>
    <w:rsid w:val="22472B4C"/>
    <w:rsid w:val="22ED20B6"/>
    <w:rsid w:val="230D7D88"/>
    <w:rsid w:val="235C0DA4"/>
    <w:rsid w:val="24234F8E"/>
    <w:rsid w:val="246A5275"/>
    <w:rsid w:val="246F652F"/>
    <w:rsid w:val="25464998"/>
    <w:rsid w:val="259B0AFF"/>
    <w:rsid w:val="25A634D6"/>
    <w:rsid w:val="25C150C0"/>
    <w:rsid w:val="25F835F4"/>
    <w:rsid w:val="27054585"/>
    <w:rsid w:val="27084A19"/>
    <w:rsid w:val="27312C48"/>
    <w:rsid w:val="276B4647"/>
    <w:rsid w:val="27765E26"/>
    <w:rsid w:val="27BE4E00"/>
    <w:rsid w:val="27C2075D"/>
    <w:rsid w:val="28604501"/>
    <w:rsid w:val="28793A7C"/>
    <w:rsid w:val="287B4AB7"/>
    <w:rsid w:val="288E082B"/>
    <w:rsid w:val="28CD7B64"/>
    <w:rsid w:val="293E1932"/>
    <w:rsid w:val="29CC4423"/>
    <w:rsid w:val="2A3A0DE8"/>
    <w:rsid w:val="2ADE65BF"/>
    <w:rsid w:val="2B1B4789"/>
    <w:rsid w:val="2BFF4E3C"/>
    <w:rsid w:val="2C314FAF"/>
    <w:rsid w:val="2C535C4A"/>
    <w:rsid w:val="2C5A7AC4"/>
    <w:rsid w:val="2C6D4C01"/>
    <w:rsid w:val="2CA466B3"/>
    <w:rsid w:val="2CFC2BFE"/>
    <w:rsid w:val="2D65240C"/>
    <w:rsid w:val="2D76092E"/>
    <w:rsid w:val="2DCD0BD5"/>
    <w:rsid w:val="2E6B1ABD"/>
    <w:rsid w:val="2EA04D01"/>
    <w:rsid w:val="2EBB01C8"/>
    <w:rsid w:val="2EBD258D"/>
    <w:rsid w:val="2EDE0F4B"/>
    <w:rsid w:val="2EEC3009"/>
    <w:rsid w:val="2F1B6A55"/>
    <w:rsid w:val="2F923A19"/>
    <w:rsid w:val="2FDFD09C"/>
    <w:rsid w:val="304973BB"/>
    <w:rsid w:val="306E3B3E"/>
    <w:rsid w:val="306E48A0"/>
    <w:rsid w:val="314D028A"/>
    <w:rsid w:val="322C0F09"/>
    <w:rsid w:val="32481417"/>
    <w:rsid w:val="329B1B01"/>
    <w:rsid w:val="32C75788"/>
    <w:rsid w:val="32FD4EF1"/>
    <w:rsid w:val="330676B8"/>
    <w:rsid w:val="332A6515"/>
    <w:rsid w:val="33791178"/>
    <w:rsid w:val="33C11918"/>
    <w:rsid w:val="33DD7C56"/>
    <w:rsid w:val="34990EF1"/>
    <w:rsid w:val="35417A73"/>
    <w:rsid w:val="355530AA"/>
    <w:rsid w:val="356674DA"/>
    <w:rsid w:val="35ED4223"/>
    <w:rsid w:val="360D5816"/>
    <w:rsid w:val="364631D7"/>
    <w:rsid w:val="365D700A"/>
    <w:rsid w:val="368928C2"/>
    <w:rsid w:val="36EE7787"/>
    <w:rsid w:val="374E6901"/>
    <w:rsid w:val="37AA2658"/>
    <w:rsid w:val="37BB3520"/>
    <w:rsid w:val="37FE867A"/>
    <w:rsid w:val="38506B7C"/>
    <w:rsid w:val="391663D6"/>
    <w:rsid w:val="393A06C0"/>
    <w:rsid w:val="39A86313"/>
    <w:rsid w:val="39EF831D"/>
    <w:rsid w:val="39FB003B"/>
    <w:rsid w:val="3A177287"/>
    <w:rsid w:val="3A1C3858"/>
    <w:rsid w:val="3A4F3C9B"/>
    <w:rsid w:val="3B616683"/>
    <w:rsid w:val="3B6C5CAC"/>
    <w:rsid w:val="3BE03AD0"/>
    <w:rsid w:val="3C16472F"/>
    <w:rsid w:val="3C636EF3"/>
    <w:rsid w:val="3C7A1ABD"/>
    <w:rsid w:val="3CE420CC"/>
    <w:rsid w:val="3D874321"/>
    <w:rsid w:val="3DC03E2D"/>
    <w:rsid w:val="3EE624DF"/>
    <w:rsid w:val="3EFE0C40"/>
    <w:rsid w:val="3F076C53"/>
    <w:rsid w:val="3F200A6F"/>
    <w:rsid w:val="3F2535EA"/>
    <w:rsid w:val="3F5B255F"/>
    <w:rsid w:val="3F5B5BD6"/>
    <w:rsid w:val="3FBC492D"/>
    <w:rsid w:val="3FD332C5"/>
    <w:rsid w:val="3FEE9FF4"/>
    <w:rsid w:val="3FEF9392"/>
    <w:rsid w:val="3FF9B9D3"/>
    <w:rsid w:val="40C96B6F"/>
    <w:rsid w:val="41343155"/>
    <w:rsid w:val="416E5997"/>
    <w:rsid w:val="419A1B95"/>
    <w:rsid w:val="41AF5429"/>
    <w:rsid w:val="42420841"/>
    <w:rsid w:val="425A15A9"/>
    <w:rsid w:val="43236DF2"/>
    <w:rsid w:val="43B50E83"/>
    <w:rsid w:val="43B7517C"/>
    <w:rsid w:val="443703F4"/>
    <w:rsid w:val="45112371"/>
    <w:rsid w:val="45120CAB"/>
    <w:rsid w:val="45B82804"/>
    <w:rsid w:val="46002A4C"/>
    <w:rsid w:val="4616768B"/>
    <w:rsid w:val="462C207A"/>
    <w:rsid w:val="46BB683B"/>
    <w:rsid w:val="46E20478"/>
    <w:rsid w:val="47056F93"/>
    <w:rsid w:val="47074250"/>
    <w:rsid w:val="476316CA"/>
    <w:rsid w:val="47B75973"/>
    <w:rsid w:val="47F44D14"/>
    <w:rsid w:val="48140818"/>
    <w:rsid w:val="48A83C10"/>
    <w:rsid w:val="498B4DAC"/>
    <w:rsid w:val="49D15412"/>
    <w:rsid w:val="4ABE4EBD"/>
    <w:rsid w:val="4B47219D"/>
    <w:rsid w:val="4BB4AF1D"/>
    <w:rsid w:val="4BB86D6B"/>
    <w:rsid w:val="4BBF129A"/>
    <w:rsid w:val="4BD32B16"/>
    <w:rsid w:val="4BEB6129"/>
    <w:rsid w:val="4C285237"/>
    <w:rsid w:val="4C453E95"/>
    <w:rsid w:val="4C7FFE59"/>
    <w:rsid w:val="4CC77FE2"/>
    <w:rsid w:val="4D6B1B3A"/>
    <w:rsid w:val="4DBE0512"/>
    <w:rsid w:val="4E386143"/>
    <w:rsid w:val="4E8D06B1"/>
    <w:rsid w:val="4EA00F1C"/>
    <w:rsid w:val="4EAF3848"/>
    <w:rsid w:val="4ED35788"/>
    <w:rsid w:val="4F0A4599"/>
    <w:rsid w:val="4F525D75"/>
    <w:rsid w:val="50986FC7"/>
    <w:rsid w:val="50B102C3"/>
    <w:rsid w:val="517B61BE"/>
    <w:rsid w:val="51962A9D"/>
    <w:rsid w:val="51ED4F92"/>
    <w:rsid w:val="52382D31"/>
    <w:rsid w:val="52495D62"/>
    <w:rsid w:val="52CC3E8A"/>
    <w:rsid w:val="532820A9"/>
    <w:rsid w:val="533267F6"/>
    <w:rsid w:val="53C62500"/>
    <w:rsid w:val="54240695"/>
    <w:rsid w:val="5424750C"/>
    <w:rsid w:val="553FDFF1"/>
    <w:rsid w:val="5592568C"/>
    <w:rsid w:val="55BB2FE0"/>
    <w:rsid w:val="5644117F"/>
    <w:rsid w:val="565B41B0"/>
    <w:rsid w:val="566B44F9"/>
    <w:rsid w:val="56B37004"/>
    <w:rsid w:val="57455A39"/>
    <w:rsid w:val="578C0BCA"/>
    <w:rsid w:val="57A23CDC"/>
    <w:rsid w:val="58341500"/>
    <w:rsid w:val="587B272D"/>
    <w:rsid w:val="589D0BB5"/>
    <w:rsid w:val="590A3566"/>
    <w:rsid w:val="592C41B1"/>
    <w:rsid w:val="59864BB0"/>
    <w:rsid w:val="59E05A57"/>
    <w:rsid w:val="5A0A615A"/>
    <w:rsid w:val="5AB11461"/>
    <w:rsid w:val="5AC7188D"/>
    <w:rsid w:val="5AD16EFB"/>
    <w:rsid w:val="5B6E700E"/>
    <w:rsid w:val="5BE12FA3"/>
    <w:rsid w:val="5C002AE0"/>
    <w:rsid w:val="5D530128"/>
    <w:rsid w:val="5D7F107A"/>
    <w:rsid w:val="5D8866EC"/>
    <w:rsid w:val="5E21105E"/>
    <w:rsid w:val="5E345E62"/>
    <w:rsid w:val="5E47472B"/>
    <w:rsid w:val="5E500D4F"/>
    <w:rsid w:val="5EA1422D"/>
    <w:rsid w:val="5EBF421E"/>
    <w:rsid w:val="5EC265F9"/>
    <w:rsid w:val="5ECC03B8"/>
    <w:rsid w:val="5F506981"/>
    <w:rsid w:val="5FCB2A1D"/>
    <w:rsid w:val="5FCE52D9"/>
    <w:rsid w:val="5FFC8BB9"/>
    <w:rsid w:val="60037D86"/>
    <w:rsid w:val="61130844"/>
    <w:rsid w:val="613E396F"/>
    <w:rsid w:val="61534954"/>
    <w:rsid w:val="61C72FCF"/>
    <w:rsid w:val="628D3A49"/>
    <w:rsid w:val="62916410"/>
    <w:rsid w:val="62970B0C"/>
    <w:rsid w:val="62A44789"/>
    <w:rsid w:val="63341B88"/>
    <w:rsid w:val="63672753"/>
    <w:rsid w:val="63863A7B"/>
    <w:rsid w:val="63EE52C7"/>
    <w:rsid w:val="64021F6A"/>
    <w:rsid w:val="645E5CB5"/>
    <w:rsid w:val="64752A78"/>
    <w:rsid w:val="6477675E"/>
    <w:rsid w:val="650502C1"/>
    <w:rsid w:val="65054116"/>
    <w:rsid w:val="65E62E7A"/>
    <w:rsid w:val="65FF4FF1"/>
    <w:rsid w:val="665854F1"/>
    <w:rsid w:val="66F57886"/>
    <w:rsid w:val="67043421"/>
    <w:rsid w:val="6748407F"/>
    <w:rsid w:val="674B46C7"/>
    <w:rsid w:val="67A770C7"/>
    <w:rsid w:val="67BB5990"/>
    <w:rsid w:val="67D749CA"/>
    <w:rsid w:val="67E41D0B"/>
    <w:rsid w:val="67FE0631"/>
    <w:rsid w:val="680B3EC8"/>
    <w:rsid w:val="68151FD4"/>
    <w:rsid w:val="68394457"/>
    <w:rsid w:val="68F45AB1"/>
    <w:rsid w:val="69011A03"/>
    <w:rsid w:val="69835D60"/>
    <w:rsid w:val="69900C0D"/>
    <w:rsid w:val="6A15739F"/>
    <w:rsid w:val="6AAD178D"/>
    <w:rsid w:val="6AC07529"/>
    <w:rsid w:val="6AFB05FD"/>
    <w:rsid w:val="6B1F675B"/>
    <w:rsid w:val="6B2E2D87"/>
    <w:rsid w:val="6B7838F0"/>
    <w:rsid w:val="6B8B7271"/>
    <w:rsid w:val="6B976E9C"/>
    <w:rsid w:val="6BBB3071"/>
    <w:rsid w:val="6C77269B"/>
    <w:rsid w:val="6CC649E7"/>
    <w:rsid w:val="6CD2069F"/>
    <w:rsid w:val="6CF963FF"/>
    <w:rsid w:val="6E3B6A4F"/>
    <w:rsid w:val="6E5F5941"/>
    <w:rsid w:val="6E712470"/>
    <w:rsid w:val="6EA57E47"/>
    <w:rsid w:val="6EB07370"/>
    <w:rsid w:val="6EE964AB"/>
    <w:rsid w:val="6F1F1552"/>
    <w:rsid w:val="6F5F71DE"/>
    <w:rsid w:val="70476F30"/>
    <w:rsid w:val="7081137E"/>
    <w:rsid w:val="716259B9"/>
    <w:rsid w:val="717E6D7C"/>
    <w:rsid w:val="71D25882"/>
    <w:rsid w:val="71D960AE"/>
    <w:rsid w:val="71EB06FF"/>
    <w:rsid w:val="730B464C"/>
    <w:rsid w:val="7322122F"/>
    <w:rsid w:val="739227D6"/>
    <w:rsid w:val="742755C6"/>
    <w:rsid w:val="744D4DE6"/>
    <w:rsid w:val="74A84D3C"/>
    <w:rsid w:val="74DF38CD"/>
    <w:rsid w:val="750239CD"/>
    <w:rsid w:val="7671300D"/>
    <w:rsid w:val="76FEBB0D"/>
    <w:rsid w:val="77146D65"/>
    <w:rsid w:val="774B1ACD"/>
    <w:rsid w:val="77687D2F"/>
    <w:rsid w:val="77A7573E"/>
    <w:rsid w:val="78040F32"/>
    <w:rsid w:val="78441D25"/>
    <w:rsid w:val="787A2B4B"/>
    <w:rsid w:val="788B465E"/>
    <w:rsid w:val="78CE90EF"/>
    <w:rsid w:val="798F5037"/>
    <w:rsid w:val="7A5B7BE5"/>
    <w:rsid w:val="7A772BBC"/>
    <w:rsid w:val="7A962EAF"/>
    <w:rsid w:val="7BB409CA"/>
    <w:rsid w:val="7C6D24C9"/>
    <w:rsid w:val="7C7B3EC2"/>
    <w:rsid w:val="7D2C6AB3"/>
    <w:rsid w:val="7D6457E7"/>
    <w:rsid w:val="7D6531A0"/>
    <w:rsid w:val="7D922F3D"/>
    <w:rsid w:val="7DE7C0E1"/>
    <w:rsid w:val="7E725402"/>
    <w:rsid w:val="7E7D24F3"/>
    <w:rsid w:val="7E846ACC"/>
    <w:rsid w:val="7E9276DB"/>
    <w:rsid w:val="7EBE0563"/>
    <w:rsid w:val="7ED60597"/>
    <w:rsid w:val="7F215141"/>
    <w:rsid w:val="7F4D7500"/>
    <w:rsid w:val="7F6E013E"/>
    <w:rsid w:val="7FAD31AE"/>
    <w:rsid w:val="7FBF3C22"/>
    <w:rsid w:val="7FF64874"/>
    <w:rsid w:val="7FF73431"/>
    <w:rsid w:val="7FFC7113"/>
    <w:rsid w:val="9EFF3004"/>
    <w:rsid w:val="BDFFFCB4"/>
    <w:rsid w:val="CF1F3F48"/>
    <w:rsid w:val="CFFA7AA0"/>
    <w:rsid w:val="D8FF8605"/>
    <w:rsid w:val="DD85AE15"/>
    <w:rsid w:val="DDBDD430"/>
    <w:rsid w:val="DE5FFBF6"/>
    <w:rsid w:val="DEFD662D"/>
    <w:rsid w:val="DFF743DA"/>
    <w:rsid w:val="E2E757CF"/>
    <w:rsid w:val="E39F77B5"/>
    <w:rsid w:val="E3D94C24"/>
    <w:rsid w:val="EEDEA96D"/>
    <w:rsid w:val="EFAF623B"/>
    <w:rsid w:val="F1AB9D11"/>
    <w:rsid w:val="F1F7C241"/>
    <w:rsid w:val="F38FDB9E"/>
    <w:rsid w:val="F57F9874"/>
    <w:rsid w:val="F7BF79A3"/>
    <w:rsid w:val="F7F4618A"/>
    <w:rsid w:val="FBBE69EF"/>
    <w:rsid w:val="FBEE9D47"/>
    <w:rsid w:val="FDFFA93C"/>
    <w:rsid w:val="FEE2995E"/>
    <w:rsid w:val="FF7F9FA5"/>
    <w:rsid w:val="FFE1DD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link w:val="157"/>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54"/>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51"/>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7"/>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9"/>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9"/>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60"/>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61"/>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62"/>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customStyle="1" w:styleId="9">
    <w:name w:val="模板正文"/>
    <w:basedOn w:val="1"/>
    <w:link w:val="101"/>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toc 7"/>
    <w:basedOn w:val="1"/>
    <w:next w:val="1"/>
    <w:unhideWhenUsed/>
    <w:qFormat/>
    <w:uiPriority w:val="39"/>
    <w:pPr>
      <w:ind w:left="2520" w:leftChars="1200"/>
    </w:pPr>
  </w:style>
  <w:style w:type="paragraph" w:styleId="14">
    <w:name w:val="caption"/>
    <w:basedOn w:val="1"/>
    <w:next w:val="1"/>
    <w:link w:val="90"/>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3"/>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170"/>
    <w:unhideWhenUsed/>
    <w:qFormat/>
    <w:uiPriority w:val="99"/>
    <w:pPr>
      <w:jc w:val="left"/>
    </w:pPr>
  </w:style>
  <w:style w:type="paragraph" w:styleId="18">
    <w:name w:val="Body Text 3"/>
    <w:basedOn w:val="1"/>
    <w:link w:val="163"/>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List Bullet 3"/>
    <w:basedOn w:val="1"/>
    <w:semiHidden/>
    <w:unhideWhenUsed/>
    <w:qFormat/>
    <w:uiPriority w:val="99"/>
    <w:pPr>
      <w:numPr>
        <w:ilvl w:val="0"/>
        <w:numId w:val="1"/>
      </w:numPr>
    </w:pPr>
  </w:style>
  <w:style w:type="paragraph" w:styleId="20">
    <w:name w:val="Body Text"/>
    <w:basedOn w:val="1"/>
    <w:next w:val="21"/>
    <w:link w:val="125"/>
    <w:qFormat/>
    <w:uiPriority w:val="99"/>
    <w:pPr>
      <w:autoSpaceDE w:val="0"/>
      <w:autoSpaceDN w:val="0"/>
      <w:adjustRightInd w:val="0"/>
      <w:ind w:right="-26"/>
      <w:jc w:val="center"/>
    </w:pPr>
    <w:rPr>
      <w:rFonts w:ascii="宋体" w:eastAsia="宋体"/>
      <w:b/>
      <w:bCs/>
      <w:sz w:val="84"/>
      <w:szCs w:val="84"/>
      <w:lang w:val="zh-CN"/>
    </w:rPr>
  </w:style>
  <w:style w:type="paragraph" w:styleId="21">
    <w:name w:val="Body Text Indent"/>
    <w:basedOn w:val="1"/>
    <w:next w:val="1"/>
    <w:link w:val="99"/>
    <w:qFormat/>
    <w:uiPriority w:val="0"/>
    <w:pPr>
      <w:ind w:left="567" w:leftChars="270"/>
    </w:pPr>
    <w:rPr>
      <w:rFonts w:ascii="Times New Roman" w:hAnsi="Times New Roman" w:eastAsia="宋体" w:cs="Times New Roman"/>
      <w:szCs w:val="20"/>
    </w:rPr>
  </w:style>
  <w:style w:type="paragraph" w:styleId="22">
    <w:name w:val="toc 5"/>
    <w:basedOn w:val="1"/>
    <w:next w:val="1"/>
    <w:unhideWhenUsed/>
    <w:qFormat/>
    <w:uiPriority w:val="39"/>
    <w:pPr>
      <w:ind w:left="1680" w:leftChars="800"/>
    </w:pPr>
  </w:style>
  <w:style w:type="paragraph" w:styleId="23">
    <w:name w:val="toc 3"/>
    <w:basedOn w:val="1"/>
    <w:next w:val="1"/>
    <w:unhideWhenUsed/>
    <w:qFormat/>
    <w:uiPriority w:val="39"/>
    <w:pPr>
      <w:tabs>
        <w:tab w:val="right" w:leader="dot" w:pos="10144"/>
      </w:tabs>
      <w:ind w:left="840" w:leftChars="400"/>
    </w:pPr>
  </w:style>
  <w:style w:type="paragraph" w:styleId="24">
    <w:name w:val="Plain Text"/>
    <w:basedOn w:val="1"/>
    <w:link w:val="107"/>
    <w:qFormat/>
    <w:uiPriority w:val="0"/>
    <w:rPr>
      <w:rFonts w:ascii="宋体" w:hAnsi="Courier New" w:eastAsia="宋体"/>
    </w:rPr>
  </w:style>
  <w:style w:type="paragraph" w:styleId="25">
    <w:name w:val="toc 8"/>
    <w:basedOn w:val="1"/>
    <w:next w:val="1"/>
    <w:unhideWhenUsed/>
    <w:qFormat/>
    <w:uiPriority w:val="39"/>
    <w:pPr>
      <w:ind w:left="2940" w:leftChars="1400"/>
    </w:pPr>
  </w:style>
  <w:style w:type="paragraph" w:styleId="26">
    <w:name w:val="Date"/>
    <w:basedOn w:val="1"/>
    <w:next w:val="1"/>
    <w:link w:val="115"/>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7">
    <w:name w:val="Body Text Indent 2"/>
    <w:basedOn w:val="1"/>
    <w:link w:val="108"/>
    <w:qFormat/>
    <w:uiPriority w:val="0"/>
    <w:pPr>
      <w:tabs>
        <w:tab w:val="left" w:pos="8640"/>
      </w:tabs>
      <w:ind w:left="1260"/>
    </w:pPr>
    <w:rPr>
      <w:rFonts w:ascii="宋体" w:hAnsi="Times New Roman" w:eastAsia="宋体" w:cs="Times New Roman"/>
      <w:szCs w:val="20"/>
    </w:rPr>
  </w:style>
  <w:style w:type="paragraph" w:styleId="28">
    <w:name w:val="Balloon Text"/>
    <w:basedOn w:val="1"/>
    <w:link w:val="81"/>
    <w:qFormat/>
    <w:uiPriority w:val="0"/>
    <w:rPr>
      <w:rFonts w:ascii="Times New Roman" w:hAnsi="Times New Roman" w:eastAsia="宋体" w:cs="Times New Roman"/>
      <w:sz w:val="18"/>
      <w:szCs w:val="18"/>
    </w:rPr>
  </w:style>
  <w:style w:type="paragraph" w:styleId="29">
    <w:name w:val="footer"/>
    <w:basedOn w:val="1"/>
    <w:link w:val="85"/>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0">
    <w:name w:val="header"/>
    <w:basedOn w:val="1"/>
    <w:link w:val="127"/>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4">
    <w:name w:val="toc 6"/>
    <w:basedOn w:val="1"/>
    <w:next w:val="1"/>
    <w:unhideWhenUsed/>
    <w:qFormat/>
    <w:uiPriority w:val="39"/>
    <w:pPr>
      <w:ind w:left="2100" w:leftChars="1000"/>
    </w:pPr>
  </w:style>
  <w:style w:type="paragraph" w:styleId="35">
    <w:name w:val="Body Text Indent 3"/>
    <w:basedOn w:val="1"/>
    <w:link w:val="161"/>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39"/>
    <w:pPr>
      <w:ind w:left="3360" w:leftChars="1600"/>
    </w:pPr>
  </w:style>
  <w:style w:type="paragraph" w:styleId="38">
    <w:name w:val="Body Text 2"/>
    <w:basedOn w:val="1"/>
    <w:link w:val="150"/>
    <w:qFormat/>
    <w:uiPriority w:val="0"/>
    <w:pPr>
      <w:tabs>
        <w:tab w:val="left" w:pos="0"/>
      </w:tabs>
      <w:spacing w:line="400" w:lineRule="atLeast"/>
    </w:pPr>
    <w:rPr>
      <w:rFonts w:ascii="Arial" w:hAnsi="Arial" w:eastAsia="宋体" w:cs="Times New Roman"/>
      <w:color w:val="000000"/>
      <w:szCs w:val="24"/>
    </w:rPr>
  </w:style>
  <w:style w:type="paragraph" w:styleId="39">
    <w:name w:val="HTML Preformatted"/>
    <w:basedOn w:val="1"/>
    <w:link w:val="9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0">
    <w:name w:val="Normal (Web)"/>
    <w:basedOn w:val="1"/>
    <w:link w:val="100"/>
    <w:qFormat/>
    <w:uiPriority w:val="0"/>
    <w:pPr>
      <w:widowControl/>
      <w:spacing w:before="100" w:beforeAutospacing="1" w:after="100" w:afterAutospacing="1"/>
      <w:jc w:val="left"/>
    </w:pPr>
    <w:rPr>
      <w:rFonts w:ascii="宋体" w:hAnsi="宋体"/>
      <w:sz w:val="15"/>
      <w:szCs w:val="15"/>
    </w:rPr>
  </w:style>
  <w:style w:type="paragraph" w:styleId="41">
    <w:name w:val="Title"/>
    <w:basedOn w:val="1"/>
    <w:next w:val="1"/>
    <w:link w:val="65"/>
    <w:qFormat/>
    <w:uiPriority w:val="10"/>
    <w:pPr>
      <w:spacing w:before="120" w:after="60" w:line="300" w:lineRule="auto"/>
      <w:jc w:val="left"/>
      <w:outlineLvl w:val="0"/>
    </w:pPr>
    <w:rPr>
      <w:rFonts w:ascii="等线 Light" w:hAnsi="等线 Light" w:eastAsia="仿宋"/>
      <w:b/>
      <w:bCs/>
      <w:sz w:val="28"/>
      <w:szCs w:val="32"/>
    </w:rPr>
  </w:style>
  <w:style w:type="paragraph" w:styleId="42">
    <w:name w:val="annotation subject"/>
    <w:basedOn w:val="17"/>
    <w:next w:val="17"/>
    <w:link w:val="117"/>
    <w:qFormat/>
    <w:uiPriority w:val="99"/>
    <w:pPr>
      <w:autoSpaceDE w:val="0"/>
      <w:autoSpaceDN w:val="0"/>
      <w:adjustRightInd w:val="0"/>
    </w:pPr>
    <w:rPr>
      <w:rFonts w:ascii="宋体" w:hAnsi="Times New Roman" w:eastAsia="宋体" w:cs="Times New Roman"/>
      <w:b/>
      <w:bCs/>
      <w:kern w:val="0"/>
      <w:sz w:val="24"/>
      <w:szCs w:val="24"/>
    </w:rPr>
  </w:style>
  <w:style w:type="paragraph" w:styleId="43">
    <w:name w:val="Body Text First Indent"/>
    <w:basedOn w:val="20"/>
    <w:link w:val="208"/>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44">
    <w:name w:val="Body Text First Indent 2"/>
    <w:basedOn w:val="21"/>
    <w:next w:val="2"/>
    <w:unhideWhenUsed/>
    <w:qFormat/>
    <w:uiPriority w:val="99"/>
    <w:pPr>
      <w:tabs>
        <w:tab w:val="left" w:pos="0"/>
        <w:tab w:val="left" w:pos="540"/>
        <w:tab w:val="left" w:pos="630"/>
        <w:tab w:val="left" w:pos="1440"/>
      </w:tabs>
      <w:adjustRightInd/>
      <w:spacing w:after="120" w:line="360" w:lineRule="auto"/>
      <w:ind w:left="420" w:leftChars="200" w:firstLine="420" w:firstLineChars="200"/>
      <w:textAlignment w:val="auto"/>
    </w:pPr>
    <w:rPr>
      <w:kern w:val="0"/>
      <w:sz w:val="20"/>
      <w:szCs w:val="20"/>
    </w:rPr>
  </w:style>
  <w:style w:type="table" w:styleId="46">
    <w:name w:val="Table Grid"/>
    <w:basedOn w:val="4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qFormat/>
    <w:uiPriority w:val="0"/>
    <w:rPr>
      <w:lang w:val="en-US" w:eastAsia="zh-CN" w:bidi="ar-SA"/>
    </w:rPr>
  </w:style>
  <w:style w:type="character" w:styleId="50">
    <w:name w:val="FollowedHyperlink"/>
    <w:unhideWhenUsed/>
    <w:qFormat/>
    <w:uiPriority w:val="99"/>
    <w:rPr>
      <w:color w:val="954F72"/>
      <w:u w:val="single"/>
    </w:rPr>
  </w:style>
  <w:style w:type="character" w:styleId="51">
    <w:name w:val="Emphasis"/>
    <w:qFormat/>
    <w:uiPriority w:val="0"/>
    <w:rPr>
      <w:i/>
      <w:iCs/>
    </w:rPr>
  </w:style>
  <w:style w:type="character" w:styleId="52">
    <w:name w:val="Hyperlink"/>
    <w:qFormat/>
    <w:uiPriority w:val="99"/>
    <w:rPr>
      <w:rFonts w:hint="default" w:ascii="Arial" w:hAnsi="Arial" w:cs="Arial"/>
      <w:color w:val="000000"/>
      <w:sz w:val="20"/>
      <w:szCs w:val="20"/>
      <w:u w:val="none"/>
    </w:rPr>
  </w:style>
  <w:style w:type="character" w:styleId="53">
    <w:name w:val="annotation reference"/>
    <w:qFormat/>
    <w:uiPriority w:val="99"/>
    <w:rPr>
      <w:sz w:val="21"/>
      <w:szCs w:val="21"/>
    </w:rPr>
  </w:style>
  <w:style w:type="character" w:customStyle="1" w:styleId="54">
    <w:name w:val="标题 2 Char"/>
    <w:basedOn w:val="47"/>
    <w:link w:val="4"/>
    <w:qFormat/>
    <w:uiPriority w:val="0"/>
    <w:rPr>
      <w:rFonts w:ascii="宋体" w:hAnsi="Calibri" w:eastAsia="宋体" w:cs="Times New Roman"/>
      <w:kern w:val="0"/>
      <w:sz w:val="24"/>
      <w:szCs w:val="24"/>
    </w:rPr>
  </w:style>
  <w:style w:type="character" w:customStyle="1" w:styleId="55">
    <w:name w:val="标题 1 字符"/>
    <w:basedOn w:val="47"/>
    <w:qFormat/>
    <w:uiPriority w:val="0"/>
    <w:rPr>
      <w:b/>
      <w:bCs/>
      <w:kern w:val="44"/>
      <w:sz w:val="44"/>
      <w:szCs w:val="44"/>
    </w:rPr>
  </w:style>
  <w:style w:type="character" w:customStyle="1" w:styleId="56">
    <w:name w:val="标题 3 字符"/>
    <w:basedOn w:val="47"/>
    <w:qFormat/>
    <w:uiPriority w:val="0"/>
    <w:rPr>
      <w:b/>
      <w:bCs/>
      <w:sz w:val="32"/>
      <w:szCs w:val="32"/>
    </w:rPr>
  </w:style>
  <w:style w:type="character" w:customStyle="1" w:styleId="57">
    <w:name w:val="标题 4 Char1"/>
    <w:basedOn w:val="47"/>
    <w:link w:val="6"/>
    <w:qFormat/>
    <w:uiPriority w:val="9"/>
    <w:rPr>
      <w:rFonts w:ascii="Arial" w:hAnsi="Arial" w:eastAsia="黑体" w:cs="Times New Roman"/>
      <w:b/>
      <w:bCs/>
      <w:kern w:val="0"/>
      <w:sz w:val="28"/>
      <w:szCs w:val="28"/>
    </w:rPr>
  </w:style>
  <w:style w:type="character" w:customStyle="1" w:styleId="58">
    <w:name w:val="标题 5 字符"/>
    <w:basedOn w:val="47"/>
    <w:qFormat/>
    <w:uiPriority w:val="9"/>
    <w:rPr>
      <w:b/>
      <w:bCs/>
      <w:sz w:val="28"/>
      <w:szCs w:val="28"/>
    </w:rPr>
  </w:style>
  <w:style w:type="character" w:customStyle="1" w:styleId="59">
    <w:name w:val="标题 6 字符"/>
    <w:basedOn w:val="47"/>
    <w:qFormat/>
    <w:uiPriority w:val="0"/>
    <w:rPr>
      <w:rFonts w:asciiTheme="majorHAnsi" w:hAnsiTheme="majorHAnsi" w:eastAsiaTheme="majorEastAsia" w:cstheme="majorBidi"/>
      <w:b/>
      <w:bCs/>
      <w:sz w:val="24"/>
      <w:szCs w:val="24"/>
    </w:rPr>
  </w:style>
  <w:style w:type="character" w:customStyle="1" w:styleId="60">
    <w:name w:val="标题 7 Char"/>
    <w:basedOn w:val="47"/>
    <w:link w:val="10"/>
    <w:qFormat/>
    <w:uiPriority w:val="9"/>
    <w:rPr>
      <w:rFonts w:ascii="Times New Roman" w:hAnsi="Calibri" w:eastAsia="黑体" w:cs="Times New Roman"/>
      <w:b/>
      <w:bCs/>
      <w:kern w:val="0"/>
      <w:sz w:val="28"/>
      <w:szCs w:val="24"/>
    </w:rPr>
  </w:style>
  <w:style w:type="character" w:customStyle="1" w:styleId="61">
    <w:name w:val="标题 8 Char"/>
    <w:basedOn w:val="47"/>
    <w:link w:val="11"/>
    <w:qFormat/>
    <w:uiPriority w:val="9"/>
    <w:rPr>
      <w:rFonts w:ascii="Times New Roman" w:hAnsi="Calibri" w:eastAsia="黑体" w:cs="Times New Roman"/>
      <w:b/>
      <w:kern w:val="0"/>
      <w:sz w:val="28"/>
      <w:szCs w:val="24"/>
    </w:rPr>
  </w:style>
  <w:style w:type="character" w:customStyle="1" w:styleId="62">
    <w:name w:val="标题 9 Char"/>
    <w:basedOn w:val="47"/>
    <w:link w:val="12"/>
    <w:qFormat/>
    <w:uiPriority w:val="9"/>
    <w:rPr>
      <w:rFonts w:ascii="Times New Roman" w:hAnsi="Calibri" w:eastAsia="黑体" w:cs="Times New Roman"/>
      <w:b/>
      <w:kern w:val="0"/>
      <w:sz w:val="28"/>
      <w:szCs w:val="24"/>
    </w:rPr>
  </w:style>
  <w:style w:type="character" w:customStyle="1" w:styleId="63">
    <w:name w:val="正文文本缩进 字符"/>
    <w:qFormat/>
    <w:uiPriority w:val="0"/>
    <w:rPr>
      <w:rFonts w:ascii="Times New Roman" w:hAnsi="Times New Roman" w:eastAsia="宋体" w:cs="Times New Roman"/>
      <w:szCs w:val="20"/>
    </w:rPr>
  </w:style>
  <w:style w:type="character" w:customStyle="1" w:styleId="64">
    <w:name w:val="普通(网站) Char"/>
    <w:qFormat/>
    <w:locked/>
    <w:uiPriority w:val="0"/>
    <w:rPr>
      <w:rFonts w:ascii="宋体" w:hAnsi="宋体"/>
      <w:sz w:val="15"/>
      <w:szCs w:val="15"/>
    </w:rPr>
  </w:style>
  <w:style w:type="character" w:customStyle="1" w:styleId="65">
    <w:name w:val="标题 Char"/>
    <w:link w:val="41"/>
    <w:qFormat/>
    <w:uiPriority w:val="10"/>
    <w:rPr>
      <w:rFonts w:ascii="等线 Light" w:hAnsi="等线 Light" w:eastAsia="仿宋"/>
      <w:b/>
      <w:bCs/>
      <w:sz w:val="28"/>
      <w:szCs w:val="32"/>
    </w:rPr>
  </w:style>
  <w:style w:type="character" w:customStyle="1" w:styleId="66">
    <w:name w:val="日期 Char"/>
    <w:semiHidden/>
    <w:qFormat/>
    <w:uiPriority w:val="99"/>
    <w:rPr>
      <w:kern w:val="2"/>
      <w:sz w:val="21"/>
    </w:rPr>
  </w:style>
  <w:style w:type="character" w:customStyle="1" w:styleId="67">
    <w:name w:val="文档结构图 字符1"/>
    <w:semiHidden/>
    <w:qFormat/>
    <w:uiPriority w:val="99"/>
    <w:rPr>
      <w:rFonts w:ascii="Microsoft YaHei UI" w:hAnsi="Calibri" w:eastAsia="Microsoft YaHei UI" w:cs="Times New Roman"/>
      <w:kern w:val="0"/>
      <w:sz w:val="18"/>
      <w:szCs w:val="18"/>
    </w:rPr>
  </w:style>
  <w:style w:type="character" w:customStyle="1" w:styleId="68">
    <w:name w:val="批注文字 Char"/>
    <w:semiHidden/>
    <w:qFormat/>
    <w:uiPriority w:val="99"/>
    <w:rPr>
      <w:kern w:val="2"/>
      <w:sz w:val="21"/>
    </w:rPr>
  </w:style>
  <w:style w:type="character" w:customStyle="1" w:styleId="69">
    <w:name w:val="正文缩进2格 Char"/>
    <w:link w:val="70"/>
    <w:qFormat/>
    <w:uiPriority w:val="0"/>
    <w:rPr>
      <w:rFonts w:ascii="仿宋_GB2312" w:hAnsi="宋体" w:eastAsia="仿宋_GB2312"/>
      <w:sz w:val="31"/>
      <w:szCs w:val="28"/>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sz w:val="31"/>
      <w:szCs w:val="28"/>
    </w:rPr>
  </w:style>
  <w:style w:type="character" w:customStyle="1" w:styleId="71">
    <w:name w:val="批注文字 字符"/>
    <w:semiHidden/>
    <w:qFormat/>
    <w:uiPriority w:val="99"/>
    <w:rPr>
      <w:rFonts w:ascii="Times New Roman" w:hAnsi="Times New Roman"/>
      <w:kern w:val="2"/>
      <w:sz w:val="24"/>
      <w:szCs w:val="24"/>
    </w:rPr>
  </w:style>
  <w:style w:type="character" w:customStyle="1" w:styleId="72">
    <w:name w:val="正文文本缩进 Char"/>
    <w:qFormat/>
    <w:uiPriority w:val="0"/>
    <w:rPr>
      <w:rFonts w:ascii="Times New Roman" w:hAnsi="Times New Roman" w:eastAsia="宋体" w:cs="Times New Roman"/>
      <w:szCs w:val="20"/>
      <w:lang w:val="en-US" w:eastAsia="zh-CN"/>
    </w:rPr>
  </w:style>
  <w:style w:type="character" w:customStyle="1" w:styleId="73">
    <w:name w:val="批注框文本 字符1"/>
    <w:semiHidden/>
    <w:qFormat/>
    <w:uiPriority w:val="99"/>
    <w:rPr>
      <w:rFonts w:ascii="宋体" w:hAnsi="Calibri" w:eastAsia="宋体" w:cs="Times New Roman"/>
      <w:kern w:val="0"/>
      <w:sz w:val="18"/>
      <w:szCs w:val="18"/>
    </w:rPr>
  </w:style>
  <w:style w:type="character" w:customStyle="1" w:styleId="74">
    <w:name w:val="List Paragraph Char"/>
    <w:link w:val="75"/>
    <w:qFormat/>
    <w:uiPriority w:val="34"/>
    <w:rPr>
      <w:rFonts w:ascii="Calibri" w:hAnsi="Calibri"/>
    </w:rPr>
  </w:style>
  <w:style w:type="paragraph" w:customStyle="1" w:styleId="75">
    <w:name w:val="列出段落1"/>
    <w:basedOn w:val="1"/>
    <w:link w:val="74"/>
    <w:qFormat/>
    <w:uiPriority w:val="34"/>
    <w:pPr>
      <w:ind w:firstLine="420" w:firstLineChars="200"/>
    </w:pPr>
    <w:rPr>
      <w:rFonts w:ascii="Calibri" w:hAnsi="Calibri"/>
    </w:rPr>
  </w:style>
  <w:style w:type="character" w:customStyle="1" w:styleId="76">
    <w:name w:val="标书正文 字符"/>
    <w:link w:val="77"/>
    <w:qFormat/>
    <w:uiPriority w:val="0"/>
    <w:rPr>
      <w:rFonts w:ascii="Calibri" w:hAnsi="Calibri" w:eastAsia="仿宋"/>
      <w:sz w:val="24"/>
      <w:szCs w:val="21"/>
    </w:rPr>
  </w:style>
  <w:style w:type="paragraph" w:customStyle="1" w:styleId="77">
    <w:name w:val="标书正文"/>
    <w:basedOn w:val="1"/>
    <w:link w:val="76"/>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8">
    <w:name w:val="正文文本 字符"/>
    <w:semiHidden/>
    <w:qFormat/>
    <w:uiPriority w:val="99"/>
    <w:rPr>
      <w:rFonts w:ascii="Times New Roman" w:hAnsi="Times New Roman"/>
      <w:kern w:val="2"/>
      <w:sz w:val="24"/>
      <w:szCs w:val="24"/>
    </w:rPr>
  </w:style>
  <w:style w:type="character" w:customStyle="1" w:styleId="79">
    <w:name w:val="页脚 Char"/>
    <w:qFormat/>
    <w:uiPriority w:val="0"/>
    <w:rPr>
      <w:kern w:val="2"/>
      <w:sz w:val="18"/>
      <w:szCs w:val="18"/>
    </w:rPr>
  </w:style>
  <w:style w:type="character" w:customStyle="1" w:styleId="80">
    <w:name w:val="neir1"/>
    <w:qFormat/>
    <w:uiPriority w:val="0"/>
    <w:rPr>
      <w:rFonts w:hint="default" w:ascii="ˎ̥" w:hAnsi="ˎ̥"/>
      <w:color w:val="333333"/>
      <w:sz w:val="21"/>
      <w:szCs w:val="21"/>
      <w:u w:val="none"/>
    </w:rPr>
  </w:style>
  <w:style w:type="character" w:customStyle="1" w:styleId="81">
    <w:name w:val="批注框文本 Char1"/>
    <w:link w:val="28"/>
    <w:qFormat/>
    <w:uiPriority w:val="0"/>
    <w:rPr>
      <w:rFonts w:ascii="Times New Roman" w:hAnsi="Times New Roman" w:eastAsia="宋体" w:cs="Times New Roman"/>
      <w:sz w:val="18"/>
      <w:szCs w:val="18"/>
    </w:rPr>
  </w:style>
  <w:style w:type="character" w:customStyle="1" w:styleId="82">
    <w:name w:val="正文文本 3 字符1"/>
    <w:semiHidden/>
    <w:qFormat/>
    <w:uiPriority w:val="99"/>
    <w:rPr>
      <w:rFonts w:ascii="宋体" w:hAnsi="Calibri" w:eastAsia="宋体" w:cs="Times New Roman"/>
      <w:kern w:val="0"/>
      <w:sz w:val="16"/>
      <w:szCs w:val="16"/>
    </w:rPr>
  </w:style>
  <w:style w:type="character" w:customStyle="1" w:styleId="83">
    <w:name w:val="正文文本 字符3"/>
    <w:semiHidden/>
    <w:qFormat/>
    <w:uiPriority w:val="99"/>
    <w:rPr>
      <w:rFonts w:ascii="宋体" w:hAnsi="Calibri" w:eastAsia="宋体" w:cs="Times New Roman"/>
      <w:kern w:val="0"/>
      <w:sz w:val="24"/>
      <w:szCs w:val="24"/>
    </w:rPr>
  </w:style>
  <w:style w:type="character" w:customStyle="1" w:styleId="84">
    <w:name w:val="日期 字符1"/>
    <w:semiHidden/>
    <w:qFormat/>
    <w:uiPriority w:val="99"/>
    <w:rPr>
      <w:rFonts w:ascii="宋体" w:hAnsi="Calibri" w:eastAsia="宋体" w:cs="Times New Roman"/>
      <w:kern w:val="0"/>
      <w:sz w:val="24"/>
      <w:szCs w:val="24"/>
    </w:rPr>
  </w:style>
  <w:style w:type="character" w:customStyle="1" w:styleId="85">
    <w:name w:val="页脚 Char2"/>
    <w:link w:val="29"/>
    <w:qFormat/>
    <w:uiPriority w:val="99"/>
    <w:rPr>
      <w:rFonts w:ascii="宋体" w:eastAsia="宋体"/>
      <w:sz w:val="18"/>
      <w:szCs w:val="18"/>
    </w:rPr>
  </w:style>
  <w:style w:type="character" w:customStyle="1" w:styleId="86">
    <w:name w:val="吉奥正文 Char"/>
    <w:link w:val="87"/>
    <w:qFormat/>
    <w:locked/>
    <w:uiPriority w:val="0"/>
    <w:rPr>
      <w:rFonts w:eastAsia="仿宋_GB2312"/>
      <w:sz w:val="28"/>
    </w:rPr>
  </w:style>
  <w:style w:type="paragraph" w:customStyle="1" w:styleId="87">
    <w:name w:val="吉奥正文"/>
    <w:basedOn w:val="1"/>
    <w:link w:val="86"/>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8">
    <w:name w:val="页脚 Char1"/>
    <w:qFormat/>
    <w:uiPriority w:val="99"/>
    <w:rPr>
      <w:rFonts w:ascii="宋体" w:hAnsi="Times New Roman" w:eastAsia="宋体" w:cs="Times New Roman"/>
      <w:kern w:val="0"/>
      <w:sz w:val="18"/>
      <w:szCs w:val="18"/>
    </w:rPr>
  </w:style>
  <w:style w:type="character" w:customStyle="1" w:styleId="89">
    <w:name w:val="标题 字符"/>
    <w:qFormat/>
    <w:uiPriority w:val="10"/>
    <w:rPr>
      <w:rFonts w:ascii="Cambria" w:hAnsi="Cambria" w:eastAsia="宋体" w:cs="Times New Roman"/>
      <w:b/>
      <w:bCs/>
      <w:kern w:val="0"/>
      <w:sz w:val="32"/>
      <w:szCs w:val="32"/>
      <w:lang w:val="en-US" w:eastAsia="zh-CN"/>
    </w:rPr>
  </w:style>
  <w:style w:type="character" w:customStyle="1" w:styleId="90">
    <w:name w:val="题注 Char"/>
    <w:link w:val="14"/>
    <w:qFormat/>
    <w:uiPriority w:val="0"/>
    <w:rPr>
      <w:rFonts w:ascii="Arial" w:hAnsi="Arial" w:eastAsia="黑体" w:cs="Arial"/>
    </w:rPr>
  </w:style>
  <w:style w:type="character" w:customStyle="1" w:styleId="91">
    <w:name w:val="批注文字 字符2"/>
    <w:qFormat/>
    <w:uiPriority w:val="99"/>
    <w:rPr>
      <w:rFonts w:ascii="宋体" w:hAnsi="Times New Roman" w:eastAsia="宋体" w:cs="Times New Roman"/>
      <w:kern w:val="0"/>
      <w:sz w:val="24"/>
      <w:szCs w:val="24"/>
    </w:rPr>
  </w:style>
  <w:style w:type="character" w:customStyle="1" w:styleId="92">
    <w:name w:val="批注主题 字符1"/>
    <w:semiHidden/>
    <w:qFormat/>
    <w:uiPriority w:val="99"/>
    <w:rPr>
      <w:rFonts w:ascii="宋体" w:hAnsi="Calibri" w:eastAsia="宋体" w:cs="Times New Roman"/>
      <w:b/>
      <w:bCs/>
      <w:kern w:val="0"/>
      <w:sz w:val="24"/>
      <w:szCs w:val="24"/>
    </w:rPr>
  </w:style>
  <w:style w:type="character" w:customStyle="1" w:styleId="93">
    <w:name w:val="HTML 预设格式 Char"/>
    <w:link w:val="39"/>
    <w:qFormat/>
    <w:uiPriority w:val="99"/>
    <w:rPr>
      <w:rFonts w:ascii="Arial" w:hAnsi="Arial" w:eastAsia="宋体" w:cs="Arial"/>
      <w:szCs w:val="21"/>
    </w:rPr>
  </w:style>
  <w:style w:type="character" w:customStyle="1" w:styleId="94">
    <w:name w:val="标题 3.1 Char"/>
    <w:link w:val="95"/>
    <w:qFormat/>
    <w:uiPriority w:val="0"/>
    <w:rPr>
      <w:rFonts w:ascii="宋体" w:hAnsi="宋体"/>
      <w:b/>
      <w:bCs/>
      <w:sz w:val="32"/>
      <w:szCs w:val="32"/>
    </w:rPr>
  </w:style>
  <w:style w:type="paragraph" w:customStyle="1" w:styleId="95">
    <w:name w:val="标题 3.1"/>
    <w:basedOn w:val="5"/>
    <w:link w:val="94"/>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6">
    <w:name w:val="HTML 预设格式 Char1"/>
    <w:semiHidden/>
    <w:qFormat/>
    <w:uiPriority w:val="99"/>
    <w:rPr>
      <w:rFonts w:ascii="Courier New" w:hAnsi="Courier New" w:eastAsia="宋体" w:cs="Courier New"/>
      <w:kern w:val="0"/>
      <w:sz w:val="20"/>
      <w:szCs w:val="20"/>
    </w:rPr>
  </w:style>
  <w:style w:type="character" w:customStyle="1" w:styleId="97">
    <w:name w:val="批注文字 字符1"/>
    <w:qFormat/>
    <w:uiPriority w:val="0"/>
    <w:rPr>
      <w:rFonts w:eastAsia="宋体"/>
      <w:kern w:val="2"/>
      <w:sz w:val="24"/>
      <w:szCs w:val="24"/>
      <w:lang w:val="en-US" w:eastAsia="zh-CN" w:bidi="ar-SA"/>
    </w:rPr>
  </w:style>
  <w:style w:type="character" w:customStyle="1" w:styleId="98">
    <w:name w:val="正文文本缩进 字符2"/>
    <w:semiHidden/>
    <w:qFormat/>
    <w:uiPriority w:val="99"/>
    <w:rPr>
      <w:rFonts w:ascii="宋体" w:hAnsi="Calibri" w:eastAsia="宋体" w:cs="Times New Roman"/>
      <w:kern w:val="0"/>
      <w:sz w:val="24"/>
      <w:szCs w:val="24"/>
    </w:rPr>
  </w:style>
  <w:style w:type="character" w:customStyle="1" w:styleId="99">
    <w:name w:val="正文文本缩进 Char1"/>
    <w:link w:val="21"/>
    <w:qFormat/>
    <w:uiPriority w:val="0"/>
    <w:rPr>
      <w:rFonts w:ascii="Times New Roman" w:hAnsi="Times New Roman" w:eastAsia="宋体" w:cs="Times New Roman"/>
      <w:szCs w:val="20"/>
    </w:rPr>
  </w:style>
  <w:style w:type="character" w:customStyle="1" w:styleId="100">
    <w:name w:val="普通(网站) Char1"/>
    <w:link w:val="40"/>
    <w:qFormat/>
    <w:locked/>
    <w:uiPriority w:val="0"/>
    <w:rPr>
      <w:rFonts w:ascii="宋体" w:hAnsi="宋体"/>
      <w:sz w:val="15"/>
      <w:szCs w:val="15"/>
    </w:rPr>
  </w:style>
  <w:style w:type="character" w:customStyle="1" w:styleId="101">
    <w:name w:val="模板正文 Char"/>
    <w:link w:val="9"/>
    <w:qFormat/>
    <w:uiPriority w:val="0"/>
    <w:rPr>
      <w:rFonts w:ascii="宋体" w:eastAsia="仿宋"/>
      <w:sz w:val="24"/>
      <w:szCs w:val="21"/>
    </w:rPr>
  </w:style>
  <w:style w:type="character" w:customStyle="1" w:styleId="102">
    <w:name w:val="批注主题 Char"/>
    <w:semiHidden/>
    <w:qFormat/>
    <w:uiPriority w:val="99"/>
    <w:rPr>
      <w:b/>
      <w:bCs/>
      <w:kern w:val="2"/>
      <w:sz w:val="21"/>
    </w:rPr>
  </w:style>
  <w:style w:type="character" w:customStyle="1" w:styleId="103">
    <w:name w:val="正文文本 Char1"/>
    <w:qFormat/>
    <w:uiPriority w:val="0"/>
    <w:rPr>
      <w:rFonts w:ascii="宋体" w:hAnsi="Times New Roman" w:eastAsia="宋体" w:cs="Times New Roman"/>
      <w:kern w:val="0"/>
      <w:sz w:val="24"/>
      <w:szCs w:val="24"/>
    </w:rPr>
  </w:style>
  <w:style w:type="character" w:customStyle="1" w:styleId="104">
    <w:name w:val="正文文本 字符1"/>
    <w:qFormat/>
    <w:uiPriority w:val="99"/>
    <w:rPr>
      <w:rFonts w:ascii="宋体" w:eastAsia="宋体"/>
      <w:b/>
      <w:bCs/>
      <w:sz w:val="84"/>
      <w:szCs w:val="84"/>
      <w:lang w:val="zh-CN"/>
    </w:rPr>
  </w:style>
  <w:style w:type="character" w:customStyle="1" w:styleId="105">
    <w:name w:val="标题 1 Char"/>
    <w:qFormat/>
    <w:uiPriority w:val="9"/>
    <w:rPr>
      <w:rFonts w:ascii="宋体" w:hAnsi="Times New Roman" w:eastAsia="宋体" w:cs="Times New Roman"/>
      <w:kern w:val="0"/>
      <w:sz w:val="24"/>
      <w:szCs w:val="24"/>
    </w:rPr>
  </w:style>
  <w:style w:type="character" w:customStyle="1" w:styleId="106">
    <w:name w:val="正文文本 Char2"/>
    <w:qFormat/>
    <w:uiPriority w:val="99"/>
    <w:rPr>
      <w:rFonts w:ascii="宋体" w:eastAsia="宋体"/>
      <w:b/>
      <w:bCs/>
      <w:sz w:val="84"/>
      <w:szCs w:val="84"/>
      <w:lang w:val="zh-CN"/>
    </w:rPr>
  </w:style>
  <w:style w:type="character" w:customStyle="1" w:styleId="107">
    <w:name w:val="纯文本 Char2"/>
    <w:link w:val="24"/>
    <w:qFormat/>
    <w:uiPriority w:val="0"/>
    <w:rPr>
      <w:rFonts w:ascii="宋体" w:hAnsi="Courier New" w:eastAsia="宋体"/>
    </w:rPr>
  </w:style>
  <w:style w:type="character" w:customStyle="1" w:styleId="108">
    <w:name w:val="正文文本缩进 2 Char"/>
    <w:link w:val="27"/>
    <w:qFormat/>
    <w:uiPriority w:val="0"/>
    <w:rPr>
      <w:rFonts w:ascii="宋体" w:hAnsi="Times New Roman" w:eastAsia="宋体" w:cs="Times New Roman"/>
      <w:szCs w:val="20"/>
    </w:rPr>
  </w:style>
  <w:style w:type="character" w:customStyle="1" w:styleId="109">
    <w:name w:val="HTML Markup"/>
    <w:qFormat/>
    <w:uiPriority w:val="0"/>
    <w:rPr>
      <w:vanish/>
      <w:color w:val="FF0000"/>
    </w:rPr>
  </w:style>
  <w:style w:type="character" w:customStyle="1" w:styleId="110">
    <w:name w:val="页眉 Char1"/>
    <w:qFormat/>
    <w:uiPriority w:val="0"/>
    <w:rPr>
      <w:rFonts w:ascii="宋体" w:hAnsi="Times New Roman" w:eastAsia="宋体" w:cs="Times New Roman"/>
      <w:kern w:val="0"/>
      <w:sz w:val="18"/>
      <w:szCs w:val="18"/>
    </w:rPr>
  </w:style>
  <w:style w:type="character" w:customStyle="1" w:styleId="111">
    <w:name w:val="font11"/>
    <w:qFormat/>
    <w:uiPriority w:val="0"/>
    <w:rPr>
      <w:rFonts w:hint="eastAsia" w:ascii="宋体" w:hAnsi="宋体" w:eastAsia="宋体" w:cs="宋体"/>
      <w:color w:val="FF0000"/>
      <w:sz w:val="22"/>
      <w:szCs w:val="22"/>
      <w:u w:val="none"/>
    </w:rPr>
  </w:style>
  <w:style w:type="character" w:customStyle="1" w:styleId="112">
    <w:name w:val="style61"/>
    <w:qFormat/>
    <w:uiPriority w:val="0"/>
    <w:rPr>
      <w:b/>
      <w:bCs/>
    </w:rPr>
  </w:style>
  <w:style w:type="character" w:customStyle="1" w:styleId="113">
    <w:name w:val="表头文字 Char"/>
    <w:link w:val="114"/>
    <w:qFormat/>
    <w:uiPriority w:val="0"/>
    <w:rPr>
      <w:rFonts w:eastAsia="仿宋_GB2312"/>
      <w:b/>
      <w:sz w:val="28"/>
      <w:szCs w:val="21"/>
    </w:rPr>
  </w:style>
  <w:style w:type="paragraph" w:customStyle="1" w:styleId="114">
    <w:name w:val="表头文字"/>
    <w:basedOn w:val="1"/>
    <w:link w:val="113"/>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5">
    <w:name w:val="日期 Char1"/>
    <w:link w:val="26"/>
    <w:qFormat/>
    <w:uiPriority w:val="99"/>
    <w:rPr>
      <w:rFonts w:ascii="宋体" w:hAnsi="Times New Roman" w:eastAsia="宋体" w:cs="Times New Roman"/>
      <w:b/>
      <w:bCs/>
      <w:szCs w:val="21"/>
      <w:lang w:val="zh-CN"/>
    </w:rPr>
  </w:style>
  <w:style w:type="character" w:customStyle="1" w:styleId="116">
    <w:name w:val="纯文本 Char1"/>
    <w:qFormat/>
    <w:uiPriority w:val="0"/>
    <w:rPr>
      <w:rFonts w:ascii="宋体" w:hAnsi="Courier New" w:eastAsia="宋体" w:cs="Courier New"/>
      <w:kern w:val="0"/>
      <w:szCs w:val="21"/>
    </w:rPr>
  </w:style>
  <w:style w:type="character" w:customStyle="1" w:styleId="117">
    <w:name w:val="批注主题 Char1"/>
    <w:link w:val="42"/>
    <w:qFormat/>
    <w:uiPriority w:val="99"/>
    <w:rPr>
      <w:rFonts w:ascii="宋体" w:hAnsi="Times New Roman" w:eastAsia="宋体" w:cs="Times New Roman"/>
      <w:b/>
      <w:bCs/>
      <w:kern w:val="0"/>
      <w:sz w:val="24"/>
      <w:szCs w:val="24"/>
    </w:rPr>
  </w:style>
  <w:style w:type="character" w:customStyle="1" w:styleId="118">
    <w:name w:val="纯文本 字符"/>
    <w:qFormat/>
    <w:uiPriority w:val="99"/>
    <w:rPr>
      <w:rFonts w:ascii="宋体" w:hAnsi="Courier New" w:eastAsia="宋体" w:cs="Times New Roman"/>
      <w:szCs w:val="20"/>
      <w:lang w:val="en-US" w:eastAsia="zh-CN"/>
    </w:rPr>
  </w:style>
  <w:style w:type="character" w:customStyle="1" w:styleId="119">
    <w:name w:val="font71"/>
    <w:qFormat/>
    <w:uiPriority w:val="0"/>
    <w:rPr>
      <w:rFonts w:hint="eastAsia" w:ascii="宋体" w:hAnsi="宋体" w:eastAsia="宋体" w:cs="宋体"/>
      <w:color w:val="FF0000"/>
      <w:sz w:val="18"/>
      <w:szCs w:val="18"/>
      <w:u w:val="none"/>
    </w:rPr>
  </w:style>
  <w:style w:type="character" w:customStyle="1" w:styleId="120">
    <w:name w:val="font21"/>
    <w:basedOn w:val="47"/>
    <w:qFormat/>
    <w:uiPriority w:val="0"/>
    <w:rPr>
      <w:rFonts w:hint="eastAsia" w:ascii="宋体" w:hAnsi="宋体" w:eastAsia="宋体" w:cs="宋体"/>
      <w:b/>
      <w:color w:val="000000"/>
      <w:sz w:val="21"/>
      <w:szCs w:val="21"/>
      <w:u w:val="none"/>
    </w:rPr>
  </w:style>
  <w:style w:type="character" w:customStyle="1" w:styleId="121">
    <w:name w:val="纯文本 字符3"/>
    <w:semiHidden/>
    <w:qFormat/>
    <w:uiPriority w:val="99"/>
    <w:rPr>
      <w:rFonts w:ascii="等线" w:hAnsi="Courier New" w:cs="Courier New"/>
      <w:kern w:val="0"/>
      <w:sz w:val="24"/>
      <w:szCs w:val="24"/>
    </w:rPr>
  </w:style>
  <w:style w:type="character" w:customStyle="1" w:styleId="122">
    <w:name w:val="font31"/>
    <w:basedOn w:val="47"/>
    <w:qFormat/>
    <w:uiPriority w:val="0"/>
    <w:rPr>
      <w:rFonts w:hint="eastAsia" w:ascii="宋体" w:hAnsi="宋体" w:eastAsia="宋体" w:cs="宋体"/>
      <w:color w:val="000000"/>
      <w:sz w:val="18"/>
      <w:szCs w:val="18"/>
      <w:u w:val="none"/>
    </w:rPr>
  </w:style>
  <w:style w:type="character" w:customStyle="1" w:styleId="123">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24">
    <w:name w:val="普通(网站) 字符1"/>
    <w:qFormat/>
    <w:locked/>
    <w:uiPriority w:val="0"/>
    <w:rPr>
      <w:rFonts w:ascii="宋体" w:hAnsi="宋体"/>
      <w:sz w:val="15"/>
      <w:szCs w:val="15"/>
    </w:rPr>
  </w:style>
  <w:style w:type="character" w:customStyle="1" w:styleId="125">
    <w:name w:val="正文文本 Char3"/>
    <w:link w:val="20"/>
    <w:qFormat/>
    <w:uiPriority w:val="99"/>
    <w:rPr>
      <w:rFonts w:ascii="宋体" w:eastAsia="宋体"/>
      <w:b/>
      <w:bCs/>
      <w:sz w:val="84"/>
      <w:szCs w:val="84"/>
      <w:lang w:val="zh-CN"/>
    </w:rPr>
  </w:style>
  <w:style w:type="character" w:customStyle="1" w:styleId="126">
    <w:name w:val="标题 5 Char"/>
    <w:semiHidden/>
    <w:qFormat/>
    <w:uiPriority w:val="9"/>
    <w:rPr>
      <w:b/>
      <w:bCs/>
      <w:kern w:val="2"/>
      <w:sz w:val="28"/>
      <w:szCs w:val="28"/>
    </w:rPr>
  </w:style>
  <w:style w:type="character" w:customStyle="1" w:styleId="127">
    <w:name w:val="页眉 Char2"/>
    <w:link w:val="30"/>
    <w:qFormat/>
    <w:uiPriority w:val="99"/>
    <w:rPr>
      <w:rFonts w:ascii="宋体" w:eastAsia="宋体"/>
      <w:sz w:val="18"/>
      <w:szCs w:val="18"/>
    </w:rPr>
  </w:style>
  <w:style w:type="character" w:customStyle="1" w:styleId="128">
    <w:name w:val="表格文字 Char"/>
    <w:link w:val="129"/>
    <w:qFormat/>
    <w:uiPriority w:val="0"/>
    <w:rPr>
      <w:rFonts w:eastAsia="仿宋_GB2312"/>
      <w:sz w:val="28"/>
      <w:szCs w:val="24"/>
    </w:rPr>
  </w:style>
  <w:style w:type="paragraph" w:customStyle="1" w:styleId="129">
    <w:name w:val="表格文字"/>
    <w:basedOn w:val="1"/>
    <w:link w:val="128"/>
    <w:qFormat/>
    <w:uiPriority w:val="0"/>
    <w:rPr>
      <w:rFonts w:eastAsia="仿宋_GB2312"/>
      <w:sz w:val="28"/>
      <w:szCs w:val="24"/>
    </w:rPr>
  </w:style>
  <w:style w:type="character" w:customStyle="1" w:styleId="130">
    <w:name w:val="标题 字符2"/>
    <w:qFormat/>
    <w:uiPriority w:val="10"/>
    <w:rPr>
      <w:rFonts w:ascii="等线 Light" w:hAnsi="等线 Light" w:eastAsia="等线 Light" w:cs="Times New Roman"/>
      <w:b/>
      <w:bCs/>
      <w:kern w:val="0"/>
      <w:sz w:val="32"/>
      <w:szCs w:val="32"/>
    </w:rPr>
  </w:style>
  <w:style w:type="character" w:customStyle="1" w:styleId="131">
    <w:name w:val="正文缩进2格 Char Char"/>
    <w:qFormat/>
    <w:uiPriority w:val="0"/>
    <w:rPr>
      <w:rFonts w:ascii="仿宋_GB2312" w:hAnsi="宋体" w:eastAsia="仿宋_GB2312"/>
      <w:kern w:val="2"/>
      <w:sz w:val="31"/>
      <w:szCs w:val="28"/>
      <w:lang w:val="en-US" w:eastAsia="zh-CN" w:bidi="ar-SA"/>
    </w:rPr>
  </w:style>
  <w:style w:type="character" w:customStyle="1" w:styleId="132">
    <w:name w:val="小 Char"/>
    <w:qFormat/>
    <w:uiPriority w:val="0"/>
    <w:rPr>
      <w:rFonts w:ascii="宋体" w:hAnsi="Courier New" w:eastAsia="宋体"/>
      <w:kern w:val="2"/>
      <w:sz w:val="21"/>
      <w:lang w:val="en-US" w:eastAsia="zh-CN" w:bidi="ar-SA"/>
    </w:rPr>
  </w:style>
  <w:style w:type="character" w:customStyle="1" w:styleId="133">
    <w:name w:val="themebody1"/>
    <w:qFormat/>
    <w:uiPriority w:val="0"/>
    <w:rPr>
      <w:color w:val="FFFFFF"/>
    </w:rPr>
  </w:style>
  <w:style w:type="character" w:customStyle="1" w:styleId="134">
    <w:name w:val="页脚 字符1"/>
    <w:semiHidden/>
    <w:qFormat/>
    <w:uiPriority w:val="99"/>
    <w:rPr>
      <w:rFonts w:ascii="宋体" w:hAnsi="Calibri" w:eastAsia="宋体" w:cs="Times New Roman"/>
      <w:kern w:val="0"/>
      <w:sz w:val="18"/>
      <w:szCs w:val="18"/>
    </w:rPr>
  </w:style>
  <w:style w:type="character" w:customStyle="1" w:styleId="135">
    <w:name w:val="列出段落 Char"/>
    <w:link w:val="136"/>
    <w:qFormat/>
    <w:uiPriority w:val="34"/>
    <w:rPr>
      <w:kern w:val="2"/>
      <w:sz w:val="21"/>
      <w:szCs w:val="22"/>
    </w:rPr>
  </w:style>
  <w:style w:type="paragraph" w:styleId="136">
    <w:name w:val="List Paragraph"/>
    <w:basedOn w:val="1"/>
    <w:link w:val="135"/>
    <w:qFormat/>
    <w:uiPriority w:val="99"/>
    <w:pPr>
      <w:ind w:firstLine="420" w:firstLineChars="200"/>
    </w:pPr>
  </w:style>
  <w:style w:type="character" w:customStyle="1" w:styleId="137">
    <w:name w:val="正文文本 Char"/>
    <w:qFormat/>
    <w:uiPriority w:val="99"/>
    <w:rPr>
      <w:rFonts w:ascii="宋体" w:eastAsia="宋体"/>
      <w:b/>
      <w:bCs/>
      <w:sz w:val="84"/>
      <w:szCs w:val="84"/>
      <w:lang w:val="zh-CN"/>
    </w:rPr>
  </w:style>
  <w:style w:type="character" w:customStyle="1" w:styleId="138">
    <w:name w:val="页眉 字符1"/>
    <w:semiHidden/>
    <w:qFormat/>
    <w:uiPriority w:val="99"/>
    <w:rPr>
      <w:rFonts w:ascii="宋体" w:hAnsi="Calibri" w:eastAsia="宋体" w:cs="Times New Roman"/>
      <w:kern w:val="0"/>
      <w:sz w:val="18"/>
      <w:szCs w:val="18"/>
    </w:rPr>
  </w:style>
  <w:style w:type="character" w:customStyle="1" w:styleId="139">
    <w:name w:val="标题 5 Char1"/>
    <w:link w:val="7"/>
    <w:qFormat/>
    <w:uiPriority w:val="9"/>
    <w:rPr>
      <w:rFonts w:ascii="宋体" w:hAnsi="Calibri" w:eastAsia="宋体" w:cs="Times New Roman"/>
      <w:b/>
      <w:bCs/>
      <w:kern w:val="0"/>
      <w:sz w:val="28"/>
      <w:szCs w:val="28"/>
    </w:rPr>
  </w:style>
  <w:style w:type="character" w:customStyle="1" w:styleId="140">
    <w:name w:val="keyfeatures1"/>
    <w:qFormat/>
    <w:uiPriority w:val="0"/>
    <w:rPr>
      <w:rFonts w:hint="default" w:ascii="Arial" w:hAnsi="Arial" w:cs="Arial"/>
      <w:color w:val="003366"/>
      <w:sz w:val="17"/>
      <w:szCs w:val="17"/>
      <w:u w:val="none"/>
    </w:rPr>
  </w:style>
  <w:style w:type="character" w:customStyle="1" w:styleId="141">
    <w:name w:val="题注 字符"/>
    <w:qFormat/>
    <w:uiPriority w:val="0"/>
    <w:rPr>
      <w:rFonts w:ascii="宋体" w:hAnsi="宋体" w:eastAsia="黑体" w:cs="Times New Roman"/>
      <w:b/>
      <w:szCs w:val="21"/>
    </w:rPr>
  </w:style>
  <w:style w:type="character" w:customStyle="1" w:styleId="142">
    <w:name w:val="标题 4 Char"/>
    <w:qFormat/>
    <w:uiPriority w:val="0"/>
    <w:rPr>
      <w:rFonts w:ascii="宋体" w:hAnsi="宋体" w:eastAsia="宋体"/>
      <w:b/>
      <w:kern w:val="2"/>
      <w:sz w:val="21"/>
      <w:szCs w:val="24"/>
      <w:lang w:val="en-US" w:eastAsia="zh-CN" w:bidi="ar-SA"/>
    </w:rPr>
  </w:style>
  <w:style w:type="character" w:customStyle="1" w:styleId="143">
    <w:name w:val="批注文字 字符3"/>
    <w:semiHidden/>
    <w:qFormat/>
    <w:uiPriority w:val="99"/>
    <w:rPr>
      <w:rFonts w:ascii="宋体" w:hAnsi="Calibri" w:eastAsia="宋体" w:cs="Times New Roman"/>
      <w:kern w:val="0"/>
      <w:sz w:val="24"/>
      <w:szCs w:val="24"/>
    </w:rPr>
  </w:style>
  <w:style w:type="character" w:customStyle="1" w:styleId="144">
    <w:name w:val="纯文本 字符1"/>
    <w:qFormat/>
    <w:uiPriority w:val="0"/>
    <w:rPr>
      <w:rFonts w:ascii="宋体" w:hAnsi="Courier New" w:eastAsia="宋体"/>
      <w:kern w:val="2"/>
      <w:sz w:val="21"/>
      <w:szCs w:val="24"/>
      <w:lang w:val="en-US" w:eastAsia="zh-CN" w:bidi="ar-SA"/>
    </w:rPr>
  </w:style>
  <w:style w:type="character" w:customStyle="1" w:styleId="145">
    <w:name w:val="列出段落 Char1"/>
    <w:qFormat/>
    <w:uiPriority w:val="34"/>
    <w:rPr>
      <w:rFonts w:ascii="宋体"/>
      <w:sz w:val="24"/>
      <w:szCs w:val="24"/>
    </w:rPr>
  </w:style>
  <w:style w:type="character" w:customStyle="1" w:styleId="146">
    <w:name w:val="彩色列表 - 着色 1 字符"/>
    <w:link w:val="147"/>
    <w:qFormat/>
    <w:uiPriority w:val="0"/>
    <w:rPr>
      <w:rFonts w:ascii="Calibri" w:hAnsi="Calibri"/>
    </w:rPr>
  </w:style>
  <w:style w:type="paragraph" w:customStyle="1" w:styleId="147">
    <w:name w:val="彩色列表 - 着色 11"/>
    <w:basedOn w:val="1"/>
    <w:link w:val="146"/>
    <w:qFormat/>
    <w:uiPriority w:val="0"/>
    <w:pPr>
      <w:ind w:firstLine="420" w:firstLineChars="200"/>
    </w:pPr>
    <w:rPr>
      <w:rFonts w:ascii="Calibri" w:hAnsi="Calibri"/>
    </w:rPr>
  </w:style>
  <w:style w:type="character" w:customStyle="1" w:styleId="148">
    <w:name w:val="纯文本 Char"/>
    <w:qFormat/>
    <w:uiPriority w:val="0"/>
    <w:rPr>
      <w:rFonts w:ascii="宋体" w:hAnsi="Courier New" w:eastAsia="宋体" w:cs="Times New Roman"/>
      <w:szCs w:val="20"/>
    </w:rPr>
  </w:style>
  <w:style w:type="character" w:customStyle="1" w:styleId="149">
    <w:name w:val="标题 6 Char"/>
    <w:link w:val="8"/>
    <w:qFormat/>
    <w:uiPriority w:val="9"/>
    <w:rPr>
      <w:rFonts w:ascii="Times New Roman" w:hAnsi="Calibri" w:eastAsia="黑体" w:cs="Times New Roman"/>
      <w:b/>
      <w:bCs/>
      <w:kern w:val="0"/>
      <w:sz w:val="28"/>
      <w:szCs w:val="24"/>
    </w:rPr>
  </w:style>
  <w:style w:type="character" w:customStyle="1" w:styleId="150">
    <w:name w:val="正文文本 2 Char"/>
    <w:link w:val="38"/>
    <w:qFormat/>
    <w:uiPriority w:val="0"/>
    <w:rPr>
      <w:rFonts w:ascii="Arial" w:hAnsi="Arial" w:eastAsia="宋体" w:cs="Times New Roman"/>
      <w:color w:val="000000"/>
      <w:szCs w:val="24"/>
    </w:rPr>
  </w:style>
  <w:style w:type="character" w:customStyle="1" w:styleId="151">
    <w:name w:val="标题 3 Char"/>
    <w:link w:val="5"/>
    <w:qFormat/>
    <w:uiPriority w:val="0"/>
    <w:rPr>
      <w:rFonts w:ascii="宋体" w:hAnsi="Calibri" w:eastAsia="宋体" w:cs="Times New Roman"/>
      <w:kern w:val="0"/>
      <w:sz w:val="24"/>
      <w:szCs w:val="24"/>
    </w:rPr>
  </w:style>
  <w:style w:type="character" w:customStyle="1" w:styleId="152">
    <w:name w:val="正文文本缩进 2 字符1"/>
    <w:semiHidden/>
    <w:qFormat/>
    <w:uiPriority w:val="99"/>
    <w:rPr>
      <w:rFonts w:ascii="宋体" w:hAnsi="Calibri" w:eastAsia="宋体" w:cs="Times New Roman"/>
      <w:kern w:val="0"/>
      <w:sz w:val="24"/>
      <w:szCs w:val="24"/>
    </w:rPr>
  </w:style>
  <w:style w:type="character" w:customStyle="1" w:styleId="153">
    <w:name w:val="正文文本缩进 3 字符1"/>
    <w:semiHidden/>
    <w:qFormat/>
    <w:uiPriority w:val="99"/>
    <w:rPr>
      <w:rFonts w:ascii="宋体" w:hAnsi="Calibri" w:eastAsia="宋体" w:cs="Times New Roman"/>
      <w:kern w:val="0"/>
      <w:sz w:val="16"/>
      <w:szCs w:val="16"/>
    </w:rPr>
  </w:style>
  <w:style w:type="character" w:customStyle="1" w:styleId="154">
    <w:name w:val="正文文本 2 字符1"/>
    <w:semiHidden/>
    <w:qFormat/>
    <w:uiPriority w:val="99"/>
    <w:rPr>
      <w:rFonts w:ascii="宋体" w:hAnsi="Calibri" w:eastAsia="宋体" w:cs="Times New Roman"/>
      <w:kern w:val="0"/>
      <w:sz w:val="24"/>
      <w:szCs w:val="24"/>
    </w:rPr>
  </w:style>
  <w:style w:type="character" w:customStyle="1" w:styleId="155">
    <w:name w:val="eschoolnr"/>
    <w:qFormat/>
    <w:uiPriority w:val="0"/>
    <w:rPr>
      <w:sz w:val="23"/>
      <w:szCs w:val="23"/>
    </w:rPr>
  </w:style>
  <w:style w:type="character" w:customStyle="1" w:styleId="156">
    <w:name w:val="访问过的超链接1"/>
    <w:qFormat/>
    <w:uiPriority w:val="0"/>
    <w:rPr>
      <w:rFonts w:ascii="Arial" w:hAnsi="Arial" w:cs="Arial"/>
      <w:color w:val="000000"/>
      <w:sz w:val="20"/>
      <w:szCs w:val="20"/>
      <w:u w:val="none"/>
    </w:rPr>
  </w:style>
  <w:style w:type="character" w:customStyle="1" w:styleId="157">
    <w:name w:val="标题 1 Char1"/>
    <w:link w:val="3"/>
    <w:qFormat/>
    <w:uiPriority w:val="0"/>
    <w:rPr>
      <w:rFonts w:ascii="宋体" w:hAnsi="Calibri" w:eastAsia="宋体" w:cs="Times New Roman"/>
      <w:kern w:val="0"/>
      <w:sz w:val="24"/>
      <w:szCs w:val="24"/>
    </w:rPr>
  </w:style>
  <w:style w:type="character" w:customStyle="1" w:styleId="158">
    <w:name w:val="批注文字 Char1"/>
    <w:qFormat/>
    <w:uiPriority w:val="0"/>
    <w:rPr>
      <w:kern w:val="2"/>
      <w:sz w:val="21"/>
      <w:szCs w:val="24"/>
    </w:rPr>
  </w:style>
  <w:style w:type="character" w:customStyle="1" w:styleId="159">
    <w:name w:val="批注框文本 Char"/>
    <w:semiHidden/>
    <w:qFormat/>
    <w:uiPriority w:val="99"/>
    <w:rPr>
      <w:kern w:val="2"/>
      <w:sz w:val="18"/>
      <w:szCs w:val="18"/>
    </w:rPr>
  </w:style>
  <w:style w:type="character" w:customStyle="1" w:styleId="160">
    <w:name w:val="DAS正文 Char"/>
    <w:qFormat/>
    <w:uiPriority w:val="0"/>
    <w:rPr>
      <w:rFonts w:ascii="Verdana" w:hAnsi="Verdana" w:eastAsia="宋体"/>
      <w:kern w:val="2"/>
      <w:sz w:val="21"/>
      <w:szCs w:val="21"/>
      <w:lang w:val="en-US" w:eastAsia="zh-CN" w:bidi="ar-SA"/>
    </w:rPr>
  </w:style>
  <w:style w:type="character" w:customStyle="1" w:styleId="161">
    <w:name w:val="正文文本缩进 3 Char"/>
    <w:link w:val="35"/>
    <w:qFormat/>
    <w:uiPriority w:val="0"/>
    <w:rPr>
      <w:rFonts w:ascii="宋体" w:hAnsi="Times New Roman" w:eastAsia="宋体" w:cs="Times New Roman"/>
      <w:kern w:val="0"/>
      <w:sz w:val="24"/>
      <w:szCs w:val="24"/>
    </w:rPr>
  </w:style>
  <w:style w:type="character" w:customStyle="1" w:styleId="162">
    <w:name w:val="页眉 Char"/>
    <w:qFormat/>
    <w:uiPriority w:val="99"/>
    <w:rPr>
      <w:kern w:val="2"/>
      <w:sz w:val="18"/>
      <w:szCs w:val="18"/>
    </w:rPr>
  </w:style>
  <w:style w:type="character" w:customStyle="1" w:styleId="163">
    <w:name w:val="正文文本 3 Char"/>
    <w:link w:val="18"/>
    <w:qFormat/>
    <w:uiPriority w:val="0"/>
    <w:rPr>
      <w:rFonts w:ascii="宋体" w:hAnsi="Times New Roman" w:eastAsia="宋体" w:cs="Times New Roman"/>
      <w:b/>
      <w:bCs/>
      <w:color w:val="3366FF"/>
      <w:sz w:val="52"/>
      <w:szCs w:val="52"/>
      <w:lang w:val="zh-CN"/>
    </w:rPr>
  </w:style>
  <w:style w:type="character" w:customStyle="1" w:styleId="164">
    <w:name w:val="HTML 预设格式 字符1"/>
    <w:semiHidden/>
    <w:qFormat/>
    <w:uiPriority w:val="99"/>
    <w:rPr>
      <w:rFonts w:ascii="Courier New" w:hAnsi="Courier New" w:eastAsia="宋体" w:cs="Courier New"/>
      <w:kern w:val="0"/>
      <w:sz w:val="20"/>
      <w:szCs w:val="20"/>
    </w:rPr>
  </w:style>
  <w:style w:type="character" w:customStyle="1" w:styleId="165">
    <w:name w:val="彩色列表 - 强调文字颜色 1 Char"/>
    <w:link w:val="166"/>
    <w:qFormat/>
    <w:uiPriority w:val="0"/>
    <w:rPr>
      <w:rFonts w:ascii="宋体"/>
      <w:sz w:val="24"/>
      <w:szCs w:val="24"/>
    </w:rPr>
  </w:style>
  <w:style w:type="paragraph" w:customStyle="1" w:styleId="166">
    <w:name w:val="彩色列表 - 强调文字颜色 11"/>
    <w:basedOn w:val="1"/>
    <w:link w:val="165"/>
    <w:qFormat/>
    <w:uiPriority w:val="34"/>
    <w:pPr>
      <w:autoSpaceDE w:val="0"/>
      <w:autoSpaceDN w:val="0"/>
      <w:adjustRightInd w:val="0"/>
      <w:ind w:firstLine="420" w:firstLineChars="200"/>
      <w:jc w:val="left"/>
    </w:pPr>
    <w:rPr>
      <w:rFonts w:ascii="宋体"/>
      <w:sz w:val="24"/>
      <w:szCs w:val="24"/>
    </w:rPr>
  </w:style>
  <w:style w:type="character" w:customStyle="1" w:styleId="167">
    <w:name w:val="普通(网站) 字符"/>
    <w:qFormat/>
    <w:locked/>
    <w:uiPriority w:val="99"/>
    <w:rPr>
      <w:rFonts w:ascii="宋体" w:hAnsi="宋体" w:eastAsia="宋体" w:cs="Times New Roman"/>
      <w:kern w:val="0"/>
      <w:sz w:val="15"/>
      <w:szCs w:val="15"/>
      <w:lang w:val="en-US" w:eastAsia="zh-CN"/>
    </w:rPr>
  </w:style>
  <w:style w:type="paragraph" w:customStyle="1" w:styleId="168">
    <w:name w:val="_Style 123"/>
    <w:basedOn w:val="1"/>
    <w:next w:val="136"/>
    <w:qFormat/>
    <w:uiPriority w:val="34"/>
    <w:pPr>
      <w:spacing w:line="360" w:lineRule="auto"/>
      <w:ind w:firstLine="420" w:firstLineChars="200"/>
    </w:pPr>
    <w:rPr>
      <w:rFonts w:ascii="Calibri" w:hAnsi="Calibri" w:eastAsia="宋体" w:cs="Times New Roman"/>
    </w:rPr>
  </w:style>
  <w:style w:type="character" w:customStyle="1" w:styleId="169">
    <w:name w:val="纯文本 字符4"/>
    <w:basedOn w:val="47"/>
    <w:semiHidden/>
    <w:qFormat/>
    <w:uiPriority w:val="99"/>
    <w:rPr>
      <w:rFonts w:hAnsi="Courier New" w:cs="Courier New" w:asciiTheme="minorEastAsia"/>
    </w:rPr>
  </w:style>
  <w:style w:type="character" w:customStyle="1" w:styleId="170">
    <w:name w:val="批注文字 Char2"/>
    <w:basedOn w:val="47"/>
    <w:link w:val="17"/>
    <w:semiHidden/>
    <w:qFormat/>
    <w:uiPriority w:val="99"/>
  </w:style>
  <w:style w:type="character" w:customStyle="1" w:styleId="171">
    <w:name w:val="批注主题 字符2"/>
    <w:basedOn w:val="170"/>
    <w:semiHidden/>
    <w:qFormat/>
    <w:uiPriority w:val="99"/>
    <w:rPr>
      <w:b/>
      <w:bCs/>
    </w:rPr>
  </w:style>
  <w:style w:type="character" w:customStyle="1" w:styleId="172">
    <w:name w:val="标题 字符3"/>
    <w:basedOn w:val="47"/>
    <w:qFormat/>
    <w:uiPriority w:val="10"/>
    <w:rPr>
      <w:rFonts w:asciiTheme="majorHAnsi" w:hAnsiTheme="majorHAnsi" w:eastAsiaTheme="majorEastAsia" w:cstheme="majorBidi"/>
      <w:b/>
      <w:bCs/>
      <w:sz w:val="32"/>
      <w:szCs w:val="32"/>
    </w:rPr>
  </w:style>
  <w:style w:type="character" w:customStyle="1" w:styleId="173">
    <w:name w:val="正文文本缩进 字符3"/>
    <w:basedOn w:val="47"/>
    <w:semiHidden/>
    <w:qFormat/>
    <w:uiPriority w:val="99"/>
  </w:style>
  <w:style w:type="character" w:customStyle="1" w:styleId="174">
    <w:name w:val="正文文本 字符4"/>
    <w:basedOn w:val="47"/>
    <w:semiHidden/>
    <w:qFormat/>
    <w:uiPriority w:val="99"/>
  </w:style>
  <w:style w:type="character" w:customStyle="1" w:styleId="175">
    <w:name w:val="正文文本缩进 3 字符2"/>
    <w:basedOn w:val="47"/>
    <w:semiHidden/>
    <w:qFormat/>
    <w:uiPriority w:val="99"/>
    <w:rPr>
      <w:sz w:val="16"/>
      <w:szCs w:val="16"/>
    </w:rPr>
  </w:style>
  <w:style w:type="character" w:customStyle="1" w:styleId="176">
    <w:name w:val="页眉 字符2"/>
    <w:basedOn w:val="47"/>
    <w:semiHidden/>
    <w:qFormat/>
    <w:uiPriority w:val="99"/>
    <w:rPr>
      <w:sz w:val="18"/>
      <w:szCs w:val="18"/>
    </w:rPr>
  </w:style>
  <w:style w:type="character" w:customStyle="1" w:styleId="177">
    <w:name w:val="批注框文本 字符2"/>
    <w:basedOn w:val="47"/>
    <w:semiHidden/>
    <w:qFormat/>
    <w:uiPriority w:val="99"/>
    <w:rPr>
      <w:sz w:val="18"/>
      <w:szCs w:val="18"/>
    </w:rPr>
  </w:style>
  <w:style w:type="character" w:customStyle="1" w:styleId="178">
    <w:name w:val="HTML 预设格式 字符2"/>
    <w:basedOn w:val="47"/>
    <w:semiHidden/>
    <w:qFormat/>
    <w:uiPriority w:val="99"/>
    <w:rPr>
      <w:rFonts w:ascii="Courier New" w:hAnsi="Courier New" w:cs="Courier New"/>
      <w:sz w:val="20"/>
      <w:szCs w:val="20"/>
    </w:rPr>
  </w:style>
  <w:style w:type="character" w:customStyle="1" w:styleId="179">
    <w:name w:val="页脚 字符2"/>
    <w:basedOn w:val="47"/>
    <w:semiHidden/>
    <w:qFormat/>
    <w:uiPriority w:val="99"/>
    <w:rPr>
      <w:sz w:val="18"/>
      <w:szCs w:val="18"/>
    </w:rPr>
  </w:style>
  <w:style w:type="character" w:customStyle="1" w:styleId="180">
    <w:name w:val="正文文本缩进 2 字符2"/>
    <w:basedOn w:val="47"/>
    <w:semiHidden/>
    <w:qFormat/>
    <w:uiPriority w:val="99"/>
  </w:style>
  <w:style w:type="character" w:customStyle="1" w:styleId="181">
    <w:name w:val="正文文本 3 字符2"/>
    <w:basedOn w:val="47"/>
    <w:semiHidden/>
    <w:qFormat/>
    <w:uiPriority w:val="99"/>
    <w:rPr>
      <w:sz w:val="16"/>
      <w:szCs w:val="16"/>
    </w:rPr>
  </w:style>
  <w:style w:type="character" w:customStyle="1" w:styleId="182">
    <w:name w:val="正文文本 2 字符2"/>
    <w:basedOn w:val="47"/>
    <w:semiHidden/>
    <w:qFormat/>
    <w:uiPriority w:val="99"/>
  </w:style>
  <w:style w:type="paragraph" w:customStyle="1" w:styleId="183">
    <w:name w:val="WPSOffice手动目录 3"/>
    <w:qFormat/>
    <w:uiPriority w:val="0"/>
    <w:pPr>
      <w:ind w:left="400" w:leftChars="400"/>
    </w:pPr>
    <w:rPr>
      <w:rFonts w:ascii="Calibri" w:hAnsi="Calibri" w:eastAsia="宋体" w:cs="Times New Roman"/>
      <w:lang w:val="en-US" w:eastAsia="zh-CN" w:bidi="ar-SA"/>
    </w:rPr>
  </w:style>
  <w:style w:type="paragraph" w:customStyle="1" w:styleId="184">
    <w:name w:val="列表段落1"/>
    <w:basedOn w:val="1"/>
    <w:qFormat/>
    <w:uiPriority w:val="0"/>
    <w:pPr>
      <w:ind w:firstLine="420" w:firstLineChars="200"/>
    </w:pPr>
    <w:rPr>
      <w:rFonts w:ascii="Times New Roman" w:hAnsi="Times New Roman" w:eastAsia="宋体" w:cs="Times New Roman"/>
      <w:szCs w:val="20"/>
    </w:rPr>
  </w:style>
  <w:style w:type="character" w:customStyle="1" w:styleId="185">
    <w:name w:val="文档结构图 字符2"/>
    <w:basedOn w:val="47"/>
    <w:semiHidden/>
    <w:qFormat/>
    <w:uiPriority w:val="99"/>
    <w:rPr>
      <w:rFonts w:ascii="Microsoft YaHei UI" w:eastAsia="Microsoft YaHei UI"/>
      <w:sz w:val="18"/>
      <w:szCs w:val="18"/>
    </w:rPr>
  </w:style>
  <w:style w:type="character" w:customStyle="1" w:styleId="186">
    <w:name w:val="日期 字符2"/>
    <w:basedOn w:val="47"/>
    <w:semiHidden/>
    <w:qFormat/>
    <w:uiPriority w:val="99"/>
  </w:style>
  <w:style w:type="paragraph" w:customStyle="1" w:styleId="187">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8">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9">
    <w:name w:val="修订1"/>
    <w:semiHidden/>
    <w:qFormat/>
    <w:uiPriority w:val="99"/>
    <w:rPr>
      <w:rFonts w:ascii="宋体" w:hAnsi="Calibri" w:eastAsia="宋体" w:cs="Times New Roman"/>
      <w:sz w:val="24"/>
      <w:szCs w:val="24"/>
      <w:lang w:val="en-US" w:eastAsia="zh-CN" w:bidi="ar-SA"/>
    </w:rPr>
  </w:style>
  <w:style w:type="paragraph" w:customStyle="1" w:styleId="190">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2">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3">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4">
    <w:name w:val="p0"/>
    <w:basedOn w:val="1"/>
    <w:qFormat/>
    <w:uiPriority w:val="0"/>
    <w:pPr>
      <w:widowControl/>
    </w:pPr>
    <w:rPr>
      <w:rFonts w:ascii="Times New Roman" w:hAnsi="Calibri" w:eastAsia="宋体" w:cs="Times New Roman"/>
      <w:kern w:val="0"/>
      <w:szCs w:val="20"/>
    </w:rPr>
  </w:style>
  <w:style w:type="paragraph" w:customStyle="1" w:styleId="195">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7">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WPSOffice手动目录 1"/>
    <w:qFormat/>
    <w:uiPriority w:val="0"/>
    <w:rPr>
      <w:rFonts w:ascii="Calibri" w:hAnsi="Calibri" w:eastAsia="宋体" w:cs="Times New Roman"/>
      <w:lang w:val="en-US" w:eastAsia="zh-CN" w:bidi="ar-SA"/>
    </w:rPr>
  </w:style>
  <w:style w:type="paragraph" w:customStyle="1" w:styleId="199">
    <w:name w:val="_Style 69"/>
    <w:basedOn w:val="1"/>
    <w:next w:val="136"/>
    <w:qFormat/>
    <w:uiPriority w:val="34"/>
    <w:pPr>
      <w:spacing w:line="360" w:lineRule="auto"/>
      <w:ind w:firstLine="420" w:firstLineChars="200"/>
    </w:pPr>
    <w:rPr>
      <w:rFonts w:ascii="Calibri" w:hAnsi="Calibri" w:eastAsia="宋体" w:cs="Times New Roman"/>
    </w:rPr>
  </w:style>
  <w:style w:type="paragraph" w:customStyle="1" w:styleId="200">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1">
    <w:name w:val="保留正文"/>
    <w:basedOn w:val="20"/>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2">
    <w:name w:val="彩色底纹 - 着色 11"/>
    <w:semiHidden/>
    <w:qFormat/>
    <w:uiPriority w:val="99"/>
    <w:rPr>
      <w:rFonts w:ascii="宋体" w:hAnsi="Calibri" w:eastAsia="宋体" w:cs="Times New Roman"/>
      <w:sz w:val="24"/>
      <w:szCs w:val="24"/>
      <w:lang w:val="en-US" w:eastAsia="zh-CN" w:bidi="ar-SA"/>
    </w:rPr>
  </w:style>
  <w:style w:type="paragraph" w:customStyle="1" w:styleId="203">
    <w:name w:val="WPSOffice手动目录 2"/>
    <w:qFormat/>
    <w:uiPriority w:val="0"/>
    <w:pPr>
      <w:ind w:left="200" w:leftChars="200"/>
    </w:pPr>
    <w:rPr>
      <w:rFonts w:ascii="Calibri" w:hAnsi="Calibri" w:eastAsia="宋体" w:cs="Times New Roman"/>
      <w:lang w:val="en-US" w:eastAsia="zh-CN" w:bidi="ar-SA"/>
    </w:rPr>
  </w:style>
  <w:style w:type="paragraph" w:customStyle="1" w:styleId="204">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5">
    <w:name w:val="表格文字居中"/>
    <w:basedOn w:val="129"/>
    <w:qFormat/>
    <w:uiPriority w:val="0"/>
    <w:pPr>
      <w:jc w:val="center"/>
    </w:pPr>
    <w:rPr>
      <w:rFonts w:cs="宋体"/>
      <w:szCs w:val="20"/>
    </w:rPr>
  </w:style>
  <w:style w:type="paragraph" w:customStyle="1" w:styleId="206">
    <w:name w:val="正文缩进4格"/>
    <w:basedOn w:val="70"/>
    <w:qFormat/>
    <w:uiPriority w:val="0"/>
    <w:pPr>
      <w:spacing w:line="360" w:lineRule="auto"/>
      <w:ind w:left="964" w:leftChars="314" w:hanging="210" w:hangingChars="100"/>
    </w:pPr>
    <w:rPr>
      <w:rFonts w:ascii="宋体" w:eastAsia="宋体"/>
      <w:sz w:val="21"/>
      <w:szCs w:val="21"/>
      <w:lang w:val="zh-CN"/>
    </w:rPr>
  </w:style>
  <w:style w:type="paragraph" w:customStyle="1" w:styleId="207">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8">
    <w:name w:val="正文首行缩进 Char"/>
    <w:basedOn w:val="125"/>
    <w:link w:val="43"/>
    <w:semiHidden/>
    <w:qFormat/>
    <w:uiPriority w:val="99"/>
    <w:rPr>
      <w:rFonts w:ascii="宋体" w:eastAsia="宋体"/>
      <w:b w:val="0"/>
      <w:bCs w:val="0"/>
      <w:sz w:val="84"/>
      <w:szCs w:val="84"/>
      <w:lang w:val="zh-CN"/>
    </w:rPr>
  </w:style>
  <w:style w:type="paragraph" w:customStyle="1" w:styleId="209">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0">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1">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2">
    <w:name w:val="修订5"/>
    <w:hidden/>
    <w:semi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3">
    <w:name w:val="正文文本缩进 21"/>
    <w:basedOn w:val="1"/>
    <w:qFormat/>
    <w:uiPriority w:val="0"/>
    <w:pPr>
      <w:autoSpaceDE w:val="0"/>
      <w:autoSpaceDN w:val="0"/>
      <w:adjustRightInd w:val="0"/>
      <w:spacing w:line="480" w:lineRule="auto"/>
      <w:ind w:firstLine="540"/>
      <w:jc w:val="left"/>
      <w:textAlignment w:val="baseline"/>
    </w:pPr>
    <w:rPr>
      <w:rFonts w:ascii="Calibri" w:hAnsi="Calibri" w:eastAsia="宋体" w:cs="Times New Roman"/>
      <w:kern w:val="0"/>
      <w:szCs w:val="21"/>
    </w:rPr>
  </w:style>
  <w:style w:type="character" w:customStyle="1" w:styleId="214">
    <w:name w:val="font51"/>
    <w:qFormat/>
    <w:uiPriority w:val="0"/>
    <w:rPr>
      <w:rFonts w:hint="default" w:ascii="Times New Roman" w:hAnsi="Times New Roman" w:cs="Times New Roman"/>
      <w:color w:val="000000"/>
      <w:sz w:val="21"/>
      <w:szCs w:val="21"/>
      <w:u w:val="none"/>
      <w:lang w:val="en-US" w:eastAsia="zh-CN" w:bidi="ar-SA"/>
    </w:rPr>
  </w:style>
  <w:style w:type="paragraph" w:customStyle="1" w:styleId="215">
    <w:name w:val="+正文"/>
    <w:basedOn w:val="1"/>
    <w:qFormat/>
    <w:uiPriority w:val="0"/>
    <w:pPr>
      <w:spacing w:line="360" w:lineRule="auto"/>
      <w:ind w:firstLine="200" w:firstLineChars="200"/>
    </w:pPr>
    <w:rPr>
      <w:sz w:val="24"/>
      <w:szCs w:val="28"/>
    </w:rPr>
  </w:style>
  <w:style w:type="character" w:customStyle="1" w:styleId="216">
    <w:name w:val="font131"/>
    <w:basedOn w:val="47"/>
    <w:qFormat/>
    <w:uiPriority w:val="0"/>
    <w:rPr>
      <w:rFonts w:hint="eastAsia" w:ascii="仿宋_GB2312" w:eastAsia="仿宋_GB2312" w:cs="仿宋_GB2312"/>
      <w:color w:val="000000"/>
      <w:sz w:val="20"/>
      <w:szCs w:val="20"/>
      <w:u w:val="none"/>
    </w:rPr>
  </w:style>
  <w:style w:type="character" w:customStyle="1" w:styleId="217">
    <w:name w:val="font121"/>
    <w:basedOn w:val="47"/>
    <w:qFormat/>
    <w:uiPriority w:val="0"/>
    <w:rPr>
      <w:rFonts w:hint="eastAsia" w:ascii="宋体" w:hAnsi="宋体" w:eastAsia="宋体" w:cs="宋体"/>
      <w:color w:val="000000"/>
      <w:sz w:val="20"/>
      <w:szCs w:val="20"/>
      <w:u w:val="none"/>
    </w:rPr>
  </w:style>
  <w:style w:type="character" w:customStyle="1" w:styleId="218">
    <w:name w:val="font112"/>
    <w:basedOn w:val="47"/>
    <w:qFormat/>
    <w:uiPriority w:val="0"/>
    <w:rPr>
      <w:rFonts w:hint="eastAsia" w:ascii="宋体" w:hAnsi="宋体" w:eastAsia="宋体" w:cs="宋体"/>
      <w:b/>
      <w:bCs/>
      <w:color w:val="000000"/>
      <w:sz w:val="20"/>
      <w:szCs w:val="20"/>
      <w:u w:val="none"/>
    </w:rPr>
  </w:style>
  <w:style w:type="character" w:customStyle="1" w:styleId="219">
    <w:name w:val="font61"/>
    <w:basedOn w:val="47"/>
    <w:qFormat/>
    <w:uiPriority w:val="0"/>
    <w:rPr>
      <w:rFonts w:hint="default" w:ascii="Times New Roman" w:hAnsi="Times New Roman" w:cs="Times New Roman"/>
      <w:color w:val="000000"/>
      <w:sz w:val="20"/>
      <w:szCs w:val="20"/>
      <w:u w:val="none"/>
    </w:rPr>
  </w:style>
  <w:style w:type="character" w:customStyle="1" w:styleId="220">
    <w:name w:val="font91"/>
    <w:basedOn w:val="47"/>
    <w:qFormat/>
    <w:uiPriority w:val="0"/>
    <w:rPr>
      <w:rFonts w:hint="eastAsia" w:ascii="仿宋_GB2312" w:eastAsia="仿宋_GB2312" w:cs="仿宋_GB2312"/>
      <w:color w:val="000000"/>
      <w:sz w:val="20"/>
      <w:szCs w:val="20"/>
      <w:u w:val="none"/>
    </w:rPr>
  </w:style>
  <w:style w:type="paragraph" w:customStyle="1" w:styleId="2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sz w:val="28"/>
      <w:szCs w:val="20"/>
    </w:rPr>
  </w:style>
  <w:style w:type="character" w:customStyle="1" w:styleId="222">
    <w:name w:val="10"/>
    <w:basedOn w:val="47"/>
    <w:qFormat/>
    <w:uiPriority w:val="0"/>
    <w:rPr>
      <w:rFonts w:hint="default" w:ascii="Times New Roman" w:hAnsi="Times New Roman" w:cs="Times New Roman"/>
    </w:rPr>
  </w:style>
  <w:style w:type="character" w:customStyle="1" w:styleId="223">
    <w:name w:val="15"/>
    <w:basedOn w:val="4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8FEEA5-1452-4002-8741-1810567A57E2}">
  <ds:schemaRefs/>
</ds:datastoreItem>
</file>

<file path=docProps/app.xml><?xml version="1.0" encoding="utf-8"?>
<Properties xmlns="http://schemas.openxmlformats.org/officeDocument/2006/extended-properties" xmlns:vt="http://schemas.openxmlformats.org/officeDocument/2006/docPropsVTypes">
  <Pages>104</Pages>
  <Words>65389</Words>
  <Characters>69120</Characters>
  <Lines>1</Lines>
  <Paragraphs>1</Paragraphs>
  <TotalTime>2</TotalTime>
  <ScaleCrop>false</ScaleCrop>
  <LinksUpToDate>false</LinksUpToDate>
  <CharactersWithSpaces>72244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2023-07-21T18:55:00Z</dcterms:created>
  <dc:creator>HS</dc:creator>
  <cp:lastModifiedBy>飘</cp:lastModifiedBy>
  <cp:lastPrinted>2025-10-24T01:48:00Z</cp:lastPrinted>
  <dcterms:modified xsi:type="dcterms:W3CDTF">2025-10-24T06:39:07Z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0CD548C4C48947B98B7E89E42CB9E387_13</vt:lpwstr>
  </property>
  <property fmtid="{D5CDD505-2E9C-101B-9397-08002B2CF9AE}" pid="4" name="KSOTemplateDocerSaveRecord">
    <vt:lpwstr>eyJoZGlkIjoiOGZlMDFlYWY3ZjY3ZDMyYTgyZTIxOGJmNjIwMThlMWYiLCJ1c2VySWQiOiI1NTU5MDcxMzIifQ==</vt:lpwstr>
  </property>
</Properties>
</file>