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1B196D6E">
      <w:pPr>
        <w:spacing w:line="360" w:lineRule="auto"/>
        <w:ind w:firstLine="782" w:firstLineChars="177"/>
        <w:jc w:val="center"/>
        <w:rPr>
          <w:rFonts w:hint="eastAsia" w:ascii="宋体" w:hAnsi="宋体" w:eastAsia="宋体" w:cs="Times New Roman"/>
          <w:b/>
          <w:bCs w:val="0"/>
          <w:color w:val="auto"/>
          <w:sz w:val="44"/>
          <w:szCs w:val="44"/>
          <w:highlight w:val="none"/>
          <w:u w:val="none"/>
        </w:rPr>
      </w:pPr>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4DD612EA">
      <w:pPr>
        <w:spacing w:line="360" w:lineRule="auto"/>
        <w:ind w:firstLine="782" w:firstLineChars="177"/>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bCs w:val="0"/>
          <w:color w:val="auto"/>
          <w:sz w:val="44"/>
          <w:szCs w:val="44"/>
          <w:highlight w:val="none"/>
          <w:u w:val="none"/>
          <w:lang w:val="en-US" w:eastAsia="zh-CN"/>
        </w:rPr>
        <w:t>2025年包装水（20件以下）物流配送服务</w:t>
      </w:r>
      <w:bookmarkStart w:id="46" w:name="_GoBack"/>
      <w:bookmarkEnd w:id="46"/>
      <w:r>
        <w:rPr>
          <w:rFonts w:hint="eastAsia" w:ascii="宋体" w:hAnsi="宋体" w:eastAsia="宋体" w:cs="Times New Roman"/>
          <w:b/>
          <w:bCs w:val="0"/>
          <w:color w:val="auto"/>
          <w:sz w:val="44"/>
          <w:szCs w:val="44"/>
          <w:highlight w:val="none"/>
          <w:u w:val="none"/>
          <w:lang w:val="en-US" w:eastAsia="zh-CN"/>
        </w:rPr>
        <w:t>项目</w:t>
      </w:r>
    </w:p>
    <w:p w14:paraId="3B29C680">
      <w:pPr>
        <w:jc w:val="center"/>
        <w:rPr>
          <w:rFonts w:hint="eastAsia" w:ascii="宋体" w:hAnsi="宋体" w:eastAsia="宋体"/>
          <w:color w:val="auto"/>
          <w:highlight w:val="none"/>
          <w:lang w:eastAsia="zh-CN"/>
        </w:rPr>
      </w:pP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FDCG2025000</w:t>
      </w:r>
      <w:r>
        <w:rPr>
          <w:rFonts w:hint="eastAsia" w:ascii="宋体" w:hAnsi="宋体"/>
          <w:b/>
          <w:bCs/>
          <w:color w:val="auto"/>
          <w:sz w:val="32"/>
          <w:szCs w:val="32"/>
          <w:highlight w:val="none"/>
          <w:u w:val="single"/>
          <w:lang w:val="en-US" w:eastAsia="zh-CN"/>
        </w:rPr>
        <w:t xml:space="preserve">9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15</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eastAsia" w:ascii="宋体" w:hAnsi="宋体" w:eastAsia="宋体" w:cs="宋体"/>
              <w:sz w:val="30"/>
              <w:szCs w:val="30"/>
              <w:highlight w:val="none"/>
            </w:rPr>
            <w:t>用户需求</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highlight w:val="none"/>
            </w:rPr>
            <w:fldChar w:fldCharType="end"/>
          </w:r>
        </w:p>
        <w:p w14:paraId="11199FBC">
          <w:pPr>
            <w:pStyle w:val="56"/>
            <w:tabs>
              <w:tab w:val="right" w:leader="dot" w:pos="8306"/>
            </w:tabs>
            <w:spacing w:line="720" w:lineRule="auto"/>
            <w:rPr>
              <w:rFonts w:hint="eastAsia"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7</w:t>
          </w:r>
        </w:p>
        <w:p w14:paraId="05905E16">
          <w:pPr>
            <w:pStyle w:val="9"/>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9"/>
        <w:rPr>
          <w:rFonts w:hint="default" w:ascii="Times New Roman" w:hAnsi="Times New Roman" w:eastAsia="宋体" w:cs="Times New Roman"/>
          <w:sz w:val="24"/>
          <w:szCs w:val="32"/>
          <w:highlight w:val="none"/>
          <w:lang w:val="zh-CN" w:eastAsia="zh-CN" w:bidi="ar-SA"/>
        </w:rPr>
      </w:pPr>
    </w:p>
    <w:p w14:paraId="7C6D3429">
      <w:pPr>
        <w:pStyle w:val="16"/>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8"/>
        <w:rPr>
          <w:rFonts w:hint="eastAsia"/>
          <w:lang w:val="zh-CN"/>
        </w:rPr>
      </w:pPr>
    </w:p>
    <w:p w14:paraId="5FEDB421">
      <w:pPr>
        <w:rPr>
          <w:rFonts w:hint="eastAsia" w:ascii="宋体" w:hAnsi="宋体"/>
          <w:color w:val="auto"/>
          <w:sz w:val="30"/>
          <w:szCs w:val="30"/>
          <w:highlight w:val="none"/>
          <w:lang w:val="zh-CN"/>
        </w:rPr>
      </w:pPr>
      <w:bookmarkStart w:id="0" w:name="_Toc2241"/>
      <w:r>
        <w:rPr>
          <w:rFonts w:hint="eastAsia" w:ascii="宋体" w:hAnsi="宋体"/>
          <w:color w:val="auto"/>
          <w:sz w:val="30"/>
          <w:szCs w:val="30"/>
          <w:highlight w:val="none"/>
          <w:lang w:val="zh-CN"/>
        </w:rPr>
        <w:br w:type="page"/>
      </w:r>
    </w:p>
    <w:p w14:paraId="578371B4">
      <w:pPr>
        <w:pStyle w:val="18"/>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0"/>
    </w:p>
    <w:p w14:paraId="13B5F488">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highlight w:val="none"/>
          <w:u w:val="single"/>
        </w:rPr>
        <w:t>东莞市福地饮用水有限公司2025年包装水</w:t>
      </w:r>
      <w:r>
        <w:rPr>
          <w:rFonts w:hint="eastAsia"/>
          <w:highlight w:val="none"/>
          <w:u w:val="single"/>
          <w:lang w:eastAsia="zh-CN"/>
        </w:rPr>
        <w:t>（</w:t>
      </w:r>
      <w:r>
        <w:rPr>
          <w:rFonts w:hint="eastAsia"/>
          <w:highlight w:val="none"/>
          <w:u w:val="single"/>
          <w:lang w:val="en-US" w:eastAsia="zh-CN"/>
        </w:rPr>
        <w:t>20件以下）</w:t>
      </w:r>
      <w:r>
        <w:rPr>
          <w:rFonts w:hint="eastAsia"/>
          <w:highlight w:val="none"/>
          <w:u w:val="single"/>
        </w:rPr>
        <w:t>物流配送服务</w:t>
      </w:r>
      <w:r>
        <w:rPr>
          <w:rFonts w:hint="eastAsia"/>
          <w:highlight w:val="none"/>
          <w:u w:val="single"/>
          <w:lang w:val="en-US" w:eastAsia="zh-CN"/>
        </w:rPr>
        <w:t>采购</w:t>
      </w:r>
      <w:r>
        <w:rPr>
          <w:rFonts w:hint="eastAsia"/>
          <w:highlight w:val="none"/>
          <w:u w:val="single"/>
        </w:rPr>
        <w:t>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w:t>
      </w:r>
      <w:r>
        <w:rPr>
          <w:rFonts w:hint="default" w:ascii="Times New Roman" w:hAnsi="Times New Roman" w:cs="Times New Roman"/>
          <w:color w:val="000000" w:themeColor="text1"/>
          <w:highlight w:val="none"/>
          <w:lang w:eastAsia="zh-CN"/>
          <w14:textFill>
            <w14:solidFill>
              <w14:schemeClr w14:val="tx1"/>
            </w14:solidFill>
          </w14:textFill>
        </w:rPr>
        <w:t>CG202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eastAsia="zh-CN"/>
          <w14:textFill>
            <w14:solidFill>
              <w14:schemeClr w14:val="tx1"/>
            </w14:solidFill>
          </w14:textFill>
        </w:rPr>
        <w:t>0</w:t>
      </w:r>
      <w:r>
        <w:rPr>
          <w:rFonts w:hint="eastAsia" w:ascii="Times New Roman" w:cs="Times New Roman"/>
          <w:color w:val="000000" w:themeColor="text1"/>
          <w:highlight w:val="none"/>
          <w:lang w:val="en-US" w:eastAsia="zh-CN"/>
          <w14:textFill>
            <w14:solidFill>
              <w14:schemeClr w14:val="tx1"/>
            </w14:solidFill>
          </w14:textFill>
        </w:rPr>
        <w:t>00</w:t>
      </w:r>
      <w:r>
        <w:rPr>
          <w:rFonts w:hint="eastAsia" w:cs="Times New Roman"/>
          <w:color w:val="000000" w:themeColor="text1"/>
          <w:highlight w:val="none"/>
          <w:lang w:val="en-US" w:eastAsia="zh-CN"/>
          <w14:textFill>
            <w14:solidFill>
              <w14:schemeClr w14:val="tx1"/>
            </w14:solidFill>
          </w14:textFill>
        </w:rPr>
        <w:t>9</w:t>
      </w:r>
    </w:p>
    <w:p w14:paraId="08F3B9C9">
      <w:pPr>
        <w:spacing w:line="360" w:lineRule="auto"/>
        <w:ind w:firstLine="371" w:firstLineChars="177"/>
        <w:rPr>
          <w:rFonts w:hint="default" w:ascii="Times New Roman" w:eastAsia="宋体" w:cs="Times New Roman"/>
          <w:highlight w:val="none"/>
          <w:lang w:eastAsia="zh-CN"/>
        </w:rPr>
      </w:pPr>
      <w:r>
        <w:rPr>
          <w:rFonts w:hint="default" w:ascii="Times New Roman" w:hAnsi="Times New Roman" w:cs="Times New Roman"/>
          <w:highlight w:val="none"/>
        </w:rPr>
        <w:t>二、采购项目名称：</w:t>
      </w:r>
      <w:r>
        <w:rPr>
          <w:rFonts w:hint="default" w:ascii="Times New Roman" w:hAnsi="Times New Roman" w:eastAsia="宋体" w:cs="Times New Roman"/>
          <w:b w:val="0"/>
          <w:bCs w:val="0"/>
          <w:sz w:val="21"/>
          <w:szCs w:val="24"/>
          <w:highlight w:val="none"/>
          <w:u w:val="none"/>
        </w:rPr>
        <w:t>东莞市</w:t>
      </w:r>
      <w:r>
        <w:rPr>
          <w:rFonts w:hint="default" w:ascii="Times New Roman" w:hAnsi="Times New Roman" w:eastAsia="宋体" w:cs="Times New Roman"/>
          <w:b w:val="0"/>
          <w:bCs w:val="0"/>
          <w:sz w:val="21"/>
          <w:szCs w:val="24"/>
          <w:highlight w:val="none"/>
          <w:u w:val="none"/>
          <w:lang w:val="en-US" w:eastAsia="zh-CN"/>
        </w:rPr>
        <w:t>福地饮用水</w:t>
      </w:r>
      <w:r>
        <w:rPr>
          <w:rFonts w:hint="default" w:ascii="Times New Roman" w:hAnsi="Times New Roman" w:eastAsia="宋体" w:cs="Times New Roman"/>
          <w:b w:val="0"/>
          <w:bCs w:val="0"/>
          <w:sz w:val="21"/>
          <w:szCs w:val="24"/>
          <w:highlight w:val="none"/>
          <w:u w:val="none"/>
        </w:rPr>
        <w:t>有限公司</w:t>
      </w:r>
      <w:r>
        <w:rPr>
          <w:rFonts w:hint="default" w:ascii="Times New Roman" w:hAnsi="Times New Roman" w:eastAsia="宋体" w:cs="Times New Roman"/>
          <w:b w:val="0"/>
          <w:bCs w:val="0"/>
          <w:sz w:val="21"/>
          <w:szCs w:val="24"/>
          <w:highlight w:val="none"/>
          <w:u w:val="none"/>
          <w:lang w:val="en-US" w:eastAsia="zh-CN"/>
        </w:rPr>
        <w:t>2025年包装水</w:t>
      </w:r>
      <w:r>
        <w:rPr>
          <w:rFonts w:hint="eastAsia"/>
          <w:highlight w:val="none"/>
          <w:u w:val="single"/>
          <w:lang w:eastAsia="zh-CN"/>
        </w:rPr>
        <w:t>（</w:t>
      </w:r>
      <w:r>
        <w:rPr>
          <w:rFonts w:hint="eastAsia"/>
          <w:highlight w:val="none"/>
          <w:u w:val="single"/>
          <w:lang w:val="en-US" w:eastAsia="zh-CN"/>
        </w:rPr>
        <w:t>20件以下）</w:t>
      </w:r>
      <w:r>
        <w:rPr>
          <w:rFonts w:hint="default" w:ascii="Times New Roman" w:hAnsi="Times New Roman" w:eastAsia="宋体" w:cs="Times New Roman"/>
          <w:b w:val="0"/>
          <w:bCs w:val="0"/>
          <w:sz w:val="21"/>
          <w:szCs w:val="24"/>
          <w:highlight w:val="none"/>
          <w:u w:val="none"/>
          <w:lang w:val="en-US" w:eastAsia="zh-CN"/>
        </w:rPr>
        <w:t>物流配送服务</w:t>
      </w:r>
      <w:r>
        <w:rPr>
          <w:rFonts w:hint="eastAsia"/>
          <w:highlight w:val="none"/>
          <w:u w:val="single"/>
          <w:lang w:val="en-US" w:eastAsia="zh-CN"/>
        </w:rPr>
        <w:t>采购</w:t>
      </w:r>
      <w:r>
        <w:rPr>
          <w:rFonts w:hint="default" w:ascii="Times New Roman" w:eastAsia="宋体" w:cs="Times New Roman"/>
          <w:b w:val="0"/>
          <w:bCs w:val="0"/>
          <w:sz w:val="21"/>
          <w:szCs w:val="24"/>
          <w:highlight w:val="none"/>
          <w:u w:val="none"/>
          <w:lang w:val="en-US" w:eastAsia="zh-CN"/>
        </w:rPr>
        <w:t>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、采购预算：</w:t>
      </w:r>
      <w:bookmarkStart w:id="1" w:name="_Hlk40436243"/>
      <w:r>
        <w:rPr>
          <w:rFonts w:ascii="Times New Roman"/>
          <w:b/>
          <w:bCs/>
          <w:color w:val="FF0000"/>
        </w:rPr>
        <w:t>不含税</w:t>
      </w:r>
      <w:r>
        <w:rPr>
          <w:rFonts w:hint="eastAsia" w:ascii="Times New Roman"/>
          <w:b/>
          <w:bCs/>
          <w:color w:val="FF0000"/>
        </w:rPr>
        <w:t>预算单价为</w:t>
      </w:r>
      <w:r>
        <w:rPr>
          <w:rFonts w:hint="eastAsia"/>
          <w:b/>
          <w:bCs/>
          <w:color w:val="FF0000"/>
          <w:lang w:val="en-US" w:eastAsia="zh-CN"/>
        </w:rPr>
        <w:t>4.95</w:t>
      </w:r>
      <w:r>
        <w:rPr>
          <w:rFonts w:hint="eastAsia" w:ascii="Times New Roman" w:hAnsi="Times New Roman" w:eastAsia="宋体" w:cs="Times New Roman"/>
          <w:b/>
          <w:bCs/>
          <w:color w:val="FF0000"/>
          <w:szCs w:val="24"/>
          <w:u w:val="none"/>
          <w:shd w:val="clear"/>
          <w:lang w:val="en-US" w:eastAsia="zh-CN"/>
        </w:rPr>
        <w:t>元/件</w:t>
      </w:r>
      <w:r>
        <w:rPr>
          <w:rFonts w:hint="eastAsia" w:ascii="Times New Roman"/>
          <w:b/>
          <w:bCs/>
          <w:color w:val="FF0000"/>
        </w:rPr>
        <w:t>（大写</w:t>
      </w:r>
      <w:r>
        <w:rPr>
          <w:rFonts w:hint="eastAsia"/>
          <w:b/>
          <w:bCs/>
          <w:color w:val="FF0000"/>
          <w:lang w:val="en-US" w:eastAsia="zh-CN"/>
        </w:rPr>
        <w:t>肆元玖角伍分</w:t>
      </w:r>
      <w:r>
        <w:rPr>
          <w:rFonts w:hint="eastAsia" w:ascii="Times New Roman"/>
          <w:b/>
          <w:bCs/>
          <w:color w:val="FF0000"/>
        </w:rPr>
        <w:t>）</w:t>
      </w:r>
      <w:r>
        <w:rPr>
          <w:rFonts w:ascii="Times New Roman"/>
          <w:b/>
          <w:bCs/>
          <w:color w:val="FF0000"/>
        </w:rPr>
        <w:t>。</w:t>
      </w:r>
      <w:bookmarkEnd w:id="1"/>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、采购内容：</w:t>
      </w:r>
      <w:r>
        <w:rPr>
          <w:rFonts w:hint="eastAsia" w:ascii="Times New Roman" w:cs="Times New Roman"/>
          <w:highlight w:val="none"/>
          <w:lang w:val="en-US" w:eastAsia="zh-CN"/>
        </w:rPr>
        <w:t>2</w:t>
      </w:r>
      <w:r>
        <w:rPr>
          <w:rFonts w:hint="eastAsia" w:ascii="Times New Roman" w:cs="Times New Roman"/>
          <w:highlight w:val="none"/>
          <w:u w:val="single"/>
          <w:lang w:eastAsia="zh-CN"/>
        </w:rPr>
        <w:t>025年物流配送服务</w:t>
      </w:r>
      <w:r>
        <w:rPr>
          <w:rFonts w:hint="default" w:ascii="Times New Roman" w:hAnsi="Times New Roman" w:cs="Times New Roman"/>
          <w:highlight w:val="none"/>
        </w:rPr>
        <w:t>（具体详见用户需求书）。</w:t>
      </w:r>
    </w:p>
    <w:p w14:paraId="6D68CE74">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w:t>
      </w:r>
      <w:bookmarkStart w:id="2" w:name="OLE_LINK1"/>
      <w:r>
        <w:rPr>
          <w:rFonts w:hint="default" w:ascii="Times New Roman" w:hAnsi="Times New Roman" w:cs="Times New Roman"/>
          <w:highlight w:val="none"/>
        </w:rPr>
        <w:t>本项目采用</w:t>
      </w:r>
      <w:r>
        <w:rPr>
          <w:rFonts w:hint="eastAsia" w:cs="Times New Roman"/>
          <w:highlight w:val="none"/>
          <w:lang w:val="en-US" w:eastAsia="zh-CN"/>
        </w:rPr>
        <w:t>阶梯式</w:t>
      </w:r>
      <w:r>
        <w:rPr>
          <w:rFonts w:hint="default" w:ascii="Times New Roman" w:hAnsi="Times New Roman" w:cs="Times New Roman"/>
          <w:highlight w:val="none"/>
        </w:rPr>
        <w:t>折扣率报价，报价最高限价为100%，从实质性满足采购需求的供应商中，根据预估业务占比，按加权平均法不含税报价</w:t>
      </w:r>
      <w:r>
        <w:rPr>
          <w:rFonts w:hint="eastAsia" w:cs="Times New Roman"/>
          <w:highlight w:val="none"/>
          <w:lang w:val="en-US" w:eastAsia="zh-CN"/>
        </w:rPr>
        <w:t>排序，报价</w:t>
      </w:r>
      <w:r>
        <w:rPr>
          <w:rFonts w:hint="default" w:ascii="Times New Roman" w:hAnsi="Times New Roman" w:cs="Times New Roman"/>
          <w:highlight w:val="none"/>
        </w:rPr>
        <w:t>最低</w:t>
      </w:r>
      <w:r>
        <w:rPr>
          <w:rFonts w:hint="eastAsia" w:cs="Times New Roman"/>
          <w:highlight w:val="none"/>
          <w:lang w:val="en-US" w:eastAsia="zh-CN"/>
        </w:rPr>
        <w:t>和次低的两家</w:t>
      </w:r>
      <w:r>
        <w:rPr>
          <w:rFonts w:hint="default" w:ascii="Times New Roman" w:hAnsi="Times New Roman" w:cs="Times New Roman"/>
          <w:highlight w:val="none"/>
        </w:rPr>
        <w:t>供应商</w:t>
      </w:r>
      <w:r>
        <w:rPr>
          <w:rFonts w:hint="eastAsia" w:cs="Times New Roman"/>
          <w:highlight w:val="none"/>
          <w:lang w:val="en-US" w:eastAsia="zh-CN"/>
        </w:rPr>
        <w:t>确定为本项目成交供应商</w:t>
      </w:r>
      <w:r>
        <w:rPr>
          <w:rFonts w:hint="default" w:ascii="Times New Roman" w:hAnsi="Times New Roman" w:cs="Times New Roman"/>
          <w:color w:val="auto"/>
          <w:highlight w:val="none"/>
        </w:rPr>
        <w:t>。</w:t>
      </w:r>
      <w:bookmarkEnd w:id="2"/>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10月25日9</w:t>
      </w:r>
      <w:r>
        <w:rPr>
          <w:rFonts w:hint="eastAsia" w:ascii="宋体" w:hAnsi="宋体" w:eastAsia="宋体" w:cs="宋体"/>
          <w:color w:val="000000" w:themeColor="text1"/>
          <w:highlight w:val="none"/>
          <w14:textFill>
            <w14:solidFill>
              <w14:schemeClr w14:val="tx1"/>
            </w14:solidFill>
          </w14:textFill>
        </w:rPr>
        <w:t>时</w:t>
      </w:r>
      <w:bookmarkEnd w:id="3"/>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八、报价文件开封时间：2025年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5F309FC4">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15920695466</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4"/>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5"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10</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15</w:t>
      </w:r>
      <w:r>
        <w:rPr>
          <w:rFonts w:hint="eastAsia" w:ascii="Times New Roman" w:cs="Times New Roman"/>
          <w:color w:val="000000" w:themeColor="text1"/>
          <w:highlight w:val="none"/>
          <w:lang w:val="en-US" w:eastAsia="zh-CN"/>
          <w14:textFill>
            <w14:solidFill>
              <w14:schemeClr w14:val="tx1"/>
            </w14:solidFill>
          </w14:textFill>
        </w:rPr>
        <w:t>日</w:t>
      </w:r>
    </w:p>
    <w:bookmarkEnd w:id="5"/>
    <w:p w14:paraId="2654E87D">
      <w:pPr>
        <w:pStyle w:val="18"/>
        <w:pageBreakBefore/>
        <w:spacing w:before="0" w:after="0" w:line="360" w:lineRule="auto"/>
        <w:ind w:firstLine="3313" w:firstLineChars="1100"/>
        <w:jc w:val="both"/>
        <w:rPr>
          <w:rFonts w:hint="eastAsia" w:ascii="宋体" w:hAnsi="宋体"/>
          <w:color w:val="auto"/>
          <w:sz w:val="30"/>
          <w:szCs w:val="30"/>
          <w:highlight w:val="none"/>
          <w:lang w:val="zh-CN"/>
        </w:rPr>
      </w:pPr>
      <w:bookmarkStart w:id="6" w:name="_Toc15511"/>
      <w:r>
        <w:rPr>
          <w:rFonts w:hint="eastAsia" w:ascii="宋体" w:hAnsi="宋体"/>
          <w:color w:val="auto"/>
          <w:sz w:val="30"/>
          <w:szCs w:val="30"/>
          <w:highlight w:val="none"/>
          <w:lang w:val="zh-CN"/>
        </w:rPr>
        <w:t>第二篇 报价人须知</w:t>
      </w:r>
      <w:bookmarkEnd w:id="6"/>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供应商应按询价文件要求及企业的自身情况进行报价。所报的价格包含完成询价文件规定的工作所需的全部费用（除了供应商销项税额，销项税额由采购人承担，不参与本次竞价），并承担所有相应项目风险。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243098B7">
      <w:pPr>
        <w:ind w:firstLine="420" w:firstLineChars="200"/>
        <w:rPr>
          <w:rFonts w:hint="eastAsia"/>
          <w:lang w:val="zh-CN"/>
        </w:rPr>
      </w:pPr>
      <w:r>
        <w:rPr>
          <w:rFonts w:hint="eastAsia"/>
          <w:lang w:val="zh-CN"/>
        </w:rPr>
        <w:t>2.项目响应声明；</w:t>
      </w:r>
    </w:p>
    <w:p w14:paraId="615398A8">
      <w:pPr>
        <w:ind w:firstLine="420" w:firstLineChars="200"/>
        <w:rPr>
          <w:rFonts w:hint="eastAsia"/>
          <w:lang w:val="zh-CN"/>
        </w:rPr>
      </w:pPr>
      <w:r>
        <w:rPr>
          <w:rFonts w:hint="eastAsia"/>
          <w:lang w:val="zh-CN"/>
        </w:rPr>
        <w:t>3.营业执照及相关资质证书；</w:t>
      </w:r>
    </w:p>
    <w:p w14:paraId="20F0FAD6">
      <w:pPr>
        <w:ind w:firstLine="420" w:firstLineChars="200"/>
        <w:rPr>
          <w:rFonts w:hint="eastAsia"/>
          <w:lang w:val="zh-CN"/>
        </w:rPr>
      </w:pPr>
      <w:r>
        <w:rPr>
          <w:rFonts w:hint="eastAsia"/>
          <w:lang w:val="zh-CN"/>
        </w:rPr>
        <w:t>4.开户信息及开户许可证；</w:t>
      </w:r>
    </w:p>
    <w:p w14:paraId="7111A195">
      <w:pPr>
        <w:ind w:firstLine="420" w:firstLineChars="200"/>
        <w:rPr>
          <w:rFonts w:hint="eastAsia"/>
          <w:lang w:val="zh-CN"/>
        </w:rPr>
      </w:pPr>
      <w:r>
        <w:rPr>
          <w:rFonts w:hint="eastAsia"/>
          <w:lang w:val="zh-CN"/>
        </w:rPr>
        <w:t>5.回执。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三、报价文件的封装和递交</w:t>
      </w:r>
    </w:p>
    <w:p w14:paraId="7B949C59">
      <w:pPr>
        <w:ind w:firstLine="420" w:firstLineChars="200"/>
        <w:rPr>
          <w:rFonts w:hint="eastAsia"/>
          <w:lang w:val="zh-CN"/>
        </w:rPr>
      </w:pPr>
      <w:r>
        <w:rPr>
          <w:rFonts w:hint="eastAsia"/>
          <w:lang w:val="zh-CN"/>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32BD75B2">
      <w:pPr>
        <w:ind w:firstLine="420" w:firstLineChars="200"/>
        <w:rPr>
          <w:rFonts w:hint="eastAsia"/>
          <w:lang w:val="zh-CN"/>
        </w:rPr>
      </w:pPr>
      <w:r>
        <w:rPr>
          <w:rFonts w:hint="eastAsia"/>
          <w:lang w:val="zh-CN"/>
        </w:rPr>
        <w:t>2.密封好的报价文件，应于询价邀请函中规定的截止时间前递交到采购人指定的递交地点，否则视为放弃本项目报价。</w:t>
      </w:r>
    </w:p>
    <w:p w14:paraId="63A0410F">
      <w:pPr>
        <w:ind w:firstLine="420" w:firstLineChars="200"/>
        <w:rPr>
          <w:rFonts w:hint="eastAsia"/>
          <w:lang w:val="zh-CN"/>
        </w:rPr>
      </w:pPr>
      <w:r>
        <w:rPr>
          <w:rFonts w:hint="eastAsia"/>
          <w:lang w:val="zh-CN"/>
        </w:rPr>
        <w:t>四、其他</w:t>
      </w:r>
    </w:p>
    <w:p w14:paraId="29BCF8E7">
      <w:pPr>
        <w:ind w:firstLine="420" w:firstLineChars="200"/>
        <w:rPr>
          <w:rFonts w:hint="eastAsia"/>
          <w:lang w:val="zh-CN"/>
        </w:rPr>
      </w:pPr>
      <w:r>
        <w:rPr>
          <w:rFonts w:hint="eastAsia"/>
          <w:lang w:val="zh-CN"/>
        </w:rPr>
        <w:t>若供应商不含税报价相同情况下，采购人优先选择供货或售后服务优者。</w:t>
      </w:r>
    </w:p>
    <w:p w14:paraId="119877C2">
      <w:pPr>
        <w:rPr>
          <w:rFonts w:hint="eastAsia"/>
          <w:lang w:val="zh-CN"/>
        </w:rPr>
      </w:pPr>
    </w:p>
    <w:p w14:paraId="0F0E274E">
      <w:pPr>
        <w:rPr>
          <w:lang w:val="zh-CN"/>
        </w:rPr>
      </w:pPr>
    </w:p>
    <w:p w14:paraId="2B98F012">
      <w:pPr>
        <w:pStyle w:val="18"/>
        <w:pageBreakBefore/>
        <w:rPr>
          <w:rFonts w:ascii="宋体" w:hAnsi="宋体"/>
          <w:color w:val="auto"/>
          <w:sz w:val="30"/>
          <w:szCs w:val="30"/>
          <w:highlight w:val="none"/>
          <w:lang w:val="zh-CN"/>
        </w:rPr>
      </w:pPr>
      <w:bookmarkStart w:id="7" w:name="_Toc3543"/>
      <w:r>
        <w:rPr>
          <w:rFonts w:hint="eastAsia" w:ascii="宋体" w:hAnsi="宋体"/>
          <w:color w:val="auto"/>
          <w:sz w:val="30"/>
          <w:szCs w:val="30"/>
          <w:highlight w:val="none"/>
          <w:lang w:val="zh-CN"/>
        </w:rPr>
        <w:t>第三篇 用户需求书</w:t>
      </w:r>
      <w:bookmarkEnd w:id="7"/>
      <w:bookmarkStart w:id="8" w:name="_Hlt137898605"/>
      <w:bookmarkEnd w:id="8"/>
      <w:bookmarkStart w:id="9" w:name="_Hlt137959623"/>
      <w:bookmarkEnd w:id="9"/>
      <w:bookmarkStart w:id="10" w:name="yqh"/>
      <w:bookmarkEnd w:id="10"/>
      <w:bookmarkStart w:id="11" w:name="_Hlt107746026"/>
      <w:bookmarkEnd w:id="11"/>
      <w:bookmarkStart w:id="12" w:name="_Hlt92100255"/>
      <w:bookmarkEnd w:id="12"/>
      <w:bookmarkStart w:id="13" w:name="_Hlt92477987"/>
      <w:bookmarkEnd w:id="13"/>
      <w:bookmarkStart w:id="14" w:name="_Hlt507989741"/>
      <w:bookmarkEnd w:id="14"/>
      <w:bookmarkStart w:id="15" w:name="_Hlt109563261"/>
      <w:bookmarkEnd w:id="15"/>
      <w:bookmarkStart w:id="16" w:name="_Hlt133639916"/>
      <w:bookmarkEnd w:id="16"/>
      <w:bookmarkStart w:id="17" w:name="_Hlt87773422"/>
      <w:bookmarkEnd w:id="17"/>
      <w:bookmarkStart w:id="18" w:name="_Hlt107921814"/>
      <w:bookmarkEnd w:id="18"/>
      <w:bookmarkStart w:id="19" w:name="_Hlt92101665"/>
      <w:bookmarkEnd w:id="19"/>
      <w:bookmarkStart w:id="20" w:name="_Hlt91899334"/>
      <w:bookmarkEnd w:id="20"/>
      <w:bookmarkStart w:id="21" w:name="_Hlt92472623"/>
      <w:bookmarkEnd w:id="21"/>
      <w:bookmarkStart w:id="22" w:name="_Hlt92097807"/>
      <w:bookmarkEnd w:id="22"/>
      <w:bookmarkStart w:id="23" w:name="_Hlt133291417"/>
      <w:bookmarkEnd w:id="23"/>
      <w:bookmarkStart w:id="24" w:name="_Hlt92097802"/>
      <w:bookmarkEnd w:id="24"/>
      <w:bookmarkStart w:id="25" w:name="_Hlt74192688"/>
      <w:bookmarkEnd w:id="25"/>
    </w:p>
    <w:p w14:paraId="3142B719">
      <w:pPr>
        <w:pStyle w:val="2"/>
        <w:jc w:val="center"/>
        <w:rPr>
          <w:rFonts w:hint="eastAsia" w:ascii="宋体" w:hAnsi="宋体"/>
          <w:b/>
          <w:bCs w:val="0"/>
          <w:color w:val="auto"/>
          <w:sz w:val="30"/>
          <w:szCs w:val="30"/>
          <w:highlight w:val="none"/>
          <w:lang w:val="zh-CN"/>
        </w:rPr>
      </w:pPr>
    </w:p>
    <w:p w14:paraId="2C42CB88">
      <w:pPr>
        <w:pStyle w:val="2"/>
        <w:jc w:val="center"/>
        <w:rPr>
          <w:rFonts w:ascii="宋体" w:hAnsi="宋体"/>
          <w:color w:val="auto"/>
          <w:sz w:val="30"/>
          <w:szCs w:val="30"/>
          <w:highlight w:val="none"/>
          <w:lang w:val="zh-CN"/>
        </w:rPr>
      </w:pPr>
      <w:r>
        <w:rPr>
          <w:rFonts w:hint="eastAsia" w:ascii="宋体" w:hAnsi="宋体"/>
          <w:b/>
          <w:bCs w:val="0"/>
          <w:color w:val="auto"/>
          <w:sz w:val="30"/>
          <w:szCs w:val="30"/>
          <w:highlight w:val="none"/>
          <w:lang w:val="zh-CN"/>
        </w:rPr>
        <w:t>用户需求书</w:t>
      </w:r>
    </w:p>
    <w:p w14:paraId="23B0B197">
      <w:pPr>
        <w:spacing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7EAE02A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东莞市福地饮用水有限公司（以下简称“采购人”）负责的包装水产品需向</w:t>
      </w: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lang w:val="en-US" w:eastAsia="zh-CN"/>
        </w:rPr>
        <w:t>个供应商采购物流配送服务，将包装水产品从采购人</w:t>
      </w:r>
      <w:r>
        <w:rPr>
          <w:rFonts w:hint="eastAsia" w:ascii="宋体" w:hAnsi="宋体" w:cs="宋体"/>
          <w:color w:val="auto"/>
          <w:sz w:val="21"/>
          <w:szCs w:val="21"/>
          <w:highlight w:val="none"/>
          <w:lang w:val="en-US" w:eastAsia="zh-CN"/>
        </w:rPr>
        <w:t>指定的</w:t>
      </w:r>
      <w:r>
        <w:rPr>
          <w:rFonts w:hint="eastAsia" w:ascii="宋体" w:hAnsi="宋体" w:eastAsia="宋体" w:cs="宋体"/>
          <w:color w:val="auto"/>
          <w:sz w:val="21"/>
          <w:szCs w:val="21"/>
          <w:highlight w:val="none"/>
          <w:lang w:val="en-US" w:eastAsia="zh-CN"/>
        </w:rPr>
        <w:t>储存仓库中提货向东莞市范围的客户配送，以完成采购人对购买客户的产品交付。本次采购按配送件数进行梯度报价，以满足不同规模订单的配送精细化管理的需求。</w:t>
      </w:r>
    </w:p>
    <w:p w14:paraId="5E3F49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配送产品</w:t>
      </w:r>
      <w:r>
        <w:rPr>
          <w:rFonts w:hint="eastAsia" w:ascii="宋体" w:hAnsi="宋体" w:eastAsia="宋体" w:cs="宋体"/>
          <w:color w:val="auto"/>
          <w:sz w:val="21"/>
          <w:szCs w:val="21"/>
          <w:highlight w:val="none"/>
          <w:shd w:val="clear" w:color="auto" w:fill="auto"/>
          <w:lang w:val="en-US" w:eastAsia="zh-CN"/>
        </w:rPr>
        <w:t>包括但不限于：</w:t>
      </w:r>
      <w:r>
        <w:rPr>
          <w:rFonts w:hint="eastAsia" w:ascii="宋体" w:hAnsi="宋体" w:eastAsia="宋体" w:cs="宋体"/>
          <w:color w:val="auto"/>
          <w:szCs w:val="21"/>
          <w:highlight w:val="none"/>
          <w:shd w:val="clear" w:color="auto" w:fill="auto"/>
          <w:lang w:val="en-US" w:eastAsia="zh-CN"/>
        </w:rPr>
        <w:t>桶装水产品：12.3L(约</w:t>
      </w:r>
      <w:r>
        <w:rPr>
          <w:rFonts w:hint="eastAsia" w:ascii="宋体" w:hAnsi="宋体" w:eastAsia="宋体" w:cs="宋体"/>
          <w:i w:val="0"/>
          <w:iCs w:val="0"/>
          <w:caps w:val="0"/>
          <w:color w:val="auto"/>
          <w:spacing w:val="0"/>
          <w:sz w:val="21"/>
          <w:szCs w:val="21"/>
          <w:highlight w:val="none"/>
          <w:shd w:val="clear" w:color="auto" w:fill="auto"/>
        </w:rPr>
        <w:t>12.30 </w:t>
      </w:r>
      <w:r>
        <w:rPr>
          <w:rFonts w:hint="eastAsia" w:ascii="宋体" w:hAnsi="宋体" w:eastAsia="宋体" w:cs="宋体"/>
          <w:color w:val="auto"/>
          <w:szCs w:val="21"/>
          <w:highlight w:val="none"/>
          <w:shd w:val="clear" w:color="auto" w:fill="auto"/>
          <w:lang w:val="en-US" w:eastAsia="zh-CN"/>
        </w:rPr>
        <w:t>kg/桶)、5.28L*3桶（约</w:t>
      </w:r>
      <w:r>
        <w:rPr>
          <w:rFonts w:hint="eastAsia" w:ascii="宋体" w:hAnsi="宋体" w:eastAsia="宋体" w:cs="宋体"/>
          <w:i w:val="0"/>
          <w:iCs w:val="0"/>
          <w:caps w:val="0"/>
          <w:color w:val="auto"/>
          <w:spacing w:val="0"/>
          <w:sz w:val="21"/>
          <w:szCs w:val="21"/>
          <w:highlight w:val="none"/>
          <w:shd w:val="clear" w:color="auto" w:fill="auto"/>
        </w:rPr>
        <w:t>15.84</w:t>
      </w:r>
      <w:r>
        <w:rPr>
          <w:rFonts w:hint="eastAsia" w:ascii="宋体" w:hAnsi="宋体" w:eastAsia="宋体" w:cs="宋体"/>
          <w:color w:val="auto"/>
          <w:szCs w:val="21"/>
          <w:highlight w:val="none"/>
          <w:shd w:val="clear" w:color="auto" w:fill="auto"/>
          <w:lang w:val="en-US" w:eastAsia="zh-CN"/>
        </w:rPr>
        <w:t>kg/件）、5L*4桶（约</w:t>
      </w:r>
      <w:r>
        <w:rPr>
          <w:rFonts w:hint="eastAsia" w:ascii="宋体" w:hAnsi="宋体" w:eastAsia="宋体" w:cs="宋体"/>
          <w:i w:val="0"/>
          <w:iCs w:val="0"/>
          <w:caps w:val="0"/>
          <w:color w:val="auto"/>
          <w:spacing w:val="0"/>
          <w:sz w:val="21"/>
          <w:szCs w:val="21"/>
          <w:highlight w:val="none"/>
          <w:shd w:val="clear" w:color="auto" w:fill="auto"/>
          <w:lang w:val="en-US" w:eastAsia="zh-CN"/>
        </w:rPr>
        <w:t>20</w:t>
      </w:r>
      <w:r>
        <w:rPr>
          <w:rFonts w:hint="eastAsia" w:ascii="宋体" w:hAnsi="宋体" w:eastAsia="宋体" w:cs="宋体"/>
          <w:color w:val="auto"/>
          <w:szCs w:val="21"/>
          <w:highlight w:val="none"/>
          <w:shd w:val="clear" w:color="auto" w:fill="auto"/>
          <w:lang w:val="en-US" w:eastAsia="zh-CN"/>
        </w:rPr>
        <w:t>kg/件）、18.9L（约</w:t>
      </w:r>
      <w:r>
        <w:rPr>
          <w:rFonts w:hint="eastAsia" w:ascii="宋体" w:hAnsi="宋体" w:eastAsia="宋体" w:cs="宋体"/>
          <w:i w:val="0"/>
          <w:iCs w:val="0"/>
          <w:caps w:val="0"/>
          <w:color w:val="auto"/>
          <w:spacing w:val="0"/>
          <w:sz w:val="21"/>
          <w:szCs w:val="21"/>
          <w:highlight w:val="none"/>
          <w:shd w:val="clear" w:color="auto" w:fill="auto"/>
        </w:rPr>
        <w:t>18.90</w:t>
      </w:r>
      <w:r>
        <w:rPr>
          <w:rFonts w:hint="eastAsia" w:ascii="宋体" w:hAnsi="宋体" w:eastAsia="宋体" w:cs="宋体"/>
          <w:i w:val="0"/>
          <w:iCs w:val="0"/>
          <w:caps w:val="0"/>
          <w:color w:val="auto"/>
          <w:spacing w:val="0"/>
          <w:sz w:val="21"/>
          <w:szCs w:val="21"/>
          <w:highlight w:val="none"/>
          <w:shd w:val="clear" w:color="auto" w:fill="auto"/>
          <w:lang w:val="en-US" w:eastAsia="zh-CN"/>
        </w:rPr>
        <w:t>kg/桶</w:t>
      </w:r>
      <w:r>
        <w:rPr>
          <w:rFonts w:hint="eastAsia" w:ascii="宋体" w:hAnsi="宋体" w:eastAsia="宋体" w:cs="宋体"/>
          <w:color w:val="auto"/>
          <w:szCs w:val="21"/>
          <w:highlight w:val="none"/>
          <w:shd w:val="clear" w:color="auto" w:fill="auto"/>
          <w:lang w:val="en-US" w:eastAsia="zh-CN"/>
        </w:rPr>
        <w:t>）；支装水产品：360ml*24瓶（约8.64kg/件）、350ml*24瓶（约</w:t>
      </w:r>
      <w:r>
        <w:rPr>
          <w:rFonts w:hint="eastAsia" w:ascii="宋体" w:hAnsi="宋体" w:eastAsia="宋体" w:cs="宋体"/>
          <w:i w:val="0"/>
          <w:iCs w:val="0"/>
          <w:caps w:val="0"/>
          <w:color w:val="auto"/>
          <w:spacing w:val="0"/>
          <w:sz w:val="21"/>
          <w:szCs w:val="21"/>
          <w:highlight w:val="none"/>
          <w:shd w:val="clear" w:color="auto" w:fill="auto"/>
        </w:rPr>
        <w:t>8.40</w:t>
      </w:r>
      <w:r>
        <w:rPr>
          <w:rFonts w:hint="eastAsia" w:ascii="宋体" w:hAnsi="宋体" w:eastAsia="宋体" w:cs="宋体"/>
          <w:color w:val="auto"/>
          <w:szCs w:val="21"/>
          <w:highlight w:val="none"/>
          <w:shd w:val="clear" w:color="auto" w:fill="auto"/>
          <w:lang w:val="en-US" w:eastAsia="zh-CN"/>
        </w:rPr>
        <w:t>kg/件）、390ml*24瓶（</w:t>
      </w:r>
      <w:r>
        <w:rPr>
          <w:rFonts w:hint="eastAsia" w:ascii="宋体" w:hAnsi="宋体" w:cs="宋体"/>
          <w:color w:val="auto"/>
          <w:szCs w:val="21"/>
          <w:highlight w:val="none"/>
          <w:shd w:val="clear" w:color="auto" w:fill="auto"/>
          <w:lang w:val="en-US" w:eastAsia="zh-CN"/>
        </w:rPr>
        <w:t>约</w:t>
      </w:r>
      <w:r>
        <w:rPr>
          <w:rFonts w:hint="eastAsia" w:ascii="宋体" w:hAnsi="宋体" w:eastAsia="宋体" w:cs="宋体"/>
          <w:color w:val="auto"/>
          <w:szCs w:val="21"/>
          <w:highlight w:val="none"/>
          <w:shd w:val="clear" w:color="auto" w:fill="auto"/>
          <w:lang w:val="en-US" w:eastAsia="zh-CN"/>
        </w:rPr>
        <w:t>9.36kg/件）、550ml*24瓶（约</w:t>
      </w:r>
      <w:r>
        <w:rPr>
          <w:rFonts w:hint="eastAsia" w:ascii="宋体" w:hAnsi="宋体" w:eastAsia="宋体" w:cs="宋体"/>
          <w:i w:val="0"/>
          <w:iCs w:val="0"/>
          <w:caps w:val="0"/>
          <w:color w:val="auto"/>
          <w:spacing w:val="0"/>
          <w:sz w:val="21"/>
          <w:szCs w:val="21"/>
          <w:highlight w:val="none"/>
          <w:shd w:val="clear" w:color="auto" w:fill="auto"/>
          <w:lang w:val="en-US" w:eastAsia="zh-CN"/>
        </w:rPr>
        <w:t>13.2</w:t>
      </w:r>
      <w:r>
        <w:rPr>
          <w:rFonts w:hint="eastAsia" w:ascii="宋体" w:hAnsi="宋体" w:eastAsia="宋体" w:cs="宋体"/>
          <w:i w:val="0"/>
          <w:iCs w:val="0"/>
          <w:caps w:val="0"/>
          <w:color w:val="auto"/>
          <w:spacing w:val="0"/>
          <w:sz w:val="21"/>
          <w:szCs w:val="21"/>
          <w:highlight w:val="none"/>
          <w:shd w:val="clear" w:color="auto" w:fill="auto"/>
        </w:rPr>
        <w:t>0</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 w:val="21"/>
          <w:szCs w:val="21"/>
          <w:highlight w:val="none"/>
          <w:lang w:val="en-US" w:eastAsia="zh-CN"/>
        </w:rPr>
        <w:t>。</w:t>
      </w:r>
    </w:p>
    <w:p w14:paraId="3BC2C526">
      <w:pPr>
        <w:numPr>
          <w:ilvl w:val="0"/>
          <w:numId w:val="0"/>
        </w:numPr>
        <w:spacing w:line="360" w:lineRule="auto"/>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二、物流配送服务范围需求和单价预算</w:t>
      </w:r>
    </w:p>
    <w:p w14:paraId="5483D7E2">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本次服务范围在东莞市内，</w:t>
      </w:r>
      <w:r>
        <w:rPr>
          <w:rFonts w:hint="eastAsia" w:ascii="宋体" w:hAnsi="宋体" w:cs="宋体"/>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物流司机须具备相应的货车驾照，车辆要求为</w:t>
      </w:r>
      <w:r>
        <w:rPr>
          <w:rFonts w:hint="eastAsia" w:ascii="Times New Roman" w:hAnsi="Times New Roman" w:eastAsia="宋体" w:cs="Times New Roman"/>
          <w:color w:val="auto"/>
          <w:sz w:val="21"/>
          <w:szCs w:val="21"/>
          <w:highlight w:val="none"/>
          <w:lang w:val="en-US" w:eastAsia="zh-CN"/>
        </w:rPr>
        <w:t>总质量4500KG</w:t>
      </w:r>
      <w:r>
        <w:rPr>
          <w:rFonts w:hint="eastAsia" w:cs="Times New Roman"/>
          <w:color w:val="auto"/>
          <w:sz w:val="21"/>
          <w:szCs w:val="21"/>
          <w:highlight w:val="none"/>
          <w:lang w:val="en-US" w:eastAsia="zh-CN"/>
        </w:rPr>
        <w:t>及</w:t>
      </w:r>
      <w:r>
        <w:rPr>
          <w:rFonts w:hint="eastAsia" w:ascii="Times New Roman" w:hAnsi="Times New Roman" w:eastAsia="宋体" w:cs="Times New Roman"/>
          <w:color w:val="auto"/>
          <w:sz w:val="21"/>
          <w:szCs w:val="21"/>
          <w:highlight w:val="none"/>
          <w:lang w:val="en-US" w:eastAsia="zh-CN"/>
        </w:rPr>
        <w:t>以下的</w:t>
      </w:r>
      <w:r>
        <w:rPr>
          <w:rFonts w:hint="default" w:ascii="Times New Roman" w:hAnsi="Times New Roman" w:eastAsia="宋体" w:cs="Times New Roman"/>
          <w:color w:val="auto"/>
          <w:sz w:val="21"/>
          <w:szCs w:val="21"/>
          <w:highlight w:val="none"/>
          <w:lang w:val="en-US" w:eastAsia="zh-CN"/>
        </w:rPr>
        <w:t>全关闭厢式货车，</w:t>
      </w:r>
      <w:r>
        <w:rPr>
          <w:rFonts w:hint="eastAsia" w:ascii="Times New Roman" w:hAnsi="Times New Roman" w:eastAsia="宋体" w:cs="Times New Roman"/>
          <w:color w:val="auto"/>
          <w:sz w:val="21"/>
          <w:szCs w:val="21"/>
          <w:highlight w:val="none"/>
          <w:lang w:val="en-US" w:eastAsia="zh-CN"/>
        </w:rPr>
        <w:t>根据《中华人民共和国道路运输条例》</w:t>
      </w:r>
      <w:r>
        <w:rPr>
          <w:rFonts w:hint="eastAsia" w:cs="Times New Roman"/>
          <w:color w:val="auto"/>
          <w:sz w:val="21"/>
          <w:szCs w:val="21"/>
          <w:highlight w:val="none"/>
          <w:lang w:val="en-US" w:eastAsia="zh-CN"/>
        </w:rPr>
        <w:t>的规定</w:t>
      </w:r>
      <w:r>
        <w:rPr>
          <w:rFonts w:hint="eastAsia" w:ascii="Times New Roman" w:hAnsi="Times New Roman" w:eastAsia="宋体" w:cs="Times New Roman"/>
          <w:color w:val="auto"/>
          <w:sz w:val="21"/>
          <w:szCs w:val="21"/>
          <w:highlight w:val="none"/>
          <w:lang w:val="en-US" w:eastAsia="zh-CN"/>
        </w:rPr>
        <w:t>，报价人如使用总质量4500KG以上的货车进行配送，需取得道路运输经营许可证及车辆营运证，否则因违反《中华人民共和国道路运输条例》的规定产生的一切后果均由报价人承担。</w:t>
      </w:r>
      <w:r>
        <w:rPr>
          <w:rFonts w:hint="eastAsia" w:cs="Times New Roman"/>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日配送能力要求</w:t>
      </w:r>
      <w:r>
        <w:rPr>
          <w:rFonts w:hint="eastAsia" w:cs="Times New Roman"/>
          <w:color w:val="auto"/>
          <w:sz w:val="21"/>
          <w:szCs w:val="21"/>
          <w:highlight w:val="none"/>
          <w:lang w:val="en-US" w:eastAsia="zh-CN"/>
        </w:rPr>
        <w:t>支</w:t>
      </w:r>
      <w:r>
        <w:rPr>
          <w:rFonts w:hint="default" w:ascii="Times New Roman" w:hAnsi="Times New Roman" w:eastAsia="宋体" w:cs="Times New Roman"/>
          <w:color w:val="auto"/>
          <w:sz w:val="21"/>
          <w:szCs w:val="21"/>
          <w:highlight w:val="none"/>
          <w:lang w:val="en-US" w:eastAsia="zh-CN"/>
        </w:rPr>
        <w:t>装水不低于200件，桶装水不低于200桶，</w:t>
      </w:r>
      <w:r>
        <w:rPr>
          <w:rFonts w:hint="default" w:ascii="Times New Roman" w:hAnsi="Times New Roman" w:eastAsia="宋体" w:cs="Times New Roman"/>
          <w:color w:val="auto"/>
          <w:szCs w:val="21"/>
          <w:highlight w:val="none"/>
          <w:lang w:val="en-US" w:eastAsia="zh-CN"/>
        </w:rPr>
        <w:t>每次最低起送量为：瓶装水1件或桶装水1桶。</w:t>
      </w:r>
      <w:r>
        <w:rPr>
          <w:rFonts w:hint="default" w:ascii="Times New Roman" w:hAnsi="Times New Roman" w:eastAsia="宋体" w:cs="Times New Roman"/>
          <w:color w:val="auto"/>
          <w:sz w:val="21"/>
          <w:szCs w:val="21"/>
          <w:highlight w:val="none"/>
          <w:lang w:val="en-US" w:eastAsia="zh-CN"/>
        </w:rPr>
        <w:t>车辆数量</w:t>
      </w:r>
      <w:r>
        <w:rPr>
          <w:rFonts w:hint="eastAsia" w:cs="Times New Roman"/>
          <w:color w:val="auto"/>
          <w:sz w:val="21"/>
          <w:szCs w:val="21"/>
          <w:highlight w:val="none"/>
          <w:lang w:val="en-US" w:eastAsia="zh-CN"/>
        </w:rPr>
        <w:t>由报价人</w:t>
      </w:r>
      <w:r>
        <w:rPr>
          <w:rFonts w:hint="default" w:ascii="Times New Roman" w:hAnsi="Times New Roman" w:eastAsia="宋体" w:cs="Times New Roman"/>
          <w:color w:val="auto"/>
          <w:sz w:val="21"/>
          <w:szCs w:val="21"/>
          <w:highlight w:val="none"/>
          <w:lang w:val="en-US" w:eastAsia="zh-CN"/>
        </w:rPr>
        <w:t>自行配置。根据</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的订单，自行负责包装水产品装卸货，并配送至采购人客户指定存放点（注：个别客户存在1个或以上存放点，或者需要送货上楼）。</w:t>
      </w:r>
    </w:p>
    <w:p w14:paraId="1E5C1656">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w:t>
      </w:r>
      <w:r>
        <w:rPr>
          <w:rFonts w:hint="default" w:ascii="Times New Roman" w:hAnsi="Times New Roman" w:eastAsia="宋体" w:cs="Times New Roman"/>
          <w:color w:val="auto"/>
          <w:sz w:val="21"/>
          <w:szCs w:val="21"/>
          <w:highlight w:val="none"/>
          <w:lang w:val="en-US" w:eastAsia="zh-CN"/>
        </w:rPr>
        <w:t>配送服务范围</w:t>
      </w:r>
      <w:r>
        <w:rPr>
          <w:rFonts w:hint="eastAsia" w:ascii="Times New Roman" w:hAnsi="Times New Roman" w:eastAsia="宋体" w:cs="Times New Roman"/>
          <w:color w:val="auto"/>
          <w:sz w:val="21"/>
          <w:szCs w:val="21"/>
          <w:highlight w:val="none"/>
          <w:lang w:val="en-US" w:eastAsia="zh-CN"/>
        </w:rPr>
        <w:t>：</w:t>
      </w:r>
    </w:p>
    <w:p w14:paraId="64817B39">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瓶（</w:t>
      </w:r>
      <w:r>
        <w:rPr>
          <w:rFonts w:hint="default" w:ascii="Times New Roman" w:hAnsi="Times New Roman" w:eastAsia="宋体" w:cs="Times New Roman"/>
          <w:color w:val="auto"/>
          <w:sz w:val="21"/>
          <w:szCs w:val="21"/>
          <w:highlight w:val="none"/>
          <w:lang w:val="en-US" w:eastAsia="zh-CN"/>
        </w:rPr>
        <w:t>桶</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装水配送起点为</w:t>
      </w:r>
      <w:r>
        <w:rPr>
          <w:rFonts w:hint="eastAsia" w:cs="Times New Roman"/>
          <w:color w:val="auto"/>
          <w:sz w:val="21"/>
          <w:szCs w:val="21"/>
          <w:highlight w:val="none"/>
          <w:lang w:val="en-US" w:eastAsia="zh-CN"/>
        </w:rPr>
        <w:t>甲方指定东莞市范围内仓库（合计两个仓库：南城仓库、常平仓库）</w:t>
      </w:r>
      <w:r>
        <w:rPr>
          <w:rFonts w:hint="default" w:ascii="Times New Roman" w:hAnsi="Times New Roman" w:eastAsia="宋体" w:cs="Times New Roman"/>
          <w:color w:val="auto"/>
          <w:sz w:val="21"/>
          <w:szCs w:val="21"/>
          <w:highlight w:val="none"/>
          <w:lang w:val="en-US" w:eastAsia="zh-CN"/>
        </w:rPr>
        <w:t>，终点为东莞市</w:t>
      </w:r>
      <w:r>
        <w:rPr>
          <w:rFonts w:hint="eastAsia" w:cs="Times New Roman"/>
          <w:color w:val="auto"/>
          <w:sz w:val="21"/>
          <w:szCs w:val="21"/>
          <w:highlight w:val="none"/>
          <w:lang w:val="en-US" w:eastAsia="zh-CN"/>
        </w:rPr>
        <w:t>范围内所有客户</w:t>
      </w:r>
      <w:r>
        <w:rPr>
          <w:rFonts w:hint="default" w:ascii="Times New Roman" w:hAnsi="Times New Roman" w:eastAsia="宋体" w:cs="Times New Roman"/>
          <w:color w:val="auto"/>
          <w:sz w:val="21"/>
          <w:szCs w:val="21"/>
          <w:highlight w:val="none"/>
          <w:lang w:val="en-US" w:eastAsia="zh-CN"/>
        </w:rPr>
        <w:t>。</w:t>
      </w:r>
    </w:p>
    <w:p w14:paraId="78BF6746">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Times New Roman" w:hAnsi="Times New Roman" w:eastAsia="宋体" w:cs="Times New Roman"/>
          <w:color w:val="auto"/>
          <w:sz w:val="21"/>
          <w:szCs w:val="21"/>
          <w:highlight w:val="none"/>
          <w:lang w:val="en-US" w:eastAsia="zh-CN"/>
        </w:rPr>
        <w:t>（二）</w:t>
      </w:r>
      <w:r>
        <w:rPr>
          <w:rFonts w:hint="eastAsia" w:ascii="仿宋_GB2312" w:hAnsi="仿宋_GB2312" w:eastAsia="仿宋_GB2312" w:cs="仿宋_GB2312"/>
          <w:color w:val="auto"/>
          <w:szCs w:val="21"/>
          <w:highlight w:val="none"/>
          <w:shd w:val="clear" w:color="auto" w:fill="FFFFFF"/>
          <w:lang w:val="en-US" w:eastAsia="zh-CN"/>
        </w:rPr>
        <w:t>配送预算单价（不含税）为4.9</w:t>
      </w:r>
      <w:r>
        <w:rPr>
          <w:rFonts w:hint="eastAsia" w:ascii="仿宋_GB2312" w:hAnsi="仿宋_GB2312" w:eastAsia="仿宋_GB2312" w:cs="仿宋_GB2312"/>
          <w:color w:val="auto"/>
          <w:kern w:val="2"/>
          <w:sz w:val="21"/>
          <w:szCs w:val="21"/>
          <w:highlight w:val="none"/>
          <w:shd w:val="clear" w:color="auto" w:fill="FFFFFF"/>
          <w:lang w:val="en-US" w:eastAsia="zh-CN" w:bidi="ar"/>
        </w:rPr>
        <w:t>5</w:t>
      </w:r>
      <w:r>
        <w:rPr>
          <w:rFonts w:hint="eastAsia" w:ascii="仿宋_GB2312" w:hAnsi="仿宋_GB2312" w:eastAsia="仿宋_GB2312" w:cs="仿宋_GB2312"/>
          <w:color w:val="auto"/>
          <w:szCs w:val="21"/>
          <w:highlight w:val="none"/>
          <w:u w:val="none"/>
          <w:shd w:val="clear" w:color="auto" w:fill="FFFFFF"/>
          <w:lang w:val="en-US" w:eastAsia="zh-CN"/>
        </w:rPr>
        <w:t>元/件（大写肆元玖角伍分）。</w:t>
      </w:r>
    </w:p>
    <w:p w14:paraId="4F0DCEA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服务期限内，如采购人实际需要的物流配送服务未列入上述配送服务范围内，采购人参照当前市场价</w:t>
      </w:r>
      <w:r>
        <w:rPr>
          <w:rFonts w:hint="eastAsia" w:ascii="宋体" w:hAnsi="宋体" w:cs="宋体"/>
          <w:color w:val="auto"/>
          <w:sz w:val="21"/>
          <w:szCs w:val="21"/>
          <w:highlight w:val="none"/>
          <w:lang w:val="en-US" w:eastAsia="zh-CN"/>
        </w:rPr>
        <w:t>与成交人</w:t>
      </w:r>
      <w:r>
        <w:rPr>
          <w:rFonts w:hint="eastAsia" w:ascii="宋体" w:hAnsi="宋体" w:eastAsia="宋体" w:cs="宋体"/>
          <w:color w:val="auto"/>
          <w:sz w:val="21"/>
          <w:szCs w:val="21"/>
          <w:highlight w:val="none"/>
          <w:lang w:val="en-US" w:eastAsia="zh-CN"/>
        </w:rPr>
        <w:t>协商议定对应服务单价。供应商必须按下表两个梯度分别报出单价。报价应为门到门全包价，包含</w:t>
      </w:r>
      <w:r>
        <w:rPr>
          <w:rFonts w:hint="eastAsia" w:ascii="宋体" w:hAnsi="宋体" w:cs="宋体"/>
          <w:color w:val="auto"/>
          <w:sz w:val="21"/>
          <w:szCs w:val="21"/>
          <w:highlight w:val="none"/>
          <w:lang w:val="en-US" w:eastAsia="zh-CN"/>
        </w:rPr>
        <w:t>供应商为完成合同全部义务所发生的一切费用</w:t>
      </w:r>
      <w:r>
        <w:rPr>
          <w:rFonts w:hint="eastAsia" w:ascii="宋体" w:hAnsi="宋体" w:eastAsia="宋体" w:cs="宋体"/>
          <w:color w:val="auto"/>
          <w:sz w:val="21"/>
          <w:szCs w:val="21"/>
          <w:highlight w:val="none"/>
          <w:lang w:val="en-US" w:eastAsia="zh-CN"/>
        </w:rPr>
        <w:t>。</w:t>
      </w:r>
    </w:p>
    <w:tbl>
      <w:tblPr>
        <w:tblStyle w:val="20"/>
        <w:tblW w:w="68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2"/>
        <w:gridCol w:w="2272"/>
        <w:gridCol w:w="2274"/>
      </w:tblGrid>
      <w:tr w14:paraId="4E3B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2272" w:type="dxa"/>
            <w:shd w:val="clear" w:color="auto" w:fill="auto"/>
            <w:vAlign w:val="center"/>
          </w:tcPr>
          <w:p w14:paraId="12C7EAF1">
            <w:pPr>
              <w:keepNext w:val="0"/>
              <w:keepLines w:val="0"/>
              <w:widowControl/>
              <w:suppressLineNumbers w:val="0"/>
              <w:spacing w:line="360" w:lineRule="auto"/>
              <w:ind w:firstLine="420" w:firstLineChars="200"/>
              <w:jc w:val="center"/>
              <w:textAlignment w:val="auto"/>
              <w:rPr>
                <w:rFonts w:ascii="Times New Roman" w:hAnsi="Times New Roman" w:eastAsia="宋体" w:cs="Times New Roman"/>
                <w:i w:val="0"/>
                <w:iCs w:val="0"/>
                <w:color w:val="auto"/>
                <w:sz w:val="21"/>
                <w:szCs w:val="21"/>
                <w:highlight w:val="none"/>
                <w:u w:val="none"/>
              </w:rPr>
            </w:pPr>
            <w:r>
              <w:rPr>
                <w:rStyle w:val="22"/>
                <w:rFonts w:ascii="Times New Roman" w:hAnsi="Times New Roman" w:eastAsia="宋体" w:cs="Times New Roman"/>
                <w:color w:val="auto"/>
                <w:sz w:val="21"/>
                <w:szCs w:val="21"/>
                <w:highlight w:val="none"/>
                <w:lang w:val="en-US" w:eastAsia="zh-CN" w:bidi="ar"/>
              </w:rPr>
              <w:t>配送件数梯度</w:t>
            </w:r>
          </w:p>
        </w:tc>
        <w:tc>
          <w:tcPr>
            <w:tcW w:w="2272" w:type="dxa"/>
            <w:shd w:val="clear" w:color="auto" w:fill="auto"/>
            <w:vAlign w:val="center"/>
          </w:tcPr>
          <w:p w14:paraId="7BB2725E">
            <w:pPr>
              <w:keepNext w:val="0"/>
              <w:keepLines w:val="0"/>
              <w:widowControl/>
              <w:suppressLineNumbers w:val="0"/>
              <w:spacing w:line="360" w:lineRule="auto"/>
              <w:ind w:firstLine="0" w:firstLineChars="0"/>
              <w:jc w:val="center"/>
              <w:textAlignment w:val="auto"/>
              <w:rPr>
                <w:rFonts w:hint="default" w:ascii="Times New Roman" w:hAnsi="Times New Roman" w:eastAsia="宋体" w:cs="Times New Roman"/>
                <w:i w:val="0"/>
                <w:iCs w:val="0"/>
                <w:color w:val="auto"/>
                <w:sz w:val="21"/>
                <w:szCs w:val="21"/>
                <w:highlight w:val="none"/>
                <w:u w:val="non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r>
              <w:rPr>
                <w:rStyle w:val="22"/>
                <w:rFonts w:ascii="Times New Roman" w:hAnsi="Times New Roman" w:eastAsia="宋体" w:cs="Times New Roman"/>
                <w:color w:val="auto"/>
                <w:sz w:val="21"/>
                <w:szCs w:val="21"/>
                <w:highlight w:val="none"/>
                <w:lang w:val="en-US" w:eastAsia="zh-CN" w:bidi="ar"/>
              </w:rPr>
              <w:t>​</w:t>
            </w:r>
          </w:p>
        </w:tc>
        <w:tc>
          <w:tcPr>
            <w:tcW w:w="2274" w:type="dxa"/>
            <w:shd w:val="clear" w:color="auto" w:fill="auto"/>
            <w:vAlign w:val="center"/>
          </w:tcPr>
          <w:p w14:paraId="6CBBAC37">
            <w:pPr>
              <w:keepNext w:val="0"/>
              <w:keepLines w:val="0"/>
              <w:widowControl/>
              <w:suppressLineNumbers w:val="0"/>
              <w:spacing w:line="360" w:lineRule="auto"/>
              <w:ind w:firstLine="420" w:firstLineChars="200"/>
              <w:jc w:val="center"/>
              <w:textAlignment w:val="auto"/>
              <w:rPr>
                <w:rFonts w:hint="default" w:ascii="Times New Roman" w:hAnsi="Times New Roman" w:eastAsia="宋体" w:cs="Times New Roman"/>
                <w:i w:val="0"/>
                <w:iCs w:val="0"/>
                <w:color w:val="auto"/>
                <w:sz w:val="21"/>
                <w:szCs w:val="21"/>
                <w:highlight w:val="none"/>
                <w:u w:val="none"/>
              </w:rPr>
            </w:pPr>
            <w:r>
              <w:rPr>
                <w:rFonts w:hint="eastAsia" w:cs="Times New Roman"/>
                <w:color w:val="auto"/>
                <w:sz w:val="21"/>
                <w:szCs w:val="21"/>
                <w:highlight w:val="none"/>
                <w:lang w:val="en-US" w:eastAsia="zh-CN" w:bidi="ar"/>
              </w:rPr>
              <w:t>预估业务占比</w:t>
            </w:r>
          </w:p>
        </w:tc>
      </w:tr>
      <w:tr w14:paraId="504E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2272" w:type="dxa"/>
            <w:shd w:val="clear" w:color="auto" w:fill="auto"/>
            <w:vAlign w:val="center"/>
          </w:tcPr>
          <w:p w14:paraId="6222B820">
            <w:pPr>
              <w:keepNext w:val="0"/>
              <w:keepLines w:val="0"/>
              <w:widowControl/>
              <w:suppressLineNumbers w:val="0"/>
              <w:spacing w:line="360" w:lineRule="auto"/>
              <w:ind w:firstLine="420" w:firstLineChars="200"/>
              <w:jc w:val="left"/>
              <w:textAlignment w:val="auto"/>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2"/>
                <w:sz w:val="21"/>
                <w:szCs w:val="21"/>
                <w:highlight w:val="none"/>
                <w:u w:val="none"/>
                <w:lang w:val="en-US" w:eastAsia="zh-CN" w:bidi="ar"/>
              </w:rPr>
              <w:t>1 - 9件</w:t>
            </w:r>
          </w:p>
        </w:tc>
        <w:tc>
          <w:tcPr>
            <w:tcW w:w="2272" w:type="dxa"/>
            <w:shd w:val="clear" w:color="auto" w:fill="auto"/>
            <w:vAlign w:val="center"/>
          </w:tcPr>
          <w:p w14:paraId="737E277D">
            <w:pPr>
              <w:keepNext w:val="0"/>
              <w:keepLines w:val="0"/>
              <w:widowControl/>
              <w:suppressLineNumbers w:val="0"/>
              <w:spacing w:line="360" w:lineRule="auto"/>
              <w:ind w:firstLine="420" w:firstLineChars="200"/>
              <w:jc w:val="left"/>
              <w:textAlignment w:val="auto"/>
              <w:rPr>
                <w:rFonts w:ascii="Times New Roman" w:hAnsi="Times New Roman" w:eastAsia="宋体" w:cs="Times New Roman"/>
                <w:i w:val="0"/>
                <w:iCs w:val="0"/>
                <w:color w:val="auto"/>
                <w:sz w:val="21"/>
                <w:szCs w:val="21"/>
                <w:highlight w:val="none"/>
                <w:u w:val="none"/>
              </w:rPr>
            </w:pPr>
            <w:r>
              <w:rPr>
                <w:rStyle w:val="22"/>
                <w:rFonts w:ascii="Times New Roman" w:hAnsi="Times New Roman" w:eastAsia="宋体" w:cs="Times New Roman"/>
                <w:color w:val="auto"/>
                <w:sz w:val="21"/>
                <w:szCs w:val="21"/>
                <w:highlight w:val="none"/>
                <w:lang w:val="en-US" w:eastAsia="zh-CN" w:bidi="ar"/>
              </w:rPr>
              <w:t>​</w:t>
            </w:r>
          </w:p>
        </w:tc>
        <w:tc>
          <w:tcPr>
            <w:tcW w:w="2274" w:type="dxa"/>
            <w:shd w:val="clear" w:color="auto" w:fill="auto"/>
            <w:vAlign w:val="center"/>
          </w:tcPr>
          <w:p w14:paraId="535A6DD1">
            <w:pPr>
              <w:keepNext w:val="0"/>
              <w:keepLines w:val="0"/>
              <w:widowControl/>
              <w:suppressLineNumbers w:val="0"/>
              <w:spacing w:line="360" w:lineRule="auto"/>
              <w:ind w:firstLine="420" w:firstLineChars="200"/>
              <w:jc w:val="left"/>
              <w:textAlignment w:val="auto"/>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2"/>
                <w:sz w:val="21"/>
                <w:szCs w:val="21"/>
                <w:highlight w:val="none"/>
                <w:u w:val="none"/>
                <w:lang w:val="en-US" w:eastAsia="zh-CN" w:bidi="ar"/>
              </w:rPr>
              <w:t>50%</w:t>
            </w:r>
          </w:p>
        </w:tc>
      </w:tr>
      <w:tr w14:paraId="06F1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2272" w:type="dxa"/>
            <w:shd w:val="clear" w:color="auto" w:fill="auto"/>
            <w:vAlign w:val="center"/>
          </w:tcPr>
          <w:p w14:paraId="49E714D0">
            <w:pPr>
              <w:keepNext w:val="0"/>
              <w:keepLines w:val="0"/>
              <w:widowControl/>
              <w:suppressLineNumbers w:val="0"/>
              <w:spacing w:line="360" w:lineRule="auto"/>
              <w:ind w:firstLine="420" w:firstLineChars="200"/>
              <w:jc w:val="left"/>
              <w:textAlignment w:val="auto"/>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2"/>
                <w:sz w:val="21"/>
                <w:szCs w:val="21"/>
                <w:highlight w:val="none"/>
                <w:u w:val="none"/>
                <w:lang w:val="en-US" w:eastAsia="zh-CN" w:bidi="ar"/>
              </w:rPr>
              <w:t>10 - 19件</w:t>
            </w:r>
          </w:p>
        </w:tc>
        <w:tc>
          <w:tcPr>
            <w:tcW w:w="2272" w:type="dxa"/>
            <w:shd w:val="clear" w:color="auto" w:fill="auto"/>
            <w:vAlign w:val="center"/>
          </w:tcPr>
          <w:p w14:paraId="3BA8482C">
            <w:pPr>
              <w:keepNext w:val="0"/>
              <w:keepLines w:val="0"/>
              <w:widowControl/>
              <w:suppressLineNumbers w:val="0"/>
              <w:spacing w:line="360" w:lineRule="auto"/>
              <w:ind w:firstLine="420" w:firstLineChars="200"/>
              <w:jc w:val="left"/>
              <w:textAlignment w:val="auto"/>
              <w:rPr>
                <w:rFonts w:hint="default" w:ascii="Times New Roman" w:hAnsi="Times New Roman" w:eastAsia="宋体" w:cs="Times New Roman"/>
                <w:i w:val="0"/>
                <w:iCs w:val="0"/>
                <w:color w:val="auto"/>
                <w:sz w:val="21"/>
                <w:szCs w:val="21"/>
                <w:highlight w:val="none"/>
                <w:u w:val="none"/>
              </w:rPr>
            </w:pPr>
            <w:r>
              <w:rPr>
                <w:rStyle w:val="22"/>
                <w:rFonts w:ascii="Times New Roman" w:hAnsi="Times New Roman" w:eastAsia="宋体" w:cs="Times New Roman"/>
                <w:color w:val="auto"/>
                <w:sz w:val="21"/>
                <w:szCs w:val="21"/>
                <w:highlight w:val="none"/>
                <w:lang w:val="en-US" w:eastAsia="zh-CN" w:bidi="ar"/>
              </w:rPr>
              <w:t>​</w:t>
            </w:r>
          </w:p>
        </w:tc>
        <w:tc>
          <w:tcPr>
            <w:tcW w:w="2274" w:type="dxa"/>
            <w:shd w:val="clear" w:color="auto" w:fill="auto"/>
            <w:vAlign w:val="center"/>
          </w:tcPr>
          <w:p w14:paraId="5DA847C6">
            <w:pPr>
              <w:keepNext w:val="0"/>
              <w:keepLines w:val="0"/>
              <w:widowControl/>
              <w:suppressLineNumbers w:val="0"/>
              <w:spacing w:line="360" w:lineRule="auto"/>
              <w:ind w:firstLine="420" w:firstLineChars="200"/>
              <w:jc w:val="left"/>
              <w:textAlignment w:val="auto"/>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2"/>
                <w:sz w:val="21"/>
                <w:szCs w:val="21"/>
                <w:highlight w:val="none"/>
                <w:u w:val="none"/>
                <w:lang w:val="en-US" w:eastAsia="zh-CN" w:bidi="ar"/>
              </w:rPr>
              <w:t>50%</w:t>
            </w:r>
          </w:p>
        </w:tc>
      </w:tr>
    </w:tbl>
    <w:p w14:paraId="0EC341BB">
      <w:pPr>
        <w:pStyle w:val="2"/>
        <w:rPr>
          <w:rFonts w:hint="eastAsia"/>
          <w:highlight w:val="none"/>
        </w:rPr>
      </w:pPr>
    </w:p>
    <w:p w14:paraId="7A0DF01C">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p>
    <w:p w14:paraId="47ACE41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服务期限自合同签订之日起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个月，前述期限届满或包装水物流配送服务费</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累计达到</w:t>
      </w:r>
      <w:r>
        <w:rPr>
          <w:rFonts w:hint="eastAsia" w:ascii="宋体" w:hAnsi="宋体" w:cs="宋体"/>
          <w:color w:val="auto"/>
          <w:sz w:val="21"/>
          <w:szCs w:val="21"/>
          <w:highlight w:val="none"/>
          <w:lang w:val="en-US" w:eastAsia="zh-CN"/>
        </w:rPr>
        <w:t>100,000.00</w:t>
      </w:r>
      <w:r>
        <w:rPr>
          <w:rFonts w:hint="eastAsia" w:ascii="宋体" w:hAnsi="宋体" w:eastAsia="宋体" w:cs="宋体"/>
          <w:color w:val="auto"/>
          <w:sz w:val="21"/>
          <w:szCs w:val="21"/>
          <w:highlight w:val="none"/>
          <w:lang w:val="en-US" w:eastAsia="zh-CN"/>
        </w:rPr>
        <w:t>元时止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终止日期以前述两种情况中先达到的期限为准</w:t>
      </w:r>
      <w:r>
        <w:rPr>
          <w:rFonts w:hint="eastAsia" w:ascii="宋体" w:hAnsi="宋体" w:eastAsia="宋体" w:cs="宋体"/>
          <w:color w:val="auto"/>
          <w:sz w:val="21"/>
          <w:szCs w:val="21"/>
          <w:highlight w:val="none"/>
          <w:lang w:bidi="ar"/>
        </w:rPr>
        <w:t>。</w:t>
      </w:r>
    </w:p>
    <w:p w14:paraId="1C6C570A">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四、服务要求</w:t>
      </w:r>
    </w:p>
    <w:p w14:paraId="55FBA81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1.成交人在服务中应注意维护采购人的企业形象、名誉。</w:t>
      </w:r>
      <w:r>
        <w:rPr>
          <w:rFonts w:hint="eastAsia" w:ascii="宋体" w:hAnsi="宋体" w:cs="宋体"/>
          <w:color w:val="auto"/>
          <w:sz w:val="21"/>
          <w:szCs w:val="21"/>
          <w:highlight w:val="none"/>
          <w:lang w:val="en-US" w:eastAsia="zh-CN"/>
        </w:rPr>
        <w:t>成交人应督促</w:t>
      </w:r>
      <w:r>
        <w:rPr>
          <w:rFonts w:hint="eastAsia" w:ascii="宋体" w:hAnsi="宋体" w:eastAsia="宋体" w:cs="宋体"/>
          <w:color w:val="auto"/>
          <w:sz w:val="21"/>
          <w:szCs w:val="21"/>
          <w:highlight w:val="none"/>
          <w:lang w:val="en-US" w:eastAsia="zh-CN"/>
        </w:rPr>
        <w:t>物流司机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搬运工禁止穿拖鞋上班、衣着要整齐、文明做事、礼貌待人、不得以任何原因与收货人产生争执，不得以任何理由向采购人客户索取物资，不得透露采购人物流配送产品的价格、数量等任何信息。</w:t>
      </w:r>
    </w:p>
    <w:p w14:paraId="2998AFA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2.物流司机要凭提货单上的数量到指定地点装车，装车完成后，由仓管员核对数量后签字确认。</w:t>
      </w:r>
    </w:p>
    <w:p w14:paraId="08257CD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3.装卸货物时对产品要轻拿轻放、摆放整齐，如有损坏</w:t>
      </w:r>
      <w:r>
        <w:rPr>
          <w:rFonts w:hint="eastAsia" w:ascii="宋体" w:hAnsi="宋体" w:cs="宋体"/>
          <w:color w:val="auto"/>
          <w:sz w:val="21"/>
          <w:szCs w:val="21"/>
          <w:highlight w:val="none"/>
          <w:lang w:val="en-US" w:eastAsia="zh-CN"/>
        </w:rPr>
        <w:t>按照销售价</w:t>
      </w:r>
      <w:r>
        <w:rPr>
          <w:rFonts w:hint="eastAsia" w:ascii="宋体" w:hAnsi="宋体" w:eastAsia="宋体" w:cs="宋体"/>
          <w:color w:val="auto"/>
          <w:sz w:val="21"/>
          <w:szCs w:val="21"/>
          <w:highlight w:val="none"/>
          <w:lang w:val="en-US" w:eastAsia="zh-CN"/>
        </w:rPr>
        <w:t>赔偿。物流配送途中货物整齐牢固，关好车门，不超高超宽超重，以免货物撒漏破损，要保证物流配送全过程安全。</w:t>
      </w:r>
    </w:p>
    <w:p w14:paraId="6BABA3F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4.装好货物后须在1小时内起运，</w:t>
      </w:r>
      <w:r>
        <w:rPr>
          <w:rFonts w:hint="eastAsia" w:ascii="仿宋_GB2312" w:hAnsi="仿宋_GB2312" w:eastAsia="仿宋_GB2312" w:cs="仿宋_GB2312"/>
          <w:color w:val="auto"/>
          <w:szCs w:val="21"/>
          <w:highlight w:val="none"/>
          <w:lang w:val="en-US" w:eastAsia="zh-CN"/>
        </w:rPr>
        <w:t>当天15:00前的物流配送任务当天全部完成，15：00后的物流配送任务需次日全部完成</w:t>
      </w:r>
      <w:r>
        <w:rPr>
          <w:rFonts w:hint="eastAsia" w:ascii="宋体" w:hAnsi="宋体" w:eastAsia="宋体" w:cs="宋体"/>
          <w:color w:val="auto"/>
          <w:sz w:val="21"/>
          <w:szCs w:val="21"/>
          <w:highlight w:val="none"/>
          <w:lang w:val="en-US" w:eastAsia="zh-CN"/>
        </w:rPr>
        <w:t>（特殊情况</w:t>
      </w:r>
      <w:r>
        <w:rPr>
          <w:rFonts w:hint="eastAsia" w:ascii="宋体" w:hAnsi="宋体" w:cs="宋体"/>
          <w:color w:val="auto"/>
          <w:sz w:val="21"/>
          <w:szCs w:val="21"/>
          <w:highlight w:val="none"/>
          <w:lang w:val="en-US" w:eastAsia="zh-CN"/>
        </w:rPr>
        <w:t>经采购人书面同意的</w:t>
      </w:r>
      <w:r>
        <w:rPr>
          <w:rFonts w:hint="eastAsia" w:ascii="宋体" w:hAnsi="宋体" w:eastAsia="宋体" w:cs="宋体"/>
          <w:color w:val="auto"/>
          <w:sz w:val="21"/>
          <w:szCs w:val="21"/>
          <w:highlight w:val="none"/>
          <w:lang w:val="en-US" w:eastAsia="zh-CN"/>
        </w:rPr>
        <w:t>除外），采购人有权对供应商承运的在途货物进行跟踪。没有采购人</w:t>
      </w:r>
      <w:r>
        <w:rPr>
          <w:rFonts w:hint="eastAsia" w:ascii="宋体" w:hAnsi="宋体" w:cs="宋体"/>
          <w:color w:val="auto"/>
          <w:sz w:val="21"/>
          <w:szCs w:val="21"/>
          <w:highlight w:val="none"/>
          <w:lang w:val="en-US" w:eastAsia="zh-CN"/>
        </w:rPr>
        <w:t>书面</w:t>
      </w:r>
      <w:r>
        <w:rPr>
          <w:rFonts w:hint="eastAsia" w:ascii="宋体" w:hAnsi="宋体" w:eastAsia="宋体" w:cs="宋体"/>
          <w:color w:val="auto"/>
          <w:sz w:val="21"/>
          <w:szCs w:val="21"/>
          <w:highlight w:val="none"/>
          <w:lang w:val="en-US" w:eastAsia="zh-CN"/>
        </w:rPr>
        <w:t>同意</w:t>
      </w:r>
      <w:r>
        <w:rPr>
          <w:rFonts w:hint="eastAsia" w:ascii="宋体" w:hAnsi="宋体" w:cs="宋体"/>
          <w:color w:val="auto"/>
          <w:sz w:val="21"/>
          <w:szCs w:val="21"/>
          <w:highlight w:val="none"/>
          <w:lang w:val="en-US" w:eastAsia="zh-CN"/>
        </w:rPr>
        <w:t>的情况下，成交人</w:t>
      </w:r>
      <w:r>
        <w:rPr>
          <w:rFonts w:hint="eastAsia" w:ascii="宋体" w:hAnsi="宋体" w:eastAsia="宋体" w:cs="宋体"/>
          <w:color w:val="auto"/>
          <w:sz w:val="21"/>
          <w:szCs w:val="21"/>
          <w:highlight w:val="none"/>
          <w:lang w:val="en-US" w:eastAsia="zh-CN"/>
        </w:rPr>
        <w:t>不能把客户的库存产品退回采购人，否则</w:t>
      </w:r>
      <w:r>
        <w:rPr>
          <w:rFonts w:hint="eastAsia" w:ascii="宋体" w:hAnsi="宋体" w:cs="宋体"/>
          <w:color w:val="auto"/>
          <w:sz w:val="21"/>
          <w:szCs w:val="21"/>
          <w:highlight w:val="none"/>
          <w:lang w:val="en-US" w:eastAsia="zh-CN"/>
        </w:rPr>
        <w:t>采购人有权在成交人的物流配送服务费中直接扣除退回产品的出厂价</w:t>
      </w:r>
      <w:r>
        <w:rPr>
          <w:rFonts w:hint="eastAsia" w:ascii="宋体" w:hAnsi="宋体" w:eastAsia="宋体" w:cs="宋体"/>
          <w:color w:val="auto"/>
          <w:sz w:val="21"/>
          <w:szCs w:val="21"/>
          <w:highlight w:val="none"/>
          <w:lang w:val="en-US" w:eastAsia="zh-CN"/>
        </w:rPr>
        <w:t>。</w:t>
      </w:r>
    </w:p>
    <w:p w14:paraId="1A8CD27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5.供应商必须按当天派</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的顺序来配送完成当天订单，不得故意不按时按点配送或因未完成当天</w:t>
      </w:r>
      <w:r>
        <w:rPr>
          <w:rFonts w:hint="eastAsia" w:ascii="宋体" w:hAnsi="宋体" w:cs="宋体"/>
          <w:color w:val="auto"/>
          <w:sz w:val="21"/>
          <w:szCs w:val="21"/>
          <w:highlight w:val="none"/>
          <w:lang w:val="en-US" w:eastAsia="zh-CN"/>
        </w:rPr>
        <w:t>的配送</w:t>
      </w:r>
      <w:r>
        <w:rPr>
          <w:rFonts w:hint="eastAsia" w:ascii="宋体" w:hAnsi="宋体" w:eastAsia="宋体" w:cs="宋体"/>
          <w:color w:val="auto"/>
          <w:sz w:val="21"/>
          <w:szCs w:val="21"/>
          <w:highlight w:val="none"/>
          <w:lang w:val="en-US" w:eastAsia="zh-CN"/>
        </w:rPr>
        <w:t>订单而造成客户投诉。</w:t>
      </w:r>
      <w:r>
        <w:rPr>
          <w:rFonts w:hint="eastAsia" w:ascii="宋体" w:hAnsi="宋体" w:cs="宋体"/>
          <w:color w:val="auto"/>
          <w:sz w:val="21"/>
          <w:szCs w:val="21"/>
          <w:highlight w:val="none"/>
          <w:lang w:val="en-US" w:eastAsia="zh-CN"/>
        </w:rPr>
        <w:t>如遇天气恶劣等原因确需推迟发车日期的，</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事先取得</w:t>
      </w:r>
      <w:r>
        <w:rPr>
          <w:rFonts w:hint="eastAsia" w:ascii="宋体" w:hAnsi="宋体" w:eastAsia="宋体" w:cs="宋体"/>
          <w:color w:val="auto"/>
          <w:sz w:val="21"/>
          <w:szCs w:val="21"/>
          <w:highlight w:val="none"/>
          <w:lang w:val="en-US" w:eastAsia="zh-CN"/>
        </w:rPr>
        <w:t>采购人同意的情况下，</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可延迟一天配送</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lang w:val="en-US" w:eastAsia="zh-CN"/>
        </w:rPr>
        <w:t>。</w:t>
      </w:r>
    </w:p>
    <w:p w14:paraId="5251A13C">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五、付款方式</w:t>
      </w:r>
    </w:p>
    <w:p w14:paraId="0F80286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物流配送服务费按月进行结算</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。成交人于次月提交上月物流配送服务请款报告，以及合法、有效的增值税专用发票，经采购人审核确认无误后15个工作日内以银行转账或汇款方式向成交人支付相应款项</w:t>
      </w:r>
      <w:r>
        <w:rPr>
          <w:rFonts w:hint="eastAsia" w:ascii="宋体" w:hAnsi="宋体" w:eastAsia="宋体" w:cs="宋体"/>
          <w:color w:val="auto"/>
          <w:sz w:val="21"/>
          <w:szCs w:val="21"/>
          <w:highlight w:val="none"/>
        </w:rPr>
        <w:t>。</w:t>
      </w:r>
    </w:p>
    <w:p w14:paraId="1C665D40">
      <w:pPr>
        <w:pStyle w:val="2"/>
        <w:rPr>
          <w:rFonts w:hint="default"/>
          <w:highlight w:val="none"/>
          <w:lang w:val="en-US" w:eastAsia="zh-CN"/>
        </w:rPr>
      </w:pPr>
    </w:p>
    <w:p w14:paraId="6D5A945F">
      <w:pPr>
        <w:rPr>
          <w:rFonts w:hint="eastAsia" w:ascii="宋体" w:hAnsi="宋体"/>
          <w:color w:val="auto"/>
          <w:sz w:val="44"/>
          <w:szCs w:val="44"/>
          <w:highlight w:val="none"/>
          <w:lang w:val="zh-CN"/>
        </w:rPr>
      </w:pPr>
      <w:bookmarkStart w:id="26" w:name="_Toc23728"/>
      <w:r>
        <w:rPr>
          <w:rFonts w:hint="eastAsia" w:ascii="宋体" w:hAnsi="宋体"/>
          <w:color w:val="auto"/>
          <w:sz w:val="44"/>
          <w:szCs w:val="44"/>
          <w:highlight w:val="none"/>
          <w:lang w:val="zh-CN"/>
        </w:rPr>
        <w:br w:type="page"/>
      </w:r>
    </w:p>
    <w:p w14:paraId="23BBC52A">
      <w:pPr>
        <w:pStyle w:val="18"/>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6"/>
    </w:p>
    <w:p w14:paraId="7234862A">
      <w:pPr>
        <w:jc w:val="center"/>
        <w:rPr>
          <w:rFonts w:hint="eastAsia" w:ascii="方正小标宋简体" w:hAnsi="方正小标宋简体" w:eastAsia="方正小标宋简体" w:cs="方正小标宋简体"/>
          <w:b/>
          <w:bCs/>
          <w:color w:val="auto"/>
          <w:sz w:val="44"/>
          <w:szCs w:val="44"/>
          <w:highlight w:val="none"/>
          <w:u w:val="single"/>
        </w:rPr>
      </w:pPr>
    </w:p>
    <w:p w14:paraId="75FF4705">
      <w:pPr>
        <w:pStyle w:val="2"/>
        <w:rPr>
          <w:rFonts w:hint="eastAsia" w:ascii="方正小标宋简体" w:hAnsi="方正小标宋简体" w:eastAsia="方正小标宋简体" w:cs="方正小标宋简体"/>
          <w:b/>
          <w:bCs/>
          <w:color w:val="auto"/>
          <w:sz w:val="44"/>
          <w:szCs w:val="44"/>
          <w:highlight w:val="none"/>
          <w:u w:val="single"/>
        </w:rPr>
      </w:pPr>
    </w:p>
    <w:p w14:paraId="1898F19D">
      <w:pPr>
        <w:pStyle w:val="2"/>
        <w:rPr>
          <w:rFonts w:hint="eastAsia" w:ascii="方正小标宋简体" w:hAnsi="方正小标宋简体" w:eastAsia="方正小标宋简体" w:cs="方正小标宋简体"/>
          <w:b/>
          <w:bCs/>
          <w:color w:val="auto"/>
          <w:sz w:val="44"/>
          <w:szCs w:val="44"/>
          <w:highlight w:val="none"/>
          <w:u w:val="single"/>
        </w:rPr>
      </w:pPr>
    </w:p>
    <w:p w14:paraId="3C92B796">
      <w:pPr>
        <w:jc w:val="center"/>
        <w:rPr>
          <w:rFonts w:hint="eastAsia" w:ascii="方正小标宋简体" w:hAnsi="方正小标宋简体" w:eastAsia="方正小标宋简体" w:cs="方正小标宋简体"/>
          <w:b/>
          <w:bCs/>
          <w:color w:val="auto"/>
          <w:sz w:val="44"/>
          <w:szCs w:val="44"/>
          <w:highlight w:val="none"/>
          <w:u w:val="single"/>
        </w:rPr>
      </w:pPr>
      <w:r>
        <w:rPr>
          <w:rFonts w:hint="eastAsia" w:ascii="方正小标宋简体" w:hAnsi="方正小标宋简体" w:eastAsia="方正小标宋简体" w:cs="方正小标宋简体"/>
          <w:b/>
          <w:bCs/>
          <w:color w:val="auto"/>
          <w:sz w:val="44"/>
          <w:szCs w:val="44"/>
          <w:highlight w:val="none"/>
          <w:u w:val="single"/>
        </w:rPr>
        <w:t>东莞市</w:t>
      </w:r>
      <w:r>
        <w:rPr>
          <w:rFonts w:hint="eastAsia" w:ascii="方正小标宋简体" w:hAnsi="方正小标宋简体" w:eastAsia="方正小标宋简体" w:cs="方正小标宋简体"/>
          <w:b/>
          <w:bCs/>
          <w:color w:val="auto"/>
          <w:sz w:val="44"/>
          <w:szCs w:val="44"/>
          <w:highlight w:val="none"/>
          <w:u w:val="single"/>
          <w:lang w:val="en-US" w:eastAsia="zh-CN"/>
        </w:rPr>
        <w:t>福地饮用水</w:t>
      </w:r>
      <w:r>
        <w:rPr>
          <w:rFonts w:hint="eastAsia" w:ascii="方正小标宋简体" w:hAnsi="方正小标宋简体" w:eastAsia="方正小标宋简体" w:cs="方正小标宋简体"/>
          <w:b/>
          <w:bCs/>
          <w:color w:val="auto"/>
          <w:sz w:val="44"/>
          <w:szCs w:val="44"/>
          <w:highlight w:val="none"/>
          <w:u w:val="single"/>
        </w:rPr>
        <w:t>有限公司</w:t>
      </w:r>
    </w:p>
    <w:p w14:paraId="53684F8E">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2025年包装水（20件以下)物流配送</w:t>
      </w:r>
    </w:p>
    <w:p w14:paraId="0B529704">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lang w:val="en-US" w:eastAsia="zh-CN"/>
        </w:rPr>
        <w:t>服务</w:t>
      </w:r>
      <w:r>
        <w:rPr>
          <w:rFonts w:hint="eastAsia" w:ascii="方正小标宋简体" w:hAnsi="方正小标宋简体" w:eastAsia="方正小标宋简体" w:cs="方正小标宋简体"/>
          <w:b/>
          <w:bCs/>
          <w:color w:val="auto"/>
          <w:sz w:val="44"/>
          <w:szCs w:val="44"/>
          <w:highlight w:val="none"/>
          <w:u w:val="single"/>
        </w:rPr>
        <w:t>合同</w:t>
      </w:r>
    </w:p>
    <w:p w14:paraId="2385627D">
      <w:pPr>
        <w:rPr>
          <w:rFonts w:ascii="宋体" w:hAnsi="宋体"/>
          <w:color w:val="auto"/>
          <w:highlight w:val="none"/>
        </w:rPr>
      </w:pPr>
    </w:p>
    <w:p w14:paraId="6F73B9C8">
      <w:pPr>
        <w:rPr>
          <w:rFonts w:ascii="宋体" w:hAnsi="宋体"/>
          <w:color w:val="auto"/>
          <w:highlight w:val="none"/>
        </w:rPr>
      </w:pPr>
    </w:p>
    <w:p w14:paraId="260A8BF6">
      <w:pPr>
        <w:rPr>
          <w:rFonts w:ascii="宋体" w:hAnsi="宋体"/>
          <w:color w:val="auto"/>
          <w:highlight w:val="none"/>
        </w:rPr>
      </w:pPr>
    </w:p>
    <w:p w14:paraId="6B7A2291">
      <w:pPr>
        <w:rPr>
          <w:rFonts w:ascii="宋体" w:hAnsi="宋体"/>
          <w:color w:val="auto"/>
          <w:highlight w:val="none"/>
        </w:rPr>
      </w:pPr>
    </w:p>
    <w:p w14:paraId="23F08F85">
      <w:pPr>
        <w:rPr>
          <w:rFonts w:ascii="宋体" w:hAnsi="宋体"/>
          <w:color w:val="auto"/>
          <w:highlight w:val="none"/>
        </w:rPr>
      </w:pPr>
    </w:p>
    <w:p w14:paraId="1B1E36CF">
      <w:pPr>
        <w:rPr>
          <w:rFonts w:ascii="宋体" w:hAnsi="宋体"/>
          <w:color w:val="auto"/>
          <w:highlight w:val="none"/>
        </w:rPr>
      </w:pPr>
    </w:p>
    <w:p w14:paraId="5F9B3CD5">
      <w:pPr>
        <w:rPr>
          <w:rFonts w:ascii="宋体" w:hAnsi="宋体"/>
          <w:color w:val="auto"/>
          <w:highlight w:val="none"/>
        </w:rPr>
      </w:pPr>
    </w:p>
    <w:p w14:paraId="0433922D">
      <w:pPr>
        <w:rPr>
          <w:rFonts w:ascii="宋体" w:hAnsi="宋体"/>
          <w:color w:val="auto"/>
          <w:highlight w:val="none"/>
        </w:rPr>
      </w:pPr>
    </w:p>
    <w:p w14:paraId="7787EF81">
      <w:pPr>
        <w:pStyle w:val="8"/>
        <w:rPr>
          <w:rFonts w:ascii="宋体" w:hAnsi="宋体"/>
          <w:color w:val="auto"/>
          <w:highlight w:val="none"/>
        </w:rPr>
      </w:pPr>
    </w:p>
    <w:p w14:paraId="62759DBC">
      <w:pPr>
        <w:pStyle w:val="8"/>
        <w:rPr>
          <w:rFonts w:ascii="宋体" w:hAnsi="宋体"/>
          <w:color w:val="auto"/>
          <w:highlight w:val="none"/>
        </w:rPr>
      </w:pPr>
    </w:p>
    <w:p w14:paraId="27DC1384">
      <w:pPr>
        <w:pStyle w:val="8"/>
        <w:rPr>
          <w:rFonts w:ascii="宋体" w:hAnsi="宋体"/>
          <w:color w:val="auto"/>
          <w:highlight w:val="none"/>
        </w:rPr>
      </w:pPr>
    </w:p>
    <w:p w14:paraId="5E02F858">
      <w:pPr>
        <w:spacing w:line="360" w:lineRule="auto"/>
        <w:rPr>
          <w:rFonts w:ascii="宋体" w:hAnsi="宋体"/>
          <w:color w:val="auto"/>
          <w:highlight w:val="none"/>
        </w:rPr>
      </w:pPr>
    </w:p>
    <w:p w14:paraId="3D4D0C7C">
      <w:pPr>
        <w:snapToGrid w:val="0"/>
        <w:spacing w:line="360" w:lineRule="auto"/>
        <w:ind w:firstLine="964" w:firstLineChars="300"/>
        <w:jc w:val="left"/>
        <w:outlineLvl w:val="1"/>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合  同  编  号：</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ascii="宋体" w:hAnsi="宋体"/>
          <w:b/>
          <w:color w:val="auto"/>
          <w:sz w:val="32"/>
          <w:szCs w:val="32"/>
          <w:highlight w:val="none"/>
          <w:u w:val="single"/>
        </w:rPr>
        <w:t xml:space="preserve">      </w:t>
      </w:r>
    </w:p>
    <w:p w14:paraId="1C9F8E2A">
      <w:pPr>
        <w:snapToGrid w:val="0"/>
        <w:spacing w:line="360" w:lineRule="auto"/>
        <w:ind w:firstLine="964" w:firstLineChars="300"/>
        <w:jc w:val="left"/>
        <w:outlineLvl w:val="1"/>
        <w:rPr>
          <w:rFonts w:ascii="宋体" w:hAnsi="宋体"/>
          <w:b/>
          <w:color w:val="auto"/>
          <w:sz w:val="32"/>
          <w:szCs w:val="32"/>
          <w:highlight w:val="none"/>
          <w:u w:val="single"/>
        </w:rPr>
      </w:pPr>
      <w:r>
        <w:rPr>
          <w:rFonts w:hint="eastAsia" w:ascii="仿宋_GB2312" w:hAnsi="仿宋_GB2312" w:eastAsia="仿宋_GB2312" w:cs="仿宋_GB2312"/>
          <w:b/>
          <w:color w:val="auto"/>
          <w:sz w:val="32"/>
          <w:szCs w:val="32"/>
          <w:highlight w:val="none"/>
          <w:lang w:val="en-US" w:eastAsia="zh-CN"/>
        </w:rPr>
        <w:t>委托</w:t>
      </w:r>
      <w:r>
        <w:rPr>
          <w:rFonts w:hint="eastAsia" w:ascii="仿宋_GB2312" w:hAnsi="仿宋_GB2312" w:eastAsia="仿宋_GB2312" w:cs="仿宋_GB2312"/>
          <w:b/>
          <w:color w:val="auto"/>
          <w:sz w:val="32"/>
          <w:szCs w:val="32"/>
          <w:highlight w:val="none"/>
        </w:rPr>
        <w:t>人（甲方）：</w:t>
      </w:r>
      <w:r>
        <w:rPr>
          <w:rFonts w:hint="eastAsia" w:ascii="仿宋_GB2312" w:hAnsi="仿宋_GB2312" w:eastAsia="仿宋_GB2312" w:cs="仿宋_GB2312"/>
          <w:b/>
          <w:color w:val="auto"/>
          <w:sz w:val="32"/>
          <w:szCs w:val="32"/>
          <w:highlight w:val="none"/>
          <w:u w:val="single"/>
          <w:lang w:val="en-US" w:eastAsia="zh-CN"/>
        </w:rPr>
        <w:t>东莞市福地饮用水有限公司</w:t>
      </w:r>
    </w:p>
    <w:p w14:paraId="52C62503">
      <w:pPr>
        <w:snapToGrid w:val="0"/>
        <w:spacing w:line="360" w:lineRule="auto"/>
        <w:ind w:firstLine="964" w:firstLineChars="300"/>
        <w:jc w:val="left"/>
        <w:outlineLvl w:val="1"/>
        <w:rPr>
          <w:rFonts w:hint="default" w:ascii="宋体" w:hAnsi="宋体"/>
          <w:b/>
          <w:color w:val="auto"/>
          <w:sz w:val="32"/>
          <w:szCs w:val="32"/>
          <w:highlight w:val="none"/>
          <w:u w:val="single"/>
          <w:lang w:val="en-US"/>
        </w:rPr>
      </w:pPr>
      <w:r>
        <w:rPr>
          <w:rFonts w:hint="eastAsia" w:ascii="仿宋_GB2312" w:hAnsi="仿宋_GB2312" w:eastAsia="仿宋_GB2312" w:cs="仿宋_GB2312"/>
          <w:b/>
          <w:color w:val="auto"/>
          <w:sz w:val="32"/>
          <w:szCs w:val="32"/>
          <w:highlight w:val="none"/>
          <w:lang w:val="en-US" w:eastAsia="zh-CN"/>
        </w:rPr>
        <w:t>受托</w:t>
      </w:r>
      <w:r>
        <w:rPr>
          <w:rFonts w:hint="eastAsia" w:ascii="仿宋_GB2312" w:hAnsi="仿宋_GB2312" w:eastAsia="仿宋_GB2312" w:cs="仿宋_GB2312"/>
          <w:b/>
          <w:color w:val="auto"/>
          <w:sz w:val="32"/>
          <w:szCs w:val="32"/>
          <w:highlight w:val="none"/>
        </w:rPr>
        <w:t>人（乙方）：</w:t>
      </w:r>
    </w:p>
    <w:p w14:paraId="618C1283">
      <w:pPr>
        <w:adjustRightInd w:val="0"/>
        <w:snapToGrid w:val="0"/>
        <w:spacing w:line="360" w:lineRule="auto"/>
        <w:jc w:val="center"/>
        <w:rPr>
          <w:rFonts w:ascii="宋体" w:hAnsi="宋体"/>
          <w:color w:val="auto"/>
          <w:sz w:val="32"/>
          <w:szCs w:val="32"/>
          <w:highlight w:val="none"/>
        </w:rPr>
      </w:pPr>
    </w:p>
    <w:p w14:paraId="48859B8F">
      <w:pPr>
        <w:adjustRightInd w:val="0"/>
        <w:snapToGrid w:val="0"/>
        <w:spacing w:line="360" w:lineRule="auto"/>
        <w:rPr>
          <w:rFonts w:ascii="宋体" w:hAnsi="宋体"/>
          <w:color w:val="auto"/>
          <w:sz w:val="32"/>
          <w:szCs w:val="32"/>
          <w:highlight w:val="none"/>
        </w:rPr>
      </w:pPr>
    </w:p>
    <w:p w14:paraId="31AE550C">
      <w:pPr>
        <w:ind w:firstLine="1928" w:firstLineChars="600"/>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u w:val="single"/>
        </w:rPr>
        <w:t>签订日期：     年    月    日</w:t>
      </w:r>
    </w:p>
    <w:p w14:paraId="2F547889">
      <w:pPr>
        <w:pStyle w:val="8"/>
        <w:rPr>
          <w:color w:val="auto"/>
          <w:highlight w:val="none"/>
        </w:rPr>
      </w:pPr>
    </w:p>
    <w:p w14:paraId="2E04452E">
      <w:pPr>
        <w:pStyle w:val="8"/>
        <w:rPr>
          <w:color w:val="auto"/>
          <w:highlight w:val="none"/>
        </w:rPr>
      </w:pPr>
    </w:p>
    <w:p w14:paraId="0B39BC11">
      <w:pPr>
        <w:pStyle w:val="9"/>
        <w:ind w:firstLine="210"/>
        <w:rPr>
          <w:color w:val="auto"/>
          <w:highlight w:val="none"/>
        </w:rPr>
      </w:pPr>
    </w:p>
    <w:p w14:paraId="36E926CE">
      <w:pPr>
        <w:pStyle w:val="9"/>
        <w:ind w:firstLine="210"/>
        <w:rPr>
          <w:color w:val="auto"/>
          <w:highlight w:val="none"/>
        </w:rPr>
      </w:pPr>
    </w:p>
    <w:p w14:paraId="35BB89C7">
      <w:pPr>
        <w:pStyle w:val="8"/>
        <w:rPr>
          <w:color w:val="auto"/>
          <w:highlight w:val="none"/>
        </w:rPr>
      </w:pPr>
    </w:p>
    <w:p w14:paraId="19F2D4F9">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委托</w:t>
      </w:r>
      <w:r>
        <w:rPr>
          <w:rFonts w:hint="eastAsia" w:ascii="仿宋_GB2312" w:hAnsi="仿宋_GB2312" w:eastAsia="仿宋_GB2312" w:cs="仿宋_GB2312"/>
          <w:color w:val="auto"/>
          <w:szCs w:val="21"/>
          <w:highlight w:val="none"/>
        </w:rPr>
        <w:t>人（甲方）：</w:t>
      </w:r>
      <w:r>
        <w:rPr>
          <w:rFonts w:hint="eastAsia" w:ascii="仿宋_GB2312" w:hAnsi="仿宋_GB2312" w:eastAsia="仿宋_GB2312" w:cs="仿宋_GB2312"/>
          <w:color w:val="auto"/>
          <w:szCs w:val="21"/>
          <w:highlight w:val="none"/>
          <w:u w:val="single"/>
          <w:lang w:val="en-US" w:eastAsia="zh-CN"/>
        </w:rPr>
        <w:t>东莞市福地饮用水有限公司</w:t>
      </w:r>
    </w:p>
    <w:p w14:paraId="0F351304">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rPr>
        <w:t>广东省东莞市南城街道宏图路39号20栋101室</w:t>
      </w:r>
    </w:p>
    <w:p w14:paraId="4B2E08C5">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lang w:val="en-US" w:eastAsia="zh-CN"/>
        </w:rPr>
        <w:t>杨小兵</w:t>
      </w:r>
    </w:p>
    <w:p w14:paraId="582FE93C">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914419007701960462 </w:t>
      </w:r>
      <w:r>
        <w:rPr>
          <w:rFonts w:hint="eastAsia" w:ascii="仿宋_GB2312" w:hAnsi="仿宋_GB2312" w:eastAsia="仿宋_GB2312" w:cs="仿宋_GB2312"/>
          <w:color w:val="auto"/>
          <w:szCs w:val="21"/>
          <w:highlight w:val="none"/>
        </w:rPr>
        <w:t xml:space="preserve"> </w:t>
      </w:r>
    </w:p>
    <w:p w14:paraId="757A0430">
      <w:pPr>
        <w:adjustRightInd w:val="0"/>
        <w:snapToGrid w:val="0"/>
        <w:spacing w:line="360" w:lineRule="auto"/>
        <w:rPr>
          <w:rFonts w:ascii="仿宋_GB2312" w:hAnsi="仿宋_GB2312" w:eastAsia="仿宋_GB2312" w:cs="仿宋_GB2312"/>
          <w:color w:val="auto"/>
          <w:szCs w:val="21"/>
          <w:highlight w:val="none"/>
        </w:rPr>
      </w:pPr>
    </w:p>
    <w:p w14:paraId="3916A668">
      <w:pPr>
        <w:adjustRightInd w:val="0"/>
        <w:snapToGrid w:val="0"/>
        <w:spacing w:line="360" w:lineRule="auto"/>
        <w:rPr>
          <w:rFonts w:hint="default" w:ascii="仿宋_GB2312" w:hAnsi="仿宋_GB2312" w:eastAsia="仿宋_GB2312" w:cs="仿宋_GB2312"/>
          <w:color w:val="auto"/>
          <w:szCs w:val="21"/>
          <w:highlight w:val="none"/>
          <w:u w:val="single"/>
          <w:lang w:val="en-US"/>
        </w:rPr>
      </w:pPr>
      <w:r>
        <w:rPr>
          <w:rFonts w:hint="eastAsia" w:ascii="仿宋_GB2312" w:hAnsi="仿宋_GB2312" w:eastAsia="仿宋_GB2312" w:cs="仿宋_GB2312"/>
          <w:color w:val="auto"/>
          <w:szCs w:val="21"/>
          <w:highlight w:val="none"/>
          <w:lang w:val="en-US" w:eastAsia="zh-CN"/>
        </w:rPr>
        <w:t>受托</w:t>
      </w:r>
      <w:r>
        <w:rPr>
          <w:rFonts w:hint="eastAsia" w:ascii="仿宋_GB2312" w:hAnsi="仿宋_GB2312" w:eastAsia="仿宋_GB2312" w:cs="仿宋_GB2312"/>
          <w:color w:val="auto"/>
          <w:szCs w:val="21"/>
          <w:highlight w:val="none"/>
        </w:rPr>
        <w:t>人（乙方）：</w:t>
      </w:r>
    </w:p>
    <w:p w14:paraId="3AF1A6FD">
      <w:pPr>
        <w:adjustRightInd w:val="0"/>
        <w:snapToGrid w:val="0"/>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法人住所地：</w:t>
      </w:r>
    </w:p>
    <w:p w14:paraId="4D411C81">
      <w:pPr>
        <w:pStyle w:val="8"/>
        <w:rPr>
          <w:rFonts w:hint="default" w:ascii="仿宋_GB2312" w:hAnsi="仿宋_GB2312" w:eastAsia="仿宋_GB2312" w:cs="仿宋_GB2312"/>
          <w:color w:val="auto"/>
          <w:kern w:val="2"/>
          <w:sz w:val="21"/>
          <w:szCs w:val="21"/>
          <w:highlight w:val="none"/>
          <w:u w:val="single"/>
          <w:lang w:val="en-US" w:eastAsia="zh-CN" w:bidi="ar-SA"/>
        </w:rPr>
      </w:pPr>
      <w:r>
        <w:rPr>
          <w:rFonts w:hint="eastAsia" w:ascii="仿宋_GB2312" w:hAnsi="仿宋_GB2312" w:eastAsia="仿宋_GB2312" w:cs="仿宋_GB2312"/>
          <w:color w:val="auto"/>
          <w:szCs w:val="21"/>
          <w:highlight w:val="none"/>
        </w:rPr>
        <w:t>法定代表人（或负责人）：</w:t>
      </w:r>
    </w:p>
    <w:p w14:paraId="20C11217">
      <w:pPr>
        <w:adjustRightInd w:val="0"/>
        <w:snapToGrid w:val="0"/>
        <w:spacing w:line="360" w:lineRule="auto"/>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p>
    <w:p w14:paraId="3BA0600E">
      <w:pPr>
        <w:widowControl/>
        <w:snapToGrid w:val="0"/>
        <w:spacing w:after="156" w:afterLines="50" w:line="360" w:lineRule="auto"/>
        <w:rPr>
          <w:color w:val="auto"/>
          <w:szCs w:val="21"/>
          <w:highlight w:val="none"/>
        </w:rPr>
      </w:pPr>
      <w:r>
        <w:rPr>
          <w:rFonts w:hint="eastAsia" w:ascii="仿宋_GB2312" w:hAnsi="仿宋_GB2312" w:eastAsia="仿宋_GB2312" w:cs="仿宋_GB2312"/>
          <w:b/>
          <w:bCs/>
          <w:color w:val="auto"/>
          <w:szCs w:val="21"/>
          <w:highlight w:val="none"/>
        </w:rPr>
        <w:t xml:space="preserve"> </w:t>
      </w:r>
    </w:p>
    <w:p w14:paraId="62C5EDF5">
      <w:pPr>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根据《中华人民共和国民法典》及有关规定，</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本着诚实守信、合作共赢的原则，结合本项目的具体情况，双方在自愿、平等、协商一致的基础上签订本合同。</w:t>
      </w:r>
    </w:p>
    <w:p w14:paraId="6FAC080B">
      <w:pPr>
        <w:snapToGrid w:val="0"/>
        <w:spacing w:line="360" w:lineRule="auto"/>
        <w:ind w:firstLine="422" w:firstLineChars="200"/>
        <w:jc w:val="left"/>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一</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内容</w:t>
      </w:r>
    </w:p>
    <w:p w14:paraId="3C0A431E">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甲方委托乙方按照甲方的订单，从甲方指定的东莞市范围内的仓库中提货后，将包装水配送至甲方或甲方客户指定的存放点，完成包装水的交付工作。</w:t>
      </w:r>
    </w:p>
    <w:p w14:paraId="4646D0E2">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第二条</w:t>
      </w:r>
      <w:r>
        <w:rPr>
          <w:rFonts w:hint="eastAsia" w:ascii="仿宋_GB2312" w:hAnsi="仿宋_GB2312" w:eastAsia="仿宋_GB2312" w:cs="仿宋_GB2312"/>
          <w:b/>
          <w:bCs/>
          <w:color w:val="auto"/>
          <w:szCs w:val="21"/>
          <w:highlight w:val="none"/>
          <w:shd w:val="clear" w:color="auto" w:fill="FFFFFF"/>
          <w:lang w:val="en-US" w:eastAsia="zh-CN"/>
        </w:rPr>
        <w:t xml:space="preserve"> 配送产品</w:t>
      </w:r>
    </w:p>
    <w:p w14:paraId="4B705D41">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zh-CN" w:eastAsia="zh-CN"/>
        </w:rPr>
      </w:pPr>
      <w:r>
        <w:rPr>
          <w:rFonts w:hint="eastAsia" w:ascii="仿宋_GB2312" w:hAnsi="仿宋_GB2312" w:eastAsia="仿宋_GB2312" w:cs="仿宋_GB2312"/>
          <w:color w:val="auto"/>
          <w:szCs w:val="21"/>
          <w:highlight w:val="none"/>
          <w:shd w:val="clear" w:color="auto" w:fill="FFFFFF"/>
          <w:lang w:val="zh-CN"/>
        </w:rPr>
        <w:t>本合同涉及的配送产品为桶装</w:t>
      </w:r>
      <w:r>
        <w:rPr>
          <w:rFonts w:hint="eastAsia" w:ascii="仿宋_GB2312" w:hAnsi="仿宋_GB2312" w:eastAsia="仿宋_GB2312" w:cs="仿宋_GB2312"/>
          <w:color w:val="auto"/>
          <w:szCs w:val="21"/>
          <w:highlight w:val="none"/>
          <w:shd w:val="clear" w:color="auto" w:fill="FFFFFF"/>
          <w:lang w:val="en-US" w:eastAsia="zh-CN"/>
        </w:rPr>
        <w:t>和</w:t>
      </w:r>
      <w:r>
        <w:rPr>
          <w:rFonts w:hint="eastAsia" w:ascii="仿宋_GB2312" w:hAnsi="仿宋_GB2312" w:eastAsia="仿宋_GB2312" w:cs="仿宋_GB2312"/>
          <w:color w:val="auto"/>
          <w:szCs w:val="21"/>
          <w:highlight w:val="none"/>
          <w:shd w:val="clear" w:color="auto" w:fill="FFFFFF"/>
          <w:lang w:val="zh-CN"/>
        </w:rPr>
        <w:t>瓶装</w:t>
      </w:r>
      <w:r>
        <w:rPr>
          <w:rFonts w:hint="eastAsia" w:ascii="仿宋_GB2312" w:hAnsi="仿宋_GB2312" w:eastAsia="仿宋_GB2312" w:cs="仿宋_GB2312"/>
          <w:color w:val="auto"/>
          <w:szCs w:val="21"/>
          <w:highlight w:val="none"/>
          <w:shd w:val="clear" w:color="auto" w:fill="FFFFFF"/>
          <w:lang w:val="en-US" w:eastAsia="zh-CN"/>
        </w:rPr>
        <w:t>包装</w:t>
      </w:r>
      <w:r>
        <w:rPr>
          <w:rFonts w:hint="eastAsia" w:ascii="仿宋_GB2312" w:hAnsi="仿宋_GB2312" w:eastAsia="仿宋_GB2312" w:cs="仿宋_GB2312"/>
          <w:color w:val="auto"/>
          <w:szCs w:val="21"/>
          <w:highlight w:val="none"/>
          <w:shd w:val="clear" w:color="auto" w:fill="FFFFFF"/>
          <w:lang w:val="zh-CN"/>
        </w:rPr>
        <w:t>饮用水，</w:t>
      </w:r>
      <w:r>
        <w:rPr>
          <w:rFonts w:hint="eastAsia" w:ascii="仿宋_GB2312" w:hAnsi="仿宋_GB2312" w:eastAsia="仿宋_GB2312" w:cs="仿宋_GB2312"/>
          <w:color w:val="auto"/>
          <w:sz w:val="21"/>
          <w:szCs w:val="21"/>
          <w:highlight w:val="none"/>
          <w:shd w:val="clear" w:color="auto" w:fill="FFFFFF"/>
          <w:lang w:val="zh-CN" w:eastAsia="zh-CN"/>
        </w:rPr>
        <w:t>包括但不限于：</w:t>
      </w:r>
      <w:r>
        <w:rPr>
          <w:rFonts w:hint="eastAsia" w:ascii="仿宋_GB2312" w:hAnsi="仿宋_GB2312" w:eastAsia="仿宋_GB2312" w:cs="仿宋_GB2312"/>
          <w:color w:val="auto"/>
          <w:szCs w:val="21"/>
          <w:highlight w:val="none"/>
          <w:shd w:val="clear" w:color="auto" w:fill="FFFFFF"/>
          <w:lang w:val="zh-CN" w:eastAsia="zh-CN"/>
        </w:rPr>
        <w:t>桶装水产品：</w:t>
      </w:r>
      <w:r>
        <w:rPr>
          <w:rFonts w:hint="eastAsia" w:ascii="仿宋_GB2312" w:hAnsi="仿宋_GB2312" w:eastAsia="仿宋_GB2312" w:cs="仿宋_GB2312"/>
          <w:color w:val="auto"/>
          <w:szCs w:val="21"/>
          <w:highlight w:val="none"/>
          <w:shd w:val="clear" w:color="auto" w:fill="FFFFFF"/>
          <w:lang w:val="en-US" w:eastAsia="zh-CN"/>
        </w:rPr>
        <w:t>12.3L(约</w:t>
      </w:r>
      <w:r>
        <w:rPr>
          <w:rFonts w:hint="eastAsia" w:ascii="仿宋_GB2312" w:hAnsi="仿宋_GB2312" w:eastAsia="仿宋_GB2312" w:cs="仿宋_GB2312"/>
          <w:i w:val="0"/>
          <w:iCs w:val="0"/>
          <w:caps w:val="0"/>
          <w:color w:val="auto"/>
          <w:spacing w:val="0"/>
          <w:sz w:val="21"/>
          <w:szCs w:val="21"/>
          <w:highlight w:val="none"/>
          <w:shd w:val="clear" w:color="auto" w:fill="FFFFFF"/>
        </w:rPr>
        <w:t>12.30 </w:t>
      </w:r>
      <w:r>
        <w:rPr>
          <w:rFonts w:hint="eastAsia" w:ascii="仿宋_GB2312" w:hAnsi="仿宋_GB2312" w:eastAsia="仿宋_GB2312" w:cs="仿宋_GB2312"/>
          <w:color w:val="auto"/>
          <w:szCs w:val="21"/>
          <w:highlight w:val="none"/>
          <w:shd w:val="clear" w:color="auto" w:fill="FFFFFF"/>
          <w:lang w:val="en-US" w:eastAsia="zh-CN"/>
        </w:rPr>
        <w:t>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、5.28L*3桶（约</w:t>
      </w:r>
      <w:r>
        <w:rPr>
          <w:rFonts w:hint="eastAsia" w:ascii="仿宋_GB2312" w:hAnsi="仿宋_GB2312" w:eastAsia="仿宋_GB2312" w:cs="仿宋_GB2312"/>
          <w:i w:val="0"/>
          <w:iCs w:val="0"/>
          <w:caps w:val="0"/>
          <w:color w:val="auto"/>
          <w:spacing w:val="0"/>
          <w:sz w:val="21"/>
          <w:szCs w:val="21"/>
          <w:highlight w:val="none"/>
          <w:shd w:val="clear" w:color="auto" w:fill="FFFFFF"/>
        </w:rPr>
        <w:t> 15.84</w:t>
      </w:r>
      <w:r>
        <w:rPr>
          <w:rFonts w:hint="eastAsia" w:ascii="仿宋_GB2312" w:hAnsi="仿宋_GB2312" w:eastAsia="仿宋_GB2312" w:cs="仿宋_GB2312"/>
          <w:color w:val="auto"/>
          <w:szCs w:val="21"/>
          <w:highlight w:val="none"/>
          <w:shd w:val="clear" w:color="auto" w:fill="FFFFFF"/>
          <w:lang w:val="en-US" w:eastAsia="zh-CN"/>
        </w:rPr>
        <w:t>kg/件）、5L*4桶（约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20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；支装水产品：</w:t>
      </w:r>
      <w:r>
        <w:rPr>
          <w:rFonts w:hint="eastAsia" w:ascii="仿宋_GB2312" w:hAnsi="仿宋_GB2312" w:eastAsia="仿宋_GB2312" w:cs="仿宋_GB2312"/>
          <w:color w:val="auto"/>
          <w:szCs w:val="21"/>
          <w:highlight w:val="none"/>
          <w:shd w:val="clear" w:color="auto" w:fill="FFFFFF"/>
          <w:lang w:val="en-US" w:eastAsia="zh-CN"/>
        </w:rPr>
        <w:t>360ml*24瓶（约8.64kg/件）、350ml*24瓶（约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8.40</w:t>
      </w:r>
      <w:r>
        <w:rPr>
          <w:rFonts w:hint="eastAsia" w:ascii="仿宋_GB2312" w:hAnsi="仿宋_GB2312" w:eastAsia="仿宋_GB2312" w:cs="仿宋_GB2312"/>
          <w:color w:val="auto"/>
          <w:szCs w:val="21"/>
          <w:highlight w:val="none"/>
          <w:shd w:val="clear" w:color="auto" w:fill="FFFFFF"/>
          <w:lang w:val="en-US" w:eastAsia="zh-CN"/>
        </w:rPr>
        <w:t>kg/件）、390ml*24瓶（约9.36kg/件）、550ml*24瓶（约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13.2</w:t>
      </w:r>
      <w:r>
        <w:rPr>
          <w:rFonts w:hint="eastAsia" w:ascii="仿宋_GB2312" w:hAnsi="仿宋_GB2312" w:eastAsia="仿宋_GB2312" w:cs="仿宋_GB2312"/>
          <w:i w:val="0"/>
          <w:iCs w:val="0"/>
          <w:caps w:val="0"/>
          <w:color w:val="auto"/>
          <w:spacing w:val="0"/>
          <w:sz w:val="21"/>
          <w:szCs w:val="21"/>
          <w:highlight w:val="none"/>
          <w:shd w:val="clear" w:color="auto" w:fill="FFFFFF"/>
        </w:rPr>
        <w:t>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w:t>
      </w:r>
    </w:p>
    <w:p w14:paraId="04C773B9">
      <w:pPr>
        <w:snapToGrid w:val="0"/>
        <w:spacing w:line="360" w:lineRule="auto"/>
        <w:ind w:firstLine="424" w:firstLineChars="202"/>
        <w:rPr>
          <w:rFonts w:hint="default"/>
          <w:highlight w:val="none"/>
          <w:lang w:val="en-US" w:eastAsia="zh-CN"/>
        </w:rPr>
      </w:pPr>
      <w:r>
        <w:rPr>
          <w:rFonts w:hint="eastAsia" w:ascii="仿宋_GB2312" w:hAnsi="仿宋_GB2312" w:eastAsia="仿宋_GB2312" w:cs="仿宋_GB2312"/>
          <w:color w:val="auto"/>
          <w:szCs w:val="21"/>
          <w:highlight w:val="none"/>
          <w:shd w:val="clear" w:color="auto" w:fill="FFFFFF"/>
          <w:lang w:val="en-US" w:eastAsia="zh-CN"/>
        </w:rPr>
        <w:t>本合同涉及的配送数量按实际服务需求以甲方每次下达的配送任务为准，在服务期内乙方同意不因为甲方实际要求配送数量的减少或增加而要求甲方提供任何形式的补偿或赔偿，或要求甲方按约定数量支付费用。</w:t>
      </w:r>
    </w:p>
    <w:p w14:paraId="3AE49D06">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三</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期限</w:t>
      </w:r>
    </w:p>
    <w:p w14:paraId="6F814EC2">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lang w:val="en-US" w:eastAsia="zh-CN"/>
        </w:rPr>
        <w:t>服务期限自合同签订之日起6个月，前述期限届满或包装水物流配送服务费（含税）累计达到</w:t>
      </w:r>
      <w:r>
        <w:rPr>
          <w:rFonts w:hint="eastAsia" w:ascii="宋体" w:hAnsi="宋体" w:cs="宋体"/>
          <w:color w:val="auto"/>
          <w:sz w:val="21"/>
          <w:szCs w:val="21"/>
          <w:highlight w:val="none"/>
          <w:lang w:val="en-US" w:eastAsia="zh-CN"/>
        </w:rPr>
        <w:t>100,000.00</w:t>
      </w:r>
      <w:r>
        <w:rPr>
          <w:rFonts w:hint="eastAsia" w:ascii="仿宋_GB2312" w:hAnsi="仿宋_GB2312" w:eastAsia="仿宋_GB2312" w:cs="仿宋_GB2312"/>
          <w:color w:val="auto"/>
          <w:szCs w:val="21"/>
          <w:highlight w:val="none"/>
          <w:shd w:val="clear" w:color="auto" w:fill="FFFFFF"/>
          <w:lang w:val="en-US" w:eastAsia="zh-CN"/>
        </w:rPr>
        <w:t>元时止，终止日期以前述两种情况中先达到的期限为准</w:t>
      </w:r>
      <w:r>
        <w:rPr>
          <w:rFonts w:hint="eastAsia" w:ascii="仿宋_GB2312" w:hAnsi="仿宋_GB2312" w:eastAsia="仿宋_GB2312" w:cs="仿宋_GB2312"/>
          <w:color w:val="auto"/>
          <w:szCs w:val="21"/>
          <w:highlight w:val="none"/>
          <w:shd w:val="clear" w:color="auto" w:fill="FFFFFF"/>
        </w:rPr>
        <w:t>。</w:t>
      </w:r>
    </w:p>
    <w:p w14:paraId="4B0B2320">
      <w:pPr>
        <w:snapToGrid w:val="0"/>
        <w:spacing w:line="360" w:lineRule="auto"/>
        <w:ind w:firstLine="422"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四</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color w:val="auto"/>
          <w:szCs w:val="21"/>
          <w:highlight w:val="none"/>
        </w:rPr>
        <w:t>合同价款及支付方式</w:t>
      </w:r>
    </w:p>
    <w:p w14:paraId="7D178107">
      <w:pPr>
        <w:widowControl/>
        <w:snapToGrid/>
        <w:spacing w:line="240" w:lineRule="auto"/>
        <w:ind w:firstLine="0" w:firstLineChars="0"/>
        <w:jc w:val="left"/>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1.配送预算单价（不含税）为</w:t>
      </w:r>
      <w:r>
        <w:rPr>
          <w:rFonts w:hint="eastAsia" w:ascii="仿宋_GB2312" w:hAnsi="仿宋_GB2312" w:eastAsia="仿宋_GB2312" w:cs="仿宋_GB2312"/>
          <w:color w:val="auto"/>
          <w:kern w:val="2"/>
          <w:sz w:val="21"/>
          <w:szCs w:val="21"/>
          <w:highlight w:val="none"/>
          <w:shd w:val="clear" w:color="auto" w:fill="FFFFFF"/>
          <w:lang w:val="en-US" w:eastAsia="zh-CN" w:bidi="ar"/>
        </w:rPr>
        <w:t>4.95</w:t>
      </w:r>
      <w:r>
        <w:rPr>
          <w:rFonts w:hint="eastAsia" w:ascii="仿宋_GB2312" w:hAnsi="仿宋_GB2312" w:eastAsia="仿宋_GB2312" w:cs="仿宋_GB2312"/>
          <w:color w:val="auto"/>
          <w:szCs w:val="21"/>
          <w:highlight w:val="none"/>
          <w:u w:val="none"/>
          <w:shd w:val="clear" w:color="auto" w:fill="FFFFFF"/>
          <w:lang w:val="en-US" w:eastAsia="zh-CN"/>
        </w:rPr>
        <w:t>元/件（大写肆元玖角伍分）。</w:t>
      </w:r>
      <w:r>
        <w:rPr>
          <w:rFonts w:hint="eastAsia" w:ascii="仿宋_GB2312" w:hAnsi="仿宋_GB2312" w:eastAsia="仿宋_GB2312" w:cs="仿宋_GB2312"/>
          <w:color w:val="auto"/>
          <w:szCs w:val="21"/>
          <w:highlight w:val="none"/>
          <w:shd w:val="clear" w:color="auto" w:fill="FFFFFF"/>
          <w:lang w:val="en-US" w:eastAsia="zh-CN"/>
        </w:rPr>
        <w:t>成交折扣率为：（1）1-9件</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）；（2）10-19件</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shd w:val="clear" w:color="auto" w:fill="FFFFFF"/>
          <w:lang w:val="en-US" w:eastAsia="zh-CN"/>
        </w:rPr>
        <w:t>合同履约过程中，成交折扣率固定不变，不随法律法规政策、最低工资标准上调、劳务成本、运输成本等的变动或其他任何原因而做调整。物流配送服务范围中的客户不含税配送单价采用以下方式计算：不含税配送单价=配送预算单价（不含税）×成交折扣率。</w:t>
      </w:r>
    </w:p>
    <w:p w14:paraId="779B245C">
      <w:pPr>
        <w:pStyle w:val="2"/>
        <w:rPr>
          <w:rFonts w:hint="eastAsia"/>
          <w:highlight w:val="none"/>
          <w:lang w:val="en-US" w:eastAsia="zh-CN"/>
        </w:rPr>
      </w:pPr>
    </w:p>
    <w:p w14:paraId="4FC398B4">
      <w:pPr>
        <w:widowControl/>
        <w:spacing w:line="240" w:lineRule="auto"/>
        <w:ind w:firstLine="210" w:firstLineChars="100"/>
        <w:jc w:val="left"/>
        <w:rPr>
          <w:rFonts w:hint="eastAsia" w:ascii="仿宋_GB2312" w:hAnsi="仿宋_GB2312" w:eastAsia="仿宋_GB2312" w:cs="仿宋_GB2312"/>
          <w:color w:val="auto"/>
          <w:sz w:val="21"/>
          <w:szCs w:val="21"/>
          <w:highlight w:val="none"/>
          <w:shd w:val="clear" w:color="auto" w:fill="FFFFFF"/>
          <w:lang w:val="en-US" w:eastAsia="zh-CN"/>
        </w:rPr>
      </w:pPr>
      <w:r>
        <w:rPr>
          <w:rFonts w:hint="eastAsia" w:ascii="仿宋_GB2312" w:hAnsi="仿宋_GB2312" w:eastAsia="仿宋_GB2312" w:cs="仿宋_GB2312"/>
          <w:color w:val="auto"/>
          <w:sz w:val="21"/>
          <w:szCs w:val="21"/>
          <w:highlight w:val="none"/>
          <w:shd w:val="clear" w:color="auto" w:fill="FFFFFF"/>
          <w:lang w:val="en-US" w:eastAsia="zh-CN"/>
        </w:rPr>
        <w:t>2.本合同项下的物流配送服务费采用阶梯式报价，报价应为门到门全包价，包含乙方为完成本合同项下全部义务所发生的一切费用。</w:t>
      </w:r>
    </w:p>
    <w:tbl>
      <w:tblPr>
        <w:tblStyle w:val="20"/>
        <w:tblW w:w="68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2"/>
        <w:gridCol w:w="2272"/>
        <w:gridCol w:w="2274"/>
      </w:tblGrid>
      <w:tr w14:paraId="1DD0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2272" w:type="dxa"/>
            <w:shd w:val="clear" w:color="auto" w:fill="auto"/>
            <w:vAlign w:val="center"/>
          </w:tcPr>
          <w:p w14:paraId="510EB401">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2"/>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272" w:type="dxa"/>
            <w:shd w:val="clear" w:color="auto" w:fill="auto"/>
            <w:vAlign w:val="center"/>
          </w:tcPr>
          <w:p w14:paraId="31A6900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74" w:type="dxa"/>
            <w:shd w:val="clear" w:color="auto" w:fill="auto"/>
            <w:vAlign w:val="center"/>
          </w:tcPr>
          <w:p w14:paraId="7F569B2E">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6E37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2272" w:type="dxa"/>
            <w:shd w:val="clear" w:color="auto" w:fill="auto"/>
            <w:vAlign w:val="center"/>
          </w:tcPr>
          <w:p w14:paraId="51ABD040">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1 - 9件</w:t>
            </w:r>
          </w:p>
        </w:tc>
        <w:tc>
          <w:tcPr>
            <w:tcW w:w="2272" w:type="dxa"/>
            <w:shd w:val="clear" w:color="auto" w:fill="auto"/>
            <w:vAlign w:val="center"/>
          </w:tcPr>
          <w:p w14:paraId="5F5016A1">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74" w:type="dxa"/>
            <w:shd w:val="clear" w:color="auto" w:fill="auto"/>
            <w:vAlign w:val="center"/>
          </w:tcPr>
          <w:p w14:paraId="1FCA514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w:t>
            </w:r>
          </w:p>
        </w:tc>
      </w:tr>
      <w:tr w14:paraId="19E9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2272" w:type="dxa"/>
            <w:shd w:val="clear" w:color="auto" w:fill="auto"/>
            <w:vAlign w:val="center"/>
          </w:tcPr>
          <w:p w14:paraId="7693136A">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10 - 19件</w:t>
            </w:r>
          </w:p>
        </w:tc>
        <w:tc>
          <w:tcPr>
            <w:tcW w:w="2272" w:type="dxa"/>
            <w:shd w:val="clear" w:color="auto" w:fill="auto"/>
            <w:vAlign w:val="center"/>
          </w:tcPr>
          <w:p w14:paraId="78E5CA7B">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74" w:type="dxa"/>
            <w:shd w:val="clear" w:color="auto" w:fill="auto"/>
            <w:vAlign w:val="center"/>
          </w:tcPr>
          <w:p w14:paraId="67B1A3F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w:t>
            </w:r>
          </w:p>
        </w:tc>
      </w:tr>
    </w:tbl>
    <w:p w14:paraId="77103068">
      <w:pPr>
        <w:pStyle w:val="2"/>
        <w:rPr>
          <w:rFonts w:hint="eastAsia"/>
          <w:highlight w:val="none"/>
          <w:lang w:val="en-US" w:eastAsia="zh-CN"/>
        </w:rPr>
      </w:pPr>
    </w:p>
    <w:p w14:paraId="13A597DD">
      <w:pPr>
        <w:snapToGrid w:val="0"/>
        <w:spacing w:line="360" w:lineRule="auto"/>
        <w:ind w:firstLine="424" w:firstLineChars="202"/>
        <w:rPr>
          <w:rFonts w:hint="default"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3.物流配送范围为：</w:t>
      </w:r>
      <w:r>
        <w:rPr>
          <w:rFonts w:hint="eastAsia" w:ascii="仿宋_GB2312" w:hAnsi="仿宋_GB2312" w:eastAsia="仿宋_GB2312" w:cs="仿宋_GB2312"/>
          <w:color w:val="auto"/>
          <w:kern w:val="2"/>
          <w:sz w:val="21"/>
          <w:szCs w:val="21"/>
          <w:highlight w:val="none"/>
          <w:shd w:val="clear" w:color="auto" w:fill="FFFFFF"/>
          <w:vertAlign w:val="baseline"/>
          <w:lang w:val="en-US" w:eastAsia="zh-CN" w:bidi="ar-SA"/>
        </w:rPr>
        <w:t>东莞市全市范围内。</w:t>
      </w:r>
    </w:p>
    <w:p w14:paraId="145141B4">
      <w:pPr>
        <w:spacing w:line="360" w:lineRule="auto"/>
        <w:ind w:firstLine="420" w:firstLineChars="200"/>
        <w:rPr>
          <w:rFonts w:hint="eastAsia" w:ascii="宋体" w:hAnsi="宋体" w:eastAsia="宋体" w:cs="宋体"/>
          <w:color w:val="auto"/>
          <w:highlight w:val="none"/>
        </w:rPr>
      </w:pPr>
      <w:r>
        <w:rPr>
          <w:rFonts w:hint="eastAsia" w:ascii="仿宋_GB2312" w:hAnsi="仿宋_GB2312" w:eastAsia="仿宋_GB2312" w:cs="仿宋_GB2312"/>
          <w:color w:val="auto"/>
          <w:kern w:val="2"/>
          <w:sz w:val="21"/>
          <w:szCs w:val="21"/>
          <w:highlight w:val="none"/>
          <w:shd w:val="clear" w:color="auto" w:fill="FFFFFF"/>
          <w:lang w:val="en-US" w:eastAsia="zh-CN" w:bidi="ar-SA"/>
        </w:rPr>
        <w:t>服务期限内，如甲方实际需要的物流配送服务未列入上述配送服务范围内，甲方参照当前市场价与乙方协商议定对应服务单价。</w:t>
      </w:r>
    </w:p>
    <w:p w14:paraId="6DD3D07B">
      <w:pPr>
        <w:snapToGrid w:val="0"/>
        <w:spacing w:line="360" w:lineRule="auto"/>
        <w:ind w:firstLine="424" w:firstLineChars="20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依法计得并根据本合同约定确定的销项税额由甲方承担。根据《中华人民共和国增值税暂行条例》（国务院令第691号修订版）及当前税务部门的相关规定，本合同项目的增值税率暂定为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乙方的增值税销项税额根据本合同约定按实结算。但因乙方未按合同约定按时按质提供服务、未根据合同约定提供合法、完整、准确的请款资料等乙方原因导致销项税额增加的，增加的税额及相应损失均由乙方承担</w:t>
      </w:r>
      <w:r>
        <w:rPr>
          <w:rFonts w:hint="eastAsia" w:ascii="仿宋_GB2312" w:hAnsi="仿宋_GB2312" w:eastAsia="仿宋_GB2312" w:cs="仿宋_GB2312"/>
          <w:color w:val="auto"/>
          <w:szCs w:val="21"/>
          <w:highlight w:val="none"/>
        </w:rPr>
        <w:t>。</w:t>
      </w:r>
    </w:p>
    <w:p w14:paraId="469B3467">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5.支付方式：甲方按月进行结算、支付，物流配送服务费根据桶装水、支装水</w:t>
      </w:r>
      <w:r>
        <w:rPr>
          <w:rFonts w:hint="eastAsia" w:ascii="仿宋_GB2312" w:hAnsi="仿宋_GB2312" w:eastAsia="仿宋_GB2312" w:cs="仿宋_GB2312"/>
          <w:color w:val="auto"/>
          <w:szCs w:val="21"/>
          <w:highlight w:val="none"/>
          <w:shd w:val="clear" w:color="auto" w:fill="FFFFFF"/>
          <w:lang w:val="en-US" w:eastAsia="zh-CN"/>
        </w:rPr>
        <w:t>实际送货数量配送结算，配送服务费用=（桶装水实际送货数量×不含税配送单价+支装水实际送货数量×不含税配送单价）×(1+增值税率），实际送货数量以双方确认为准。</w:t>
      </w:r>
      <w:r>
        <w:rPr>
          <w:rFonts w:hint="eastAsia" w:ascii="仿宋_GB2312" w:hAnsi="仿宋_GB2312" w:eastAsia="仿宋_GB2312" w:cs="仿宋_GB2312"/>
          <w:color w:val="auto"/>
          <w:szCs w:val="21"/>
          <w:highlight w:val="none"/>
          <w:lang w:val="en-US" w:eastAsia="zh-CN"/>
        </w:rPr>
        <w:t>乙方于次月提交上月物流配送服务请款报告和合法、有效、等额的</w:t>
      </w:r>
      <w:r>
        <w:rPr>
          <w:rFonts w:hint="eastAsia" w:ascii="仿宋_GB2312" w:hAnsi="仿宋_GB2312" w:eastAsia="仿宋_GB2312" w:cs="仿宋_GB2312"/>
          <w:color w:val="auto"/>
          <w:szCs w:val="21"/>
          <w:highlight w:val="none"/>
          <w:u w:val="single"/>
          <w:lang w:val="en-US" w:eastAsia="zh-CN"/>
        </w:rPr>
        <w:t>增值税专用发票</w:t>
      </w:r>
      <w:r>
        <w:rPr>
          <w:rFonts w:hint="eastAsia" w:ascii="仿宋_GB2312" w:hAnsi="仿宋_GB2312" w:eastAsia="仿宋_GB2312" w:cs="仿宋_GB2312"/>
          <w:color w:val="auto"/>
          <w:szCs w:val="21"/>
          <w:highlight w:val="none"/>
          <w:lang w:val="en-US" w:eastAsia="zh-CN"/>
        </w:rPr>
        <w:t>，甲方在收到前述材料并确认无误后15个工作日内，向乙方支付上月配送服务费的【100%】及对应税额。</w:t>
      </w:r>
    </w:p>
    <w:p w14:paraId="0FBBF48F">
      <w:pPr>
        <w:snapToGrid w:val="0"/>
        <w:spacing w:line="360" w:lineRule="auto"/>
        <w:ind w:firstLine="424" w:firstLineChars="202"/>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如甲、乙双方对于实际送货数量认定不一致的，甲方可先行支付双方认可的部分款项，尚未认可的部分待双方再次确认后处理，甲方并不因此承担任何逾期付款的违约责任。</w:t>
      </w:r>
    </w:p>
    <w:p w14:paraId="406F8D44">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6.不含税配送单价包括了乙方完成应承担合同义务的全部费用，包括但不限于：</w:t>
      </w:r>
    </w:p>
    <w:p w14:paraId="441DD730">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物流配送服务范围内所需的人工费（含加班）、车辆使用及燃油费（充电费）、包装水装车卸车的人工或器械作业费、物流配送过路桥费（含高速路费）、提供物流配送服务人员的工资、食宿、保险费（包括物流配送车辆交强险、第三者责任险等商业保险，乙方及其雇员社会保障资金、保险、第三者责任险等）、装卸费、搬运费、上楼等相关服务的费用；</w:t>
      </w:r>
    </w:p>
    <w:p w14:paraId="661FC18A">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（2）合理利润、乙方销项税额以外的税费等；</w:t>
      </w:r>
    </w:p>
    <w:p w14:paraId="737A1229">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（3）法律法规、商业公认、询价文件规定由乙方承担的其他费用。未经甲方书面同意，乙方（包括但不限于成交人指定的第三方）不得要求甲方另行支付其他任何费用。</w:t>
      </w:r>
    </w:p>
    <w:p w14:paraId="6011A128">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.以上款项由</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直接以银行转账形式支付给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逾期提交请款材料</w:t>
      </w:r>
      <w:r>
        <w:rPr>
          <w:rFonts w:hint="eastAsia" w:ascii="仿宋_GB2312" w:hAnsi="仿宋_GB2312" w:eastAsia="仿宋_GB2312" w:cs="仿宋_GB2312"/>
          <w:color w:val="auto"/>
          <w:szCs w:val="21"/>
          <w:highlight w:val="none"/>
          <w:lang w:val="en-US" w:eastAsia="zh-CN"/>
        </w:rPr>
        <w:t>或提交材料不符合甲方要求的，甲方</w:t>
      </w:r>
      <w:r>
        <w:rPr>
          <w:rFonts w:hint="eastAsia" w:ascii="仿宋_GB2312" w:hAnsi="仿宋_GB2312" w:eastAsia="仿宋_GB2312" w:cs="仿宋_GB2312"/>
          <w:color w:val="auto"/>
          <w:szCs w:val="21"/>
          <w:highlight w:val="none"/>
        </w:rPr>
        <w:t>有权顺延支付相应款项，并不承担逾期付款的违约责任，由于</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提供的发票不符合税法规定，给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造成的损失由</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承担赔偿责任，</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不得以此</w:t>
      </w:r>
      <w:r>
        <w:rPr>
          <w:rFonts w:hint="eastAsia" w:ascii="仿宋_GB2312" w:hAnsi="仿宋_GB2312" w:eastAsia="仿宋_GB2312" w:cs="仿宋_GB2312"/>
          <w:color w:val="auto"/>
          <w:szCs w:val="21"/>
          <w:highlight w:val="none"/>
          <w:lang w:val="en-US" w:eastAsia="zh-CN"/>
        </w:rPr>
        <w:t>为由</w:t>
      </w:r>
      <w:r>
        <w:rPr>
          <w:rFonts w:hint="eastAsia" w:ascii="仿宋_GB2312" w:hAnsi="仿宋_GB2312" w:eastAsia="仿宋_GB2312" w:cs="仿宋_GB2312"/>
          <w:color w:val="auto"/>
          <w:szCs w:val="21"/>
          <w:highlight w:val="none"/>
        </w:rPr>
        <w:t>拒绝履行合同义务。</w:t>
      </w:r>
    </w:p>
    <w:p w14:paraId="57D85E32">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.乙方收款账户信息</w:t>
      </w:r>
    </w:p>
    <w:p w14:paraId="79F68995">
      <w:pPr>
        <w:snapToGrid w:val="0"/>
        <w:spacing w:line="360" w:lineRule="auto"/>
        <w:ind w:firstLine="420" w:firstLineChars="200"/>
        <w:jc w:val="left"/>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val="en-US" w:eastAsia="zh-CN"/>
        </w:rPr>
        <w:t xml:space="preserve">                                      </w:t>
      </w:r>
    </w:p>
    <w:p w14:paraId="093A2B94">
      <w:pPr>
        <w:snapToGrid w:val="0"/>
        <w:spacing w:line="360" w:lineRule="auto"/>
        <w:ind w:firstLine="420" w:firstLineChars="200"/>
        <w:jc w:val="left"/>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14:paraId="5D19C7BC">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lang w:val="en-US" w:eastAsia="zh-CN"/>
        </w:rPr>
        <w:t xml:space="preserve">                                      </w:t>
      </w:r>
    </w:p>
    <w:p w14:paraId="4B308515">
      <w:pPr>
        <w:keepNext/>
        <w:keepLines/>
        <w:adjustRightInd w:val="0"/>
        <w:snapToGrid w:val="0"/>
        <w:spacing w:line="360" w:lineRule="auto"/>
        <w:ind w:firstLine="422" w:firstLineChars="200"/>
        <w:outlineLvl w:val="1"/>
        <w:rPr>
          <w:rFonts w:hint="default" w:ascii="仿宋_GB2312" w:hAnsi="仿宋_GB2312" w:eastAsia="仿宋_GB2312" w:cs="仿宋_GB2312"/>
          <w:b/>
          <w:bCs/>
          <w:color w:val="auto"/>
          <w:szCs w:val="21"/>
          <w:highlight w:val="none"/>
          <w:shd w:val="clear" w:color="auto" w:fill="FFFFFF"/>
          <w:lang w:val="en-US" w:eastAsia="zh-CN"/>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五</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bCs/>
          <w:color w:val="auto"/>
          <w:szCs w:val="21"/>
          <w:highlight w:val="none"/>
          <w:shd w:val="clear" w:color="auto" w:fill="FFFFFF"/>
          <w:lang w:val="en-US" w:eastAsia="zh-CN"/>
        </w:rPr>
        <w:t>服务要求及权利义务</w:t>
      </w:r>
    </w:p>
    <w:p w14:paraId="421F809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物流司机须具备相应的货车驾照，车辆需为总质量4500KG以下的全关闭厢式货车，根据《中华人民共和国道路运输条例》的规定，乙方如使用总质量4500KG以上的货车进行配送，需取得道路运输经营许可证及车辆营运证，否则因违反《中华人民共和国道路运输条例》的规定产生的一切后果均由乙方承担。乙方日配送能力要求支装水不低于200件，桶装水不低于200桶，每次最低起送量为：瓶装水1件或桶装水1桶。车辆数量由乙方自行配置。</w:t>
      </w:r>
    </w:p>
    <w:p w14:paraId="3CE921C2">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乙方根据甲方的订单及派车要求，派驻物流司机或搬运工到指定位置负责完成包装水产品装车的工作。核对包装水装车数量，并由乙方司机或搬运工在甲方开出的《出库通知单》提货人一栏签名（要求字迹清楚，签全名）。在装车完成后，由甲方仓管员核对数量后签字确认。</w:t>
      </w:r>
    </w:p>
    <w:p w14:paraId="39AAC4F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乙方也可以凭甲方开出的《预提单》，安排物流司机或搬运工到甲方指定仓库对货品进行预提，运输至乙方物流仓库暂存。直到乙方收到甲方的配送订单任务后，优先从预提单中的库存中出库配送。暂存期间货物所有权归属甲方，乙方不收取任何暂存费用。</w:t>
      </w:r>
    </w:p>
    <w:p w14:paraId="32DBD38B">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3.到达收货地点后，乙方物流司机或搬运工自行负责卸货的工作，并按甲方客户要求摆放至指定位置。若甲方客户存在1个或以上存放点，或者需要送货上楼的情况，乙方均应无偿送达。</w:t>
      </w:r>
    </w:p>
    <w:p w14:paraId="64D7DB59">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4.乙方装卸货物时对产品要轻拿轻放、摆放整齐，如有损坏按照销售价赔偿。物流配送途中货物整齐牢固，关好车门，不超高超宽超重，以免货物撒漏破损，要保证物流配送全过程安全。</w:t>
      </w:r>
    </w:p>
    <w:p w14:paraId="3BBC006C">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乙方在服务中应注意维护甲方的企业形象、名誉。乙方应督促物流司机或搬运工禁止穿拖鞋上班、衣着要整齐、文明做事、礼貌待人、不得以任何原因与收货人产生争执，不得以任何理由向甲方客户索取物资，不得透露甲方物流配送产品的价格、数量等任何信息，否则甲方有权要求乙方更换司机、搬运工，并追究乙方的违约责任。</w:t>
      </w:r>
    </w:p>
    <w:p w14:paraId="704E3743">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车辆装好货物后须在1小时内起运，当天15:00前的物流配送任务当天全部完成，15：00后的物流配送任务需次日全部完成（特殊情况经甲方书面同意的除外），甲方有权对乙方承运的在途货物进行跟踪。没有甲方书面同意的情况下，乙方不能把甲方客户的库存产品退回甲方，否则甲方有权在乙方的物流配送服务费中直接扣除退回产品的出厂价。</w:t>
      </w:r>
    </w:p>
    <w:p w14:paraId="4AECA081">
      <w:pPr>
        <w:pStyle w:val="2"/>
        <w:rPr>
          <w:rFonts w:hint="default"/>
          <w:highlight w:val="none"/>
          <w:lang w:val="en-US" w:eastAsia="zh-CN"/>
        </w:rPr>
      </w:pPr>
      <w:r>
        <w:rPr>
          <w:rFonts w:hint="eastAsia" w:ascii="仿宋_GB2312" w:hAnsi="仿宋_GB2312" w:eastAsia="仿宋_GB2312" w:cs="仿宋_GB2312"/>
          <w:color w:val="auto"/>
          <w:szCs w:val="21"/>
          <w:highlight w:val="none"/>
          <w:lang w:val="en-US" w:eastAsia="zh-CN"/>
        </w:rPr>
        <w:t xml:space="preserve">    7.乙方应在国家法定节假日（包括但不限于春节、国庆节等）及客户指定的特殊日期期间，提前制定值班人员安排表，确保每日有足够人员值班。乙方应维持与平日相同的配送时效及覆盖范围，不得以节假日为由拒绝或延迟配送服务。</w:t>
      </w:r>
    </w:p>
    <w:p w14:paraId="1ED20EA8">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乙方必须按当天派单的顺序来完成当天的配送订单，不得故意不按时按点配送或因未完成当天的配送订单而造成客户投诉。如遇天气恶劣等原因确需推迟发车日期的，应在事先取得甲方同意的情况下，方可延迟一天配送订单。</w:t>
      </w:r>
    </w:p>
    <w:p w14:paraId="6969306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9.乙方须提供符合国家安全运输要求的运输工具，提供的运输车辆须证照及车辆保险等手续齐全。同时，乙方自愿承担整个运输过程的货物保险。自包装水完成出库后，货物毁损、灭失的风险由乙方承担。</w:t>
      </w:r>
    </w:p>
    <w:p w14:paraId="270252F9">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在运输及装卸货过程中车辆发生交通事故、车辆故障、自燃、人员伤亡等意外情况，由乙方自行承担所有责任。在运输及装卸货过程中或货物预提暂存至乙方仓库中，由于乙方故意或重大过失造成甲方货物的损坏、丢失、被盗、被扣等损失的，均由乙方按发生损失时甲方的货物零售价进行赔偿</w:t>
      </w:r>
      <w:r>
        <w:rPr>
          <w:rFonts w:hint="eastAsia" w:ascii="仿宋_GB2312" w:hAnsi="仿宋_GB2312" w:eastAsia="仿宋_GB2312" w:cs="仿宋_GB2312"/>
          <w:color w:val="auto"/>
          <w:szCs w:val="21"/>
          <w:highlight w:val="none"/>
        </w:rPr>
        <w:t>。</w:t>
      </w:r>
    </w:p>
    <w:p w14:paraId="0D085DCF">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乙方如将货物错运地点或收货人，应立即无偿运至甲方指定的到货地点或收货人</w:t>
      </w:r>
      <w:r>
        <w:rPr>
          <w:rFonts w:hint="eastAsia" w:ascii="仿宋_GB2312" w:hAnsi="仿宋_GB2312" w:eastAsia="仿宋_GB2312" w:cs="仿宋_GB2312"/>
          <w:color w:val="auto"/>
          <w:szCs w:val="21"/>
          <w:highlight w:val="none"/>
        </w:rPr>
        <w:t>。</w:t>
      </w:r>
    </w:p>
    <w:p w14:paraId="2B487678">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12.乙方在运输、装卸过程中发现或客户反映产品存在缺陷包括不限于漏水、收缩膜断裂、外包箱膜损坏，应免费运回给甲方。</w:t>
      </w:r>
    </w:p>
    <w:p w14:paraId="2FB6841F">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乙方应向甲方提供公司资质证照、运输车辆证照及其保险证明、司机证照及身份证、搬运人员身份证复印件（均需加盖乙方公章）等资质材料备案，合同履行期间前述证件、车辆、人员进行调整的，调整前向甲方更新报送备案材料。</w:t>
      </w:r>
    </w:p>
    <w:p w14:paraId="7535673F">
      <w:pPr>
        <w:keepNext/>
        <w:keepLines/>
        <w:adjustRightInd w:val="0"/>
        <w:snapToGrid w:val="0"/>
        <w:spacing w:line="360" w:lineRule="auto"/>
        <w:ind w:firstLine="422" w:firstLineChars="200"/>
        <w:outlineLvl w:val="1"/>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六</w:t>
      </w:r>
      <w:r>
        <w:rPr>
          <w:rFonts w:hint="eastAsia" w:ascii="仿宋_GB2312" w:hAnsi="仿宋_GB2312" w:eastAsia="仿宋_GB2312" w:cs="仿宋_GB2312"/>
          <w:b/>
          <w:bCs/>
          <w:color w:val="auto"/>
          <w:szCs w:val="21"/>
          <w:highlight w:val="none"/>
          <w:shd w:val="clear" w:color="auto" w:fill="FFFFFF"/>
        </w:rPr>
        <w:t>条 违约责任</w:t>
      </w:r>
    </w:p>
    <w:p w14:paraId="456CB2B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收到甲方的取派件任务通知后，未按甲方要求提货、派送的，自甲方的取派件任务通知之日起超过两个工作日，乙方应按照对应取派件任务配送费用（含税）的10%向甲方支付违约金；超过三个工作日，甲方有权解除合同，乙方应按照对应取派件任务配送费用（含税）的20%向甲方支付违约金</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如因此造成客户投诉及甲方损失的，乙方还应向甲方承担赔偿责任。</w:t>
      </w:r>
    </w:p>
    <w:p w14:paraId="6D62FAB9">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乙方应对其从甲方收到货物后至货物送达收货人整个过程中的货物安全、完整负责。在配送过程中，若发生货物损坏（包括但不限于漏水、收缩膜断裂、外包箱膜损坏等）或丢失的情况，乙方应按照货物的市场价值向甲方进行赔偿，甲方不予支付该货物的配送费用，同时，乙方应负责及时补货，确保客户能够按时收到足额的货物，补货配送费用由乙方承担。若因货物损坏或丢失导致甲方对客户承担违约责任，乙方应一并赔偿甲方因此遭受的全部损失（包括但不限于律师费、差旅费、鉴定费、公证费等）。</w:t>
      </w:r>
    </w:p>
    <w:p w14:paraId="7851427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若乙方将包装饮用水送错收货人或送错货物规格、数量等，甲方不予支付该货物的配送服务费用，乙方应负责立即无偿运至正确的收货人或纠正货物规格、数量，并承担因此产生的配送服务费用（包括更换货物、补齐货物的配送服务费用）。同时，乙方应按照当次订单金额的10%向甲方支付违约金。若因配送错误给甲方造成客户投诉、索赔等损失，乙方应赔偿甲方因此遭受的全部损失。</w:t>
      </w:r>
    </w:p>
    <w:p w14:paraId="1D0D2CEA">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因乙方不能按甲方客户要求返回签回单等单证，造成的有关款项无法收回或第三方要求甲方赔偿损失的或给甲方造成其他损失的，甲方因此受到的损失由乙方承担（包括但不限于甲方未能收回的款项、律师费、诉讼费、仲裁费、调查取证费等），同时乙方应按照500元/次的标准向甲方支付违约金。如乙方送货后客户签收签名不符合规范要求导致货款纠纷或损失的，乙方应当承担赔偿责任（包括但不限于甲方未能收回的款项、律师费、诉讼费、仲裁费、调查取证费等），同时乙方应按照200元/次的标准向甲方支付违约金</w:t>
      </w:r>
      <w:r>
        <w:rPr>
          <w:rFonts w:hint="eastAsia" w:ascii="仿宋_GB2312" w:hAnsi="仿宋_GB2312" w:eastAsia="仿宋_GB2312" w:cs="仿宋_GB2312"/>
          <w:color w:val="auto"/>
          <w:szCs w:val="21"/>
          <w:highlight w:val="none"/>
        </w:rPr>
        <w:t>。</w:t>
      </w:r>
    </w:p>
    <w:p w14:paraId="57E5B0ED">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若甲方收到客户关于乙方配送人员服务态度恶劣的有效投诉，乙方需向甲方按100元/次的标准支付违约金，并应立即对涉事人员进行批评教育或更换。</w:t>
      </w:r>
    </w:p>
    <w:p w14:paraId="3CC3CE8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的配送人员在提货、运输、交付过程中，若出现违反甲方仓库管理规定、交通法规或其他相关规定的行为，乙方需承担因此产生的全部法律责任和经济赔偿责任。如因违规操作给甲方造成损失，乙方应全额赔偿甲方。</w:t>
      </w:r>
    </w:p>
    <w:p w14:paraId="72C87BE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乙方应按照甲方要求及时反馈配送进度、货物交付情况等信息。若未按时反馈或反馈信息不准确，乙方应按照100元/次的标准向甲方支付违约金。若因信息反馈问题导致甲方决策失误或对客户服务不到位，乙方需承担甲方因此遭受的全部损失。</w:t>
      </w:r>
    </w:p>
    <w:p w14:paraId="1CEFB19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若乙方提供的物流车辆不符合合同约定的要求，或乙方安排的驾驶人员不具备相应资质，乙方车辆和人员因违反《中华人民共和国道路运输条例》等法律、法规产生的一切后果均由乙方承担，同时甲方有权要求乙方立即整改。若因车辆或人员问题导致发生安全事故或其他不良后果，乙方应承担全部法律责任和经济赔偿责任。</w:t>
      </w:r>
    </w:p>
    <w:p w14:paraId="57F11E92">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.在合同履行期间，因</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违约而产生的违约金、赔偿、罚款或其他应付费用等款项，</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有权直接从未付</w:t>
      </w:r>
      <w:r>
        <w:rPr>
          <w:rFonts w:hint="eastAsia" w:ascii="仿宋_GB2312" w:hAnsi="仿宋_GB2312" w:eastAsia="仿宋_GB2312" w:cs="仿宋_GB2312"/>
          <w:color w:val="auto"/>
          <w:szCs w:val="21"/>
          <w:highlight w:val="none"/>
          <w:lang w:val="en-US" w:eastAsia="zh-CN"/>
        </w:rPr>
        <w:t>物流配送服务费</w:t>
      </w:r>
      <w:r>
        <w:rPr>
          <w:rFonts w:hint="eastAsia" w:ascii="仿宋_GB2312" w:hAnsi="仿宋_GB2312" w:eastAsia="仿宋_GB2312" w:cs="仿宋_GB2312"/>
          <w:color w:val="auto"/>
          <w:szCs w:val="21"/>
          <w:highlight w:val="none"/>
        </w:rPr>
        <w:t>中直接扣除。</w:t>
      </w:r>
    </w:p>
    <w:p w14:paraId="1999B20B">
      <w:pPr>
        <w:pStyle w:val="8"/>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第七条 不可抗力</w:t>
      </w:r>
    </w:p>
    <w:p w14:paraId="194F97D0">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本合同项下不可抗力是指战争、动乱、瘟疫、洪水、地震或其他灾害，以及其他不可预见、不可防止并不能避免或克服的事件。</w:t>
      </w:r>
    </w:p>
    <w:p w14:paraId="7B7737C9">
      <w:pPr>
        <w:widowControl/>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任何一方因不可抗力引起的履行延迟或履行不能的，不需承担违约责任。但受不可抗力影响的一方应尽快通知另一方，并在不可抗力事件发生后7日内，提供</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证明文件。除非</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书面另有要求，否则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应尽可能继续履行合同义务，以及寻求合理的方案履行未受不可抗力影响的其它事项。</w:t>
      </w:r>
    </w:p>
    <w:p w14:paraId="600C2325">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第八条 </w:t>
      </w:r>
      <w:r>
        <w:rPr>
          <w:rFonts w:hint="eastAsia" w:ascii="仿宋_GB2312" w:hAnsi="仿宋_GB2312" w:eastAsia="仿宋_GB2312" w:cs="仿宋_GB2312"/>
          <w:b/>
          <w:bCs/>
          <w:color w:val="auto"/>
          <w:szCs w:val="21"/>
          <w:highlight w:val="none"/>
          <w:shd w:val="clear" w:color="auto" w:fill="FFFFFF"/>
        </w:rPr>
        <w:t>争议解决</w:t>
      </w:r>
    </w:p>
    <w:p w14:paraId="652B681D">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双方因履行本合同发生的争议，首先应友好协商解决。如友好协商不能解决的，任何一方</w:t>
      </w:r>
      <w:r>
        <w:rPr>
          <w:rFonts w:hint="eastAsia" w:ascii="仿宋_GB2312" w:hAnsi="仿宋_GB2312" w:eastAsia="仿宋_GB2312" w:cs="仿宋_GB2312"/>
          <w:vanish/>
          <w:color w:val="auto"/>
          <w:szCs w:val="21"/>
          <w:highlight w:val="none"/>
        </w:rPr>
        <w:t>一方</w:t>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color w:val="auto"/>
          <w:szCs w:val="21"/>
          <w:highlight w:val="none"/>
        </w:rPr>
        <w:t>均可向</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住所地有管辖权的人民法院提起诉讼解决。</w:t>
      </w:r>
    </w:p>
    <w:p w14:paraId="04C94A20">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第九条 </w:t>
      </w:r>
      <w:r>
        <w:rPr>
          <w:rFonts w:hint="eastAsia" w:ascii="仿宋_GB2312" w:hAnsi="仿宋_GB2312" w:eastAsia="仿宋_GB2312" w:cs="仿宋_GB2312"/>
          <w:b/>
          <w:bCs/>
          <w:color w:val="auto"/>
          <w:szCs w:val="21"/>
          <w:highlight w:val="none"/>
          <w:shd w:val="clear" w:color="auto" w:fill="FFFFFF"/>
        </w:rPr>
        <w:t>其他</w:t>
      </w:r>
    </w:p>
    <w:p w14:paraId="20DBB079">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本合同自甲乙双方法定代表人或负责人或委托代理人签字并盖章之日起生效。</w:t>
      </w:r>
    </w:p>
    <w:p w14:paraId="5C876918">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本合同生效后，甲乙双方对本合同中未约定或约定不明的内容可另行签订书面协议进行补充，补充协议与本合同同具法律效力。</w:t>
      </w:r>
    </w:p>
    <w:p w14:paraId="1FD4C50A">
      <w:pPr>
        <w:pStyle w:val="8"/>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有意放弃根据本协议的条款或条件享有的权利，则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应签署书面的弃权书，并特别指明放弃何条款或条件中的权利，否则不视为弃权。</w:t>
      </w:r>
    </w:p>
    <w:p w14:paraId="5D194D35">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u w:val="single"/>
          <w:lang w:val="en-US" w:eastAsia="zh-CN"/>
        </w:rPr>
        <w:t>伍</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叁</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贰</w:t>
      </w:r>
      <w:r>
        <w:rPr>
          <w:rFonts w:hint="eastAsia" w:ascii="仿宋_GB2312" w:hAnsi="仿宋_GB2312" w:eastAsia="仿宋_GB2312" w:cs="仿宋_GB2312"/>
          <w:color w:val="auto"/>
          <w:szCs w:val="21"/>
          <w:highlight w:val="none"/>
        </w:rPr>
        <w:t>份，均具有同等法律效力。</w:t>
      </w:r>
    </w:p>
    <w:p w14:paraId="6D882596">
      <w:pPr>
        <w:pStyle w:val="8"/>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5.本合同附件是合同组成部分，与本合同同具法律效力，附件与本合同不一致的，以本合同约定为准。</w:t>
      </w:r>
    </w:p>
    <w:p w14:paraId="37E6EFAA">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p>
    <w:p w14:paraId="320291A0">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附件1：阳光合作告知函</w:t>
      </w:r>
    </w:p>
    <w:p w14:paraId="36F22840">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附件2：报价文件</w:t>
      </w:r>
    </w:p>
    <w:p w14:paraId="463FB95E">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附件3：用户需求书</w:t>
      </w:r>
    </w:p>
    <w:p w14:paraId="18B8BC29">
      <w:pPr>
        <w:snapToGrid w:val="0"/>
        <w:spacing w:line="360" w:lineRule="auto"/>
        <w:rPr>
          <w:rFonts w:eastAsiaTheme="minorEastAsia"/>
          <w:color w:val="auto"/>
          <w:szCs w:val="21"/>
          <w:highlight w:val="none"/>
        </w:rPr>
      </w:pPr>
    </w:p>
    <w:p w14:paraId="5BFA5C8A">
      <w:pPr>
        <w:snapToGrid w:val="0"/>
        <w:spacing w:line="360" w:lineRule="auto"/>
        <w:rPr>
          <w:rFonts w:eastAsiaTheme="minorEastAsia"/>
          <w:color w:val="auto"/>
          <w:szCs w:val="21"/>
          <w:highlight w:val="none"/>
        </w:rPr>
      </w:pPr>
      <w:r>
        <w:rPr>
          <w:rFonts w:eastAsiaTheme="minorEastAsia"/>
          <w:color w:val="auto"/>
          <w:szCs w:val="21"/>
          <w:highlight w:val="none"/>
        </w:rPr>
        <w:t>（以下无正文，为本合同签署栏）</w:t>
      </w:r>
    </w:p>
    <w:tbl>
      <w:tblPr>
        <w:tblStyle w:val="20"/>
        <w:tblW w:w="9974" w:type="dxa"/>
        <w:jc w:val="center"/>
        <w:tblLayout w:type="fixed"/>
        <w:tblCellMar>
          <w:top w:w="0" w:type="dxa"/>
          <w:left w:w="108" w:type="dxa"/>
          <w:bottom w:w="0" w:type="dxa"/>
          <w:right w:w="108" w:type="dxa"/>
        </w:tblCellMar>
      </w:tblPr>
      <w:tblGrid>
        <w:gridCol w:w="4832"/>
        <w:gridCol w:w="247"/>
        <w:gridCol w:w="4895"/>
      </w:tblGrid>
      <w:tr w14:paraId="76E5546C">
        <w:tblPrEx>
          <w:tblCellMar>
            <w:top w:w="0" w:type="dxa"/>
            <w:left w:w="108" w:type="dxa"/>
            <w:bottom w:w="0" w:type="dxa"/>
            <w:right w:w="108" w:type="dxa"/>
          </w:tblCellMar>
        </w:tblPrEx>
        <w:trPr>
          <w:jc w:val="center"/>
        </w:trPr>
        <w:tc>
          <w:tcPr>
            <w:tcW w:w="4832" w:type="dxa"/>
          </w:tcPr>
          <w:p w14:paraId="5A4B902C">
            <w:pPr>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东莞市福地饮用水有限公司</w:t>
            </w:r>
          </w:p>
          <w:p w14:paraId="58EF0981">
            <w:pPr>
              <w:spacing w:line="360" w:lineRule="auto"/>
              <w:rPr>
                <w:rFonts w:ascii="仿宋_GB2312" w:hAnsi="仿宋_GB2312" w:eastAsia="仿宋_GB2312" w:cs="仿宋_GB2312"/>
                <w:color w:val="auto"/>
                <w:szCs w:val="21"/>
                <w:highlight w:val="none"/>
              </w:rPr>
            </w:pPr>
          </w:p>
          <w:p w14:paraId="61DE70C7">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lang w:val="en-US" w:eastAsia="zh-CN"/>
              </w:rPr>
              <w:t>/负责人</w:t>
            </w:r>
            <w:r>
              <w:rPr>
                <w:rFonts w:hint="eastAsia" w:ascii="仿宋_GB2312" w:hAnsi="仿宋_GB2312" w:eastAsia="仿宋_GB2312" w:cs="仿宋_GB2312"/>
                <w:color w:val="auto"/>
                <w:szCs w:val="21"/>
                <w:highlight w:val="none"/>
              </w:rPr>
              <w:t>（或委托代理人）：</w:t>
            </w:r>
          </w:p>
          <w:p w14:paraId="73EFBD4D">
            <w:pPr>
              <w:pStyle w:val="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（盖章或签字）                                     </w:t>
            </w:r>
          </w:p>
        </w:tc>
        <w:tc>
          <w:tcPr>
            <w:tcW w:w="247" w:type="dxa"/>
          </w:tcPr>
          <w:p w14:paraId="416B3E3B">
            <w:pPr>
              <w:spacing w:line="360" w:lineRule="auto"/>
              <w:rPr>
                <w:rFonts w:ascii="仿宋_GB2312" w:hAnsi="仿宋_GB2312" w:eastAsia="仿宋_GB2312" w:cs="仿宋_GB2312"/>
                <w:color w:val="auto"/>
                <w:szCs w:val="21"/>
                <w:highlight w:val="none"/>
              </w:rPr>
            </w:pPr>
          </w:p>
        </w:tc>
        <w:tc>
          <w:tcPr>
            <w:tcW w:w="4895" w:type="dxa"/>
          </w:tcPr>
          <w:p w14:paraId="3BCE9E64">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（盖章）：</w:t>
            </w:r>
          </w:p>
          <w:p w14:paraId="73758F15">
            <w:pPr>
              <w:spacing w:line="360" w:lineRule="auto"/>
              <w:rPr>
                <w:rFonts w:ascii="仿宋_GB2312" w:hAnsi="仿宋_GB2312" w:eastAsia="仿宋_GB2312" w:cs="仿宋_GB2312"/>
                <w:color w:val="auto"/>
                <w:szCs w:val="21"/>
                <w:highlight w:val="none"/>
              </w:rPr>
            </w:pPr>
          </w:p>
          <w:p w14:paraId="5AE076AA">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法定代表人/负责人（或委托代理人）：</w:t>
            </w:r>
          </w:p>
          <w:p w14:paraId="596A9FC9">
            <w:pPr>
              <w:pStyle w:val="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（盖章或签字）</w:t>
            </w:r>
          </w:p>
        </w:tc>
      </w:tr>
      <w:tr w14:paraId="209EA84F">
        <w:tblPrEx>
          <w:tblCellMar>
            <w:top w:w="0" w:type="dxa"/>
            <w:left w:w="108" w:type="dxa"/>
            <w:bottom w:w="0" w:type="dxa"/>
            <w:right w:w="108" w:type="dxa"/>
          </w:tblCellMar>
        </w:tblPrEx>
        <w:trPr>
          <w:trHeight w:val="432" w:hRule="atLeast"/>
          <w:jc w:val="center"/>
        </w:trPr>
        <w:tc>
          <w:tcPr>
            <w:tcW w:w="4832" w:type="dxa"/>
          </w:tcPr>
          <w:p w14:paraId="74228035">
            <w:pPr>
              <w:spacing w:line="360" w:lineRule="auto"/>
              <w:rPr>
                <w:rFonts w:ascii="仿宋_GB2312" w:hAnsi="仿宋_GB2312" w:eastAsia="仿宋_GB2312" w:cs="仿宋_GB2312"/>
                <w:color w:val="auto"/>
                <w:szCs w:val="21"/>
                <w:highlight w:val="none"/>
              </w:rPr>
            </w:pPr>
          </w:p>
          <w:p w14:paraId="0E717885">
            <w:pPr>
              <w:spacing w:line="360" w:lineRule="auto"/>
              <w:rPr>
                <w:rFonts w:ascii="仿宋_GB2312" w:hAnsi="仿宋_GB2312" w:eastAsia="仿宋_GB2312" w:cs="仿宋_GB2312"/>
                <w:color w:val="auto"/>
                <w:szCs w:val="21"/>
                <w:highlight w:val="none"/>
              </w:rPr>
            </w:pPr>
          </w:p>
          <w:p w14:paraId="030A830B">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签订日期：</w:t>
            </w:r>
          </w:p>
        </w:tc>
        <w:tc>
          <w:tcPr>
            <w:tcW w:w="247" w:type="dxa"/>
          </w:tcPr>
          <w:p w14:paraId="5F94215B">
            <w:pPr>
              <w:spacing w:line="360" w:lineRule="auto"/>
              <w:rPr>
                <w:rFonts w:ascii="仿宋_GB2312" w:hAnsi="仿宋_GB2312" w:eastAsia="仿宋_GB2312" w:cs="仿宋_GB2312"/>
                <w:color w:val="auto"/>
                <w:szCs w:val="21"/>
                <w:highlight w:val="none"/>
              </w:rPr>
            </w:pPr>
          </w:p>
        </w:tc>
        <w:tc>
          <w:tcPr>
            <w:tcW w:w="4895" w:type="dxa"/>
          </w:tcPr>
          <w:p w14:paraId="130175DE">
            <w:pPr>
              <w:spacing w:line="360" w:lineRule="auto"/>
              <w:rPr>
                <w:rFonts w:ascii="仿宋_GB2312" w:hAnsi="仿宋_GB2312" w:eastAsia="仿宋_GB2312" w:cs="仿宋_GB2312"/>
                <w:color w:val="auto"/>
                <w:szCs w:val="21"/>
                <w:highlight w:val="none"/>
              </w:rPr>
            </w:pPr>
          </w:p>
        </w:tc>
      </w:tr>
    </w:tbl>
    <w:p w14:paraId="107F09FE">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附件1：阳光合作告知函</w:t>
      </w:r>
    </w:p>
    <w:p w14:paraId="23742F16">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3A697405">
      <w:pPr>
        <w:spacing w:line="560" w:lineRule="exact"/>
        <w:rPr>
          <w:rFonts w:eastAsia="仿宋_GB2312"/>
          <w:b/>
          <w:bCs/>
          <w:color w:val="auto"/>
          <w:sz w:val="32"/>
          <w:szCs w:val="32"/>
          <w:highlight w:val="none"/>
        </w:rPr>
      </w:pPr>
    </w:p>
    <w:p w14:paraId="551264EF">
      <w:pPr>
        <w:spacing w:line="56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东莞市福地饮用水有限公司</w:t>
      </w:r>
      <w:r>
        <w:rPr>
          <w:rFonts w:hint="eastAsia" w:ascii="仿宋_GB2312" w:hAnsi="仿宋_GB2312" w:eastAsia="仿宋_GB2312" w:cs="仿宋_GB2312"/>
          <w:bCs/>
          <w:kern w:val="2"/>
          <w:sz w:val="21"/>
          <w:szCs w:val="21"/>
          <w:highlight w:val="none"/>
          <w:lang w:val="en-US" w:eastAsia="zh-CN"/>
        </w:rPr>
        <w:t>2025年</w:t>
      </w:r>
      <w:r>
        <w:rPr>
          <w:rFonts w:hint="eastAsia" w:ascii="仿宋_GB2312" w:hAnsi="仿宋_GB2312" w:eastAsia="仿宋_GB2312" w:cs="仿宋_GB2312"/>
          <w:bCs/>
          <w:kern w:val="2"/>
          <w:sz w:val="21"/>
          <w:szCs w:val="21"/>
          <w:highlight w:val="none"/>
          <w:lang w:eastAsia="zh-CN"/>
        </w:rPr>
        <w:t>包装水（</w:t>
      </w:r>
      <w:r>
        <w:rPr>
          <w:rFonts w:hint="eastAsia" w:ascii="仿宋_GB2312" w:hAnsi="仿宋_GB2312" w:eastAsia="仿宋_GB2312" w:cs="仿宋_GB2312"/>
          <w:bCs/>
          <w:kern w:val="2"/>
          <w:sz w:val="21"/>
          <w:szCs w:val="21"/>
          <w:highlight w:val="none"/>
          <w:lang w:val="en-US" w:eastAsia="zh-CN"/>
        </w:rPr>
        <w:t>20件以下</w:t>
      </w:r>
      <w:r>
        <w:rPr>
          <w:rFonts w:hint="eastAsia" w:ascii="仿宋_GB2312" w:hAnsi="仿宋_GB2312" w:eastAsia="仿宋_GB2312" w:cs="仿宋_GB2312"/>
          <w:bCs/>
          <w:kern w:val="2"/>
          <w:sz w:val="21"/>
          <w:szCs w:val="21"/>
          <w:highlight w:val="none"/>
          <w:lang w:eastAsia="zh-CN"/>
        </w:rPr>
        <w:t>）物流配送服务采购项目</w:t>
      </w:r>
      <w:r>
        <w:rPr>
          <w:rFonts w:hint="eastAsia" w:ascii="仿宋_GB2312" w:hAnsi="仿宋_GB2312" w:eastAsia="仿宋_GB2312" w:cs="仿宋_GB2312"/>
          <w:color w:val="auto"/>
          <w:szCs w:val="21"/>
          <w:highlight w:val="none"/>
        </w:rPr>
        <w:t xml:space="preserve"> （采购编号：</w:t>
      </w:r>
      <w:r>
        <w:rPr>
          <w:rFonts w:hint="eastAsia" w:ascii="仿宋_GB2312" w:hAnsi="仿宋_GB2312" w:eastAsia="仿宋_GB2312" w:cs="仿宋_GB2312"/>
          <w:bCs/>
          <w:szCs w:val="21"/>
          <w:highlight w:val="none"/>
          <w:u w:val="single"/>
        </w:rPr>
        <w:t>FDCG2025000</w:t>
      </w:r>
      <w:r>
        <w:rPr>
          <w:rFonts w:hint="eastAsia" w:ascii="仿宋_GB2312" w:hAnsi="仿宋_GB2312" w:eastAsia="仿宋_GB2312" w:cs="仿宋_GB2312"/>
          <w:bCs/>
          <w:szCs w:val="21"/>
          <w:highlight w:val="none"/>
          <w:u w:val="single"/>
          <w:lang w:val="en-US" w:eastAsia="zh-CN"/>
        </w:rPr>
        <w:t>9</w:t>
      </w:r>
      <w:r>
        <w:rPr>
          <w:rFonts w:hint="eastAsia" w:ascii="仿宋_GB2312" w:hAnsi="仿宋_GB2312" w:eastAsia="仿宋_GB2312" w:cs="仿宋_GB2312"/>
          <w:color w:val="auto"/>
          <w:szCs w:val="21"/>
          <w:highlight w:val="none"/>
        </w:rPr>
        <w:t>）</w:t>
      </w:r>
    </w:p>
    <w:p w14:paraId="441EA8BE">
      <w:pPr>
        <w:pStyle w:val="55"/>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3AE4A939">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4953F1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4957D2B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3DD35967">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7AF76A64">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03F461D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70C5A2D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13D4898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DD69E3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52A1A2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5804CC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1ECE02A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52BF5AA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128263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38EBE84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7C4A281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44293F0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045815A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十一、其他</w:t>
      </w:r>
    </w:p>
    <w:p w14:paraId="439969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p w14:paraId="67EEEF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3B7D108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947D39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270AAA1D">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东莞市东城街道育华路1号；</w:t>
      </w:r>
    </w:p>
    <w:p w14:paraId="6C06ADCE">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523000。</w:t>
      </w:r>
    </w:p>
    <w:p w14:paraId="488CB38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555AB29C">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5A07C230">
      <w:pPr>
        <w:pStyle w:val="55"/>
        <w:snapToGrid w:val="0"/>
        <w:spacing w:line="580" w:lineRule="exact"/>
        <w:ind w:firstLine="0"/>
        <w:rPr>
          <w:rFonts w:ascii="仿宋_GB2312" w:hAnsi="仿宋_GB2312" w:eastAsia="仿宋_GB2312" w:cs="仿宋_GB2312"/>
          <w:color w:val="auto"/>
          <w:highlight w:val="none"/>
        </w:rPr>
      </w:pPr>
    </w:p>
    <w:p w14:paraId="532D722E">
      <w:pPr>
        <w:pStyle w:val="55"/>
        <w:snapToGrid w:val="0"/>
        <w:spacing w:line="580" w:lineRule="exact"/>
        <w:ind w:left="630" w:leftChars="300" w:firstLine="3360" w:firstLineChars="1600"/>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p>
    <w:p w14:paraId="0C4BBE08">
      <w:pPr>
        <w:pStyle w:val="55"/>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p>
    <w:p w14:paraId="64ADA6EA">
      <w:pPr>
        <w:pStyle w:val="55"/>
        <w:snapToGrid w:val="0"/>
        <w:spacing w:line="580" w:lineRule="exact"/>
        <w:ind w:firstLine="0"/>
        <w:jc w:val="center"/>
        <w:rPr>
          <w:rFonts w:ascii="仿宋_GB2312" w:hAnsi="Times New Roman" w:eastAsia="仿宋_GB2312"/>
          <w:color w:val="auto"/>
          <w:sz w:val="32"/>
          <w:szCs w:val="32"/>
          <w:highlight w:val="none"/>
        </w:rPr>
      </w:pPr>
    </w:p>
    <w:p w14:paraId="66199DC0">
      <w:pPr>
        <w:pStyle w:val="55"/>
        <w:snapToGrid w:val="0"/>
        <w:spacing w:line="580" w:lineRule="exact"/>
        <w:ind w:firstLine="0"/>
        <w:jc w:val="center"/>
        <w:rPr>
          <w:rFonts w:ascii="Times New Roman" w:hAnsi="Times New Roman" w:eastAsia="黑体"/>
          <w:color w:val="auto"/>
          <w:sz w:val="48"/>
          <w:szCs w:val="48"/>
          <w:highlight w:val="none"/>
          <w:lang w:val="zh-CN"/>
        </w:rPr>
      </w:pPr>
    </w:p>
    <w:p w14:paraId="1D43E46B">
      <w:pPr>
        <w:pStyle w:val="55"/>
        <w:snapToGrid w:val="0"/>
        <w:spacing w:line="580" w:lineRule="exact"/>
        <w:ind w:firstLine="0"/>
        <w:jc w:val="center"/>
        <w:rPr>
          <w:rFonts w:ascii="Times New Roman" w:hAnsi="Times New Roman" w:eastAsia="黑体"/>
          <w:color w:val="auto"/>
          <w:sz w:val="48"/>
          <w:szCs w:val="48"/>
          <w:highlight w:val="none"/>
          <w:lang w:val="zh-CN"/>
        </w:rPr>
      </w:pPr>
    </w:p>
    <w:p w14:paraId="41871977">
      <w:pP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r>
    </w:p>
    <w:p w14:paraId="2F5689AA">
      <w:pPr>
        <w:pStyle w:val="55"/>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54B40D89">
      <w:pPr>
        <w:pStyle w:val="55"/>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6029AE39">
      <w:pPr>
        <w:pStyle w:val="55"/>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编号：FDCG2025000</w:t>
      </w:r>
      <w:r>
        <w:rPr>
          <w:rFonts w:hint="eastAsia" w:ascii="仿宋_GB2312" w:hAnsi="仿宋_GB2312" w:eastAsia="仿宋_GB2312" w:cs="仿宋_GB2312"/>
          <w:color w:val="auto"/>
          <w:highlight w:val="none"/>
          <w:lang w:val="en-US" w:eastAsia="zh-CN"/>
        </w:rPr>
        <w:t xml:space="preserve">9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03231233">
      <w:pPr>
        <w:pStyle w:val="55"/>
        <w:snapToGrid w:val="0"/>
        <w:spacing w:line="580" w:lineRule="exact"/>
        <w:ind w:firstLine="0"/>
        <w:jc w:val="center"/>
        <w:rPr>
          <w:rFonts w:ascii="仿宋_GB2312" w:hAnsi="仿宋_GB2312" w:eastAsia="仿宋_GB2312" w:cs="仿宋_GB2312"/>
          <w:color w:val="auto"/>
          <w:highlight w:val="none"/>
          <w:lang w:val="zh-CN"/>
        </w:rPr>
      </w:pPr>
    </w:p>
    <w:p w14:paraId="794DE059">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0D1A36BB">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59C27013">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12042A77">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0D0166BB">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7F3A18FD">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45F1C89">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2C1ECDB6">
      <w:pPr>
        <w:pStyle w:val="18"/>
        <w:pageBreakBefore/>
        <w:ind w:firstLine="3120" w:firstLineChars="1036"/>
        <w:jc w:val="both"/>
        <w:rPr>
          <w:rFonts w:hint="eastAsia"/>
          <w:b/>
          <w:bCs/>
          <w:color w:val="auto"/>
          <w:sz w:val="30"/>
          <w:szCs w:val="30"/>
          <w:highlight w:val="none"/>
          <w:shd w:val="clear" w:color="auto" w:fill="FFFFFF"/>
        </w:rPr>
      </w:pPr>
      <w:bookmarkStart w:id="27" w:name="_Toc1352"/>
      <w:r>
        <w:rPr>
          <w:rFonts w:hint="eastAsia" w:ascii="宋体" w:hAnsi="宋体"/>
          <w:color w:val="auto"/>
          <w:sz w:val="30"/>
          <w:szCs w:val="30"/>
          <w:highlight w:val="none"/>
          <w:lang w:val="zh-CN"/>
        </w:rPr>
        <w:t>第五篇 报价文件格式</w:t>
      </w:r>
      <w:bookmarkEnd w:id="27"/>
      <w:bookmarkStart w:id="28" w:name="_Toc51333928"/>
      <w:bookmarkStart w:id="29" w:name="_Toc50572123"/>
    </w:p>
    <w:bookmarkEnd w:id="28"/>
    <w:bookmarkEnd w:id="29"/>
    <w:p w14:paraId="4F903406">
      <w:pPr>
        <w:rPr>
          <w:rFonts w:ascii="Times New Roman" w:hAnsi="Times New Roman" w:eastAsia="宋体"/>
          <w:b/>
          <w:color w:val="000000"/>
          <w:sz w:val="28"/>
          <w:szCs w:val="28"/>
          <w:highlight w:val="none"/>
        </w:rPr>
      </w:pPr>
      <w:bookmarkStart w:id="30" w:name="_Toc34746360"/>
      <w:bookmarkStart w:id="31" w:name="_Toc34752515"/>
      <w:bookmarkStart w:id="32" w:name="_Toc34745985"/>
      <w:bookmarkStart w:id="33" w:name="_Toc24461"/>
      <w:bookmarkStart w:id="34" w:name="_Toc34746052"/>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0"/>
      <w:bookmarkEnd w:id="31"/>
      <w:bookmarkEnd w:id="32"/>
      <w:bookmarkEnd w:id="33"/>
      <w:bookmarkEnd w:id="34"/>
    </w:p>
    <w:p w14:paraId="6D027370">
      <w:pPr>
        <w:spacing w:line="360" w:lineRule="auto"/>
        <w:ind w:firstLine="5040" w:firstLineChars="2400"/>
        <w:jc w:val="right"/>
        <w:rPr>
          <w:rFonts w:ascii="宋体" w:hAnsi="宋体"/>
          <w:color w:val="auto"/>
          <w:szCs w:val="21"/>
          <w:highlight w:val="none"/>
          <w:lang w:val="zh-CN"/>
        </w:rPr>
      </w:pPr>
    </w:p>
    <w:tbl>
      <w:tblPr>
        <w:tblStyle w:val="20"/>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635"/>
        <w:gridCol w:w="3541"/>
        <w:gridCol w:w="1606"/>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57"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7782" w:type="dxa"/>
            <w:gridSpan w:val="3"/>
            <w:vAlign w:val="center"/>
          </w:tcPr>
          <w:p w14:paraId="3F766D94">
            <w:pPr>
              <w:rPr>
                <w:rFonts w:hint="eastAsia" w:cs="Calibri" w:asciiTheme="minorEastAsia" w:hAnsiTheme="minorEastAsia"/>
                <w:color w:val="auto"/>
                <w:kern w:val="0"/>
                <w:highlight w:val="none"/>
              </w:rPr>
            </w:pPr>
            <w:r>
              <w:rPr>
                <w:rFonts w:hint="eastAsia" w:cs="Calibri" w:asciiTheme="minorEastAsia" w:hAnsiTheme="minorEastAsia"/>
                <w:color w:val="auto"/>
                <w:kern w:val="0"/>
                <w:highlight w:val="none"/>
              </w:rPr>
              <w:t>东莞市福地饮用水有限公司2025年包装水</w:t>
            </w:r>
            <w:r>
              <w:rPr>
                <w:rFonts w:hint="eastAsia" w:eastAsia="宋体" w:cs="Calibri" w:asciiTheme="minorEastAsia" w:hAnsiTheme="minorEastAsia"/>
                <w:b w:val="0"/>
                <w:bCs w:val="0"/>
                <w:color w:val="auto"/>
                <w:kern w:val="0"/>
                <w:sz w:val="21"/>
                <w:szCs w:val="24"/>
                <w:highlight w:val="none"/>
                <w:u w:val="none"/>
                <w:lang w:val="en-US" w:eastAsia="zh-CN"/>
              </w:rPr>
              <w:t>（20件以下)</w:t>
            </w:r>
            <w:r>
              <w:rPr>
                <w:rFonts w:hint="eastAsia" w:cs="Calibri" w:asciiTheme="minorEastAsia" w:hAnsiTheme="minorEastAsia"/>
                <w:color w:val="auto"/>
                <w:kern w:val="0"/>
                <w:highlight w:val="none"/>
              </w:rPr>
              <w:t>物流配送服务采购项目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57" w:type="dxa"/>
            <w:vMerge w:val="restart"/>
            <w:vAlign w:val="center"/>
          </w:tcPr>
          <w:p w14:paraId="14EAD894">
            <w:pPr>
              <w:jc w:val="center"/>
              <w:rPr>
                <w:rFonts w:hint="eastAsia"/>
                <w:color w:val="auto"/>
                <w:szCs w:val="21"/>
                <w:highlight w:val="none"/>
                <w:lang w:val="en-US" w:eastAsia="zh-CN"/>
              </w:rPr>
            </w:pPr>
            <w:r>
              <w:rPr>
                <w:rFonts w:hint="eastAsia"/>
                <w:color w:val="auto"/>
                <w:szCs w:val="21"/>
                <w:highlight w:val="none"/>
                <w:lang w:val="en-US" w:eastAsia="zh-CN"/>
              </w:rPr>
              <w:t>折扣率（%）</w:t>
            </w:r>
          </w:p>
          <w:p w14:paraId="2038B3B2">
            <w:pPr>
              <w:jc w:val="center"/>
              <w:rPr>
                <w:rFonts w:hint="default" w:ascii="宋体" w:hAnsi="宋体" w:eastAsia="宋体"/>
                <w:color w:val="auto"/>
                <w:szCs w:val="21"/>
                <w:highlight w:val="none"/>
                <w:lang w:val="en-US" w:eastAsia="zh-CN"/>
              </w:rPr>
            </w:pPr>
            <w:r>
              <w:rPr>
                <w:rFonts w:hint="eastAsia"/>
                <w:color w:val="auto"/>
                <w:szCs w:val="21"/>
                <w:highlight w:val="none"/>
                <w:lang w:val="en-US" w:eastAsia="zh-CN"/>
              </w:rPr>
              <w:t>保留小数点后两位</w:t>
            </w:r>
          </w:p>
        </w:tc>
        <w:tc>
          <w:tcPr>
            <w:tcW w:w="2635" w:type="dxa"/>
            <w:vAlign w:val="center"/>
          </w:tcPr>
          <w:p w14:paraId="2AFA026A">
            <w:pPr>
              <w:pStyle w:val="10"/>
              <w:spacing w:line="360" w:lineRule="auto"/>
              <w:jc w:val="center"/>
              <w:rPr>
                <w:rFonts w:hint="default" w:hAnsi="宋体" w:eastAsia="宋体"/>
                <w:color w:val="auto"/>
                <w:szCs w:val="21"/>
                <w:highlight w:val="none"/>
                <w:lang w:val="en-US" w:eastAsia="zh-CN"/>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2"/>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3541" w:type="dxa"/>
            <w:vAlign w:val="center"/>
          </w:tcPr>
          <w:p w14:paraId="02FB828C">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color w:val="auto"/>
                <w:szCs w:val="21"/>
                <w:highlight w:val="none"/>
                <w:u w:val="none"/>
                <w:shd w:val="clear" w:color="auto" w:fill="FFFFFF"/>
                <w:lang w:bidi="ar"/>
              </w:rPr>
              <w:t>折扣率（%）</w:t>
            </w:r>
            <w:r>
              <w:rPr>
                <w:rFonts w:hint="eastAsia" w:ascii="仿宋_GB2312" w:hAnsi="仿宋_GB2312" w:eastAsia="仿宋_GB2312" w:cs="仿宋_GB2312"/>
                <w:color w:val="auto"/>
                <w:szCs w:val="21"/>
                <w:highlight w:val="none"/>
                <w:u w:val="none"/>
                <w:shd w:val="clear" w:color="auto" w:fill="FFFFFF"/>
                <w:lang w:val="en-US" w:eastAsia="zh-CN" w:bidi="ar"/>
              </w:rPr>
              <w:t>及</w:t>
            </w: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1606" w:type="dxa"/>
            <w:vAlign w:val="center"/>
          </w:tcPr>
          <w:p w14:paraId="2E9AB909">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7EE2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157" w:type="dxa"/>
            <w:vMerge w:val="continue"/>
            <w:vAlign w:val="center"/>
          </w:tcPr>
          <w:p w14:paraId="7AD60C6A">
            <w:pPr>
              <w:jc w:val="center"/>
              <w:rPr>
                <w:rFonts w:hint="eastAsia"/>
                <w:color w:val="auto"/>
                <w:szCs w:val="21"/>
                <w:highlight w:val="none"/>
                <w:lang w:val="en-US" w:eastAsia="zh-CN"/>
              </w:rPr>
            </w:pPr>
          </w:p>
        </w:tc>
        <w:tc>
          <w:tcPr>
            <w:tcW w:w="2635" w:type="dxa"/>
            <w:vAlign w:val="center"/>
          </w:tcPr>
          <w:p w14:paraId="43EF88CC">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1 - 9件</w:t>
            </w:r>
          </w:p>
        </w:tc>
        <w:tc>
          <w:tcPr>
            <w:tcW w:w="3541" w:type="dxa"/>
            <w:vAlign w:val="center"/>
          </w:tcPr>
          <w:p w14:paraId="2B6AAEC1">
            <w:pPr>
              <w:pStyle w:val="10"/>
              <w:spacing w:line="360" w:lineRule="auto"/>
              <w:jc w:val="center"/>
              <w:rPr>
                <w:rFonts w:ascii="Times New Roman" w:hAnsi="Times New Roman"/>
                <w:color w:val="auto"/>
                <w:szCs w:val="21"/>
                <w:highlight w:val="none"/>
                <w:u w:val="single"/>
              </w:rPr>
            </w:pP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606" w:type="dxa"/>
            <w:vAlign w:val="center"/>
          </w:tcPr>
          <w:p w14:paraId="54565AE2">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w:t>
            </w:r>
          </w:p>
        </w:tc>
      </w:tr>
      <w:tr w14:paraId="22F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157" w:type="dxa"/>
            <w:vMerge w:val="continue"/>
            <w:vAlign w:val="center"/>
          </w:tcPr>
          <w:p w14:paraId="2FF27D66">
            <w:pPr>
              <w:jc w:val="center"/>
              <w:rPr>
                <w:rFonts w:hint="eastAsia"/>
                <w:color w:val="auto"/>
                <w:szCs w:val="21"/>
                <w:highlight w:val="none"/>
                <w:lang w:val="en-US" w:eastAsia="zh-CN"/>
              </w:rPr>
            </w:pPr>
          </w:p>
        </w:tc>
        <w:tc>
          <w:tcPr>
            <w:tcW w:w="2635" w:type="dxa"/>
            <w:vAlign w:val="center"/>
          </w:tcPr>
          <w:p w14:paraId="4F182149">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10 - 19件</w:t>
            </w:r>
          </w:p>
        </w:tc>
        <w:tc>
          <w:tcPr>
            <w:tcW w:w="3541" w:type="dxa"/>
            <w:vAlign w:val="center"/>
          </w:tcPr>
          <w:p w14:paraId="79756D22">
            <w:pPr>
              <w:pStyle w:val="10"/>
              <w:spacing w:line="360" w:lineRule="auto"/>
              <w:jc w:val="center"/>
              <w:rPr>
                <w:rFonts w:ascii="Times New Roman" w:hAnsi="Times New Roman"/>
                <w:color w:val="auto"/>
                <w:szCs w:val="21"/>
                <w:highlight w:val="none"/>
                <w:u w:val="single"/>
              </w:rPr>
            </w:pP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606" w:type="dxa"/>
            <w:vAlign w:val="center"/>
          </w:tcPr>
          <w:p w14:paraId="7543005A">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w:t>
            </w:r>
          </w:p>
        </w:tc>
      </w:tr>
      <w:tr w14:paraId="66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57" w:type="dxa"/>
            <w:vAlign w:val="center"/>
          </w:tcPr>
          <w:p w14:paraId="5FDB111B">
            <w:pPr>
              <w:jc w:val="center"/>
              <w:rPr>
                <w:rFonts w:hint="default"/>
                <w:color w:val="auto"/>
                <w:szCs w:val="21"/>
                <w:highlight w:val="none"/>
                <w:lang w:val="en-US" w:eastAsia="zh-CN"/>
              </w:rPr>
            </w:pPr>
            <w:r>
              <w:rPr>
                <w:rFonts w:hint="eastAsia"/>
                <w:color w:val="auto"/>
                <w:szCs w:val="21"/>
                <w:highlight w:val="none"/>
                <w:lang w:val="en-US" w:eastAsia="zh-CN"/>
              </w:rPr>
              <w:t>报价人纳税类型</w:t>
            </w:r>
          </w:p>
        </w:tc>
        <w:tc>
          <w:tcPr>
            <w:tcW w:w="7782" w:type="dxa"/>
            <w:gridSpan w:val="3"/>
            <w:vAlign w:val="center"/>
          </w:tcPr>
          <w:p w14:paraId="1ACA00BD">
            <w:pPr>
              <w:pStyle w:val="10"/>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0E3B785A">
            <w:pPr>
              <w:pStyle w:val="10"/>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trPr>
        <w:tc>
          <w:tcPr>
            <w:tcW w:w="1157"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7782" w:type="dxa"/>
            <w:gridSpan w:val="3"/>
            <w:vAlign w:val="center"/>
          </w:tcPr>
          <w:p w14:paraId="73532B11">
            <w:pPr>
              <w:pStyle w:val="8"/>
              <w:spacing w:line="240" w:lineRule="auto"/>
              <w:rPr>
                <w:rFonts w:hint="eastAsia" w:ascii="宋体" w:hAnsi="宋体" w:eastAsia="宋体" w:cs="宋体"/>
              </w:rPr>
            </w:pPr>
            <w:r>
              <w:rPr>
                <w:rFonts w:hint="eastAsia" w:ascii="宋体" w:hAnsi="宋体" w:eastAsia="宋体" w:cs="宋体"/>
                <w:color w:val="auto"/>
                <w:highlight w:val="none"/>
                <w:lang w:val="en-US" w:eastAsia="zh-CN"/>
              </w:rPr>
              <w:t>1.本项目的报价为“折扣率”，</w:t>
            </w:r>
            <w:r>
              <w:rPr>
                <w:rFonts w:hint="eastAsia" w:ascii="宋体" w:hAnsi="宋体" w:eastAsia="宋体" w:cs="宋体"/>
                <w:lang w:val="zh-CN"/>
              </w:rPr>
              <w:t>合同履约过程中，</w:t>
            </w:r>
            <w:r>
              <w:rPr>
                <w:rFonts w:hint="eastAsia" w:ascii="宋体" w:hAnsi="宋体" w:eastAsia="宋体" w:cs="宋体"/>
                <w:lang w:val="en-US" w:eastAsia="zh-CN"/>
              </w:rPr>
              <w:t>物流配送服务范围中</w:t>
            </w:r>
            <w:r>
              <w:rPr>
                <w:rFonts w:hint="eastAsia" w:ascii="宋体" w:hAnsi="宋体" w:eastAsia="宋体" w:cs="宋体"/>
              </w:rPr>
              <w:t>的</w:t>
            </w:r>
            <w:r>
              <w:rPr>
                <w:rFonts w:hint="eastAsia" w:ascii="宋体" w:hAnsi="宋体" w:eastAsia="宋体" w:cs="宋体"/>
                <w:lang w:val="en-US" w:eastAsia="zh-CN"/>
              </w:rPr>
              <w:t>客户收货地址所属镇街不含税配送</w:t>
            </w:r>
            <w:r>
              <w:rPr>
                <w:rFonts w:hint="eastAsia" w:ascii="宋体" w:hAnsi="宋体" w:eastAsia="宋体" w:cs="宋体"/>
              </w:rPr>
              <w:t>单价采用以下方式计算：</w:t>
            </w:r>
            <w:r>
              <w:rPr>
                <w:rFonts w:hint="eastAsia" w:ascii="宋体" w:hAnsi="宋体" w:eastAsia="宋体" w:cs="宋体"/>
                <w:lang w:val="en-US" w:eastAsia="zh-CN"/>
              </w:rPr>
              <w:t>不含税配送</w:t>
            </w:r>
            <w:r>
              <w:rPr>
                <w:rFonts w:hint="eastAsia" w:ascii="宋体" w:hAnsi="宋体" w:eastAsia="宋体" w:cs="宋体"/>
              </w:rPr>
              <w:t>单价=</w:t>
            </w:r>
            <w:r>
              <w:rPr>
                <w:rFonts w:hint="eastAsia" w:hAnsi="宋体" w:cs="宋体"/>
              </w:rPr>
              <w:t>配送预算单价（不含税）</w:t>
            </w:r>
            <w:r>
              <w:rPr>
                <w:rFonts w:hint="eastAsia" w:ascii="宋体" w:hAnsi="宋体" w:eastAsia="宋体" w:cs="宋体"/>
              </w:rPr>
              <w:t>×</w:t>
            </w:r>
            <w:r>
              <w:rPr>
                <w:rFonts w:hint="eastAsia" w:ascii="宋体" w:hAnsi="宋体" w:eastAsia="宋体" w:cs="宋体"/>
                <w:lang w:val="en-US" w:eastAsia="zh-CN"/>
              </w:rPr>
              <w:t>成交</w:t>
            </w:r>
            <w:r>
              <w:rPr>
                <w:rFonts w:hint="eastAsia" w:ascii="宋体" w:hAnsi="宋体" w:eastAsia="宋体" w:cs="宋体"/>
              </w:rPr>
              <w:t>折扣率，</w:t>
            </w:r>
            <w:r>
              <w:rPr>
                <w:rFonts w:hint="eastAsia" w:ascii="宋体" w:hAnsi="宋体" w:eastAsia="宋体" w:cs="宋体"/>
                <w:lang w:val="en-US" w:eastAsia="zh-CN"/>
              </w:rPr>
              <w:t>配送费用</w:t>
            </w:r>
            <w:r>
              <w:rPr>
                <w:rFonts w:hint="eastAsia" w:ascii="宋体" w:hAnsi="宋体" w:eastAsia="宋体" w:cs="宋体"/>
              </w:rPr>
              <w:t>以实际</w:t>
            </w:r>
            <w:r>
              <w:rPr>
                <w:rFonts w:hint="eastAsia" w:ascii="宋体" w:hAnsi="宋体" w:eastAsia="宋体" w:cs="宋体"/>
                <w:lang w:val="en-US" w:eastAsia="zh-CN"/>
              </w:rPr>
              <w:t>送货</w:t>
            </w:r>
            <w:r>
              <w:rPr>
                <w:rFonts w:hint="eastAsia" w:ascii="宋体" w:hAnsi="宋体" w:eastAsia="宋体" w:cs="宋体"/>
              </w:rPr>
              <w:t>数量进行结算。</w:t>
            </w:r>
          </w:p>
          <w:p w14:paraId="19DAC507">
            <w:pPr>
              <w:pStyle w:val="8"/>
              <w:spacing w:line="240" w:lineRule="auto"/>
              <w:rPr>
                <w:rFonts w:hint="eastAsia" w:ascii="宋体" w:hAnsi="宋体" w:eastAsia="宋体" w:cs="宋体"/>
                <w:lang w:val="en-US" w:eastAsia="zh-CN"/>
              </w:rPr>
            </w:pPr>
            <w:r>
              <w:rPr>
                <w:rFonts w:hint="eastAsia" w:ascii="宋体" w:hAnsi="宋体" w:eastAsia="宋体" w:cs="宋体"/>
                <w:lang w:val="en-US" w:eastAsia="zh-CN"/>
              </w:rPr>
              <w:t>2.报价</w:t>
            </w:r>
            <w:r>
              <w:rPr>
                <w:rFonts w:hint="eastAsia" w:ascii="宋体" w:hAnsi="宋体" w:eastAsia="宋体" w:cs="宋体"/>
                <w:lang w:val="zh-CN"/>
              </w:rPr>
              <w:t>包括采购人购买本合同项下货物及其服务所支付的全部价款，包括但不限于（1）</w:t>
            </w:r>
            <w:r>
              <w:rPr>
                <w:rFonts w:hint="eastAsia" w:ascii="宋体" w:hAnsi="宋体" w:eastAsia="宋体" w:cs="宋体"/>
                <w:lang w:val="en-US" w:eastAsia="zh-CN"/>
              </w:rPr>
              <w:t>物流配送服务</w:t>
            </w:r>
            <w:r>
              <w:rPr>
                <w:rFonts w:hint="eastAsia" w:ascii="宋体" w:hAnsi="宋体" w:eastAsia="宋体" w:cs="宋体"/>
                <w:lang w:val="zh-CN"/>
              </w:rPr>
              <w:t>范围内所</w:t>
            </w:r>
            <w:r>
              <w:rPr>
                <w:rFonts w:hint="eastAsia" w:ascii="宋体" w:hAnsi="宋体" w:eastAsia="宋体" w:cs="宋体"/>
                <w:lang w:val="en-US" w:eastAsia="zh-CN"/>
              </w:rPr>
              <w:t>需的人工费（含加班）、车辆使用及燃油费（充电费）、包装水装车卸车的人工或器械作业费、物流配送过路桥费（含高速路）、提供物流配送服务人员的工资、食宿、保险费（包括物流配送车辆交强险、第三者责任险等商业保险，成交人及其雇员社会保障资金、保险、第三者责任险等）</w:t>
            </w:r>
            <w:r>
              <w:rPr>
                <w:rFonts w:hint="eastAsia" w:ascii="宋体" w:hAnsi="宋体" w:eastAsia="宋体" w:cs="宋体"/>
                <w:lang w:val="zh-CN"/>
              </w:rPr>
              <w:t>、装卸费、搬运费、</w:t>
            </w:r>
            <w:r>
              <w:rPr>
                <w:rFonts w:hint="eastAsia" w:ascii="宋体" w:hAnsi="宋体" w:eastAsia="宋体" w:cs="宋体"/>
                <w:lang w:val="en-US" w:eastAsia="zh-CN"/>
              </w:rPr>
              <w:t>上楼</w:t>
            </w:r>
            <w:r>
              <w:rPr>
                <w:rFonts w:hint="eastAsia" w:ascii="宋体" w:hAnsi="宋体" w:eastAsia="宋体" w:cs="宋体"/>
                <w:lang w:val="zh-CN"/>
              </w:rPr>
              <w:t>等相关服务的费用；（</w:t>
            </w:r>
            <w:r>
              <w:rPr>
                <w:rFonts w:hint="eastAsia" w:ascii="宋体" w:hAnsi="宋体" w:eastAsia="宋体" w:cs="宋体"/>
                <w:lang w:val="en-US" w:eastAsia="zh-CN"/>
              </w:rPr>
              <w:t>2</w:t>
            </w:r>
            <w:r>
              <w:rPr>
                <w:rFonts w:hint="eastAsia" w:ascii="宋体" w:hAnsi="宋体" w:eastAsia="宋体" w:cs="宋体"/>
                <w:lang w:val="zh-CN"/>
              </w:rPr>
              <w:t>）合理利润、</w:t>
            </w:r>
            <w:r>
              <w:rPr>
                <w:rFonts w:hint="eastAsia" w:ascii="宋体" w:hAnsi="宋体" w:eastAsia="宋体" w:cs="宋体"/>
                <w:lang w:val="en-US" w:eastAsia="zh-CN"/>
              </w:rPr>
              <w:t>报价人销项税额以外的税费等</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）法律法规、商业公认、询价文件规定由</w:t>
            </w:r>
            <w:r>
              <w:rPr>
                <w:rFonts w:hint="eastAsia" w:ascii="宋体" w:hAnsi="宋体" w:eastAsia="宋体" w:cs="宋体"/>
                <w:lang w:val="en-US" w:eastAsia="zh-CN"/>
              </w:rPr>
              <w:t>成交</w:t>
            </w:r>
            <w:r>
              <w:rPr>
                <w:rFonts w:hint="eastAsia" w:ascii="宋体" w:hAnsi="宋体" w:eastAsia="宋体" w:cs="宋体"/>
                <w:lang w:val="zh-CN"/>
              </w:rPr>
              <w:t>人承担的其他费用。未经采购人书面同意，成交人（包括但不限于成交人指定的第三方）不得要求采购人另行支付其他任何费用。</w:t>
            </w:r>
          </w:p>
        </w:tc>
      </w:tr>
    </w:tbl>
    <w:p w14:paraId="42329F9C">
      <w:pPr>
        <w:pStyle w:val="8"/>
        <w:rPr>
          <w:color w:val="auto"/>
          <w:highlight w:val="none"/>
        </w:rPr>
      </w:pPr>
    </w:p>
    <w:p w14:paraId="189C6FE0">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10"/>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3B72E66A">
      <w:pPr>
        <w:ind w:left="0" w:leftChars="0" w:firstLine="4410" w:firstLineChars="21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474C808A">
      <w:pPr>
        <w:jc w:val="center"/>
        <w:rPr>
          <w:rFonts w:hint="default" w:ascii="Times New Roman" w:hAnsi="Times New Roman" w:cs="Times New Roman"/>
          <w:color w:val="000000"/>
          <w:kern w:val="2"/>
          <w:szCs w:val="28"/>
          <w:highlight w:val="none"/>
          <w:lang w:val="zh-CN"/>
        </w:rPr>
      </w:pPr>
      <w:bookmarkStart w:id="35" w:name="_Toc34746361"/>
      <w:bookmarkStart w:id="36" w:name="_Toc34745986"/>
      <w:bookmarkStart w:id="37" w:name="_Toc34746053"/>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38" w:name="_Hlk40432212"/>
      <w:r>
        <w:rPr>
          <w:rFonts w:hint="default" w:ascii="Times New Roman" w:hAnsi="Times New Roman" w:cs="Times New Roman"/>
          <w:b/>
          <w:color w:val="000000"/>
          <w:sz w:val="28"/>
          <w:szCs w:val="28"/>
          <w:highlight w:val="none"/>
        </w:rPr>
        <w:t>项目响应声明</w:t>
      </w:r>
      <w:bookmarkEnd w:id="38"/>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47916460">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w:t>
      </w:r>
      <w:r>
        <w:rPr>
          <w:rFonts w:hint="eastAsia" w:cs="Times New Roman"/>
          <w:highlight w:val="none"/>
          <w:lang w:val="en-US" w:eastAsia="zh-CN"/>
        </w:rPr>
        <w:t>三篇</w:t>
      </w:r>
      <w:r>
        <w:rPr>
          <w:rFonts w:hint="default" w:ascii="Times New Roman" w:hAnsi="Times New Roman" w:cs="Times New Roman"/>
          <w:highlight w:val="none"/>
        </w:rPr>
        <w:t xml:space="preserve"> 用户需求”和“第</w:t>
      </w:r>
      <w:r>
        <w:rPr>
          <w:rFonts w:hint="eastAsia" w:cs="Times New Roman"/>
          <w:highlight w:val="none"/>
          <w:lang w:val="en-US" w:eastAsia="zh-CN"/>
        </w:rPr>
        <w:t>四篇</w:t>
      </w:r>
      <w:r>
        <w:rPr>
          <w:rFonts w:hint="default" w:ascii="Times New Roman" w:hAnsi="Times New Roman" w:cs="Times New Roman"/>
          <w:highlight w:val="none"/>
        </w:rPr>
        <w:t xml:space="preserve">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后，愿意按询价文件中</w:t>
      </w:r>
      <w:r>
        <w:rPr>
          <w:rFonts w:hint="default" w:ascii="Times New Roman" w:hAnsi="Times New Roman" w:cs="Times New Roman"/>
          <w:color w:val="000000"/>
          <w:highlight w:val="none"/>
          <w:lang w:val="en-US" w:eastAsia="zh-CN"/>
        </w:rPr>
        <w:t>的</w:t>
      </w:r>
      <w:r>
        <w:rPr>
          <w:rFonts w:hint="default" w:ascii="Times New Roman" w:hAnsi="Times New Roman" w:cs="Times New Roman"/>
          <w:color w:val="000000"/>
          <w:highlight w:val="none"/>
        </w:rPr>
        <w:t>合同条款执行</w:t>
      </w:r>
      <w:r>
        <w:rPr>
          <w:rFonts w:hint="default" w:ascii="Times New Roman" w:hAnsi="Times New Roman" w:cs="Times New Roman"/>
          <w:highlight w:val="none"/>
        </w:rPr>
        <w:t>。</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FEE74CF">
      <w:pPr>
        <w:spacing w:line="360" w:lineRule="auto"/>
        <w:ind w:firstLine="640" w:firstLineChars="200"/>
        <w:rPr>
          <w:rFonts w:hint="default" w:ascii="Times New Roman" w:hAnsi="Times New Roman" w:cs="Times New Roman"/>
          <w:sz w:val="32"/>
          <w:szCs w:val="28"/>
          <w:highlight w:val="none"/>
        </w:rPr>
        <w:sectPr>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39" w:name="_Toc27491776"/>
      <w:bookmarkStart w:id="40" w:name="_Toc29476709"/>
      <w:bookmarkStart w:id="41" w:name="_Toc27494836"/>
      <w:bookmarkStart w:id="42" w:name="_Toc27494730"/>
      <w:bookmarkStart w:id="43" w:name="_Hlk27495409"/>
      <w:r>
        <w:rPr>
          <w:rFonts w:hint="default" w:ascii="Times New Roman" w:hAnsi="Times New Roman" w:cs="Times New Roman"/>
          <w:b/>
          <w:color w:val="000000"/>
          <w:sz w:val="28"/>
          <w:szCs w:val="28"/>
          <w:highlight w:val="none"/>
        </w:rPr>
        <w:t>3.</w:t>
      </w:r>
      <w:bookmarkStart w:id="44" w:name="_Hlk39768853"/>
      <w:r>
        <w:rPr>
          <w:rFonts w:hint="default" w:ascii="Times New Roman" w:hAnsi="Times New Roman" w:cs="Times New Roman"/>
          <w:b/>
          <w:color w:val="000000"/>
          <w:sz w:val="28"/>
          <w:szCs w:val="28"/>
          <w:highlight w:val="none"/>
        </w:rPr>
        <w:t>营业执照</w:t>
      </w:r>
      <w:bookmarkStart w:id="45" w:name="_Hlk39769813"/>
      <w:r>
        <w:rPr>
          <w:rFonts w:hint="default" w:ascii="Times New Roman" w:hAnsi="Times New Roman" w:cs="Times New Roman"/>
          <w:b/>
          <w:color w:val="000000"/>
          <w:sz w:val="28"/>
          <w:szCs w:val="28"/>
          <w:highlight w:val="none"/>
        </w:rPr>
        <w:t>及相关资质证书</w:t>
      </w:r>
      <w:bookmarkEnd w:id="44"/>
      <w:bookmarkEnd w:id="45"/>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5F0BB977">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39"/>
      <w:bookmarkEnd w:id="40"/>
      <w:bookmarkEnd w:id="41"/>
      <w:bookmarkEnd w:id="42"/>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ascii="Times New Roman" w:cs="Times New Roman"/>
          <w:sz w:val="28"/>
          <w:szCs w:val="28"/>
          <w:highlight w:val="none"/>
          <w:lang w:val="en-US" w:eastAsia="zh-CN"/>
        </w:rPr>
        <w:t>5</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10</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15</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东莞市福地饮用水有限公司2025年包装水</w:t>
      </w:r>
      <w:r>
        <w:rPr>
          <w:rFonts w:hint="eastAsia" w:ascii="Times New Roman" w:hAnsi="Times New Roman" w:eastAsia="宋体" w:cs="Times New Roman"/>
          <w:b w:val="0"/>
          <w:bCs w:val="0"/>
          <w:color w:val="auto"/>
          <w:sz w:val="28"/>
          <w:szCs w:val="28"/>
          <w:highlight w:val="none"/>
          <w:u w:val="none"/>
          <w:lang w:val="en-US" w:eastAsia="zh-CN"/>
        </w:rPr>
        <w:t>（20件以下)</w:t>
      </w:r>
      <w:r>
        <w:rPr>
          <w:rFonts w:hint="eastAsia" w:ascii="Times New Roman" w:hAnsi="Times New Roman" w:eastAsia="宋体" w:cs="Times New Roman"/>
          <w:bCs w:val="0"/>
          <w:sz w:val="28"/>
          <w:szCs w:val="28"/>
          <w:highlight w:val="none"/>
        </w:rPr>
        <w:t>物流配送服务</w:t>
      </w:r>
      <w:r>
        <w:rPr>
          <w:rFonts w:hint="eastAsia" w:ascii="Times New Roman" w:hAnsi="Times New Roman" w:eastAsia="宋体" w:cs="Times New Roman"/>
          <w:bCs w:val="0"/>
          <w:kern w:val="2"/>
          <w:sz w:val="28"/>
          <w:szCs w:val="28"/>
          <w:highlight w:val="none"/>
          <w:lang w:eastAsia="zh-CN"/>
        </w:rPr>
        <w:t>采购项目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43"/>
    <w:p w14:paraId="67F58844">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14:paraId="75017FE6">
      <w:pPr>
        <w:jc w:val="center"/>
        <w:rPr>
          <w:rFonts w:hint="default" w:ascii="Times New Roman" w:hAnsi="Times New Roman" w:cs="Times New Roman"/>
          <w:color w:val="FF0000"/>
          <w:highlight w:val="none"/>
        </w:rPr>
      </w:pPr>
    </w:p>
    <w:p w14:paraId="41159FD9">
      <w:pPr>
        <w:jc w:val="center"/>
        <w:rPr>
          <w:rFonts w:hint="default" w:ascii="Times New Roman" w:hAnsi="Times New Roman" w:cs="Times New Roman"/>
          <w:color w:val="FF0000"/>
          <w:highlight w:val="none"/>
        </w:rPr>
      </w:pPr>
    </w:p>
    <w:bookmarkEnd w:id="35"/>
    <w:bookmarkEnd w:id="36"/>
    <w:bookmarkEnd w:id="37"/>
    <w:p w14:paraId="6F830636">
      <w:pPr>
        <w:rPr>
          <w:rFonts w:ascii="宋体" w:hAnsi="宋体"/>
          <w:color w:val="auto"/>
          <w:highlight w:val="none"/>
        </w:rPr>
      </w:pPr>
    </w:p>
    <w:sectPr>
      <w:headerReference r:id="rId4" w:type="default"/>
      <w:footerReference r:id="rId5" w:type="default"/>
      <w:footerReference r:id="rId6"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3"/>
          <w:jc w:val="center"/>
        </w:pPr>
        <w:r>
          <w:fldChar w:fldCharType="begin"/>
        </w:r>
        <w:r>
          <w:instrText xml:space="preserve">PAGE   \* MERGEFORMAT</w:instrText>
        </w:r>
        <w:r>
          <w:fldChar w:fldCharType="separate"/>
        </w:r>
        <w:r>
          <w:rPr>
            <w:lang w:val="zh-CN"/>
          </w:rPr>
          <w:t>11</w:t>
        </w:r>
        <w:r>
          <w:fldChar w:fldCharType="end"/>
        </w:r>
      </w:p>
    </w:sdtContent>
  </w:sdt>
  <w:p w14:paraId="25EBB64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3"/>
      <w:jc w:val="center"/>
    </w:pPr>
    <w:r>
      <w:fldChar w:fldCharType="begin"/>
    </w:r>
    <w:r>
      <w:instrText xml:space="preserve">PAGE   \* MERGEFORMAT</w:instrText>
    </w:r>
    <w:r>
      <w:fldChar w:fldCharType="separate"/>
    </w:r>
    <w:r>
      <w:rPr>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3"/>
      <w:framePr w:wrap="around" w:vAnchor="text" w:hAnchor="margin" w:xAlign="center" w:y="1"/>
      <w:jc w:val="center"/>
      <w:rPr>
        <w:rStyle w:val="23"/>
      </w:rPr>
    </w:pPr>
    <w:r>
      <w:fldChar w:fldCharType="begin"/>
    </w:r>
    <w:r>
      <w:rPr>
        <w:rStyle w:val="23"/>
      </w:rPr>
      <w:instrText xml:space="preserve">PAGE  </w:instrText>
    </w:r>
    <w:r>
      <w:fldChar w:fldCharType="end"/>
    </w:r>
  </w:p>
  <w:p w14:paraId="1D5A44DE">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4"/>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F40B3"/>
    <w:rsid w:val="05E51FE4"/>
    <w:rsid w:val="06530982"/>
    <w:rsid w:val="06A50C23"/>
    <w:rsid w:val="06B807E5"/>
    <w:rsid w:val="06BC4ED0"/>
    <w:rsid w:val="06C62F02"/>
    <w:rsid w:val="06F1065B"/>
    <w:rsid w:val="071874D5"/>
    <w:rsid w:val="073D0CEA"/>
    <w:rsid w:val="073E0AC1"/>
    <w:rsid w:val="07EB15C4"/>
    <w:rsid w:val="08143C2A"/>
    <w:rsid w:val="083D1A72"/>
    <w:rsid w:val="08512C9F"/>
    <w:rsid w:val="08713EBD"/>
    <w:rsid w:val="08B96833"/>
    <w:rsid w:val="08FA3336"/>
    <w:rsid w:val="0958005D"/>
    <w:rsid w:val="097951E0"/>
    <w:rsid w:val="0A5B7DD0"/>
    <w:rsid w:val="0AAE4AD0"/>
    <w:rsid w:val="0B0220BB"/>
    <w:rsid w:val="0B1C137E"/>
    <w:rsid w:val="0B32384A"/>
    <w:rsid w:val="0B8D0492"/>
    <w:rsid w:val="0B976326"/>
    <w:rsid w:val="0BEE162F"/>
    <w:rsid w:val="0C654DF9"/>
    <w:rsid w:val="0CCD2981"/>
    <w:rsid w:val="0D3678AD"/>
    <w:rsid w:val="0D43599F"/>
    <w:rsid w:val="0D605384"/>
    <w:rsid w:val="0DA85CA6"/>
    <w:rsid w:val="0DBE1C14"/>
    <w:rsid w:val="0DEA598B"/>
    <w:rsid w:val="0DFB537D"/>
    <w:rsid w:val="0E1331F5"/>
    <w:rsid w:val="0E4B1576"/>
    <w:rsid w:val="0E71409B"/>
    <w:rsid w:val="0F4D37BA"/>
    <w:rsid w:val="0F5B2655"/>
    <w:rsid w:val="0FE97C61"/>
    <w:rsid w:val="10402AC9"/>
    <w:rsid w:val="10490A85"/>
    <w:rsid w:val="10655129"/>
    <w:rsid w:val="107F4CF8"/>
    <w:rsid w:val="10DD167F"/>
    <w:rsid w:val="10DD77C5"/>
    <w:rsid w:val="112179BF"/>
    <w:rsid w:val="116F3FC8"/>
    <w:rsid w:val="121865DB"/>
    <w:rsid w:val="12487DDB"/>
    <w:rsid w:val="13280AA0"/>
    <w:rsid w:val="13F111F5"/>
    <w:rsid w:val="141F00B4"/>
    <w:rsid w:val="14270D58"/>
    <w:rsid w:val="14DE1D5E"/>
    <w:rsid w:val="154C0F75"/>
    <w:rsid w:val="154F7C69"/>
    <w:rsid w:val="159A0C03"/>
    <w:rsid w:val="159E329B"/>
    <w:rsid w:val="15A308B2"/>
    <w:rsid w:val="15C50828"/>
    <w:rsid w:val="1643128F"/>
    <w:rsid w:val="16A07660"/>
    <w:rsid w:val="16A42B33"/>
    <w:rsid w:val="16AC543F"/>
    <w:rsid w:val="16C531D6"/>
    <w:rsid w:val="16DE18DD"/>
    <w:rsid w:val="170340EA"/>
    <w:rsid w:val="17091311"/>
    <w:rsid w:val="170E3180"/>
    <w:rsid w:val="178F5592"/>
    <w:rsid w:val="17B16D61"/>
    <w:rsid w:val="17F03127"/>
    <w:rsid w:val="180C6316"/>
    <w:rsid w:val="1872050C"/>
    <w:rsid w:val="187736FD"/>
    <w:rsid w:val="187D188E"/>
    <w:rsid w:val="18836C66"/>
    <w:rsid w:val="189E5351"/>
    <w:rsid w:val="18A42854"/>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E0738E5"/>
    <w:rsid w:val="1E201B9E"/>
    <w:rsid w:val="1E462C80"/>
    <w:rsid w:val="1E6029D2"/>
    <w:rsid w:val="1E912BAE"/>
    <w:rsid w:val="1ED41ADC"/>
    <w:rsid w:val="1EF53F2C"/>
    <w:rsid w:val="1F0B19A2"/>
    <w:rsid w:val="1F1C595D"/>
    <w:rsid w:val="1F4E749F"/>
    <w:rsid w:val="1F501C38"/>
    <w:rsid w:val="1F673F85"/>
    <w:rsid w:val="1F7946A8"/>
    <w:rsid w:val="1FB06820"/>
    <w:rsid w:val="1FE43FA1"/>
    <w:rsid w:val="200563F1"/>
    <w:rsid w:val="201D0697"/>
    <w:rsid w:val="202820DF"/>
    <w:rsid w:val="202F7912"/>
    <w:rsid w:val="20457135"/>
    <w:rsid w:val="2052555B"/>
    <w:rsid w:val="21B52099"/>
    <w:rsid w:val="22553D29"/>
    <w:rsid w:val="22943A5C"/>
    <w:rsid w:val="22A334B0"/>
    <w:rsid w:val="22D24CAD"/>
    <w:rsid w:val="22E07461"/>
    <w:rsid w:val="22E9024C"/>
    <w:rsid w:val="23103A2A"/>
    <w:rsid w:val="233E2D80"/>
    <w:rsid w:val="23AE3635"/>
    <w:rsid w:val="23D64F4F"/>
    <w:rsid w:val="248B0E8F"/>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D4797C"/>
    <w:rsid w:val="2D360531"/>
    <w:rsid w:val="2D4608E8"/>
    <w:rsid w:val="2D5C5ABE"/>
    <w:rsid w:val="2D914A72"/>
    <w:rsid w:val="2E19303F"/>
    <w:rsid w:val="2E4F2168"/>
    <w:rsid w:val="2F55416A"/>
    <w:rsid w:val="2FBA494F"/>
    <w:rsid w:val="30077F63"/>
    <w:rsid w:val="3038011D"/>
    <w:rsid w:val="30BF3162"/>
    <w:rsid w:val="32110C25"/>
    <w:rsid w:val="3216623C"/>
    <w:rsid w:val="321E3342"/>
    <w:rsid w:val="32960DFA"/>
    <w:rsid w:val="32973B96"/>
    <w:rsid w:val="32F065B0"/>
    <w:rsid w:val="330D3AE3"/>
    <w:rsid w:val="33596AB8"/>
    <w:rsid w:val="340053F5"/>
    <w:rsid w:val="34060532"/>
    <w:rsid w:val="34090758"/>
    <w:rsid w:val="344D6838"/>
    <w:rsid w:val="34980AE0"/>
    <w:rsid w:val="34D8363B"/>
    <w:rsid w:val="34E15227"/>
    <w:rsid w:val="35390EE7"/>
    <w:rsid w:val="355619D4"/>
    <w:rsid w:val="357177FF"/>
    <w:rsid w:val="35747B1F"/>
    <w:rsid w:val="35897434"/>
    <w:rsid w:val="35DA66E8"/>
    <w:rsid w:val="365437D6"/>
    <w:rsid w:val="366E2AEA"/>
    <w:rsid w:val="368F2BB5"/>
    <w:rsid w:val="369A461D"/>
    <w:rsid w:val="36F44ACE"/>
    <w:rsid w:val="371C6C99"/>
    <w:rsid w:val="3724064A"/>
    <w:rsid w:val="379C4E4D"/>
    <w:rsid w:val="37DA6B90"/>
    <w:rsid w:val="37DE37E1"/>
    <w:rsid w:val="37E852EE"/>
    <w:rsid w:val="37F90D08"/>
    <w:rsid w:val="382B585D"/>
    <w:rsid w:val="38380AAD"/>
    <w:rsid w:val="38663F9A"/>
    <w:rsid w:val="38E57969"/>
    <w:rsid w:val="392C2A90"/>
    <w:rsid w:val="398B236F"/>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760C61"/>
    <w:rsid w:val="3FB2105A"/>
    <w:rsid w:val="3FD22A9E"/>
    <w:rsid w:val="407D2605"/>
    <w:rsid w:val="40B732E0"/>
    <w:rsid w:val="40CA3013"/>
    <w:rsid w:val="41006A35"/>
    <w:rsid w:val="411424E0"/>
    <w:rsid w:val="41856F3A"/>
    <w:rsid w:val="41F97033"/>
    <w:rsid w:val="42FF2D1C"/>
    <w:rsid w:val="43600C36"/>
    <w:rsid w:val="44316F05"/>
    <w:rsid w:val="44472BCC"/>
    <w:rsid w:val="44494651"/>
    <w:rsid w:val="444B0E4F"/>
    <w:rsid w:val="44637E9B"/>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C6427C"/>
    <w:rsid w:val="46D149CF"/>
    <w:rsid w:val="473D3173"/>
    <w:rsid w:val="474E7DCE"/>
    <w:rsid w:val="47BC742D"/>
    <w:rsid w:val="482C2540"/>
    <w:rsid w:val="482E20C0"/>
    <w:rsid w:val="48D367DD"/>
    <w:rsid w:val="49137521"/>
    <w:rsid w:val="491906C2"/>
    <w:rsid w:val="49217C8F"/>
    <w:rsid w:val="49792B95"/>
    <w:rsid w:val="497C13F6"/>
    <w:rsid w:val="4A31571D"/>
    <w:rsid w:val="4ACE34A6"/>
    <w:rsid w:val="4B1A0571"/>
    <w:rsid w:val="4B5454BD"/>
    <w:rsid w:val="4BDC009E"/>
    <w:rsid w:val="4BF523ED"/>
    <w:rsid w:val="4BFA6B23"/>
    <w:rsid w:val="4C003290"/>
    <w:rsid w:val="4C261319"/>
    <w:rsid w:val="4C53424A"/>
    <w:rsid w:val="4C756432"/>
    <w:rsid w:val="4CBE77A4"/>
    <w:rsid w:val="4D3708C2"/>
    <w:rsid w:val="4D6319D5"/>
    <w:rsid w:val="4E221C46"/>
    <w:rsid w:val="4E564138"/>
    <w:rsid w:val="4E90378B"/>
    <w:rsid w:val="4EC77B79"/>
    <w:rsid w:val="4EDF237F"/>
    <w:rsid w:val="4F607C3C"/>
    <w:rsid w:val="4F993153"/>
    <w:rsid w:val="4FB03FD0"/>
    <w:rsid w:val="4FE217E6"/>
    <w:rsid w:val="500208DE"/>
    <w:rsid w:val="50395ABF"/>
    <w:rsid w:val="507538CB"/>
    <w:rsid w:val="50B32844"/>
    <w:rsid w:val="50E06768"/>
    <w:rsid w:val="5111148D"/>
    <w:rsid w:val="51142088"/>
    <w:rsid w:val="51C72A55"/>
    <w:rsid w:val="52570187"/>
    <w:rsid w:val="52A225E9"/>
    <w:rsid w:val="52D14CD6"/>
    <w:rsid w:val="52DC2732"/>
    <w:rsid w:val="534D76FB"/>
    <w:rsid w:val="536D782E"/>
    <w:rsid w:val="53715570"/>
    <w:rsid w:val="53B06098"/>
    <w:rsid w:val="53C439C2"/>
    <w:rsid w:val="53D77AC9"/>
    <w:rsid w:val="53EC4BF7"/>
    <w:rsid w:val="53F91DFC"/>
    <w:rsid w:val="541E7772"/>
    <w:rsid w:val="54557693"/>
    <w:rsid w:val="54632F33"/>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A1A83"/>
    <w:rsid w:val="589776C4"/>
    <w:rsid w:val="58B032AD"/>
    <w:rsid w:val="58C63C68"/>
    <w:rsid w:val="596353BD"/>
    <w:rsid w:val="5979577F"/>
    <w:rsid w:val="598454B4"/>
    <w:rsid w:val="59957BA3"/>
    <w:rsid w:val="59CD742D"/>
    <w:rsid w:val="59DB028E"/>
    <w:rsid w:val="5A1E727E"/>
    <w:rsid w:val="5A2570B4"/>
    <w:rsid w:val="5A517EA9"/>
    <w:rsid w:val="5A6E0A5B"/>
    <w:rsid w:val="5A6F4551"/>
    <w:rsid w:val="5A70032F"/>
    <w:rsid w:val="5AD05272"/>
    <w:rsid w:val="5AD07020"/>
    <w:rsid w:val="5B040EE3"/>
    <w:rsid w:val="5B690172"/>
    <w:rsid w:val="5BA90BEB"/>
    <w:rsid w:val="5BB10BFF"/>
    <w:rsid w:val="5BBB382C"/>
    <w:rsid w:val="5BC57C52"/>
    <w:rsid w:val="5C6A5252"/>
    <w:rsid w:val="5C7752AC"/>
    <w:rsid w:val="5CC00E9C"/>
    <w:rsid w:val="5CFB1CCD"/>
    <w:rsid w:val="5CFF599B"/>
    <w:rsid w:val="5D005D18"/>
    <w:rsid w:val="5D1F7DEB"/>
    <w:rsid w:val="5D9E4FC5"/>
    <w:rsid w:val="5DD60DF1"/>
    <w:rsid w:val="5E320CBA"/>
    <w:rsid w:val="5E6A126D"/>
    <w:rsid w:val="5E7D126D"/>
    <w:rsid w:val="5EAA35A6"/>
    <w:rsid w:val="5EE44E48"/>
    <w:rsid w:val="5F0E7548"/>
    <w:rsid w:val="5F5441E8"/>
    <w:rsid w:val="5F5E3606"/>
    <w:rsid w:val="5F645F89"/>
    <w:rsid w:val="5FBE1535"/>
    <w:rsid w:val="5FE5531C"/>
    <w:rsid w:val="5FF11F12"/>
    <w:rsid w:val="5FF94273"/>
    <w:rsid w:val="60830691"/>
    <w:rsid w:val="60C2565D"/>
    <w:rsid w:val="60C856EA"/>
    <w:rsid w:val="60CD62A7"/>
    <w:rsid w:val="60F14AC8"/>
    <w:rsid w:val="61141E2A"/>
    <w:rsid w:val="613A1F23"/>
    <w:rsid w:val="616541C3"/>
    <w:rsid w:val="61B14546"/>
    <w:rsid w:val="61B91585"/>
    <w:rsid w:val="61D56418"/>
    <w:rsid w:val="61FE26C5"/>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60179E7"/>
    <w:rsid w:val="66225BA7"/>
    <w:rsid w:val="66DA04BD"/>
    <w:rsid w:val="67421DFE"/>
    <w:rsid w:val="680B1B92"/>
    <w:rsid w:val="68297D70"/>
    <w:rsid w:val="68386D3E"/>
    <w:rsid w:val="68425862"/>
    <w:rsid w:val="687C07E7"/>
    <w:rsid w:val="68863414"/>
    <w:rsid w:val="689526D7"/>
    <w:rsid w:val="69066F6D"/>
    <w:rsid w:val="69085BD7"/>
    <w:rsid w:val="690F51B7"/>
    <w:rsid w:val="69220DF6"/>
    <w:rsid w:val="69421FF4"/>
    <w:rsid w:val="69855891"/>
    <w:rsid w:val="69C65AD3"/>
    <w:rsid w:val="6A4805A1"/>
    <w:rsid w:val="6A9E4E62"/>
    <w:rsid w:val="6AB60966"/>
    <w:rsid w:val="6AFD7A33"/>
    <w:rsid w:val="6B105489"/>
    <w:rsid w:val="6B2E422E"/>
    <w:rsid w:val="6B4A0729"/>
    <w:rsid w:val="6B5F6C36"/>
    <w:rsid w:val="6B6F63E1"/>
    <w:rsid w:val="6B757AC3"/>
    <w:rsid w:val="6BC95AF1"/>
    <w:rsid w:val="6BCE6DD7"/>
    <w:rsid w:val="6C1D5E3D"/>
    <w:rsid w:val="6C40749D"/>
    <w:rsid w:val="6C5E257D"/>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A37250"/>
    <w:rsid w:val="71CA7D6E"/>
    <w:rsid w:val="71ED62B2"/>
    <w:rsid w:val="72283DDB"/>
    <w:rsid w:val="72444124"/>
    <w:rsid w:val="724E6D50"/>
    <w:rsid w:val="72A434DA"/>
    <w:rsid w:val="72ED1126"/>
    <w:rsid w:val="73005444"/>
    <w:rsid w:val="737D2038"/>
    <w:rsid w:val="74100036"/>
    <w:rsid w:val="74316E9D"/>
    <w:rsid w:val="74617488"/>
    <w:rsid w:val="749B1FF5"/>
    <w:rsid w:val="74E97FDD"/>
    <w:rsid w:val="757365DD"/>
    <w:rsid w:val="75890700"/>
    <w:rsid w:val="758A7662"/>
    <w:rsid w:val="75D4756D"/>
    <w:rsid w:val="76387213"/>
    <w:rsid w:val="76AF40FE"/>
    <w:rsid w:val="76F12CEC"/>
    <w:rsid w:val="77512E53"/>
    <w:rsid w:val="77585F7B"/>
    <w:rsid w:val="77B84D8E"/>
    <w:rsid w:val="77CB0E43"/>
    <w:rsid w:val="77DE2925"/>
    <w:rsid w:val="780F140D"/>
    <w:rsid w:val="78A23952"/>
    <w:rsid w:val="78AA6C17"/>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cs="Arial"/>
      <w:bCs/>
    </w:r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1"/>
    <w:qFormat/>
    <w:uiPriority w:val="0"/>
    <w:pPr>
      <w:jc w:val="left"/>
    </w:pPr>
  </w:style>
  <w:style w:type="paragraph" w:styleId="8">
    <w:name w:val="Body Text"/>
    <w:basedOn w:val="1"/>
    <w:next w:val="9"/>
    <w:link w:val="30"/>
    <w:qFormat/>
    <w:uiPriority w:val="0"/>
    <w:pPr>
      <w:spacing w:after="120"/>
    </w:pPr>
  </w:style>
  <w:style w:type="paragraph" w:styleId="9">
    <w:name w:val="Body Text First Indent"/>
    <w:basedOn w:val="8"/>
    <w:unhideWhenUsed/>
    <w:qFormat/>
    <w:uiPriority w:val="99"/>
    <w:pPr>
      <w:ind w:firstLine="420" w:firstLineChars="100"/>
    </w:pPr>
  </w:style>
  <w:style w:type="paragraph" w:styleId="10">
    <w:name w:val="Plain Text"/>
    <w:basedOn w:val="1"/>
    <w:link w:val="32"/>
    <w:qFormat/>
    <w:uiPriority w:val="0"/>
    <w:rPr>
      <w:rFonts w:ascii="宋体" w:hAnsi="Courier New"/>
      <w:szCs w:val="20"/>
    </w:rPr>
  </w:style>
  <w:style w:type="paragraph" w:styleId="11">
    <w:name w:val="Date"/>
    <w:basedOn w:val="1"/>
    <w:next w:val="1"/>
    <w:link w:val="49"/>
    <w:semiHidden/>
    <w:unhideWhenUsed/>
    <w:qFormat/>
    <w:uiPriority w:val="99"/>
    <w:pPr>
      <w:ind w:left="100" w:leftChars="2500"/>
    </w:pPr>
  </w:style>
  <w:style w:type="paragraph" w:styleId="12">
    <w:name w:val="Balloon Text"/>
    <w:basedOn w:val="1"/>
    <w:link w:val="38"/>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6">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9">
    <w:name w:val="annotation subject"/>
    <w:basedOn w:val="7"/>
    <w:next w:val="7"/>
    <w:link w:val="43"/>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qFormat/>
    <w:uiPriority w:val="0"/>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character" w:customStyle="1" w:styleId="29">
    <w:name w:val="标题 2 字符"/>
    <w:basedOn w:val="22"/>
    <w:link w:val="4"/>
    <w:qFormat/>
    <w:uiPriority w:val="0"/>
    <w:rPr>
      <w:rFonts w:ascii="Arial" w:hAnsi="Arial" w:eastAsia="黑体" w:cs="Times New Roman"/>
      <w:b/>
      <w:kern w:val="0"/>
      <w:sz w:val="32"/>
      <w:szCs w:val="20"/>
    </w:rPr>
  </w:style>
  <w:style w:type="character" w:customStyle="1" w:styleId="30">
    <w:name w:val="正文文本 字符"/>
    <w:basedOn w:val="22"/>
    <w:link w:val="8"/>
    <w:qFormat/>
    <w:uiPriority w:val="0"/>
    <w:rPr>
      <w:rFonts w:ascii="Times New Roman" w:hAnsi="Times New Roman" w:eastAsia="宋体" w:cs="Times New Roman"/>
      <w:szCs w:val="24"/>
    </w:rPr>
  </w:style>
  <w:style w:type="character" w:customStyle="1" w:styleId="31">
    <w:name w:val="批注文字 字符"/>
    <w:basedOn w:val="22"/>
    <w:link w:val="7"/>
    <w:qFormat/>
    <w:uiPriority w:val="0"/>
    <w:rPr>
      <w:rFonts w:ascii="Times New Roman" w:hAnsi="Times New Roman" w:eastAsia="宋体" w:cs="Times New Roman"/>
      <w:szCs w:val="24"/>
    </w:rPr>
  </w:style>
  <w:style w:type="character" w:customStyle="1" w:styleId="32">
    <w:name w:val="纯文本 字符"/>
    <w:basedOn w:val="22"/>
    <w:link w:val="10"/>
    <w:qFormat/>
    <w:uiPriority w:val="0"/>
    <w:rPr>
      <w:rFonts w:ascii="宋体" w:hAnsi="Courier New" w:eastAsia="宋体" w:cs="Times New Roman"/>
      <w:szCs w:val="20"/>
    </w:rPr>
  </w:style>
  <w:style w:type="character" w:customStyle="1" w:styleId="33">
    <w:name w:val="标题 字符"/>
    <w:basedOn w:val="22"/>
    <w:link w:val="18"/>
    <w:qFormat/>
    <w:uiPriority w:val="10"/>
    <w:rPr>
      <w:rFonts w:ascii="Cambria" w:hAnsi="Cambria" w:eastAsia="宋体" w:cs="Times New Roman"/>
      <w:b/>
      <w:bCs/>
      <w:kern w:val="0"/>
      <w:sz w:val="32"/>
      <w:szCs w:val="32"/>
    </w:rPr>
  </w:style>
  <w:style w:type="paragraph" w:customStyle="1" w:styleId="34">
    <w:name w:val="_Style 109"/>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2"/>
    <w:link w:val="3"/>
    <w:qFormat/>
    <w:uiPriority w:val="9"/>
    <w:rPr>
      <w:rFonts w:ascii="Times New Roman" w:hAnsi="Times New Roman" w:eastAsia="宋体" w:cs="Times New Roman"/>
      <w:b/>
      <w:bCs/>
      <w:kern w:val="44"/>
      <w:sz w:val="44"/>
      <w:szCs w:val="44"/>
    </w:rPr>
  </w:style>
  <w:style w:type="character" w:customStyle="1" w:styleId="38">
    <w:name w:val="批注框文本 字符"/>
    <w:basedOn w:val="22"/>
    <w:link w:val="12"/>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9"/>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2"/>
    <w:qFormat/>
    <w:uiPriority w:val="0"/>
    <w:rPr>
      <w:rFonts w:ascii="宋体" w:hAnsi="Courier New" w:eastAsia="宋体" w:cs="Times New Roman"/>
      <w:szCs w:val="20"/>
    </w:rPr>
  </w:style>
  <w:style w:type="character" w:customStyle="1" w:styleId="48">
    <w:name w:val="正文文本 字符1"/>
    <w:basedOn w:val="22"/>
    <w:qFormat/>
    <w:uiPriority w:val="0"/>
    <w:rPr>
      <w:rFonts w:ascii="Times New Roman" w:hAnsi="Times New Roman" w:eastAsia="宋体" w:cs="Times New Roman"/>
      <w:szCs w:val="24"/>
    </w:rPr>
  </w:style>
  <w:style w:type="character" w:customStyle="1" w:styleId="49">
    <w:name w:val="日期 字符"/>
    <w:basedOn w:val="22"/>
    <w:link w:val="11"/>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2"/>
    <w:link w:val="5"/>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2"/>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21</Pages>
  <Words>9938</Words>
  <Characters>10456</Characters>
  <Lines>200</Lines>
  <Paragraphs>56</Paragraphs>
  <TotalTime>34</TotalTime>
  <ScaleCrop>false</ScaleCrop>
  <LinksUpToDate>false</LinksUpToDate>
  <CharactersWithSpaces>11123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袁建文</cp:lastModifiedBy>
  <cp:lastPrinted>2023-09-01T07:12:00Z</cp:lastPrinted>
  <dcterms:modified xsi:type="dcterms:W3CDTF">2025-10-15T13:58:27Z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A0BCA01C29264ACFA26834A7F09031D8</vt:lpwstr>
  </property>
  <property fmtid="{D5CDD505-2E9C-101B-9397-08002B2CF9AE}" pid="4" name="KSOTemplateDocerSaveRecord">
    <vt:lpwstr>eyJoZGlkIjoiOTQ0ODg4Yzk4YWY1NDU5M2E2MTNkOWE2OWIwNzI5N2YiLCJ1c2VySWQiOiIxNjE2ODE5MDI4In0=</vt:lpwstr>
  </property>
</Properties>
</file>