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bookmarkStart w:id="0" w:name="_Toc27939_WPSOffice_Level1"/>
      <w:bookmarkStart w:id="1" w:name="_Toc28218"/>
      <w:bookmarkStart w:id="2" w:name="_Toc17695"/>
      <w:bookmarkStart w:id="3" w:name="_Toc31865"/>
      <w:bookmarkStart w:id="4" w:name="_Toc486167706"/>
      <w:bookmarkStart w:id="5" w:name="_Toc450662891"/>
      <w:bookmarkStart w:id="6" w:name="_Toc4217"/>
      <w:bookmarkStart w:id="7" w:name="_Toc142508358"/>
      <w:r>
        <w:rPr>
          <w:rFonts w:hint="eastAsia" w:ascii="宋体" w:hAnsi="宋体" w:eastAsia="宋体" w:cs="宋体"/>
          <w:b/>
          <w:bCs/>
          <w:color w:val="auto"/>
          <w:kern w:val="44"/>
          <w:sz w:val="32"/>
          <w:szCs w:val="32"/>
          <w:lang w:val="zh-CN"/>
        </w:rPr>
        <w:t>东莞市水务集团净水有限公司202</w:t>
      </w:r>
      <w:r>
        <w:rPr>
          <w:rFonts w:hint="eastAsia" w:ascii="宋体" w:hAnsi="宋体" w:eastAsia="宋体" w:cs="宋体"/>
          <w:b/>
          <w:bCs/>
          <w:color w:val="auto"/>
          <w:kern w:val="44"/>
          <w:sz w:val="32"/>
          <w:szCs w:val="32"/>
          <w:lang w:val="en-US" w:eastAsia="zh-CN"/>
        </w:rPr>
        <w:t>6</w:t>
      </w:r>
      <w:r>
        <w:rPr>
          <w:rFonts w:hint="eastAsia" w:ascii="宋体" w:hAnsi="宋体" w:eastAsia="宋体" w:cs="宋体"/>
          <w:b/>
          <w:bCs/>
          <w:color w:val="auto"/>
          <w:kern w:val="44"/>
          <w:sz w:val="32"/>
          <w:szCs w:val="32"/>
          <w:lang w:val="zh-CN"/>
        </w:rPr>
        <w:t>年</w:t>
      </w:r>
      <w:r>
        <w:rPr>
          <w:rFonts w:hint="eastAsia" w:ascii="宋体" w:hAnsi="宋体" w:eastAsia="宋体" w:cs="宋体"/>
          <w:b/>
          <w:bCs/>
          <w:color w:val="auto"/>
          <w:kern w:val="44"/>
          <w:sz w:val="32"/>
          <w:szCs w:val="32"/>
          <w:lang w:val="en-US" w:eastAsia="zh-CN"/>
        </w:rPr>
        <w:t>-2027年</w:t>
      </w:r>
      <w:r>
        <w:rPr>
          <w:rFonts w:hint="eastAsia" w:ascii="宋体" w:hAnsi="宋体" w:eastAsia="宋体" w:cs="宋体"/>
          <w:b/>
          <w:bCs/>
          <w:color w:val="auto"/>
          <w:kern w:val="44"/>
          <w:sz w:val="32"/>
          <w:szCs w:val="32"/>
          <w:lang w:val="zh-CN"/>
        </w:rPr>
        <w:t>生产药剂阳离子聚丙烯酰胺采购项目用户需求书</w:t>
      </w:r>
      <w:bookmarkEnd w:id="0"/>
      <w:bookmarkEnd w:id="1"/>
      <w:bookmarkEnd w:id="2"/>
      <w:bookmarkEnd w:id="3"/>
      <w:bookmarkEnd w:id="4"/>
      <w:bookmarkEnd w:id="5"/>
      <w:bookmarkEnd w:id="6"/>
      <w:bookmarkEnd w:id="7"/>
    </w:p>
    <w:p>
      <w:pPr>
        <w:spacing w:line="360" w:lineRule="auto"/>
        <w:rPr>
          <w:rFonts w:hAnsi="宋体" w:cs="宋体"/>
          <w:b/>
          <w:bCs/>
          <w:color w:val="auto"/>
          <w:szCs w:val="21"/>
        </w:rPr>
      </w:pPr>
      <w:bookmarkStart w:id="8" w:name="_Toc447044478"/>
      <w:bookmarkStart w:id="9" w:name="_Toc447044602"/>
      <w:bookmarkStart w:id="10" w:name="_Toc447045089"/>
      <w:r>
        <w:rPr>
          <w:rFonts w:hint="eastAsia" w:ascii="宋体" w:hAnsi="宋体" w:eastAsia="宋体" w:cs="宋体"/>
          <w:b/>
          <w:bCs/>
          <w:color w:val="auto"/>
          <w:szCs w:val="21"/>
        </w:rPr>
        <w:t>一、基本招标要求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次采购东莞市水务集团净水有限公司旗下运营项目所需污泥脱水剂、污水处理助凝剂：阳离子聚丙烯酰胺。根据实际运营中药剂使用情况，招标人现有中堂二期、竹塘二期、清溪厦坭提标等污水处理厂及污水处理厂提标项目（以下称作“运营项目”）需使用阳离子聚丙烯酰胺（以下简称“生产药剂”）作为污泥脱水药剂或污水处理助凝剂。具体供货项目和供货量根据实际运营需求，并结合招标人运营项目使用中标人提供的药剂样品所做的小试、中试及实际使用效果后确定。</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本次招标人以公开招标方式确定1家供货单位，分别向招标人运营项目供货。招标人或招标人权属子公司</w:t>
      </w:r>
      <w:bookmarkStart w:id="17" w:name="_GoBack"/>
      <w:bookmarkEnd w:id="17"/>
      <w:r>
        <w:rPr>
          <w:rFonts w:hint="eastAsia" w:ascii="宋体" w:hAnsi="宋体" w:eastAsia="宋体" w:cs="宋体"/>
          <w:color w:val="auto"/>
          <w:szCs w:val="21"/>
        </w:rPr>
        <w:t>与中标人签订采购合同。</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净水公司</w:t>
      </w:r>
      <w:r>
        <w:rPr>
          <w:rFonts w:hint="eastAsia" w:ascii="宋体" w:hAnsi="宋体" w:eastAsia="宋体" w:cs="宋体"/>
          <w:color w:val="auto"/>
          <w:szCs w:val="21"/>
        </w:rPr>
        <w:t>供货期自202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年1月1日或合同签订之日起（以较晚时间为准）至202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30</w:t>
      </w:r>
      <w:r>
        <w:rPr>
          <w:rFonts w:hint="eastAsia" w:ascii="宋体" w:hAnsi="宋体" w:eastAsia="宋体" w:cs="宋体"/>
          <w:color w:val="auto"/>
          <w:szCs w:val="21"/>
        </w:rPr>
        <w:t>日止</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众源公司供货期自</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20</w:t>
      </w:r>
      <w:r>
        <w:rPr>
          <w:rFonts w:hint="eastAsia" w:ascii="宋体" w:hAnsi="宋体" w:eastAsia="宋体" w:cs="宋体"/>
          <w:color w:val="auto"/>
          <w:szCs w:val="21"/>
        </w:rPr>
        <w:t>日起至202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30</w:t>
      </w:r>
      <w:r>
        <w:rPr>
          <w:rFonts w:hint="eastAsia" w:ascii="宋体" w:hAnsi="宋体" w:eastAsia="宋体" w:cs="宋体"/>
          <w:color w:val="auto"/>
          <w:szCs w:val="21"/>
        </w:rPr>
        <w:t>日止</w:t>
      </w:r>
      <w:r>
        <w:rPr>
          <w:rFonts w:hint="eastAsia" w:ascii="宋体" w:hAnsi="宋体" w:eastAsia="宋体" w:cs="宋体"/>
          <w:color w:val="auto"/>
          <w:szCs w:val="21"/>
          <w:lang w:eastAsia="zh-CN"/>
        </w:rPr>
        <w:t>。中标人</w:t>
      </w:r>
      <w:r>
        <w:rPr>
          <w:rFonts w:hint="eastAsia" w:ascii="宋体" w:hAnsi="宋体" w:eastAsia="宋体" w:cs="宋体"/>
          <w:color w:val="auto"/>
          <w:szCs w:val="21"/>
        </w:rPr>
        <w:t>收到招标人通知后必须无条件按照招标人的要求开始供货</w:t>
      </w:r>
      <w:r>
        <w:rPr>
          <w:rFonts w:ascii="宋体" w:hAnsi="宋体" w:eastAsia="宋体" w:cs="宋体"/>
          <w:color w:val="auto"/>
          <w:szCs w:val="21"/>
        </w:rPr>
        <w:t>。</w:t>
      </w:r>
    </w:p>
    <w:p>
      <w:pPr>
        <w:pStyle w:val="2"/>
        <w:rPr>
          <w:color w:val="auto"/>
        </w:rPr>
      </w:pPr>
    </w:p>
    <w:p>
      <w:pPr>
        <w:spacing w:line="360" w:lineRule="auto"/>
        <w:rPr>
          <w:rFonts w:ascii="宋体" w:hAnsi="宋体" w:eastAsia="宋体" w:cs="宋体"/>
          <w:b/>
          <w:bCs/>
          <w:color w:val="auto"/>
          <w:szCs w:val="21"/>
        </w:rPr>
      </w:pPr>
      <w:r>
        <w:rPr>
          <w:rFonts w:hint="eastAsia" w:ascii="宋体" w:hAnsi="宋体" w:eastAsia="宋体" w:cs="宋体"/>
          <w:b/>
          <w:bCs/>
          <w:color w:val="auto"/>
          <w:szCs w:val="21"/>
        </w:rPr>
        <w:t>二、标的物</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1、产品名称：阳离子聚丙烯酰胺。</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2、暂定采购数量：</w:t>
      </w:r>
      <w:r>
        <w:rPr>
          <w:rFonts w:hint="eastAsia" w:ascii="宋体" w:hAnsi="宋体" w:eastAsia="宋体" w:cs="宋体"/>
          <w:color w:val="auto"/>
          <w:szCs w:val="21"/>
          <w:lang w:val="en-US" w:eastAsia="zh-CN"/>
        </w:rPr>
        <w:t>454.663</w:t>
      </w:r>
      <w:r>
        <w:rPr>
          <w:rFonts w:hint="eastAsia" w:ascii="宋体" w:hAnsi="宋体" w:eastAsia="宋体" w:cs="宋体"/>
          <w:color w:val="auto"/>
          <w:szCs w:val="21"/>
        </w:rPr>
        <w:t>吨。</w:t>
      </w:r>
    </w:p>
    <w:p>
      <w:pPr>
        <w:spacing w:line="360" w:lineRule="auto"/>
        <w:ind w:firstLine="211" w:firstLineChars="100"/>
        <w:rPr>
          <w:rFonts w:ascii="宋体" w:hAnsi="宋体" w:eastAsia="宋体" w:cs="宋体"/>
          <w:b/>
          <w:bCs/>
          <w:color w:val="auto"/>
          <w:szCs w:val="21"/>
        </w:rPr>
      </w:pPr>
      <w:r>
        <w:rPr>
          <w:rFonts w:hint="eastAsia" w:ascii="宋体" w:hAnsi="宋体" w:eastAsia="宋体" w:cs="宋体"/>
          <w:b/>
          <w:bCs/>
          <w:color w:val="auto"/>
          <w:szCs w:val="21"/>
        </w:rPr>
        <w:t>★3、本次采购涉及招标人运营项目及采购数量为暂定，仅为便于计算暂定总合同价使用，不作为招标人最终采购数量的保证，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w:t>
      </w:r>
      <w:r>
        <w:rPr>
          <w:rFonts w:hint="eastAsia" w:ascii="宋体" w:hAnsi="宋体" w:eastAsia="宋体" w:cs="宋体"/>
          <w:b/>
          <w:color w:val="auto"/>
          <w:szCs w:val="21"/>
        </w:rPr>
        <w:t>权属子公司、</w:t>
      </w:r>
      <w:r>
        <w:rPr>
          <w:rFonts w:hint="eastAsia" w:ascii="宋体" w:hAnsi="宋体" w:eastAsia="宋体" w:cs="Times New Roman"/>
          <w:b/>
          <w:bCs/>
          <w:color w:val="auto"/>
          <w:szCs w:val="21"/>
          <w:lang w:val="zh-CN"/>
        </w:rPr>
        <w:t>招标人权属子公司</w:t>
      </w:r>
      <w:r>
        <w:rPr>
          <w:rFonts w:hint="eastAsia" w:ascii="宋体" w:hAnsi="宋体" w:eastAsia="宋体" w:cs="Times New Roman"/>
          <w:b/>
          <w:bCs/>
          <w:color w:val="auto"/>
          <w:szCs w:val="21"/>
        </w:rPr>
        <w:t>关联公司</w:t>
      </w:r>
      <w:r>
        <w:rPr>
          <w:rFonts w:hint="eastAsia" w:ascii="宋体" w:hAnsi="宋体" w:eastAsia="宋体" w:cs="宋体"/>
          <w:b/>
          <w:bCs/>
          <w:color w:val="auto"/>
          <w:szCs w:val="21"/>
        </w:rPr>
        <w:t>关于新增合同主体的供货通知及签订补充协议的要求时，积极配合并履行相应的供货义务，确保供货的及时性和质量等符合原合同的要求。实际招标人运营项目根据项目工艺及性质，结合小试、中试及运营项目实际使用后的情况选用，招标人的实际需求数量以招标人运营项目每次的供货通知为准，在供货期内</w:t>
      </w:r>
      <w:r>
        <w:rPr>
          <w:rFonts w:hint="eastAsia" w:ascii="宋体" w:hAnsi="宋体" w:eastAsia="宋体" w:cs="宋体"/>
          <w:b/>
          <w:bCs/>
          <w:color w:val="auto"/>
          <w:szCs w:val="21"/>
          <w:lang w:eastAsia="zh-CN"/>
        </w:rPr>
        <w:t>中标人</w:t>
      </w:r>
      <w:r>
        <w:rPr>
          <w:rFonts w:hint="eastAsia" w:ascii="宋体" w:hAnsi="宋体" w:eastAsia="宋体" w:cs="宋体"/>
          <w:b/>
          <w:bCs/>
          <w:color w:val="auto"/>
          <w:szCs w:val="21"/>
        </w:rPr>
        <w:t>不得因招标人实际采购数量的减少或增加而要求提供任何形式的补偿或赔偿，或要求招标人按暂定采购数量采购相应货物。</w:t>
      </w:r>
    </w:p>
    <w:p>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rPr>
        <w:t>★4、主要技术指标。</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（1）阳离子聚丙烯酰胺固体产品外观为白色或微黄色颗粒或粉末。</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（2）阳离子聚丙烯酰胺固体产品必须符合《水处理剂 阳离子型聚丙烯酰胺的技术条件和试验方法》（GB/T 31246-2014）质量及检测标准，其中主要技术指标如下：</w:t>
      </w:r>
    </w:p>
    <w:p>
      <w:pPr>
        <w:spacing w:line="360" w:lineRule="auto"/>
        <w:jc w:val="center"/>
        <w:rPr>
          <w:rFonts w:hAnsi="宋体" w:cs="宋体"/>
          <w:color w:val="auto"/>
          <w:szCs w:val="21"/>
        </w:rPr>
      </w:pPr>
      <w:r>
        <w:rPr>
          <w:rFonts w:hint="eastAsia" w:ascii="宋体" w:hAnsi="宋体" w:eastAsia="宋体" w:cs="宋体"/>
          <w:color w:val="auto"/>
          <w:szCs w:val="21"/>
        </w:rPr>
        <w:t>表1  阳离子聚丙烯酰胺主要技术指标</w:t>
      </w:r>
    </w:p>
    <w:tbl>
      <w:tblPr>
        <w:tblStyle w:val="38"/>
        <w:tblW w:w="7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9"/>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pPr>
              <w:spacing w:line="400" w:lineRule="exact"/>
              <w:jc w:val="center"/>
              <w:rPr>
                <w:rFonts w:ascii="宋体" w:hAnsi="宋体" w:eastAsia="宋体" w:cs="宋体"/>
                <w:b/>
                <w:color w:val="auto"/>
                <w:szCs w:val="21"/>
              </w:rPr>
            </w:pPr>
            <w:r>
              <w:rPr>
                <w:rFonts w:hint="eastAsia" w:ascii="宋体" w:hAnsi="宋体" w:eastAsia="宋体" w:cs="宋体"/>
                <w:b/>
                <w:color w:val="auto"/>
                <w:szCs w:val="21"/>
              </w:rPr>
              <w:t>指标项目</w:t>
            </w:r>
          </w:p>
        </w:tc>
        <w:tc>
          <w:tcPr>
            <w:tcW w:w="3030" w:type="dxa"/>
            <w:vAlign w:val="center"/>
          </w:tcPr>
          <w:p>
            <w:pPr>
              <w:spacing w:line="400" w:lineRule="exact"/>
              <w:jc w:val="center"/>
              <w:rPr>
                <w:rFonts w:ascii="宋体" w:hAnsi="宋体" w:eastAsia="宋体" w:cs="宋体"/>
                <w:b/>
                <w:color w:val="auto"/>
                <w:szCs w:val="21"/>
              </w:rPr>
            </w:pPr>
            <w:r>
              <w:rPr>
                <w:rFonts w:hint="eastAsia" w:ascii="宋体" w:hAnsi="宋体" w:eastAsia="宋体" w:cs="宋体"/>
                <w:b/>
                <w:color w:val="auto"/>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相对分子质量（</w:t>
            </w:r>
            <w:r>
              <w:rPr>
                <w:rFonts w:hint="eastAsia" w:ascii="宋体" w:hAnsi="宋体" w:eastAsia="宋体" w:cs="宋体"/>
                <w:b/>
                <w:i/>
                <w:iCs/>
                <w:color w:val="auto"/>
                <w:szCs w:val="21"/>
              </w:rPr>
              <w:t>M</w:t>
            </w:r>
            <w:r>
              <w:rPr>
                <w:rFonts w:hint="eastAsia" w:ascii="宋体" w:hAnsi="宋体" w:eastAsia="宋体" w:cs="宋体"/>
                <w:b/>
                <w:color w:val="auto"/>
                <w:szCs w:val="21"/>
              </w:rPr>
              <w:t>）</w:t>
            </w:r>
          </w:p>
        </w:tc>
        <w:tc>
          <w:tcPr>
            <w:tcW w:w="3030"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500×10</w:t>
            </w:r>
            <w:r>
              <w:rPr>
                <w:rFonts w:hint="eastAsia" w:ascii="宋体" w:hAnsi="宋体" w:eastAsia="宋体" w:cs="宋体"/>
                <w:b/>
                <w:color w:val="auto"/>
                <w:szCs w:val="21"/>
                <w:vertAlign w:val="superscript"/>
              </w:rPr>
              <w:t>4</w:t>
            </w:r>
            <w:r>
              <w:rPr>
                <w:rFonts w:hint="eastAsia" w:ascii="宋体" w:hAnsi="宋体" w:eastAsia="宋体" w:cs="宋体"/>
                <w:b/>
                <w:color w:val="auto"/>
                <w:szCs w:val="21"/>
              </w:rPr>
              <w:t>-1200×10</w:t>
            </w:r>
            <w:r>
              <w:rPr>
                <w:rFonts w:hint="eastAsia" w:ascii="宋体" w:hAnsi="宋体" w:eastAsia="宋体" w:cs="宋体"/>
                <w:b/>
                <w:color w:val="auto"/>
                <w:szCs w:val="21"/>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阳离子度（%）</w:t>
            </w:r>
          </w:p>
        </w:tc>
        <w:tc>
          <w:tcPr>
            <w:tcW w:w="3030"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20.0-80.0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固含量（%），≥</w:t>
            </w:r>
          </w:p>
        </w:tc>
        <w:tc>
          <w:tcPr>
            <w:tcW w:w="3030"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丙烯酰胺单体含量（干基）（%），≤</w:t>
            </w:r>
          </w:p>
        </w:tc>
        <w:tc>
          <w:tcPr>
            <w:tcW w:w="3030"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溶解时间（1g/L）（min），≤</w:t>
            </w:r>
          </w:p>
        </w:tc>
        <w:tc>
          <w:tcPr>
            <w:tcW w:w="3030"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水不溶物（%），≤</w:t>
            </w:r>
          </w:p>
        </w:tc>
        <w:tc>
          <w:tcPr>
            <w:tcW w:w="3030"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筛余物（1.40mm筛网）（%），≤</w:t>
            </w:r>
          </w:p>
        </w:tc>
        <w:tc>
          <w:tcPr>
            <w:tcW w:w="3030"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筛余物（180μm筛网）（%），≥</w:t>
            </w:r>
          </w:p>
        </w:tc>
        <w:tc>
          <w:tcPr>
            <w:tcW w:w="3030"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硫酸盐（SO</w:t>
            </w:r>
            <w:r>
              <w:rPr>
                <w:rFonts w:hint="eastAsia" w:ascii="宋体" w:hAnsi="宋体" w:eastAsia="宋体" w:cs="宋体"/>
                <w:b/>
                <w:color w:val="auto"/>
                <w:szCs w:val="21"/>
                <w:vertAlign w:val="subscript"/>
              </w:rPr>
              <w:t>4</w:t>
            </w:r>
            <w:r>
              <w:rPr>
                <w:rFonts w:hint="eastAsia" w:ascii="宋体" w:hAnsi="宋体" w:eastAsia="宋体" w:cs="宋体"/>
                <w:b/>
                <w:color w:val="auto"/>
                <w:szCs w:val="21"/>
              </w:rPr>
              <w:t>）含量（g/g），≤</w:t>
            </w:r>
          </w:p>
        </w:tc>
        <w:tc>
          <w:tcPr>
            <w:tcW w:w="3030"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氯化物（Cl）含量（g/g），≤</w:t>
            </w:r>
          </w:p>
        </w:tc>
        <w:tc>
          <w:tcPr>
            <w:tcW w:w="3030" w:type="dxa"/>
            <w:vAlign w:val="center"/>
          </w:tcPr>
          <w:p>
            <w:pPr>
              <w:pStyle w:val="13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0.05</w:t>
            </w:r>
          </w:p>
        </w:tc>
      </w:tr>
    </w:tbl>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说明：具体供货货物指标在满足上表的前提下，根据招标人运营项目工艺及性质，结合小试及实际使用后的情况选用。</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（3）供货期间，如有发布最新的行业标准或国家标准，招标人有权根据招标人运营项目实际情况及有关行业标准或国家标准对合同的主要技术指标进行变更调整，投标人应无条件接受。</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）投标人所供产品的真实质量，必须满足本用户需求书的所有技术指标。</w:t>
      </w:r>
    </w:p>
    <w:p>
      <w:pPr>
        <w:spacing w:line="360" w:lineRule="auto"/>
        <w:rPr>
          <w:rFonts w:ascii="宋体" w:hAnsi="宋体" w:eastAsia="宋体" w:cs="宋体"/>
          <w:b/>
          <w:bCs/>
          <w:color w:val="auto"/>
          <w:szCs w:val="21"/>
        </w:rPr>
      </w:pPr>
      <w:r>
        <w:rPr>
          <w:rFonts w:hint="eastAsia" w:ascii="宋体" w:hAnsi="宋体" w:eastAsia="宋体" w:cs="宋体"/>
          <w:b/>
          <w:bCs/>
          <w:color w:val="auto"/>
          <w:szCs w:val="21"/>
        </w:rPr>
        <w:t>三、交货要求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1、交货地点：招标人在东莞市范围内的运营项目。</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2、交货时间：日常供货（非加急供货)为接到供货通知24小时内，加急供货为接到供货通知4小时内，具体交货时间以招标人运营项目供货通知为准。招标人无需因加急供货而额外支付任何费用。</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中标人</w:t>
      </w:r>
      <w:r>
        <w:rPr>
          <w:rFonts w:hint="eastAsia" w:ascii="宋体" w:hAnsi="宋体" w:eastAsia="宋体" w:cs="宋体"/>
          <w:color w:val="auto"/>
          <w:szCs w:val="21"/>
        </w:rPr>
        <w:t>自行负责将生产药剂运送至招标人运营项目指定位置（生产药剂储药间），未经招标人书面同意，</w:t>
      </w:r>
      <w:r>
        <w:rPr>
          <w:rFonts w:hint="eastAsia" w:ascii="宋体" w:hAnsi="宋体" w:eastAsia="宋体" w:cs="宋体"/>
          <w:color w:val="auto"/>
          <w:szCs w:val="21"/>
          <w:lang w:eastAsia="zh-CN"/>
        </w:rPr>
        <w:t>中标人</w:t>
      </w:r>
      <w:r>
        <w:rPr>
          <w:rFonts w:hint="eastAsia" w:ascii="宋体" w:hAnsi="宋体" w:eastAsia="宋体" w:cs="宋体"/>
          <w:color w:val="auto"/>
          <w:szCs w:val="21"/>
        </w:rPr>
        <w:t>不得私自将本合同项下的货物运输义务委托第三方个人或企业。</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承担相应的运输、装卸等费用，运输人员应配备足够防护器具。如在运输及装卸过程中，生产药剂发生泄漏，应由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负责清理收集，避免造成人员伤害或环境污染。</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4、每次送货，</w:t>
      </w:r>
      <w:r>
        <w:rPr>
          <w:rFonts w:hint="eastAsia" w:ascii="宋体" w:hAnsi="宋体" w:eastAsia="宋体" w:cs="宋体"/>
          <w:color w:val="auto"/>
          <w:szCs w:val="21"/>
          <w:lang w:eastAsia="zh-CN"/>
        </w:rPr>
        <w:t>中标人</w:t>
      </w:r>
      <w:r>
        <w:rPr>
          <w:rFonts w:hint="eastAsia" w:ascii="宋体" w:hAnsi="宋体" w:eastAsia="宋体" w:cs="宋体"/>
          <w:color w:val="auto"/>
          <w:szCs w:val="21"/>
        </w:rPr>
        <w:t>须提供电子地磅的称重单（含载货时的称重单和卸货后的称重单），相关费用由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承担。实际供货数量以招标人运营项目和</w:t>
      </w:r>
      <w:r>
        <w:rPr>
          <w:rFonts w:hint="eastAsia" w:ascii="宋体" w:hAnsi="宋体" w:eastAsia="宋体" w:cs="宋体"/>
          <w:color w:val="auto"/>
          <w:szCs w:val="21"/>
          <w:lang w:eastAsia="zh-CN"/>
        </w:rPr>
        <w:t>中标人</w:t>
      </w:r>
      <w:r>
        <w:rPr>
          <w:rFonts w:hint="eastAsia" w:ascii="宋体" w:hAnsi="宋体" w:eastAsia="宋体" w:cs="宋体"/>
          <w:color w:val="auto"/>
          <w:szCs w:val="21"/>
        </w:rPr>
        <w:t>双方确认的净重为准，以电子地磅的称重单作为数量复核，电子地磅的称重单重量如小于净重，须按照净重补足差量，不足25kg的部分按1袋（25kg）来补足，补充的此袋不计费用。招标人运营项目有电子地磅的，原则上在招标人运营项目过磅；招标人运营项目无电子地磅或电子地磅因检修等原因不可用的，在</w:t>
      </w:r>
      <w:r>
        <w:rPr>
          <w:rFonts w:ascii="宋体" w:hAnsi="宋体" w:eastAsia="宋体" w:cs="宋体"/>
          <w:color w:val="auto"/>
          <w:szCs w:val="21"/>
        </w:rPr>
        <w:t>交货地点附近的</w:t>
      </w:r>
      <w:r>
        <w:rPr>
          <w:rFonts w:hint="eastAsia" w:ascii="宋体" w:hAnsi="宋体" w:eastAsia="宋体" w:cs="宋体"/>
          <w:color w:val="auto"/>
          <w:szCs w:val="21"/>
        </w:rPr>
        <w:t>电子地磅过磅。招标人电子地磅的称重服务不含税单价为1.51元/吨，称重服务相关条款由招标人或招标人权属子公司与中标人签订称重服务合同另行约定。</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5、每次送货，</w:t>
      </w:r>
      <w:r>
        <w:rPr>
          <w:rFonts w:hint="eastAsia" w:ascii="宋体" w:hAnsi="宋体" w:eastAsia="宋体" w:cs="宋体"/>
          <w:color w:val="auto"/>
          <w:szCs w:val="21"/>
          <w:lang w:eastAsia="zh-CN"/>
        </w:rPr>
        <w:t>中标人</w:t>
      </w:r>
      <w:r>
        <w:rPr>
          <w:rFonts w:hint="eastAsia" w:ascii="宋体" w:hAnsi="宋体" w:eastAsia="宋体" w:cs="宋体"/>
          <w:color w:val="auto"/>
          <w:szCs w:val="21"/>
        </w:rPr>
        <w:t>须随货提</w:t>
      </w:r>
      <w:r>
        <w:rPr>
          <w:rFonts w:hint="eastAsia" w:ascii="宋体" w:hAnsi="宋体" w:eastAsia="宋体" w:cs="宋体"/>
          <w:b/>
          <w:bCs/>
          <w:color w:val="auto"/>
          <w:szCs w:val="21"/>
        </w:rPr>
        <w:t>供生产厂家出具的具有生产厂家、出厂批号、产品型号、阳离子度、相对分子质量、固含量、溶解时间、水不溶物等主要信息</w:t>
      </w:r>
      <w:r>
        <w:rPr>
          <w:rFonts w:hint="eastAsia" w:ascii="宋体" w:hAnsi="宋体" w:eastAsia="宋体" w:cs="宋体"/>
          <w:color w:val="auto"/>
          <w:szCs w:val="21"/>
        </w:rPr>
        <w:t>的符合表</w:t>
      </w:r>
      <w:r>
        <w:rPr>
          <w:rFonts w:ascii="宋体" w:hAnsi="宋体" w:eastAsia="宋体" w:cs="宋体"/>
          <w:color w:val="auto"/>
          <w:szCs w:val="21"/>
        </w:rPr>
        <w:t>1《阳离子聚丙烯酰胺主要技术指标》要求的</w:t>
      </w:r>
      <w:r>
        <w:rPr>
          <w:rFonts w:hint="eastAsia" w:ascii="宋体" w:hAnsi="宋体" w:eastAsia="宋体" w:cs="宋体"/>
          <w:color w:val="auto"/>
          <w:szCs w:val="21"/>
        </w:rPr>
        <w:t>产品质量检验报告（如出厂检验报告、质量检验报告等）、供货单据等资料，</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提供的检验报告只作为招标人运营项目参考。如生产厂家出具的产品质量检验报告不能涵盖上述主要信息，可由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另外提供该批药剂的涵盖上述主要信息的产品质量检验报告。生产厂家和</w:t>
      </w:r>
      <w:r>
        <w:rPr>
          <w:rFonts w:hint="eastAsia" w:ascii="宋体" w:hAnsi="宋体" w:eastAsia="宋体" w:cs="宋体"/>
          <w:color w:val="auto"/>
          <w:szCs w:val="21"/>
          <w:lang w:eastAsia="zh-CN"/>
        </w:rPr>
        <w:t>中标人</w:t>
      </w:r>
      <w:r>
        <w:rPr>
          <w:rFonts w:hint="eastAsia" w:ascii="宋体" w:hAnsi="宋体" w:eastAsia="宋体" w:cs="宋体"/>
          <w:color w:val="auto"/>
          <w:szCs w:val="21"/>
        </w:rPr>
        <w:t>出具的产品质量检验报告均须符合第四条验收要求。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6、供货期间，在收到招标人运营项目供货通知前，</w:t>
      </w:r>
      <w:r>
        <w:rPr>
          <w:rFonts w:hint="eastAsia" w:ascii="宋体" w:hAnsi="宋体" w:eastAsia="宋体" w:cs="宋体"/>
          <w:color w:val="auto"/>
          <w:szCs w:val="21"/>
          <w:lang w:eastAsia="zh-CN"/>
        </w:rPr>
        <w:t>中标人</w:t>
      </w:r>
      <w:r>
        <w:rPr>
          <w:rFonts w:hint="eastAsia" w:ascii="宋体" w:hAnsi="宋体" w:eastAsia="宋体" w:cs="宋体"/>
          <w:color w:val="auto"/>
          <w:szCs w:val="21"/>
        </w:rPr>
        <w:t>无需为合同履行做准备工作。招标人运营项目相关信息见附件，仅供</w:t>
      </w:r>
      <w:r>
        <w:rPr>
          <w:rFonts w:hint="eastAsia" w:ascii="宋体" w:hAnsi="宋体" w:eastAsia="宋体" w:cs="宋体"/>
          <w:color w:val="auto"/>
          <w:szCs w:val="21"/>
          <w:lang w:eastAsia="zh-CN"/>
        </w:rPr>
        <w:t>中标人</w:t>
      </w:r>
      <w:r>
        <w:rPr>
          <w:rFonts w:hint="eastAsia" w:ascii="宋体" w:hAnsi="宋体" w:eastAsia="宋体" w:cs="宋体"/>
          <w:color w:val="auto"/>
          <w:szCs w:val="21"/>
        </w:rPr>
        <w:t>报价参考。</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7、关于生产药剂的贮存装置、贮存条件等要求，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应详细以书面形式告知招标人运营项目。</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生产药剂的运送及输送方式应符合国家或行业规范标准。阳离子聚丙烯酰胺固体产品采用双层包装袋包装，包装规格为25kg/包。产品包装上应涂刷牢固的标志，内容包括：生产厂名、产品名称、商标、批号或生产日期、净质量、厂址、执行的标准编号及GB/T 191规定的“怕热”和“怕湿”标志。运输过程严防雨淋、曝晒。其余包装及运输要求需符合《水处理剂 阳离子型聚丙烯酰胺的技术条件和试验方法》（GB/T 31246-2014）中相关要求。</w:t>
      </w:r>
    </w:p>
    <w:p>
      <w:pPr>
        <w:spacing w:line="360" w:lineRule="auto"/>
        <w:rPr>
          <w:rFonts w:ascii="宋体" w:hAnsi="宋体" w:eastAsia="宋体" w:cs="宋体"/>
          <w:color w:val="auto"/>
          <w:szCs w:val="21"/>
        </w:rPr>
      </w:pPr>
    </w:p>
    <w:p>
      <w:pPr>
        <w:spacing w:line="360" w:lineRule="auto"/>
        <w:rPr>
          <w:rFonts w:ascii="宋体" w:hAnsi="宋体" w:eastAsia="宋体" w:cs="宋体"/>
          <w:b/>
          <w:bCs/>
          <w:color w:val="auto"/>
          <w:szCs w:val="21"/>
        </w:rPr>
      </w:pPr>
      <w:r>
        <w:rPr>
          <w:rFonts w:hint="eastAsia" w:ascii="宋体" w:hAnsi="宋体" w:eastAsia="宋体" w:cs="宋体"/>
          <w:b/>
          <w:bCs/>
          <w:color w:val="auto"/>
          <w:szCs w:val="21"/>
        </w:rPr>
        <w:t>四、验收要求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1、验收分为初步验收和最终验收。货到交货地点时进行初步验收，根据货物的用途，如货物用作助凝剂，在货物检验合格后进行最终验收，如货物用作污泥脱水剂，在货物检验合格并使用完毕后进行最终验收。</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（1）初步验收：</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1）货物运抵交货地点，招标人运营项目、</w:t>
      </w:r>
      <w:r>
        <w:rPr>
          <w:rFonts w:hint="eastAsia" w:ascii="宋体" w:hAnsi="宋体" w:eastAsia="宋体" w:cs="宋体"/>
          <w:color w:val="auto"/>
          <w:szCs w:val="21"/>
          <w:lang w:eastAsia="zh-CN"/>
        </w:rPr>
        <w:t>中标人</w:t>
      </w:r>
      <w:r>
        <w:rPr>
          <w:rFonts w:hint="eastAsia" w:ascii="宋体" w:hAnsi="宋体" w:eastAsia="宋体" w:cs="宋体"/>
          <w:color w:val="auto"/>
          <w:szCs w:val="21"/>
        </w:rPr>
        <w:t>共同验货。招标人运营项目按照本项目合同及招标文件，对货物的数量、品种、随车产品质量检验报告、供货单据等进行核对。</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2）初步验收合格后，招标人运营项目、</w:t>
      </w:r>
      <w:r>
        <w:rPr>
          <w:rFonts w:hint="eastAsia" w:ascii="宋体" w:hAnsi="宋体" w:eastAsia="宋体" w:cs="宋体"/>
          <w:color w:val="auto"/>
          <w:szCs w:val="21"/>
          <w:lang w:eastAsia="zh-CN"/>
        </w:rPr>
        <w:t>中标人</w:t>
      </w:r>
      <w:r>
        <w:rPr>
          <w:rFonts w:hint="eastAsia" w:ascii="宋体" w:hAnsi="宋体" w:eastAsia="宋体" w:cs="宋体"/>
          <w:color w:val="auto"/>
          <w:szCs w:val="21"/>
        </w:rPr>
        <w:t>双方进行相关签收手续。</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（2）最终验收</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招标人运营项目对每次供货货物检验，检验指标由招标人在表1《阳离子聚丙烯酰胺主要技术指标》中选择，固含量为每次供货货物的批检检验指标，其余指标为招标人根据需要抽检的按需检验指标，货物批检检验指标和按需检验指标由招标人根据招标人关于药剂的管理制度及要求适时调整。每次货到现场时可由双方共同取样，供货货物合格判定以招标人运营项目实验室检验结果为准。招标人根据需要可委托具有检测产品CMA认证资质的第三方检测机构检测，招标人委托的具有检测产品CMA认证资质的第三方检测机构的检验结果与招标人运营项目实验室不一致的，该次的供货货物质量判定以招标人委托的具有检测产品CMA认证资质的第三方检测机构的检验结果为准。</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2）货物检验方法按《水处理剂 阳离子型聚丙烯酰胺的技术条件和试验方法》（GB/T 31246-2014）中的检测方法进行。供货期间，如有发布最新的行业标准或国家标准，货物检验方法按发布的最新行业标准或国家标准执行。</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2、货物按上述程序验收后，招标人运营项目向</w:t>
      </w:r>
      <w:r>
        <w:rPr>
          <w:rFonts w:hint="eastAsia" w:ascii="宋体" w:hAnsi="宋体" w:eastAsia="宋体" w:cs="宋体"/>
          <w:color w:val="auto"/>
          <w:szCs w:val="21"/>
          <w:lang w:eastAsia="zh-CN"/>
        </w:rPr>
        <w:t>中标人</w:t>
      </w:r>
      <w:r>
        <w:rPr>
          <w:rFonts w:hint="eastAsia" w:ascii="宋体" w:hAnsi="宋体" w:eastAsia="宋体" w:cs="宋体"/>
          <w:color w:val="auto"/>
          <w:szCs w:val="21"/>
        </w:rPr>
        <w:t>出具书面的验收报告，</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需对验收报告盖章确认。验收报告作为对货物供货数量及主要技术指标验收的证明，不代表对货物使用效果的认可。</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3、招标人运营项目根据本条规定对货物所做出的验收，仅作为起算付款及质保期之用，不视为双方对于货物质量的最终认可，</w:t>
      </w:r>
      <w:r>
        <w:rPr>
          <w:rFonts w:hint="eastAsia" w:ascii="宋体" w:hAnsi="宋体" w:eastAsia="宋体" w:cs="宋体"/>
          <w:color w:val="auto"/>
          <w:szCs w:val="21"/>
          <w:lang w:eastAsia="zh-CN"/>
        </w:rPr>
        <w:t>中标人</w:t>
      </w:r>
      <w:r>
        <w:rPr>
          <w:rFonts w:hint="eastAsia" w:ascii="宋体" w:hAnsi="宋体" w:eastAsia="宋体" w:cs="宋体"/>
          <w:color w:val="auto"/>
          <w:szCs w:val="21"/>
        </w:rPr>
        <w:t>仍应在质保期内对产品质量承担保证责任。</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4、货物在经最终验收合格前，其损耗、毁损、灭失等风险及责任由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承担，如因发生前述情形，导致</w:t>
      </w:r>
      <w:r>
        <w:rPr>
          <w:rFonts w:hint="eastAsia" w:ascii="宋体" w:hAnsi="宋体" w:eastAsia="宋体" w:cs="宋体"/>
          <w:color w:val="auto"/>
          <w:szCs w:val="21"/>
          <w:lang w:eastAsia="zh-CN"/>
        </w:rPr>
        <w:t>中标人</w:t>
      </w:r>
      <w:r>
        <w:rPr>
          <w:rFonts w:hint="eastAsia" w:ascii="宋体" w:hAnsi="宋体" w:eastAsia="宋体" w:cs="宋体"/>
          <w:color w:val="auto"/>
          <w:szCs w:val="21"/>
        </w:rPr>
        <w:t>所提供的货物不能通过招标人运营项目验收的，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应按招标人运营项目要求无条件予以退换货，给招标人造成损失的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须承担全部的赔偿责任。</w:t>
      </w:r>
    </w:p>
    <w:p>
      <w:pPr>
        <w:spacing w:line="360" w:lineRule="auto"/>
        <w:rPr>
          <w:rFonts w:ascii="宋体" w:hAnsi="宋体" w:eastAsia="宋体" w:cs="宋体"/>
          <w:color w:val="auto"/>
          <w:szCs w:val="21"/>
        </w:rPr>
      </w:pPr>
    </w:p>
    <w:p>
      <w:pPr>
        <w:spacing w:line="360" w:lineRule="auto"/>
        <w:rPr>
          <w:rFonts w:ascii="宋体" w:hAnsi="宋体" w:eastAsia="宋体" w:cs="宋体"/>
          <w:b/>
          <w:bCs/>
          <w:color w:val="auto"/>
          <w:szCs w:val="21"/>
        </w:rPr>
      </w:pPr>
      <w:r>
        <w:rPr>
          <w:rFonts w:hint="eastAsia" w:ascii="宋体" w:hAnsi="宋体" w:eastAsia="宋体" w:cs="宋体"/>
          <w:b/>
          <w:bCs/>
          <w:color w:val="auto"/>
          <w:szCs w:val="21"/>
        </w:rPr>
        <w:t>五、资料要求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需向招标人运营项目提供但不限于下述技术资料：</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（1）符合第三条交货要求第5点要求的产品质量检验报告（如出厂检验报告、质量检验报告等）、供货单据；</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（2）验收报告；</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（3）与货物使用相关的其他文件；</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（4）招标人运营项目要求提供的其他技术资料。</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需将上述资料（若上述资料为复印件的，则须加盖</w:t>
      </w:r>
      <w:r>
        <w:rPr>
          <w:rFonts w:hint="eastAsia" w:ascii="宋体" w:hAnsi="宋体" w:eastAsia="宋体" w:cs="宋体"/>
          <w:color w:val="auto"/>
          <w:szCs w:val="21"/>
          <w:lang w:eastAsia="zh-CN"/>
        </w:rPr>
        <w:t>中标人</w:t>
      </w:r>
      <w:r>
        <w:rPr>
          <w:rFonts w:hint="eastAsia" w:ascii="宋体" w:hAnsi="宋体" w:eastAsia="宋体" w:cs="宋体"/>
          <w:color w:val="auto"/>
          <w:szCs w:val="21"/>
        </w:rPr>
        <w:t>公章）在交货时交给招标人运营项目，有关资料的收集和整理由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负责，招标人运营项目予以配合。</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3、供货期内，</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需每季度委托具有CMA认证资质的第三方检测机构对供货期间所供货物进行检测，并提供第三方检测机构出具的符合表</w:t>
      </w:r>
      <w:r>
        <w:rPr>
          <w:rFonts w:ascii="宋体" w:hAnsi="宋体" w:eastAsia="宋体" w:cs="宋体"/>
          <w:color w:val="auto"/>
          <w:szCs w:val="21"/>
        </w:rPr>
        <w:t>1《阳离子聚丙烯酰胺主要技术指标》要求的</w:t>
      </w:r>
      <w:r>
        <w:rPr>
          <w:rFonts w:hint="eastAsia" w:ascii="宋体" w:hAnsi="宋体" w:eastAsia="宋体" w:cs="宋体"/>
          <w:color w:val="auto"/>
          <w:szCs w:val="21"/>
        </w:rPr>
        <w:t>检验报告，检验报告上的标徽应包括但不限于CMA认证标徽，</w:t>
      </w:r>
      <w:r>
        <w:rPr>
          <w:rFonts w:hint="eastAsia" w:ascii="宋体" w:hAnsi="宋体" w:eastAsia="宋体" w:cs="宋体"/>
          <w:b/>
          <w:bCs/>
          <w:color w:val="auto"/>
          <w:szCs w:val="21"/>
        </w:rPr>
        <w:t>检验报告需体现委托方、生产厂家、送检样品的产品名称、型号、生产批号或生产日期、表1《阳离子聚丙烯酰胺主要技术指标》中各指标项目检测结果，检验报告使用的检测方法需符合《水处理剂 阳离子型聚丙烯酰胺的技术条件和试验方法》（GB/T 31246-2014），检验报告中样品送检时间需在供货期内。</w:t>
      </w:r>
      <w:r>
        <w:rPr>
          <w:rFonts w:hint="eastAsia" w:ascii="宋体" w:hAnsi="宋体" w:eastAsia="宋体" w:cs="宋体"/>
          <w:color w:val="auto"/>
          <w:szCs w:val="21"/>
          <w:lang w:eastAsia="zh-CN"/>
        </w:rPr>
        <w:t>中标人</w:t>
      </w:r>
      <w:r>
        <w:rPr>
          <w:rFonts w:hint="eastAsia" w:ascii="宋体" w:hAnsi="宋体" w:eastAsia="宋体" w:cs="宋体"/>
          <w:color w:val="auto"/>
          <w:szCs w:val="21"/>
        </w:rPr>
        <w:t>所供货物涉及多种型号的，由招标人在所供的型号中选择其中一种型号由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进行委托检测。供货期间，如有发布最新的行业标准或国家标准，货物检验方法按发布的最新行业标准或国家标准执行。</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提交的技术资料在出现遗漏或发现错误时，应及时补充或更正后提交招标人运营项目。</w:t>
      </w:r>
    </w:p>
    <w:p>
      <w:pPr>
        <w:spacing w:line="360" w:lineRule="auto"/>
        <w:rPr>
          <w:rFonts w:ascii="宋体" w:hAnsi="宋体" w:eastAsia="宋体" w:cs="宋体"/>
          <w:color w:val="auto"/>
          <w:szCs w:val="21"/>
        </w:rPr>
      </w:pPr>
    </w:p>
    <w:p>
      <w:pPr>
        <w:spacing w:line="360" w:lineRule="auto"/>
        <w:rPr>
          <w:rFonts w:ascii="宋体" w:hAnsi="宋体" w:eastAsia="宋体" w:cs="宋体"/>
          <w:b/>
          <w:bCs/>
          <w:color w:val="auto"/>
          <w:szCs w:val="21"/>
        </w:rPr>
      </w:pPr>
      <w:r>
        <w:rPr>
          <w:rFonts w:hint="eastAsia" w:ascii="宋体" w:hAnsi="宋体" w:eastAsia="宋体" w:cs="宋体"/>
          <w:b/>
          <w:bCs/>
          <w:color w:val="auto"/>
          <w:szCs w:val="21"/>
        </w:rPr>
        <w:t>六、质量保证及售后要求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1、药剂保质期：以货到现场之日算起24个月，保质期内产品质量须达到本用户需求书所有技术指标要求。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2、投标人应具有相应的技术人员，具备供货及售前售后的服务能力。</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中标人</w:t>
      </w:r>
      <w:r>
        <w:rPr>
          <w:rFonts w:hint="eastAsia" w:ascii="宋体" w:hAnsi="宋体" w:eastAsia="宋体" w:cs="宋体"/>
          <w:color w:val="auto"/>
          <w:szCs w:val="21"/>
        </w:rPr>
        <w:t>在接到质量问题通知后 4 小时内自费派工程师到达现场对问题进行处理。</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应根据招标人运营项目需要免费提供培训，相关费用已计入综合单价，招标人无需另行支付任何费用。</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5、培训地点、规模及时间由招标人运营项目指定，根据培训内容复杂程度，招标人运营项目有权要求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提供完整的书面培训计划和方案，列明提供培训的技术人员名单及资质，以及培训完成后招标人运营项目人员可达到的水平等。</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6、在交货或合同履行过程中，若因所交货物（包括但不限于品种、型号、规格、质量）不符合招标人运营项目要求、或货物使用过程中出现质量问题，导致</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提供的生产药剂如不能通过招标人运营项目验收的，招标人运营项目可拒绝收货或要求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承担退换货责任。原则上</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该在不影响招标人运营项目正常生产的情况下，自招标人运营项目通知之时起4小时内无条件予以退换货，招标人不承担因验收造成的货物损耗及运输等一切费用且不对货物承担保管责任，因此产生的费用及风险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7、自招标人运营项目通知货物检验不合格或货物使用过程中出现质量问题而要求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按照前述条款进行退换货之时起4小时之内</w:t>
      </w:r>
      <w:r>
        <w:rPr>
          <w:rFonts w:hint="eastAsia" w:ascii="宋体" w:hAnsi="宋体" w:eastAsia="宋体" w:cs="宋体"/>
          <w:color w:val="auto"/>
          <w:szCs w:val="21"/>
          <w:lang w:eastAsia="zh-CN"/>
        </w:rPr>
        <w:t>中标人</w:t>
      </w:r>
      <w:r>
        <w:rPr>
          <w:rFonts w:hint="eastAsia" w:ascii="宋体" w:hAnsi="宋体" w:eastAsia="宋体" w:cs="宋体"/>
          <w:color w:val="auto"/>
          <w:szCs w:val="21"/>
        </w:rPr>
        <w:t>未将不合格货物运离招标人运营项目仓库，招标人运营项目可自行或委托第三方对不合格货物进行处置，</w:t>
      </w:r>
      <w:r>
        <w:rPr>
          <w:rFonts w:hint="eastAsia" w:ascii="宋体" w:hAnsi="宋体" w:eastAsia="宋体" w:cs="宋体"/>
          <w:color w:val="auto"/>
          <w:szCs w:val="21"/>
          <w:lang w:eastAsia="zh-CN"/>
        </w:rPr>
        <w:t>中标人</w:t>
      </w:r>
      <w:r>
        <w:rPr>
          <w:rFonts w:hint="eastAsia" w:ascii="宋体" w:hAnsi="宋体" w:eastAsia="宋体" w:cs="宋体"/>
          <w:color w:val="auto"/>
          <w:szCs w:val="21"/>
        </w:rPr>
        <w:t>须承担招标人处置该次不合格货物所需的全部费用，以及给招标人造成的一切损失。</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8、自招标人运营项目通知</w:t>
      </w:r>
      <w:r>
        <w:rPr>
          <w:rFonts w:hint="eastAsia" w:ascii="宋体" w:hAnsi="宋体" w:eastAsia="宋体" w:cs="宋体"/>
          <w:color w:val="auto"/>
          <w:szCs w:val="21"/>
          <w:lang w:eastAsia="zh-CN"/>
        </w:rPr>
        <w:t>中标人</w:t>
      </w:r>
      <w:r>
        <w:rPr>
          <w:rFonts w:hint="eastAsia" w:ascii="宋体" w:hAnsi="宋体" w:eastAsia="宋体" w:cs="宋体"/>
          <w:color w:val="auto"/>
          <w:szCs w:val="21"/>
        </w:rPr>
        <w:t>货物检验不合格或货物使用过程中出现质量问题之时起，招标人运营项目有权要求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按照加急供货的规定，将等量的合格货物送交招标人运营项目，否则按加急供货的违约规定进行处理。</w:t>
      </w:r>
    </w:p>
    <w:p>
      <w:pPr>
        <w:spacing w:line="360" w:lineRule="auto"/>
        <w:rPr>
          <w:rFonts w:ascii="宋体" w:hAnsi="宋体" w:eastAsia="宋体" w:cs="宋体"/>
          <w:color w:val="auto"/>
          <w:szCs w:val="21"/>
        </w:rPr>
      </w:pPr>
    </w:p>
    <w:p>
      <w:pPr>
        <w:spacing w:line="360" w:lineRule="auto"/>
        <w:rPr>
          <w:rFonts w:ascii="宋体" w:hAnsi="宋体" w:eastAsia="宋体" w:cs="宋体"/>
          <w:b/>
          <w:bCs/>
          <w:color w:val="auto"/>
          <w:szCs w:val="21"/>
        </w:rPr>
      </w:pPr>
      <w:r>
        <w:rPr>
          <w:rFonts w:hint="eastAsia" w:ascii="宋体" w:hAnsi="宋体" w:eastAsia="宋体" w:cs="宋体"/>
          <w:b/>
          <w:bCs/>
          <w:color w:val="auto"/>
          <w:szCs w:val="21"/>
        </w:rPr>
        <w:t>七、货物的结算</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双方一致同意，</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按规定提供了履约担保后，招标人通过以下方式以人民币支付合同款项给</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1、合同的履约过程中，</w:t>
      </w:r>
      <w:r>
        <w:rPr>
          <w:rFonts w:hint="eastAsia" w:ascii="宋体" w:hAnsi="宋体" w:eastAsia="宋体" w:cs="宋体"/>
          <w:color w:val="auto"/>
          <w:szCs w:val="21"/>
          <w:lang w:eastAsia="zh-CN"/>
        </w:rPr>
        <w:t>中标人</w:t>
      </w:r>
      <w:r>
        <w:rPr>
          <w:rFonts w:hint="eastAsia" w:ascii="宋体" w:hAnsi="宋体" w:eastAsia="宋体" w:cs="宋体"/>
          <w:color w:val="auto"/>
          <w:szCs w:val="21"/>
        </w:rPr>
        <w:t>根据本项目合同书约定需向招标人或招标人权属子公司支付违约金、赔偿金、或其他应付费用等款项的，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必须向招标人或招标人权属子公司支付完相关款项后，招标人或招标人权属子公司才根据合同书约定向</w:t>
      </w:r>
      <w:r>
        <w:rPr>
          <w:rFonts w:hint="eastAsia" w:ascii="宋体" w:hAnsi="宋体" w:eastAsia="宋体" w:cs="宋体"/>
          <w:color w:val="auto"/>
          <w:szCs w:val="21"/>
          <w:lang w:eastAsia="zh-CN"/>
        </w:rPr>
        <w:t>中标人</w:t>
      </w:r>
      <w:r>
        <w:rPr>
          <w:rFonts w:hint="eastAsia" w:ascii="宋体" w:hAnsi="宋体" w:eastAsia="宋体" w:cs="宋体"/>
          <w:color w:val="auto"/>
          <w:szCs w:val="21"/>
        </w:rPr>
        <w:t>支付合同价和税额。若因</w:t>
      </w:r>
      <w:r>
        <w:rPr>
          <w:rFonts w:hint="eastAsia" w:ascii="宋体" w:hAnsi="宋体" w:eastAsia="宋体" w:cs="宋体"/>
          <w:color w:val="auto"/>
          <w:szCs w:val="21"/>
          <w:lang w:eastAsia="zh-CN"/>
        </w:rPr>
        <w:t>中标人</w:t>
      </w:r>
      <w:r>
        <w:rPr>
          <w:rFonts w:hint="eastAsia" w:ascii="宋体" w:hAnsi="宋体" w:eastAsia="宋体" w:cs="宋体"/>
          <w:color w:val="auto"/>
          <w:szCs w:val="21"/>
        </w:rPr>
        <w:t>未能支付前述费用，影响项目实施的，招标人或招标人权属子公司有权启用履约担保或直接从未付合同款项中直接扣除，且</w:t>
      </w:r>
      <w:r>
        <w:rPr>
          <w:rFonts w:hint="eastAsia" w:ascii="宋体" w:hAnsi="宋体" w:eastAsia="宋体" w:cs="宋体"/>
          <w:color w:val="auto"/>
          <w:szCs w:val="21"/>
          <w:lang w:eastAsia="zh-CN"/>
        </w:rPr>
        <w:t>中标人</w:t>
      </w:r>
      <w:r>
        <w:rPr>
          <w:rFonts w:hint="eastAsia" w:ascii="宋体" w:hAnsi="宋体" w:eastAsia="宋体" w:cs="宋体"/>
          <w:color w:val="auto"/>
          <w:szCs w:val="21"/>
        </w:rPr>
        <w:t>必须按照扣除前述费用前的合同价（销售额）开具增值税专用发票，保证增值税税额符合法律规定。</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2、货物供货的款项按招标人运营项目进行支付、结算。货物供货的款项每月按实结算。</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向招标人运营项目提交请款报告和请款金额等额的合法、有效的增值税专用发票，招标人或招标人权属子公司在收到前述材料并确认无误后30个工作日内支付结算上月实际供货量的</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货款和该货款对应的税额给</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pPr>
        <w:pStyle w:val="130"/>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、支付方式：支付方式为银行转账或银行承兑汇票，汇票期限不超过三个月，每期款项支付方式由招标人或招标人权属子公司决定。</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迟延提供发票或提供的请款报告、发票不符合要求的，招标人或招标人权属子公司的付款时间可相应顺延，且招标人或招标人权属子公司不因此承担任何责任。因支付产生的相关银行手续费用，根据有关银行规定执行，如不能明确的，由双方各承担50%。由于</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提供的发票不符合税法规定，给招标人或招标人权属子公司造成的损失由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承担全部的赔偿责任。</w:t>
      </w:r>
    </w:p>
    <w:p>
      <w:pPr>
        <w:spacing w:line="360" w:lineRule="auto"/>
        <w:rPr>
          <w:rFonts w:ascii="宋体" w:hAnsi="宋体" w:eastAsia="宋体" w:cs="宋体"/>
          <w:color w:val="auto"/>
          <w:szCs w:val="21"/>
        </w:rPr>
      </w:pPr>
    </w:p>
    <w:p>
      <w:pPr>
        <w:spacing w:line="360" w:lineRule="auto"/>
        <w:rPr>
          <w:rFonts w:ascii="宋体" w:hAnsi="宋体" w:eastAsia="宋体" w:cs="宋体"/>
          <w:b/>
          <w:bCs/>
          <w:color w:val="auto"/>
          <w:szCs w:val="21"/>
        </w:rPr>
      </w:pPr>
      <w:r>
        <w:rPr>
          <w:rFonts w:hint="eastAsia" w:ascii="宋体" w:hAnsi="宋体" w:eastAsia="宋体" w:cs="宋体"/>
          <w:b/>
          <w:bCs/>
          <w:color w:val="auto"/>
          <w:szCs w:val="21"/>
        </w:rPr>
        <w:t>八、其它</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1、日常供货（非加急供货）时，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未在约定的时间内完成交货，或未在规定的时间内承担相应的更换、退货责任的，每逾期2小时，招标人或招标人权属子公司有权要求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货款的1%向招标人或招标人权属子公司支付违约金。</w:t>
      </w:r>
      <w:r>
        <w:rPr>
          <w:rFonts w:hint="eastAsia" w:ascii="宋体" w:hAnsi="宋体" w:eastAsia="宋体" w:cs="宋体"/>
          <w:color w:val="auto"/>
          <w:szCs w:val="21"/>
          <w:lang w:eastAsia="zh-CN"/>
        </w:rPr>
        <w:t>中标人</w:t>
      </w:r>
      <w:r>
        <w:rPr>
          <w:rFonts w:hint="eastAsia" w:ascii="宋体" w:hAnsi="宋体" w:eastAsia="宋体" w:cs="宋体"/>
          <w:color w:val="auto"/>
          <w:szCs w:val="21"/>
        </w:rPr>
        <w:t>逾期超过12小时的，招标人或招标人权属子公司有权单方解除合同，并且没收</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的部分或全部履约担保，</w:t>
      </w:r>
      <w:r>
        <w:rPr>
          <w:rFonts w:hint="eastAsia" w:ascii="宋体" w:hAnsi="宋体" w:eastAsia="宋体" w:cs="宋体"/>
          <w:color w:val="auto"/>
          <w:szCs w:val="21"/>
          <w:lang w:eastAsia="zh-CN"/>
        </w:rPr>
        <w:t>中标人</w:t>
      </w:r>
      <w:r>
        <w:rPr>
          <w:rFonts w:hint="eastAsia" w:ascii="宋体" w:hAnsi="宋体" w:eastAsia="宋体" w:cs="宋体"/>
          <w:color w:val="auto"/>
          <w:szCs w:val="21"/>
        </w:rPr>
        <w:t>除支付前述逾期违约金外，招标人或招标人权属子公司有权要求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额外按该次货物含税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货款的5%向招标人或招标人权属子公司支付违约金，违约金不足以赔偿招标人或招标人权属子公司损失的，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需另行赔偿。</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2、加急供货时，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未在约定的时间内完成交货的，或未在规定的时间内承担相应的更换、退货责任的，每逾期1小时，招标人或招标人权属子公司有权要求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货款的10%向招标人或招标人权属子公司支付违约金，</w:t>
      </w:r>
      <w:r>
        <w:rPr>
          <w:rFonts w:hint="eastAsia" w:ascii="宋体" w:hAnsi="宋体" w:eastAsia="宋体" w:cs="宋体"/>
          <w:color w:val="auto"/>
          <w:szCs w:val="21"/>
          <w:lang w:eastAsia="zh-CN"/>
        </w:rPr>
        <w:t>中标人</w:t>
      </w:r>
      <w:r>
        <w:rPr>
          <w:rFonts w:hint="eastAsia" w:ascii="宋体" w:hAnsi="宋体" w:eastAsia="宋体" w:cs="宋体"/>
          <w:color w:val="auto"/>
          <w:szCs w:val="21"/>
        </w:rPr>
        <w:t>逾期超过4小时的，招标人或招标人权属子公司有权单方解除合同，并且没收</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的部分或全部履约担保，</w:t>
      </w:r>
      <w:r>
        <w:rPr>
          <w:rFonts w:hint="eastAsia" w:ascii="宋体" w:hAnsi="宋体" w:eastAsia="宋体" w:cs="宋体"/>
          <w:color w:val="auto"/>
          <w:szCs w:val="21"/>
          <w:lang w:eastAsia="zh-CN"/>
        </w:rPr>
        <w:t>中标人</w:t>
      </w:r>
      <w:r>
        <w:rPr>
          <w:rFonts w:hint="eastAsia" w:ascii="宋体" w:hAnsi="宋体" w:eastAsia="宋体" w:cs="宋体"/>
          <w:color w:val="auto"/>
          <w:szCs w:val="21"/>
        </w:rPr>
        <w:t>除前述逾期违约金外，招标人或招标人权属子公司有权要求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额外按该次货物含税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货款的20%向招标人或招标人权属子公司支付违约金，违约金不足以赔偿招标人或招标人权属子公司损失的，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需另行赔偿。</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中标人</w:t>
      </w:r>
      <w:r>
        <w:rPr>
          <w:rFonts w:hint="eastAsia" w:ascii="宋体" w:hAnsi="宋体" w:eastAsia="宋体" w:cs="宋体"/>
          <w:color w:val="auto"/>
          <w:szCs w:val="21"/>
        </w:rPr>
        <w:t>所交货物经招标人运营项目实验室或招标人委托的第三方检测机构检验累计出现3次（含）以上不合格的，招标人或招标人权属子公司有权单方中止或解除合同，暂停或取消</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的供货资格，并根据对生产造成影响的严重程度，没收</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的部分或全部履约担保。</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4、招标人运营项目现有的污泥脱水机类型包括：离心脱水机、带式脱水机、叠螺脱水机，</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应根据招标人运营项目污泥泥质以及脱水机的性质，提供符合技术指标要求的多种型号药剂，配合招标人运营项目进行小试、中试、上机，保证</w:t>
      </w:r>
      <w:r>
        <w:rPr>
          <w:rFonts w:hint="eastAsia" w:ascii="宋体" w:hAnsi="宋体" w:eastAsia="宋体" w:cs="宋体"/>
          <w:color w:val="auto"/>
          <w:szCs w:val="21"/>
          <w:lang w:val="en-US" w:eastAsia="zh-CN"/>
        </w:rPr>
        <w:t>供货的</w:t>
      </w:r>
      <w:r>
        <w:rPr>
          <w:rFonts w:hint="eastAsia" w:ascii="宋体" w:hAnsi="宋体" w:eastAsia="宋体" w:cs="宋体"/>
          <w:color w:val="auto"/>
          <w:szCs w:val="21"/>
        </w:rPr>
        <w:t>药剂</w:t>
      </w:r>
      <w:r>
        <w:rPr>
          <w:rFonts w:hint="eastAsia" w:ascii="宋体" w:hAnsi="宋体" w:eastAsia="宋体" w:cs="宋体"/>
          <w:color w:val="auto"/>
          <w:szCs w:val="21"/>
          <w:lang w:val="en-US" w:eastAsia="zh-CN"/>
        </w:rPr>
        <w:t>良好的脱泥效果</w:t>
      </w:r>
      <w:r>
        <w:rPr>
          <w:rFonts w:hint="eastAsia" w:ascii="宋体" w:hAnsi="宋体" w:eastAsia="宋体" w:cs="宋体"/>
          <w:color w:val="auto"/>
          <w:szCs w:val="21"/>
        </w:rPr>
        <w:t>。</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中标人</w:t>
      </w:r>
      <w:r>
        <w:rPr>
          <w:rFonts w:hint="eastAsia" w:ascii="宋体" w:hAnsi="宋体" w:eastAsia="宋体" w:cs="宋体"/>
          <w:color w:val="auto"/>
          <w:szCs w:val="21"/>
        </w:rPr>
        <w:t>所供药剂为助凝剂时，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应根据招标人运营项目污泥泥质提供符合技术指标要求的多种型号药剂，配合招标人运营项目进行小试、中试，保证供货的药剂良好的助凝效果。</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6、如因药剂问题对招标人或招标人权属子公司生产、成本造成影响，招标人或招标人权属子公司有权要求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货款的20%向招标人或招标人权属子公司支付违约金，违约金不足以赔偿招标人或招标人权属子公司损失的，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需另行赔偿，同时根据对招标人或招标人权属子公司生产、成本造成影响的严重程度，招标人或招标人权属子公司有权没收</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的部分或全部履约担保。</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7、如</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提供的药剂严重影响招标人运营项目生产或造成招标人运营项目出水水质指标超标的情况，招标人或招标人权属子公司有权追究</w:t>
      </w:r>
      <w:r>
        <w:rPr>
          <w:rFonts w:hint="eastAsia" w:ascii="宋体" w:hAnsi="宋体" w:eastAsia="宋体" w:cs="宋体"/>
          <w:color w:val="auto"/>
          <w:szCs w:val="21"/>
          <w:lang w:eastAsia="zh-CN"/>
        </w:rPr>
        <w:t>中标人</w:t>
      </w:r>
      <w:r>
        <w:rPr>
          <w:rFonts w:hint="eastAsia" w:ascii="宋体" w:hAnsi="宋体" w:eastAsia="宋体" w:cs="宋体"/>
          <w:color w:val="auto"/>
          <w:szCs w:val="21"/>
        </w:rPr>
        <w:t>由此造成的损失，并有权单方面中止或解除合同，取消其供货资格，没收全部履约担保。</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8、对于货物最终验收不合格且招标人运营项目已经开始使用或者使用完毕无法退换的，货款按照以下方式处理：①若招标人或招标人权属子公司已支付货款的，则</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应向招标人或招标人权属子公司退还已支付的货款；②若招标人或招标人权属子公司未支付货款的，则招标人或招标人权属子公司无需支付货款。</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9、若</w:t>
      </w:r>
      <w:r>
        <w:rPr>
          <w:rFonts w:hint="eastAsia" w:ascii="宋体" w:hAnsi="宋体" w:eastAsia="宋体" w:cs="宋体"/>
          <w:color w:val="auto"/>
          <w:szCs w:val="21"/>
          <w:lang w:eastAsia="zh-CN"/>
        </w:rPr>
        <w:t>中标人</w:t>
      </w:r>
      <w:r>
        <w:rPr>
          <w:rFonts w:hint="eastAsia" w:ascii="宋体" w:hAnsi="宋体" w:eastAsia="宋体" w:cs="宋体"/>
          <w:color w:val="auto"/>
          <w:szCs w:val="21"/>
        </w:rPr>
        <w:t>对招标人运营项目验收结果有异议，</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应自招标人运营项目书面告知</w:t>
      </w:r>
      <w:r>
        <w:rPr>
          <w:rFonts w:hint="eastAsia" w:ascii="宋体" w:hAnsi="宋体" w:eastAsia="宋体" w:cs="宋体"/>
          <w:color w:val="auto"/>
          <w:szCs w:val="21"/>
          <w:lang w:eastAsia="zh-CN"/>
        </w:rPr>
        <w:t>中标人</w:t>
      </w:r>
      <w:r>
        <w:rPr>
          <w:rFonts w:hint="eastAsia" w:ascii="宋体" w:hAnsi="宋体" w:eastAsia="宋体" w:cs="宋体"/>
          <w:color w:val="auto"/>
          <w:szCs w:val="21"/>
        </w:rPr>
        <w:t>检验结果24小时内，书面要求通过</w:t>
      </w:r>
      <w:r>
        <w:rPr>
          <w:rFonts w:hint="eastAsia" w:ascii="宋体" w:hAnsi="宋体" w:eastAsia="宋体" w:cs="宋体"/>
          <w:color w:val="auto"/>
          <w:szCs w:val="21"/>
          <w:lang w:eastAsia="zh-CN"/>
        </w:rPr>
        <w:t>中标人</w:t>
      </w:r>
      <w:r>
        <w:rPr>
          <w:rFonts w:hint="eastAsia" w:ascii="宋体" w:hAnsi="宋体" w:eastAsia="宋体" w:cs="宋体"/>
          <w:color w:val="auto"/>
          <w:szCs w:val="21"/>
        </w:rPr>
        <w:t>和招标人或招标人权属子公司双方确认的具有检测产品CMA认证资质的第三方单位对留样货物进行检测，最终供货产品质量判定以</w:t>
      </w:r>
      <w:r>
        <w:rPr>
          <w:rFonts w:hint="eastAsia" w:ascii="宋体" w:hAnsi="宋体" w:eastAsia="宋体" w:cs="宋体"/>
          <w:color w:val="auto"/>
          <w:szCs w:val="21"/>
          <w:lang w:eastAsia="zh-CN"/>
        </w:rPr>
        <w:t>中标人</w:t>
      </w:r>
      <w:r>
        <w:rPr>
          <w:rFonts w:hint="eastAsia" w:ascii="宋体" w:hAnsi="宋体" w:eastAsia="宋体" w:cs="宋体"/>
          <w:color w:val="auto"/>
          <w:szCs w:val="21"/>
        </w:rPr>
        <w:t>和招标人或招标人权属子公司双方确认的具有检测产品CMA认证资质的第三方检测机构检验结果为准；因此产生的检测费、运输费等全部费用均由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10、授予合同前或合同履行中，招标人或招标人权属子公司有权实地核查</w:t>
      </w:r>
      <w:r>
        <w:rPr>
          <w:rFonts w:hint="eastAsia" w:ascii="宋体" w:hAnsi="宋体" w:eastAsia="宋体" w:cs="宋体"/>
          <w:color w:val="auto"/>
          <w:szCs w:val="21"/>
          <w:lang w:eastAsia="zh-CN"/>
        </w:rPr>
        <w:t>中标人</w:t>
      </w:r>
      <w:r>
        <w:rPr>
          <w:rFonts w:hint="eastAsia" w:ascii="宋体" w:hAnsi="宋体" w:eastAsia="宋体" w:cs="宋体"/>
          <w:color w:val="auto"/>
          <w:szCs w:val="21"/>
        </w:rPr>
        <w:t>在投标时提供的分支机构或服务机构的场地、生产/储存/运输设备设施及能力等材料的符合性，若发现虚假将取消中标资格，且招标人或招标人权属子公司有权终止合同。因此给招标人或招标人权属子公司造成损失的，全部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11、招标人或招标人权属子公司在招标文件及合同约定的供货期限和采购范围内，招标人或招标人权属子公司有权根据项目实际情况及有关法律法规、政策的规定进行变更调整。在变更调整后，</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应遵照执行。</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自行承担。凡由于货物包装不良、运输方式不当或非法运输造成的事故、损失、行政处罚和由此产生的其他全部费用均由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全部承担。</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13、</w:t>
      </w:r>
      <w:r>
        <w:rPr>
          <w:rFonts w:hint="eastAsia" w:ascii="宋体" w:hAnsi="宋体" w:eastAsia="宋体" w:cs="宋体"/>
          <w:color w:val="auto"/>
          <w:szCs w:val="21"/>
          <w:lang w:eastAsia="zh-CN"/>
        </w:rPr>
        <w:t>中标人</w:t>
      </w:r>
      <w:r>
        <w:rPr>
          <w:rFonts w:hint="eastAsia" w:ascii="宋体" w:hAnsi="宋体" w:eastAsia="宋体" w:cs="宋体"/>
          <w:color w:val="auto"/>
          <w:szCs w:val="21"/>
        </w:rPr>
        <w:t>有义务接受招标人或招标人权属子公司的监督、评价及考核，且同意招标人或招标人权属子公司关于供货资格供应商的管理规则及要求。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14、招标人</w:t>
      </w:r>
      <w:r>
        <w:rPr>
          <w:rFonts w:hint="eastAsia" w:ascii="宋体" w:hAnsi="宋体" w:eastAsia="宋体" w:cs="宋体"/>
          <w:color w:val="auto"/>
          <w:szCs w:val="21"/>
          <w:lang w:bidi="ar"/>
        </w:rPr>
        <w:t>运营项目</w:t>
      </w:r>
      <w:r>
        <w:rPr>
          <w:rFonts w:hint="eastAsia" w:ascii="宋体" w:hAnsi="宋体" w:eastAsia="宋体" w:cs="宋体"/>
          <w:color w:val="auto"/>
          <w:szCs w:val="21"/>
        </w:rPr>
        <w:t>每月在付款手续前对</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的履约情况进行评价，填写《供应商履约评价表》。考核评分满分为100分，考核评分分数低于80分、达到60分时，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应按该月货物含税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货款的20%向招标人或招标人权属子公司支付违约金；考核评分分数低于60分时，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应按该月货物含税</w:t>
      </w:r>
      <w:r>
        <w:rPr>
          <w:rFonts w:hint="eastAsia" w:ascii="宋体" w:hAnsi="宋体" w:eastAsia="宋体" w:cs="宋体"/>
          <w:color w:val="auto"/>
          <w:szCs w:val="21"/>
          <w:lang w:val="en-US" w:eastAsia="zh-CN"/>
        </w:rPr>
        <w:t>应付</w:t>
      </w:r>
      <w:r>
        <w:rPr>
          <w:rFonts w:hint="eastAsia" w:ascii="宋体" w:hAnsi="宋体" w:eastAsia="宋体" w:cs="宋体"/>
          <w:color w:val="auto"/>
          <w:szCs w:val="21"/>
        </w:rPr>
        <w:t>货款的30%向招标人或招标人权属子公司支付违约金。若供货期内累计出现3次（含）以上评审结论为不合格的，招标人有权取消</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的供货资格并单方解除合同、没收</w:t>
      </w:r>
      <w:r>
        <w:rPr>
          <w:rFonts w:hint="eastAsia" w:ascii="宋体" w:hAnsi="宋体" w:eastAsia="宋体" w:cs="宋体"/>
          <w:color w:val="auto"/>
          <w:szCs w:val="21"/>
          <w:lang w:eastAsia="zh-CN"/>
        </w:rPr>
        <w:t>中标人</w:t>
      </w:r>
      <w:r>
        <w:rPr>
          <w:rFonts w:hint="eastAsia" w:ascii="宋体" w:hAnsi="宋体" w:eastAsia="宋体" w:cs="宋体"/>
          <w:color w:val="auto"/>
          <w:szCs w:val="21"/>
        </w:rPr>
        <w:t>部分或全部履约担保。</w:t>
      </w:r>
    </w:p>
    <w:p>
      <w:pPr>
        <w:spacing w:line="360" w:lineRule="auto"/>
        <w:rPr>
          <w:rFonts w:ascii="宋体" w:hAnsi="宋体" w:eastAsia="宋体" w:cs="宋体"/>
          <w:color w:val="auto"/>
          <w:szCs w:val="21"/>
        </w:rPr>
      </w:pP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附件</w:t>
      </w:r>
      <w:r>
        <w:rPr>
          <w:rFonts w:hint="eastAsia" w:ascii="宋体" w:hAnsi="宋体" w:eastAsia="宋体" w:cs="宋体"/>
          <w:color w:val="auto"/>
          <w:szCs w:val="21"/>
          <w:lang w:val="en-US" w:eastAsia="zh-CN"/>
        </w:rPr>
        <w:t>1</w:t>
      </w:r>
      <w:r>
        <w:rPr>
          <w:rFonts w:hint="eastAsia" w:ascii="宋体" w:hAnsi="宋体" w:eastAsia="宋体" w:cs="宋体"/>
          <w:color w:val="auto"/>
          <w:szCs w:val="21"/>
        </w:rPr>
        <w:t>：招标人运营项目相关信息</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附件2：验收报告（模板）</w:t>
      </w:r>
    </w:p>
    <w:p>
      <w:pPr>
        <w:spacing w:line="360" w:lineRule="auto"/>
        <w:ind w:firstLine="420" w:firstLineChars="200"/>
        <w:rPr>
          <w:rFonts w:hint="eastAsia" w:ascii="宋体" w:hAnsi="宋体" w:eastAsia="宋体" w:cs="宋体"/>
          <w:color w:val="auto"/>
          <w:szCs w:val="21"/>
          <w:lang w:bidi="ar"/>
        </w:rPr>
        <w:sectPr>
          <w:footerReference r:id="rId4" w:type="first"/>
          <w:footerReference r:id="rId3" w:type="default"/>
          <w:pgSz w:w="12240" w:h="15840"/>
          <w:pgMar w:top="1191" w:right="1043" w:bottom="1191" w:left="1043" w:header="720" w:footer="720" w:gutter="0"/>
          <w:cols w:space="720" w:num="1"/>
          <w:titlePg/>
          <w:docGrid w:linePitch="326" w:charSpace="0"/>
        </w:sectPr>
      </w:pPr>
      <w:r>
        <w:rPr>
          <w:rFonts w:hint="eastAsia" w:ascii="宋体" w:hAnsi="宋体" w:eastAsia="宋体" w:cs="宋体"/>
          <w:color w:val="auto"/>
          <w:szCs w:val="21"/>
          <w:lang w:val="en-US" w:eastAsia="zh-CN"/>
        </w:rPr>
        <w:t>附件3：</w:t>
      </w:r>
      <w:r>
        <w:rPr>
          <w:rFonts w:hint="eastAsia" w:ascii="宋体" w:hAnsi="宋体" w:eastAsia="宋体" w:cs="宋体"/>
          <w:color w:val="auto"/>
          <w:szCs w:val="21"/>
          <w:lang w:bidi="ar"/>
        </w:rPr>
        <w:t>供应商履约评价表</w:t>
      </w:r>
    </w:p>
    <w:p>
      <w:pPr>
        <w:widowControl/>
        <w:spacing w:line="240" w:lineRule="auto"/>
        <w:jc w:val="left"/>
        <w:rPr>
          <w:rFonts w:hAnsi="宋体" w:cs="宋体"/>
          <w:b/>
          <w:color w:val="auto"/>
          <w:szCs w:val="21"/>
        </w:rPr>
      </w:pPr>
      <w:r>
        <w:rPr>
          <w:rFonts w:hint="eastAsia" w:ascii="宋体" w:hAnsi="宋体" w:eastAsia="宋体" w:cs="宋体"/>
          <w:b/>
          <w:color w:val="auto"/>
          <w:szCs w:val="21"/>
        </w:rPr>
        <w:t>附件</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：招标人运营项目相关信息</w:t>
      </w:r>
    </w:p>
    <w:tbl>
      <w:tblPr>
        <w:tblStyle w:val="38"/>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3510"/>
        <w:gridCol w:w="4085"/>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序号</w:t>
            </w:r>
          </w:p>
        </w:tc>
        <w:tc>
          <w:tcPr>
            <w:tcW w:w="1697" w:type="pct"/>
            <w:shd w:val="clear" w:color="auto" w:fill="FFFFFF"/>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项目名称</w:t>
            </w:r>
          </w:p>
        </w:tc>
        <w:tc>
          <w:tcPr>
            <w:tcW w:w="1975" w:type="pct"/>
            <w:shd w:val="clear" w:color="auto" w:fill="FFFFFF"/>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项目地址</w:t>
            </w:r>
          </w:p>
        </w:tc>
        <w:tc>
          <w:tcPr>
            <w:tcW w:w="998" w:type="pct"/>
            <w:shd w:val="clear" w:color="auto" w:fill="FFFFFF"/>
            <w:vAlign w:val="center"/>
          </w:tcPr>
          <w:p>
            <w:pPr>
              <w:widowControl/>
              <w:jc w:val="center"/>
              <w:textAlignment w:val="center"/>
              <w:rPr>
                <w:rFonts w:hint="eastAsia" w:ascii="宋体" w:hAnsi="宋体" w:eastAsia="宋体" w:cs="宋体"/>
                <w:b/>
                <w:bCs/>
                <w:color w:val="auto"/>
                <w:kern w:val="0"/>
                <w:sz w:val="18"/>
                <w:szCs w:val="18"/>
                <w:lang w:bidi="ar"/>
              </w:rPr>
            </w:pPr>
            <w:r>
              <w:rPr>
                <w:rFonts w:hint="eastAsia" w:ascii="宋体" w:hAnsi="宋体" w:eastAsia="宋体" w:cs="宋体"/>
                <w:b/>
                <w:bCs w:val="0"/>
                <w:color w:val="auto"/>
                <w:kern w:val="2"/>
                <w:sz w:val="21"/>
                <w:szCs w:val="21"/>
                <w:highlight w:val="none"/>
                <w:vertAlign w:val="baseline"/>
                <w:lang w:val="en-US" w:eastAsia="zh-CN"/>
              </w:rPr>
              <w:t>预计年送货量（吨</w:t>
            </w:r>
            <w:r>
              <w:rPr>
                <w:rFonts w:hint="eastAsia" w:ascii="宋体" w:hAnsi="宋体" w:eastAsia="宋体" w:cs="宋体"/>
                <w:b/>
                <w:bCs/>
                <w:color w:val="auto"/>
                <w:kern w:val="0"/>
                <w:sz w:val="21"/>
                <w:szCs w:val="21"/>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shd w:val="clear" w:color="auto" w:fill="FFFFFF"/>
            <w:vAlign w:val="center"/>
          </w:tcPr>
          <w:p>
            <w:pPr>
              <w:widowControl/>
              <w:textAlignment w:val="center"/>
              <w:rPr>
                <w:rFonts w:hint="eastAsia" w:ascii="宋体" w:hAnsi="宋体" w:eastAsia="宋体" w:cs="宋体"/>
                <w:b/>
                <w:bCs/>
                <w:color w:val="auto"/>
                <w:kern w:val="0"/>
                <w:sz w:val="18"/>
                <w:szCs w:val="18"/>
                <w:lang w:bidi="ar"/>
              </w:rPr>
            </w:pPr>
            <w:r>
              <w:rPr>
                <w:rFonts w:hint="eastAsia" w:ascii="宋体" w:hAnsi="宋体" w:eastAsia="宋体" w:cs="宋体"/>
                <w:b/>
                <w:bCs/>
                <w:color w:val="auto"/>
                <w:kern w:val="0"/>
                <w:sz w:val="18"/>
                <w:szCs w:val="18"/>
                <w:lang w:bidi="ar"/>
              </w:rPr>
              <w:t>一、污水处理厂项目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697"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市区污水处理厂</w:t>
            </w:r>
          </w:p>
        </w:tc>
        <w:tc>
          <w:tcPr>
            <w:tcW w:w="1975"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东莞市南城街道滨河路100号</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45.463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1697"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石碣沙腰污水处理厂二期</w:t>
            </w:r>
          </w:p>
        </w:tc>
        <w:tc>
          <w:tcPr>
            <w:tcW w:w="1975"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东莞市石碣镇沙腰村沿江西路2号</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2.291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w:t>
            </w:r>
          </w:p>
        </w:tc>
        <w:tc>
          <w:tcPr>
            <w:tcW w:w="1697"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万江污水处理厂二期</w:t>
            </w:r>
          </w:p>
        </w:tc>
        <w:tc>
          <w:tcPr>
            <w:tcW w:w="1975"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东莞市万江区流涌尾村大兴工业路3号</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1.017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w:t>
            </w:r>
          </w:p>
        </w:tc>
        <w:tc>
          <w:tcPr>
            <w:tcW w:w="1697"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中堂污水处理厂二期</w:t>
            </w:r>
          </w:p>
        </w:tc>
        <w:tc>
          <w:tcPr>
            <w:tcW w:w="1975"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中堂镇东向村滨河东路68号101室</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14.651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w:t>
            </w:r>
          </w:p>
        </w:tc>
        <w:tc>
          <w:tcPr>
            <w:tcW w:w="1697"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麻涌污水处理厂二期</w:t>
            </w:r>
          </w:p>
        </w:tc>
        <w:tc>
          <w:tcPr>
            <w:tcW w:w="1975"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东莞市麻涌镇新沙公园南一路9号</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5.036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6</w:t>
            </w:r>
          </w:p>
        </w:tc>
        <w:tc>
          <w:tcPr>
            <w:tcW w:w="1697"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高埗污水处理厂二期</w:t>
            </w:r>
          </w:p>
        </w:tc>
        <w:tc>
          <w:tcPr>
            <w:tcW w:w="1975"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东莞市高埗镇高埗洲头路13号</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13.821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7</w:t>
            </w:r>
          </w:p>
        </w:tc>
        <w:tc>
          <w:tcPr>
            <w:tcW w:w="1697"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长安新区污水处理厂</w:t>
            </w:r>
          </w:p>
        </w:tc>
        <w:tc>
          <w:tcPr>
            <w:tcW w:w="1975"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东莞市长安镇乌沙社区兴发南路尽头</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60.528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8</w:t>
            </w:r>
          </w:p>
        </w:tc>
        <w:tc>
          <w:tcPr>
            <w:tcW w:w="1697" w:type="pct"/>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黄江污水处理厂二期</w:t>
            </w:r>
          </w:p>
        </w:tc>
        <w:tc>
          <w:tcPr>
            <w:tcW w:w="1975" w:type="pct"/>
            <w:shd w:val="clear" w:color="auto" w:fill="auto"/>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东莞市黄江镇合路村创业一路一号</w:t>
            </w:r>
          </w:p>
        </w:tc>
        <w:tc>
          <w:tcPr>
            <w:tcW w:w="998"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0.351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9</w:t>
            </w:r>
          </w:p>
        </w:tc>
        <w:tc>
          <w:tcPr>
            <w:tcW w:w="1697"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松山湖北部污水处理厂二期</w:t>
            </w:r>
          </w:p>
        </w:tc>
        <w:tc>
          <w:tcPr>
            <w:tcW w:w="1975"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东莞市松山湖高新科技产业园区工业西三路3号</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0.542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10</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凤岗虾公潭污水处理厂</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东莞市凤岗镇油甘埔村同兴路3号101</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4.781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11</w:t>
            </w:r>
          </w:p>
        </w:tc>
        <w:tc>
          <w:tcPr>
            <w:tcW w:w="1697"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桥头污水处理厂二期</w:t>
            </w:r>
          </w:p>
        </w:tc>
        <w:tc>
          <w:tcPr>
            <w:tcW w:w="1975"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东莞市桥头镇东深路桥头段6号2号楼</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10.755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12</w:t>
            </w:r>
          </w:p>
        </w:tc>
        <w:tc>
          <w:tcPr>
            <w:tcW w:w="1697"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谢岗污水处理厂二期</w:t>
            </w:r>
          </w:p>
        </w:tc>
        <w:tc>
          <w:tcPr>
            <w:tcW w:w="1975"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东莞市谢岗镇禾尚岗路16号</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11.887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13</w:t>
            </w:r>
          </w:p>
        </w:tc>
        <w:tc>
          <w:tcPr>
            <w:tcW w:w="1697"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凤岗竹塘污水处理厂二期</w:t>
            </w:r>
          </w:p>
        </w:tc>
        <w:tc>
          <w:tcPr>
            <w:tcW w:w="1975"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凤岗镇竹塘村浸校塘组</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16.269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14</w:t>
            </w:r>
          </w:p>
        </w:tc>
        <w:tc>
          <w:tcPr>
            <w:tcW w:w="1697"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塘厦林村污水处理厂二期</w:t>
            </w:r>
          </w:p>
        </w:tc>
        <w:tc>
          <w:tcPr>
            <w:tcW w:w="1975"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塘厦镇林村村委会鸡爪桥猪仔沥</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2.752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15</w:t>
            </w:r>
          </w:p>
        </w:tc>
        <w:tc>
          <w:tcPr>
            <w:tcW w:w="1697" w:type="pct"/>
            <w:shd w:val="clear" w:color="auto" w:fill="FFFFFF"/>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樟木头污水处理厂三期</w:t>
            </w:r>
          </w:p>
        </w:tc>
        <w:tc>
          <w:tcPr>
            <w:tcW w:w="1975" w:type="pct"/>
            <w:shd w:val="clear" w:color="auto" w:fill="FFFFFF"/>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樟木头镇柏地社区柏峰路169号</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6.828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16</w:t>
            </w:r>
          </w:p>
        </w:tc>
        <w:tc>
          <w:tcPr>
            <w:tcW w:w="1697" w:type="pct"/>
            <w:shd w:val="clear" w:color="auto" w:fill="FFFFFF"/>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樟木头裕丰</w:t>
            </w:r>
          </w:p>
        </w:tc>
        <w:tc>
          <w:tcPr>
            <w:tcW w:w="1975" w:type="pct"/>
            <w:shd w:val="clear" w:color="auto" w:fill="FFFFFF"/>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东莞市樟木头镇裕丰社区莞樟东路西侧</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i w:val="0"/>
                <w:iCs w:val="0"/>
                <w:color w:val="auto"/>
                <w:kern w:val="0"/>
                <w:sz w:val="20"/>
                <w:szCs w:val="20"/>
                <w:u w:val="none"/>
                <w:lang w:val="en-US" w:eastAsia="zh-CN" w:bidi="ar"/>
              </w:rPr>
              <w:t xml:space="preserve">0.684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17</w:t>
            </w:r>
          </w:p>
        </w:tc>
        <w:tc>
          <w:tcPr>
            <w:tcW w:w="1697" w:type="pct"/>
            <w:shd w:val="clear" w:color="auto" w:fill="FFFFFF"/>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塘厦白泥湖水质净化厂改造工程</w:t>
            </w:r>
          </w:p>
        </w:tc>
        <w:tc>
          <w:tcPr>
            <w:tcW w:w="1975" w:type="pct"/>
            <w:shd w:val="clear" w:color="auto" w:fill="FFFFFF"/>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东莞市塘厦镇塘厦南一横路21号</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14.144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18</w:t>
            </w:r>
          </w:p>
        </w:tc>
        <w:tc>
          <w:tcPr>
            <w:tcW w:w="1697" w:type="pct"/>
            <w:shd w:val="clear" w:color="auto" w:fill="FFFFFF"/>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竹塘污水处理厂三期</w:t>
            </w:r>
          </w:p>
        </w:tc>
        <w:tc>
          <w:tcPr>
            <w:tcW w:w="1975" w:type="pct"/>
            <w:shd w:val="clear" w:color="auto" w:fill="FFFFFF"/>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凤岗镇竹塘村浸校塘组</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7.371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shd w:val="clear" w:color="auto" w:fill="FFFFFF"/>
            <w:vAlign w:val="center"/>
          </w:tcPr>
          <w:p>
            <w:pPr>
              <w:widowControl/>
              <w:textAlignment w:val="center"/>
              <w:rPr>
                <w:rFonts w:hint="eastAsia" w:ascii="宋体" w:hAnsi="宋体" w:eastAsia="宋体" w:cs="宋体"/>
                <w:b/>
                <w:bCs/>
                <w:color w:val="auto"/>
                <w:kern w:val="0"/>
                <w:sz w:val="18"/>
                <w:szCs w:val="18"/>
                <w:lang w:bidi="ar"/>
              </w:rPr>
            </w:pPr>
            <w:r>
              <w:rPr>
                <w:rFonts w:hint="eastAsia" w:ascii="宋体" w:hAnsi="宋体" w:eastAsia="宋体" w:cs="宋体"/>
                <w:b/>
                <w:bCs/>
                <w:color w:val="auto"/>
                <w:kern w:val="0"/>
                <w:sz w:val="18"/>
                <w:szCs w:val="18"/>
                <w:lang w:bidi="ar"/>
              </w:rPr>
              <w:t>二、提标项目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697"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清溪厦坭污水处理厂一期提标工程</w:t>
            </w:r>
          </w:p>
        </w:tc>
        <w:tc>
          <w:tcPr>
            <w:tcW w:w="1975" w:type="pct"/>
            <w:shd w:val="clear" w:color="auto" w:fill="FFFFFF"/>
            <w:vAlign w:val="center"/>
          </w:tcPr>
          <w:p>
            <w:pPr>
              <w:widowControl/>
              <w:jc w:val="center"/>
              <w:textAlignment w:val="center"/>
              <w:rPr>
                <w:rFonts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东莞市清溪镇厦坭村江背路75号</w:t>
            </w:r>
          </w:p>
        </w:tc>
        <w:tc>
          <w:tcPr>
            <w:tcW w:w="998" w:type="pct"/>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9.397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shd w:val="clear" w:color="auto" w:fill="FFFFFF"/>
            <w:vAlign w:val="center"/>
          </w:tcPr>
          <w:p>
            <w:pPr>
              <w:widowControl/>
              <w:textAlignment w:val="center"/>
              <w:rPr>
                <w:rFonts w:hint="eastAsia" w:ascii="宋体" w:hAnsi="宋体" w:eastAsia="宋体" w:cs="宋体"/>
                <w:b/>
                <w:bCs/>
                <w:color w:val="auto"/>
                <w:kern w:val="0"/>
                <w:sz w:val="18"/>
                <w:szCs w:val="18"/>
                <w:lang w:val="en-US" w:eastAsia="zh-CN" w:bidi="ar"/>
              </w:rPr>
            </w:pPr>
            <w:r>
              <w:rPr>
                <w:rFonts w:hint="eastAsia" w:ascii="宋体" w:hAnsi="宋体" w:eastAsia="宋体" w:cs="宋体"/>
                <w:b/>
                <w:bCs/>
                <w:color w:val="auto"/>
                <w:kern w:val="0"/>
                <w:sz w:val="18"/>
                <w:szCs w:val="18"/>
                <w:lang w:val="en-US" w:eastAsia="zh-CN" w:bidi="ar"/>
              </w:rPr>
              <w:t>三</w:t>
            </w:r>
            <w:r>
              <w:rPr>
                <w:rFonts w:hint="eastAsia" w:ascii="宋体" w:hAnsi="宋体" w:eastAsia="宋体" w:cs="宋体"/>
                <w:b/>
                <w:bCs/>
                <w:color w:val="auto"/>
                <w:kern w:val="0"/>
                <w:sz w:val="18"/>
                <w:szCs w:val="18"/>
                <w:lang w:bidi="ar"/>
              </w:rPr>
              <w:t>、</w:t>
            </w:r>
            <w:r>
              <w:rPr>
                <w:rFonts w:hint="eastAsia" w:ascii="宋体" w:hAnsi="宋体" w:eastAsia="宋体" w:cs="宋体"/>
                <w:b/>
                <w:bCs/>
                <w:color w:val="auto"/>
                <w:kern w:val="0"/>
                <w:sz w:val="18"/>
                <w:szCs w:val="18"/>
                <w:lang w:val="en-US" w:eastAsia="zh-CN" w:bidi="ar"/>
              </w:rPr>
              <w:t>分散式及一体化</w:t>
            </w:r>
            <w:r>
              <w:rPr>
                <w:rFonts w:hint="eastAsia" w:ascii="宋体" w:hAnsi="宋体" w:eastAsia="宋体" w:cs="宋体"/>
                <w:b/>
                <w:bCs/>
                <w:color w:val="auto"/>
                <w:kern w:val="0"/>
                <w:sz w:val="18"/>
                <w:szCs w:val="18"/>
                <w:lang w:bidi="ar"/>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石排镇鲤鱼洲分散式污水处理站</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998" w:type="pct"/>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分散式污水处理设施（檀香岛）EPC-O项目</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998" w:type="pct"/>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0.006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3</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东莞市中堂镇江南分散式污水处理站</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998" w:type="pct"/>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 xml:space="preserve">3.078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shd w:val="clear" w:color="auto" w:fill="FFFFFF"/>
            <w:vAlign w:val="center"/>
          </w:tcPr>
          <w:p>
            <w:pPr>
              <w:widowControl/>
              <w:jc w:val="left"/>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b/>
                <w:bCs/>
                <w:color w:val="auto"/>
                <w:kern w:val="0"/>
                <w:sz w:val="18"/>
                <w:szCs w:val="18"/>
                <w:lang w:val="en-US" w:eastAsia="zh-CN" w:bidi="ar"/>
              </w:rPr>
              <w:t>四、污泥减量化项目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寮步三期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温塘二期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11.000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3</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横沥东坑二期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14.000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4</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常平东二期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5</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常平西二期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6</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黄江梅塘南部厂</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7</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松山湖科学城厂</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8</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茶山改扩建项目</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9</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黄江二期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14.000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10</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市区厂众源移动式（含一二期和三期）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11</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高埗二期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12</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麻涌二期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13</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中堂二期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14</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石碣二期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14.000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15</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万江二期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16</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长安新区众源移动式</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17</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大岭山二期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19.000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18</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沙田二期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19</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虎门宁洲三期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20</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长安新区厂</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21</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牛山二期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22</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塘厦白泥湖</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23</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凤岗竹塘三期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18.000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24</w:t>
            </w:r>
          </w:p>
        </w:tc>
        <w:tc>
          <w:tcPr>
            <w:tcW w:w="1697"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清溪厦坭二期</w:t>
            </w:r>
          </w:p>
        </w:tc>
        <w:tc>
          <w:tcPr>
            <w:tcW w:w="1975" w:type="pct"/>
            <w:shd w:val="clear" w:color="auto" w:fill="FFFFFF"/>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2066" w:type="dxa"/>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20"/>
                <w:szCs w:val="20"/>
                <w:u w:val="none"/>
                <w:lang w:val="en-US" w:eastAsia="zh-CN" w:bidi="ar"/>
              </w:rPr>
              <w:t xml:space="preserve">5.000 </w:t>
            </w:r>
          </w:p>
        </w:tc>
      </w:tr>
    </w:tbl>
    <w:p>
      <w:pPr>
        <w:ind w:firstLine="422" w:firstLineChars="200"/>
        <w:rPr>
          <w:rFonts w:hint="eastAsia" w:ascii="宋体" w:hAnsi="宋体" w:eastAsia="宋体" w:cs="宋体"/>
          <w:b/>
          <w:color w:val="auto"/>
          <w:szCs w:val="21"/>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1"/>
        </w:rPr>
        <w:t>备注：以上运营项目为暂定，具体情况以实际为准，如有疑问可实地考察。</w:t>
      </w:r>
      <w:bookmarkEnd w:id="8"/>
      <w:bookmarkEnd w:id="9"/>
      <w:bookmarkEnd w:id="10"/>
    </w:p>
    <w:p>
      <w:pPr>
        <w:spacing w:line="240" w:lineRule="auto"/>
        <w:ind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pPr>
        <w:pStyle w:val="2"/>
        <w:rPr>
          <w:lang w:val="zh-CN"/>
        </w:rPr>
      </w:pPr>
    </w:p>
    <w:p>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38"/>
        <w:tblpPr w:leftFromText="180" w:rightFromText="180" w:vertAnchor="text" w:horzAnchor="page" w:tblpXSpec="center" w:tblpY="292"/>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Cs/>
                <w:color w:val="000000"/>
                <w:sz w:val="24"/>
              </w:rPr>
            </w:pPr>
            <w:r>
              <w:rPr>
                <w:rFonts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pPr>
              <w:jc w:val="center"/>
              <w:rPr>
                <w:b/>
                <w:bCs/>
              </w:rPr>
            </w:pPr>
          </w:p>
          <w:p>
            <w:pPr>
              <w:widowControl/>
              <w:ind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验收单位：</w:t>
            </w:r>
          </w:p>
          <w:p>
            <w:pPr>
              <w:widowControl/>
              <w:ind w:firstLine="0" w:firstLineChars="0"/>
              <w:jc w:val="left"/>
              <w:textAlignment w:val="center"/>
              <w:rPr>
                <w:rFonts w:hint="eastAsia" w:ascii="宋体" w:hAnsi="宋体" w:eastAsia="宋体" w:cs="宋体"/>
                <w:b/>
                <w:bCs w:val="0"/>
                <w:color w:val="000000"/>
                <w:sz w:val="21"/>
                <w:szCs w:val="21"/>
              </w:rPr>
            </w:pPr>
          </w:p>
          <w:p>
            <w:pPr>
              <w:widowControl/>
              <w:ind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生产主管（签名）：</w:t>
            </w:r>
          </w:p>
          <w:p>
            <w:pPr>
              <w:widowControl/>
              <w:ind w:firstLine="0" w:firstLineChars="0"/>
              <w:jc w:val="left"/>
              <w:textAlignment w:val="center"/>
              <w:rPr>
                <w:rFonts w:hint="eastAsia" w:ascii="宋体" w:hAnsi="宋体" w:eastAsia="宋体" w:cs="宋体"/>
                <w:b/>
                <w:bCs w:val="0"/>
                <w:color w:val="000000"/>
                <w:sz w:val="21"/>
                <w:szCs w:val="21"/>
              </w:rPr>
            </w:pPr>
          </w:p>
          <w:p>
            <w:pPr>
              <w:widowControl/>
              <w:jc w:val="left"/>
              <w:textAlignment w:val="center"/>
              <w:rPr>
                <w:b/>
                <w:bCs/>
              </w:rPr>
            </w:pPr>
            <w:r>
              <w:rPr>
                <w:rFonts w:hint="eastAsia" w:ascii="宋体" w:hAnsi="宋体" w:eastAsia="宋体" w:cs="宋体"/>
                <w:b/>
                <w:color w:val="000000"/>
                <w:sz w:val="21"/>
                <w:szCs w:val="21"/>
              </w:rPr>
              <w:t xml:space="preserve">  </w:t>
            </w:r>
            <w:r>
              <w:rPr>
                <w:rFonts w:hint="eastAsia" w:ascii="宋体" w:hAnsi="宋体" w:eastAsia="宋体" w:cs="宋体"/>
                <w:b/>
                <w:bCs w:val="0"/>
                <w:color w:val="000000"/>
                <w:sz w:val="21"/>
                <w:szCs w:val="21"/>
              </w:rPr>
              <w:t xml:space="preserve">单位负责人（签名）： </w:t>
            </w:r>
          </w:p>
        </w:tc>
        <w:tc>
          <w:tcPr>
            <w:tcW w:w="4720" w:type="dxa"/>
            <w:gridSpan w:val="4"/>
            <w:shd w:val="clear" w:color="auto" w:fill="auto"/>
            <w:noWrap/>
            <w:tcMar>
              <w:top w:w="15" w:type="dxa"/>
              <w:left w:w="15" w:type="dxa"/>
              <w:right w:w="15" w:type="dxa"/>
            </w:tcMar>
          </w:tcPr>
          <w:p>
            <w:pPr>
              <w:jc w:val="center"/>
              <w:rPr>
                <w:b/>
                <w:bCs/>
              </w:rPr>
            </w:pPr>
          </w:p>
          <w:p>
            <w:pPr>
              <w:ind w:firstLine="211"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pPr>
              <w:pStyle w:val="2"/>
              <w:rPr>
                <w:rFonts w:hint="eastAsia" w:ascii="宋体" w:hAnsi="宋体" w:eastAsia="宋体" w:cs="宋体"/>
                <w:b/>
                <w:bCs w:val="0"/>
                <w:color w:val="000000"/>
                <w:szCs w:val="21"/>
              </w:rPr>
            </w:pPr>
          </w:p>
          <w:p>
            <w:pPr>
              <w:ind w:firstLine="211" w:firstLineChars="100"/>
            </w:pPr>
            <w:r>
              <w:rPr>
                <w:rFonts w:hint="eastAsia" w:ascii="宋体" w:hAnsi="宋体" w:eastAsia="宋体" w:cs="宋体"/>
                <w:b/>
                <w:bCs w:val="0"/>
                <w:color w:val="000000"/>
                <w:sz w:val="21"/>
                <w:szCs w:val="21"/>
                <w:lang w:val="en-US" w:eastAsia="zh-CN"/>
              </w:rPr>
              <w:t>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shd w:val="clear" w:color="auto" w:fill="auto"/>
            <w:noWrap/>
            <w:tcMar>
              <w:top w:w="15" w:type="dxa"/>
              <w:left w:w="15" w:type="dxa"/>
              <w:right w:w="15" w:type="dxa"/>
            </w:tcMar>
            <w:vAlign w:val="center"/>
          </w:tcPr>
          <w:p>
            <w:pPr>
              <w:ind w:firstLine="422" w:firstLineChars="200"/>
              <w:rPr>
                <w:rFonts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pPr>
        <w:rPr>
          <w:lang w:val="zh-CN"/>
        </w:rPr>
        <w:sectPr>
          <w:pgSz w:w="12240" w:h="15840"/>
          <w:pgMar w:top="1191" w:right="1043" w:bottom="1191" w:left="1043" w:header="720" w:footer="720" w:gutter="0"/>
          <w:cols w:space="720" w:num="1"/>
          <w:titlePg/>
          <w:docGrid w:linePitch="326" w:charSpace="0"/>
        </w:sectPr>
      </w:pPr>
    </w:p>
    <w:p>
      <w:pPr>
        <w:spacing w:line="240" w:lineRule="auto"/>
        <w:ind w:firstLine="0" w:firstLineChars="0"/>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pPr>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供应商履约评价表</w:t>
      </w:r>
    </w:p>
    <w:tbl>
      <w:tblPr>
        <w:tblStyle w:val="38"/>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836"/>
        <w:gridCol w:w="4"/>
        <w:gridCol w:w="1824"/>
        <w:gridCol w:w="733"/>
        <w:gridCol w:w="705"/>
        <w:gridCol w:w="71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合同名称</w:t>
            </w:r>
          </w:p>
        </w:tc>
        <w:tc>
          <w:tcPr>
            <w:tcW w:w="7821" w:type="dxa"/>
            <w:gridSpan w:val="6"/>
            <w:vAlign w:val="center"/>
          </w:tcPr>
          <w:p>
            <w:pPr>
              <w:widowControl/>
              <w:snapToGrid w:val="0"/>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合同编号</w:t>
            </w:r>
          </w:p>
        </w:tc>
        <w:tc>
          <w:tcPr>
            <w:tcW w:w="7821" w:type="dxa"/>
            <w:gridSpan w:val="6"/>
            <w:vAlign w:val="center"/>
          </w:tcPr>
          <w:p>
            <w:pPr>
              <w:widowControl/>
              <w:snapToGrid w:val="0"/>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甲方名称</w:t>
            </w:r>
          </w:p>
        </w:tc>
        <w:tc>
          <w:tcPr>
            <w:tcW w:w="7821" w:type="dxa"/>
            <w:gridSpan w:val="6"/>
            <w:vAlign w:val="center"/>
          </w:tcPr>
          <w:p>
            <w:pPr>
              <w:widowControl/>
              <w:snapToGrid w:val="0"/>
              <w:jc w:val="center"/>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highlight w:val="none"/>
              </w:rPr>
            </w:pPr>
            <w:r>
              <w:rPr>
                <w:rFonts w:hint="eastAsia" w:ascii="宋体" w:hAnsi="宋体" w:eastAsia="宋体"/>
                <w:bCs/>
                <w:highlight w:val="none"/>
              </w:rPr>
              <w:t>供应商</w:t>
            </w:r>
            <w:r>
              <w:rPr>
                <w:rFonts w:hint="eastAsia" w:ascii="宋体" w:hAnsi="宋体" w:eastAsia="宋体"/>
                <w:highlight w:val="none"/>
              </w:rPr>
              <w:t>名称</w:t>
            </w:r>
          </w:p>
        </w:tc>
        <w:tc>
          <w:tcPr>
            <w:tcW w:w="7821" w:type="dxa"/>
            <w:gridSpan w:val="6"/>
            <w:vAlign w:val="center"/>
          </w:tcPr>
          <w:p>
            <w:pPr>
              <w:widowControl/>
              <w:snapToGrid w:val="0"/>
              <w:jc w:val="center"/>
              <w:rPr>
                <w:rFonts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供应货物名称</w:t>
            </w:r>
          </w:p>
        </w:tc>
        <w:tc>
          <w:tcPr>
            <w:tcW w:w="7821" w:type="dxa"/>
            <w:gridSpan w:val="6"/>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widowControl/>
              <w:snapToGrid w:val="0"/>
              <w:jc w:val="center"/>
              <w:rPr>
                <w:rFonts w:hint="eastAsia" w:ascii="宋体" w:hAnsi="宋体" w:eastAsia="宋体"/>
                <w:bCs/>
                <w:highlight w:val="none"/>
              </w:rPr>
            </w:pPr>
            <w:r>
              <w:rPr>
                <w:rFonts w:hint="eastAsia" w:ascii="宋体" w:hAnsi="宋体" w:eastAsia="宋体"/>
                <w:bCs/>
                <w:highlight w:val="none"/>
                <w:lang w:val="en-US" w:eastAsia="zh-CN"/>
              </w:rPr>
              <w:t>交货地点</w:t>
            </w:r>
          </w:p>
        </w:tc>
        <w:tc>
          <w:tcPr>
            <w:tcW w:w="7821" w:type="dxa"/>
            <w:gridSpan w:val="6"/>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序号</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履约评价项目</w:t>
            </w:r>
          </w:p>
        </w:tc>
        <w:tc>
          <w:tcPr>
            <w:tcW w:w="3836"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评价标准</w:t>
            </w:r>
          </w:p>
        </w:tc>
        <w:tc>
          <w:tcPr>
            <w:tcW w:w="1828"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评分说明</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分值</w:t>
            </w:r>
          </w:p>
        </w:tc>
        <w:tc>
          <w:tcPr>
            <w:tcW w:w="70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实得分</w:t>
            </w:r>
          </w:p>
        </w:tc>
        <w:tc>
          <w:tcPr>
            <w:tcW w:w="719" w:type="dxa"/>
            <w:vAlign w:val="center"/>
          </w:tcPr>
          <w:p>
            <w:pPr>
              <w:widowControl/>
              <w:rPr>
                <w:rFonts w:ascii="宋体" w:hAnsi="宋体" w:eastAsia="宋体"/>
                <w:bCs/>
                <w:highlight w:val="none"/>
              </w:rPr>
            </w:pPr>
            <w:r>
              <w:rPr>
                <w:rFonts w:hint="eastAsia" w:ascii="宋体" w:hAnsi="宋体" w:eastAsia="宋体"/>
                <w:bCs/>
                <w:highlight w:val="none"/>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质量</w:t>
            </w:r>
          </w:p>
        </w:tc>
        <w:tc>
          <w:tcPr>
            <w:tcW w:w="3836" w:type="dxa"/>
            <w:vAlign w:val="center"/>
          </w:tcPr>
          <w:p>
            <w:pPr>
              <w:widowControl/>
              <w:snapToGrid w:val="0"/>
              <w:rPr>
                <w:rFonts w:ascii="宋体" w:hAnsi="宋体" w:eastAsia="宋体"/>
                <w:bCs/>
                <w:highlight w:val="none"/>
              </w:rPr>
            </w:pPr>
            <w:r>
              <w:rPr>
                <w:rFonts w:hint="eastAsia" w:ascii="宋体" w:hAnsi="宋体" w:eastAsia="宋体"/>
                <w:bCs/>
                <w:highlight w:val="none"/>
              </w:rPr>
              <w:t>（1）货物未出现全部拒收或换货等质量问题；</w:t>
            </w:r>
          </w:p>
          <w:p>
            <w:pPr>
              <w:widowControl/>
              <w:snapToGrid w:val="0"/>
              <w:rPr>
                <w:rFonts w:ascii="宋体" w:hAnsi="宋体" w:eastAsia="宋体"/>
                <w:bCs/>
                <w:highlight w:val="none"/>
              </w:rPr>
            </w:pPr>
            <w:r>
              <w:rPr>
                <w:rFonts w:hint="eastAsia" w:ascii="宋体" w:hAnsi="宋体" w:eastAsia="宋体"/>
                <w:bCs/>
                <w:highlight w:val="none"/>
              </w:rPr>
              <w:t>（2）货物主要技术指标符合合同规定；</w:t>
            </w:r>
          </w:p>
          <w:p>
            <w:pPr>
              <w:widowControl/>
              <w:snapToGrid w:val="0"/>
              <w:rPr>
                <w:rFonts w:ascii="宋体" w:hAnsi="宋体" w:eastAsia="宋体"/>
                <w:bCs/>
                <w:highlight w:val="none"/>
              </w:rPr>
            </w:pPr>
            <w:r>
              <w:rPr>
                <w:rFonts w:hint="eastAsia" w:ascii="宋体" w:hAnsi="宋体" w:eastAsia="宋体"/>
                <w:bCs/>
                <w:highlight w:val="none"/>
              </w:rPr>
              <w:t>（3）每次货物质量稳定，投加效果良好，未出现由于每次货物质量参差不齐导致厂区药剂投加量增加或产生出水水质风险等情况。</w:t>
            </w:r>
          </w:p>
        </w:tc>
        <w:tc>
          <w:tcPr>
            <w:tcW w:w="1828"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2</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包装、运输</w:t>
            </w:r>
          </w:p>
        </w:tc>
        <w:tc>
          <w:tcPr>
            <w:tcW w:w="3836" w:type="dxa"/>
            <w:vAlign w:val="center"/>
          </w:tcPr>
          <w:p>
            <w:pPr>
              <w:widowControl/>
              <w:snapToGrid w:val="0"/>
              <w:rPr>
                <w:rFonts w:ascii="宋体" w:hAnsi="宋体" w:eastAsia="宋体"/>
                <w:bCs/>
                <w:highlight w:val="none"/>
              </w:rPr>
            </w:pPr>
            <w:r>
              <w:rPr>
                <w:rFonts w:hint="eastAsia" w:ascii="宋体" w:hAnsi="宋体" w:eastAsia="宋体"/>
                <w:bCs/>
                <w:highlight w:val="none"/>
              </w:rPr>
              <w:t>货物的包装、运输符合合同规定及国家、行业有关标准规范；未出现由于包装、运输方式不当造成以下不良后果：</w:t>
            </w:r>
          </w:p>
          <w:p>
            <w:pPr>
              <w:widowControl/>
              <w:snapToGrid w:val="0"/>
              <w:rPr>
                <w:rFonts w:ascii="宋体" w:hAnsi="宋体" w:eastAsia="宋体"/>
                <w:bCs/>
                <w:highlight w:val="none"/>
              </w:rPr>
            </w:pPr>
            <w:r>
              <w:rPr>
                <w:rFonts w:hint="eastAsia" w:ascii="宋体" w:hAnsi="宋体" w:eastAsia="宋体"/>
                <w:bCs/>
                <w:highlight w:val="none"/>
              </w:rPr>
              <w:t>（1）影响货物输送或储存质量；</w:t>
            </w:r>
          </w:p>
          <w:p>
            <w:pPr>
              <w:widowControl/>
              <w:snapToGrid w:val="0"/>
              <w:rPr>
                <w:rFonts w:ascii="宋体" w:hAnsi="宋体" w:eastAsia="宋体"/>
                <w:bCs/>
                <w:highlight w:val="none"/>
              </w:rPr>
            </w:pPr>
            <w:r>
              <w:rPr>
                <w:rFonts w:hint="eastAsia" w:ascii="宋体" w:hAnsi="宋体" w:eastAsia="宋体"/>
                <w:bCs/>
                <w:highlight w:val="none"/>
              </w:rPr>
              <w:t>（2）货物质量下降；</w:t>
            </w:r>
          </w:p>
          <w:p>
            <w:pPr>
              <w:widowControl/>
              <w:snapToGrid w:val="0"/>
              <w:rPr>
                <w:rFonts w:ascii="宋体" w:hAnsi="宋体" w:eastAsia="宋体"/>
                <w:bCs/>
                <w:highlight w:val="none"/>
              </w:rPr>
            </w:pPr>
            <w:r>
              <w:rPr>
                <w:rFonts w:hint="eastAsia" w:ascii="宋体" w:hAnsi="宋体" w:eastAsia="宋体"/>
                <w:bCs/>
                <w:highlight w:val="none"/>
              </w:rPr>
              <w:t>（3）货物泄漏导致供货量不足；</w:t>
            </w:r>
          </w:p>
          <w:p>
            <w:pPr>
              <w:widowControl/>
              <w:snapToGrid w:val="0"/>
              <w:rPr>
                <w:rFonts w:ascii="宋体" w:hAnsi="宋体" w:eastAsia="宋体"/>
                <w:bCs/>
                <w:highlight w:val="none"/>
              </w:rPr>
            </w:pPr>
            <w:r>
              <w:rPr>
                <w:rFonts w:hint="eastAsia" w:ascii="宋体" w:hAnsi="宋体" w:eastAsia="宋体"/>
                <w:bCs/>
                <w:highlight w:val="none"/>
              </w:rPr>
              <w:t>（4）造成环境污染。</w:t>
            </w:r>
          </w:p>
        </w:tc>
        <w:tc>
          <w:tcPr>
            <w:tcW w:w="1828"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15</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3</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货物交付</w:t>
            </w:r>
          </w:p>
        </w:tc>
        <w:tc>
          <w:tcPr>
            <w:tcW w:w="3836" w:type="dxa"/>
            <w:vAlign w:val="center"/>
          </w:tcPr>
          <w:p>
            <w:pPr>
              <w:widowControl/>
              <w:rPr>
                <w:rFonts w:ascii="宋体" w:hAnsi="宋体" w:eastAsia="宋体"/>
                <w:bCs/>
                <w:highlight w:val="none"/>
              </w:rPr>
            </w:pPr>
            <w:r>
              <w:rPr>
                <w:rFonts w:hint="eastAsia" w:ascii="宋体" w:hAnsi="宋体" w:eastAsia="宋体"/>
                <w:bCs/>
                <w:highlight w:val="none"/>
              </w:rPr>
              <w:t>（1）按合同要求的期限供货（包括加急供货）；</w:t>
            </w:r>
          </w:p>
          <w:p>
            <w:pPr>
              <w:widowControl/>
              <w:rPr>
                <w:rFonts w:ascii="宋体" w:hAnsi="宋体" w:eastAsia="宋体"/>
                <w:bCs/>
                <w:highlight w:val="none"/>
              </w:rPr>
            </w:pPr>
            <w:r>
              <w:rPr>
                <w:rFonts w:hint="eastAsia" w:ascii="宋体" w:hAnsi="宋体" w:eastAsia="宋体"/>
                <w:bCs/>
                <w:highlight w:val="none"/>
              </w:rPr>
              <w:t>（2）每次供货配合提供电子地磅称重单；</w:t>
            </w:r>
          </w:p>
          <w:p>
            <w:pPr>
              <w:rPr>
                <w:rFonts w:ascii="宋体" w:hAnsi="宋体" w:eastAsia="宋体"/>
                <w:bCs/>
                <w:highlight w:val="none"/>
              </w:rPr>
            </w:pPr>
            <w:r>
              <w:rPr>
                <w:rFonts w:hint="eastAsia" w:ascii="宋体" w:hAnsi="宋体" w:eastAsia="宋体"/>
                <w:bCs/>
                <w:highlight w:val="none"/>
              </w:rPr>
              <w:t>（3）每次供货配合提供出厂检验报告或质量合格证等技术资料；</w:t>
            </w:r>
          </w:p>
          <w:p>
            <w:pPr>
              <w:widowControl/>
              <w:rPr>
                <w:rFonts w:ascii="宋体" w:hAnsi="宋体" w:eastAsia="宋体"/>
                <w:bCs/>
                <w:highlight w:val="none"/>
              </w:rPr>
            </w:pPr>
            <w:r>
              <w:rPr>
                <w:rFonts w:hint="eastAsia" w:ascii="宋体" w:hAnsi="宋体" w:eastAsia="宋体"/>
                <w:bCs/>
                <w:highlight w:val="none"/>
              </w:rPr>
              <w:t>（4）交付人员专业性强，工作效率高，熟悉交付操作流程；</w:t>
            </w:r>
          </w:p>
          <w:p>
            <w:pPr>
              <w:widowControl/>
              <w:rPr>
                <w:rFonts w:ascii="宋体" w:hAnsi="宋体" w:eastAsia="宋体"/>
                <w:bCs/>
                <w:highlight w:val="none"/>
              </w:rPr>
            </w:pPr>
            <w:r>
              <w:rPr>
                <w:rFonts w:hint="eastAsia" w:ascii="宋体" w:hAnsi="宋体" w:eastAsia="宋体"/>
                <w:bCs/>
                <w:highlight w:val="none"/>
              </w:rPr>
              <w:t>（5）未出现因库存、运力不足等原因影响供货量的情况。</w:t>
            </w:r>
          </w:p>
        </w:tc>
        <w:tc>
          <w:tcPr>
            <w:tcW w:w="1828"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4</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验收</w:t>
            </w:r>
          </w:p>
        </w:tc>
        <w:tc>
          <w:tcPr>
            <w:tcW w:w="3836" w:type="dxa"/>
            <w:vAlign w:val="center"/>
          </w:tcPr>
          <w:p>
            <w:pPr>
              <w:widowControl/>
              <w:snapToGrid w:val="0"/>
              <w:rPr>
                <w:rFonts w:ascii="宋体" w:hAnsi="宋体" w:eastAsia="宋体"/>
                <w:bCs/>
                <w:highlight w:val="none"/>
              </w:rPr>
            </w:pPr>
            <w:r>
              <w:rPr>
                <w:rFonts w:hint="eastAsia" w:ascii="宋体" w:hAnsi="宋体" w:eastAsia="宋体"/>
                <w:bCs/>
                <w:highlight w:val="none"/>
              </w:rPr>
              <w:t>（1）及时提供货物的各项技术资料，技术资料齐全、规范；</w:t>
            </w:r>
          </w:p>
          <w:p>
            <w:pPr>
              <w:widowControl/>
              <w:snapToGrid w:val="0"/>
              <w:rPr>
                <w:rFonts w:ascii="宋体" w:hAnsi="宋体" w:eastAsia="宋体"/>
                <w:bCs/>
                <w:highlight w:val="none"/>
              </w:rPr>
            </w:pPr>
            <w:r>
              <w:rPr>
                <w:rFonts w:hint="eastAsia" w:ascii="宋体" w:hAnsi="宋体" w:eastAsia="宋体"/>
                <w:bCs/>
                <w:highlight w:val="none"/>
              </w:rPr>
              <w:t>（2）未出现因对检测结果存在异议而影响供货的情况；</w:t>
            </w:r>
          </w:p>
          <w:p>
            <w:pPr>
              <w:widowControl/>
              <w:snapToGrid w:val="0"/>
              <w:rPr>
                <w:rFonts w:ascii="宋体" w:hAnsi="宋体" w:eastAsia="宋体"/>
                <w:bCs/>
                <w:highlight w:val="none"/>
              </w:rPr>
            </w:pPr>
            <w:r>
              <w:rPr>
                <w:rFonts w:hint="eastAsia" w:ascii="宋体" w:hAnsi="宋体" w:eastAsia="宋体"/>
                <w:bCs/>
                <w:highlight w:val="none"/>
              </w:rPr>
              <w:t>（3）未出现因货物检验不合格，或因货物不合格影响厂区生产效果的情况。</w:t>
            </w:r>
          </w:p>
        </w:tc>
        <w:tc>
          <w:tcPr>
            <w:tcW w:w="1828"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widowControl/>
              <w:snapToGrid w:val="0"/>
              <w:jc w:val="center"/>
              <w:rPr>
                <w:rFonts w:ascii="宋体" w:hAnsi="宋体" w:eastAsia="宋体"/>
                <w:highlight w:val="none"/>
              </w:rPr>
            </w:pPr>
            <w:r>
              <w:rPr>
                <w:rFonts w:hint="eastAsia" w:ascii="宋体" w:hAnsi="宋体" w:eastAsia="宋体"/>
                <w:highlight w:val="none"/>
              </w:rPr>
              <w:t>20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5</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安全</w:t>
            </w:r>
          </w:p>
        </w:tc>
        <w:tc>
          <w:tcPr>
            <w:tcW w:w="3836" w:type="dxa"/>
            <w:vAlign w:val="center"/>
          </w:tcPr>
          <w:p>
            <w:pPr>
              <w:widowControl/>
              <w:snapToGrid w:val="0"/>
              <w:rPr>
                <w:rFonts w:ascii="宋体" w:hAnsi="宋体" w:eastAsia="宋体"/>
                <w:bCs/>
                <w:highlight w:val="none"/>
              </w:rPr>
            </w:pPr>
            <w:r>
              <w:rPr>
                <w:rFonts w:hint="eastAsia" w:ascii="宋体" w:hAnsi="宋体" w:eastAsia="宋体"/>
                <w:bCs/>
                <w:highlight w:val="none"/>
              </w:rPr>
              <w:t>（1）运输服务商资质、运输人员、运输车辆符合合同规定及国家相关法律法规要求；</w:t>
            </w:r>
          </w:p>
          <w:p>
            <w:pPr>
              <w:widowControl/>
              <w:snapToGrid w:val="0"/>
              <w:rPr>
                <w:rFonts w:ascii="宋体" w:hAnsi="宋体" w:eastAsia="宋体"/>
                <w:bCs/>
                <w:highlight w:val="none"/>
              </w:rPr>
            </w:pPr>
            <w:r>
              <w:rPr>
                <w:rFonts w:hint="eastAsia" w:ascii="宋体" w:hAnsi="宋体" w:eastAsia="宋体"/>
                <w:bCs/>
                <w:highlight w:val="none"/>
              </w:rPr>
              <w:t>（2）未出现超载或非法运输等情况；</w:t>
            </w:r>
          </w:p>
          <w:p>
            <w:pPr>
              <w:widowControl/>
              <w:snapToGrid w:val="0"/>
              <w:rPr>
                <w:rFonts w:ascii="宋体" w:hAnsi="宋体" w:eastAsia="宋体"/>
                <w:bCs/>
                <w:highlight w:val="none"/>
              </w:rPr>
            </w:pPr>
            <w:r>
              <w:rPr>
                <w:rFonts w:hint="eastAsia" w:ascii="宋体" w:hAnsi="宋体" w:eastAsia="宋体"/>
                <w:bCs/>
                <w:highlight w:val="none"/>
              </w:rPr>
              <w:t>（3）未出现由于运输服务商资质不符、超载或非法运输、未按厂区指示行驶及停放造成第三方或厂区事故、损失的情况；</w:t>
            </w:r>
          </w:p>
          <w:p>
            <w:pPr>
              <w:outlineLvl w:val="2"/>
              <w:rPr>
                <w:rFonts w:ascii="宋体" w:hAnsi="宋体" w:eastAsia="宋体"/>
                <w:highlight w:val="none"/>
              </w:rPr>
            </w:pPr>
            <w:bookmarkStart w:id="11" w:name="_Toc95729751"/>
            <w:bookmarkStart w:id="12" w:name="_Toc146625412"/>
            <w:bookmarkStart w:id="13" w:name="_Toc174612491"/>
            <w:r>
              <w:rPr>
                <w:rFonts w:hint="eastAsia" w:ascii="宋体" w:hAnsi="宋体" w:eastAsia="宋体"/>
                <w:bCs/>
                <w:highlight w:val="none"/>
              </w:rPr>
              <w:t>（4）未出现卸货安全事故。</w:t>
            </w:r>
            <w:bookmarkEnd w:id="11"/>
            <w:bookmarkEnd w:id="12"/>
            <w:bookmarkEnd w:id="13"/>
          </w:p>
        </w:tc>
        <w:tc>
          <w:tcPr>
            <w:tcW w:w="1828"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15</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6</w:t>
            </w:r>
          </w:p>
        </w:tc>
        <w:tc>
          <w:tcPr>
            <w:tcW w:w="1735"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售后服务</w:t>
            </w:r>
          </w:p>
        </w:tc>
        <w:tc>
          <w:tcPr>
            <w:tcW w:w="3836" w:type="dxa"/>
            <w:vAlign w:val="center"/>
          </w:tcPr>
          <w:p>
            <w:pPr>
              <w:widowControl/>
              <w:snapToGrid w:val="0"/>
              <w:rPr>
                <w:rFonts w:ascii="宋体" w:hAnsi="宋体" w:eastAsia="宋体"/>
                <w:bCs/>
                <w:highlight w:val="none"/>
              </w:rPr>
            </w:pPr>
            <w:r>
              <w:rPr>
                <w:rFonts w:hint="eastAsia" w:ascii="宋体" w:hAnsi="宋体" w:eastAsia="宋体"/>
                <w:bCs/>
                <w:highlight w:val="none"/>
              </w:rPr>
              <w:t>（1）人员：</w:t>
            </w:r>
          </w:p>
          <w:p>
            <w:pPr>
              <w:widowControl/>
              <w:snapToGrid w:val="0"/>
              <w:rPr>
                <w:rFonts w:ascii="宋体" w:hAnsi="宋体" w:eastAsia="宋体"/>
                <w:bCs/>
                <w:highlight w:val="none"/>
              </w:rPr>
            </w:pPr>
            <w:r>
              <w:rPr>
                <w:rFonts w:hint="eastAsia" w:ascii="宋体" w:hAnsi="宋体" w:eastAsia="宋体"/>
                <w:bCs/>
                <w:highlight w:val="none"/>
              </w:rPr>
              <w:t>①管理、技术及服务人员均符合申请文件的承诺，服务队伍稳定，人员充足、专业性强，充分配合甲方供货需求；</w:t>
            </w:r>
          </w:p>
          <w:p>
            <w:pPr>
              <w:widowControl/>
              <w:snapToGrid w:val="0"/>
              <w:rPr>
                <w:rFonts w:ascii="宋体" w:hAnsi="宋体" w:eastAsia="宋体"/>
                <w:bCs/>
                <w:highlight w:val="none"/>
              </w:rPr>
            </w:pPr>
            <w:r>
              <w:rPr>
                <w:rFonts w:hint="eastAsia" w:ascii="宋体" w:hAnsi="宋体" w:eastAsia="宋体"/>
                <w:bCs/>
                <w:highlight w:val="none"/>
              </w:rPr>
              <w:t>②对接人员与甲方沟通良好、理解到位、执行力强，能及时发现、解决问题，并未雨绸缪地因应各厂区实际情况提供合理化的供配货建议；</w:t>
            </w:r>
          </w:p>
          <w:p>
            <w:pPr>
              <w:widowControl/>
              <w:snapToGrid w:val="0"/>
              <w:rPr>
                <w:rFonts w:ascii="宋体" w:hAnsi="宋体" w:eastAsia="宋体"/>
                <w:bCs/>
                <w:highlight w:val="none"/>
              </w:rPr>
            </w:pPr>
            <w:r>
              <w:rPr>
                <w:rFonts w:hint="eastAsia" w:ascii="宋体" w:hAnsi="宋体" w:eastAsia="宋体"/>
                <w:bCs/>
                <w:highlight w:val="none"/>
              </w:rPr>
              <w:t>③未出现推诿，借故不肯签署合同规定的文件或者敷衍了事、置之不理等情况。</w:t>
            </w:r>
          </w:p>
          <w:p>
            <w:pPr>
              <w:widowControl/>
              <w:snapToGrid w:val="0"/>
              <w:rPr>
                <w:rFonts w:ascii="宋体" w:hAnsi="宋体" w:eastAsia="宋体"/>
                <w:bCs/>
                <w:highlight w:val="none"/>
              </w:rPr>
            </w:pPr>
            <w:r>
              <w:rPr>
                <w:rFonts w:hint="eastAsia" w:ascii="宋体" w:hAnsi="宋体" w:eastAsia="宋体"/>
                <w:bCs/>
                <w:highlight w:val="none"/>
              </w:rPr>
              <w:t>（2）配合：</w:t>
            </w:r>
          </w:p>
          <w:p>
            <w:pPr>
              <w:widowControl/>
              <w:snapToGrid w:val="0"/>
              <w:rPr>
                <w:rFonts w:ascii="宋体" w:hAnsi="宋体" w:eastAsia="宋体"/>
                <w:bCs/>
                <w:highlight w:val="none"/>
              </w:rPr>
            </w:pPr>
            <w:r>
              <w:rPr>
                <w:rFonts w:hint="eastAsia" w:ascii="宋体" w:hAnsi="宋体" w:eastAsia="宋体"/>
                <w:bCs/>
                <w:highlight w:val="none"/>
              </w:rPr>
              <w:t>①售后服务流程完善，跟踪到位，响应速度快；</w:t>
            </w:r>
          </w:p>
          <w:p>
            <w:pPr>
              <w:widowControl/>
              <w:snapToGrid w:val="0"/>
              <w:rPr>
                <w:rFonts w:ascii="宋体" w:hAnsi="宋体" w:eastAsia="宋体"/>
                <w:bCs/>
                <w:highlight w:val="none"/>
              </w:rPr>
            </w:pPr>
            <w:r>
              <w:rPr>
                <w:rFonts w:hint="eastAsia" w:ascii="宋体" w:hAnsi="宋体" w:eastAsia="宋体"/>
                <w:bCs/>
                <w:highlight w:val="none"/>
              </w:rPr>
              <w:t>②就货物储存保质方式、方法提出合理化建议并能提供专业技术指导；</w:t>
            </w:r>
          </w:p>
          <w:p>
            <w:pPr>
              <w:widowControl/>
              <w:snapToGrid w:val="0"/>
              <w:rPr>
                <w:rFonts w:ascii="宋体" w:hAnsi="宋体" w:eastAsia="宋体"/>
                <w:bCs/>
                <w:highlight w:val="none"/>
              </w:rPr>
            </w:pPr>
            <w:r>
              <w:rPr>
                <w:rFonts w:hint="eastAsia" w:ascii="宋体" w:hAnsi="宋体" w:eastAsia="宋体"/>
                <w:bCs/>
                <w:highlight w:val="none"/>
              </w:rPr>
              <w:t>③积极配合甲方进行试验、积极协助甲方接受政府管理部门的检查工作及提供各类资质证明材料；</w:t>
            </w:r>
          </w:p>
          <w:p>
            <w:pPr>
              <w:widowControl/>
              <w:snapToGrid w:val="0"/>
              <w:rPr>
                <w:rFonts w:ascii="宋体" w:hAnsi="宋体" w:eastAsia="宋体"/>
                <w:bCs/>
                <w:highlight w:val="none"/>
              </w:rPr>
            </w:pPr>
            <w:r>
              <w:rPr>
                <w:rFonts w:hint="eastAsia" w:ascii="宋体" w:hAnsi="宋体" w:eastAsia="宋体"/>
                <w:bCs/>
                <w:highlight w:val="none"/>
              </w:rPr>
              <w:t>④能根据甲方要求提供专业培训。</w:t>
            </w:r>
          </w:p>
          <w:p>
            <w:pPr>
              <w:outlineLvl w:val="2"/>
              <w:rPr>
                <w:rFonts w:ascii="宋体" w:hAnsi="宋体" w:eastAsia="宋体"/>
                <w:highlight w:val="none"/>
              </w:rPr>
            </w:pPr>
            <w:bookmarkStart w:id="14" w:name="_Toc146625413"/>
            <w:bookmarkStart w:id="15" w:name="_Toc95729752"/>
            <w:bookmarkStart w:id="16" w:name="_Toc174612492"/>
            <w:r>
              <w:rPr>
                <w:rFonts w:hint="eastAsia" w:ascii="宋体" w:hAnsi="宋体" w:eastAsia="宋体"/>
                <w:bCs/>
                <w:highlight w:val="none"/>
              </w:rPr>
              <w:t>⑤高效处理退换货工作、态度良好。</w:t>
            </w:r>
            <w:bookmarkEnd w:id="14"/>
            <w:bookmarkEnd w:id="15"/>
            <w:bookmarkEnd w:id="16"/>
          </w:p>
        </w:tc>
        <w:tc>
          <w:tcPr>
            <w:tcW w:w="1828"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达到标准的得满分，每月每次货物有一项未达到标准的扣2分，每次货物最多扣2分。</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vAlign w:val="center"/>
          </w:tcPr>
          <w:p>
            <w:pPr>
              <w:widowControl/>
              <w:snapToGrid w:val="0"/>
              <w:jc w:val="center"/>
              <w:rPr>
                <w:rFonts w:ascii="宋体" w:hAnsi="宋体" w:eastAsia="宋体"/>
                <w:bCs/>
                <w:highlight w:val="none"/>
              </w:rPr>
            </w:pPr>
            <w:r>
              <w:rPr>
                <w:rFonts w:hint="eastAsia" w:ascii="宋体" w:hAnsi="宋体" w:eastAsia="宋体"/>
                <w:bCs/>
                <w:highlight w:val="none"/>
              </w:rPr>
              <w:t>合计</w:t>
            </w:r>
          </w:p>
        </w:tc>
        <w:tc>
          <w:tcPr>
            <w:tcW w:w="733" w:type="dxa"/>
            <w:vAlign w:val="center"/>
          </w:tcPr>
          <w:p>
            <w:pPr>
              <w:widowControl/>
              <w:snapToGrid w:val="0"/>
              <w:jc w:val="center"/>
              <w:rPr>
                <w:rFonts w:ascii="宋体" w:hAnsi="宋体" w:eastAsia="宋体"/>
                <w:bCs/>
                <w:highlight w:val="none"/>
              </w:rPr>
            </w:pPr>
            <w:r>
              <w:rPr>
                <w:rFonts w:hint="eastAsia" w:ascii="宋体" w:hAnsi="宋体" w:eastAsia="宋体"/>
                <w:bCs/>
                <w:highlight w:val="none"/>
              </w:rPr>
              <w:t>1</w:t>
            </w:r>
            <w:r>
              <w:rPr>
                <w:rFonts w:ascii="宋体" w:hAnsi="宋体" w:eastAsia="宋体"/>
                <w:bCs/>
                <w:highlight w:val="none"/>
              </w:rPr>
              <w:t>00</w:t>
            </w:r>
          </w:p>
        </w:tc>
        <w:tc>
          <w:tcPr>
            <w:tcW w:w="705" w:type="dxa"/>
            <w:vAlign w:val="center"/>
          </w:tcPr>
          <w:p>
            <w:pPr>
              <w:widowControl/>
              <w:snapToGrid w:val="0"/>
              <w:jc w:val="center"/>
              <w:rPr>
                <w:rFonts w:ascii="宋体" w:hAnsi="宋体" w:eastAsia="宋体"/>
                <w:bCs/>
                <w:highlight w:val="none"/>
              </w:rPr>
            </w:pPr>
          </w:p>
        </w:tc>
        <w:tc>
          <w:tcPr>
            <w:tcW w:w="719" w:type="dxa"/>
            <w:vAlign w:val="center"/>
          </w:tcPr>
          <w:p>
            <w:pPr>
              <w:widowControl/>
              <w:snapToGrid w:val="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160" w:type="dxa"/>
            <w:gridSpan w:val="2"/>
            <w:vAlign w:val="center"/>
          </w:tcPr>
          <w:p>
            <w:pPr>
              <w:widowControl/>
              <w:snapToGrid w:val="0"/>
              <w:jc w:val="center"/>
              <w:rPr>
                <w:rFonts w:ascii="宋体" w:hAnsi="宋体" w:eastAsia="宋体"/>
                <w:bCs/>
                <w:highlight w:val="none"/>
              </w:rPr>
            </w:pPr>
            <w:r>
              <w:rPr>
                <w:rFonts w:hint="eastAsia" w:ascii="宋体" w:hAnsi="宋体" w:eastAsia="宋体"/>
                <w:bCs/>
                <w:highlight w:val="none"/>
              </w:rPr>
              <w:t>评审结论</w:t>
            </w:r>
          </w:p>
        </w:tc>
        <w:tc>
          <w:tcPr>
            <w:tcW w:w="7821" w:type="dxa"/>
            <w:gridSpan w:val="6"/>
          </w:tcPr>
          <w:p>
            <w:pPr>
              <w:widowControl/>
              <w:snapToGrid w:val="0"/>
              <w:rPr>
                <w:rFonts w:ascii="宋体" w:hAnsi="宋体" w:eastAsia="宋体"/>
                <w:bCs/>
                <w:highlight w:val="none"/>
              </w:rPr>
            </w:pPr>
            <w:r>
              <w:rPr>
                <w:rFonts w:hint="eastAsia" w:ascii="宋体" w:hAnsi="宋体" w:eastAsia="宋体"/>
                <w:bCs/>
                <w:highlight w:val="none"/>
              </w:rPr>
              <w:t>□合计分值不低于</w:t>
            </w:r>
            <w:r>
              <w:rPr>
                <w:rFonts w:ascii="宋体" w:hAnsi="宋体" w:eastAsia="宋体"/>
                <w:bCs/>
                <w:highlight w:val="none"/>
              </w:rPr>
              <w:t>8</w:t>
            </w:r>
            <w:r>
              <w:rPr>
                <w:rFonts w:hint="eastAsia" w:ascii="宋体" w:hAnsi="宋体" w:eastAsia="宋体"/>
                <w:bCs/>
                <w:highlight w:val="none"/>
              </w:rPr>
              <w:t>0的，评审结论合格</w:t>
            </w:r>
            <w:r>
              <w:rPr>
                <w:rFonts w:hint="eastAsia" w:ascii="宋体" w:hAnsi="宋体" w:eastAsia="宋体"/>
                <w:bCs/>
                <w:highlight w:val="none"/>
              </w:rPr>
              <w:br w:type="textWrapping"/>
            </w:r>
            <w:r>
              <w:rPr>
                <w:rFonts w:hint="eastAsia" w:ascii="宋体" w:hAnsi="宋体" w:eastAsia="宋体"/>
                <w:bCs/>
                <w:highlight w:val="none"/>
              </w:rPr>
              <w:t>□评审结论不合格，说明：</w:t>
            </w:r>
            <w:r>
              <w:rPr>
                <w:rFonts w:hint="eastAsia" w:ascii="宋体" w:hAnsi="宋体" w:eastAsia="宋体"/>
                <w:bCs/>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160" w:type="dxa"/>
            <w:gridSpan w:val="2"/>
            <w:vMerge w:val="restart"/>
            <w:vAlign w:val="center"/>
          </w:tcPr>
          <w:p>
            <w:pPr>
              <w:widowControl/>
              <w:snapToGrid w:val="0"/>
              <w:jc w:val="center"/>
              <w:rPr>
                <w:rFonts w:ascii="宋体" w:hAnsi="宋体" w:eastAsia="宋体"/>
                <w:highlight w:val="none"/>
              </w:rPr>
            </w:pPr>
            <w:r>
              <w:rPr>
                <w:rFonts w:hint="eastAsia" w:ascii="宋体" w:hAnsi="宋体" w:eastAsia="宋体"/>
                <w:bCs/>
                <w:highlight w:val="none"/>
              </w:rPr>
              <w:t>履约评审运营项目</w:t>
            </w:r>
            <w:r>
              <w:rPr>
                <w:rFonts w:hint="eastAsia" w:ascii="宋体" w:hAnsi="宋体" w:eastAsia="宋体"/>
                <w:highlight w:val="none"/>
              </w:rPr>
              <w:t>其他</w:t>
            </w:r>
            <w:r>
              <w:rPr>
                <w:rFonts w:hint="eastAsia" w:ascii="宋体" w:hAnsi="宋体" w:eastAsia="宋体"/>
                <w:bCs/>
                <w:highlight w:val="none"/>
              </w:rPr>
              <w:t>意见及签署</w:t>
            </w:r>
          </w:p>
        </w:tc>
        <w:tc>
          <w:tcPr>
            <w:tcW w:w="3840" w:type="dxa"/>
            <w:gridSpan w:val="2"/>
            <w:vAlign w:val="center"/>
          </w:tcPr>
          <w:p>
            <w:pPr>
              <w:widowControl/>
              <w:snapToGrid w:val="0"/>
              <w:rPr>
                <w:rFonts w:ascii="宋体" w:hAnsi="宋体" w:eastAsia="宋体"/>
                <w:highlight w:val="none"/>
              </w:rPr>
            </w:pPr>
            <w:r>
              <w:rPr>
                <w:rFonts w:hint="eastAsia" w:ascii="宋体" w:hAnsi="宋体" w:eastAsia="宋体"/>
                <w:bCs/>
                <w:highlight w:val="none"/>
              </w:rPr>
              <w:t>经办人</w:t>
            </w:r>
          </w:p>
        </w:tc>
        <w:tc>
          <w:tcPr>
            <w:tcW w:w="3987" w:type="dxa"/>
            <w:gridSpan w:val="5"/>
            <w:vAlign w:val="center"/>
          </w:tcPr>
          <w:p>
            <w:pPr>
              <w:widowControl/>
              <w:snapToGrid w:val="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60" w:type="dxa"/>
            <w:gridSpan w:val="2"/>
            <w:vMerge w:val="continue"/>
          </w:tcPr>
          <w:p>
            <w:pPr>
              <w:widowControl/>
              <w:snapToGrid w:val="0"/>
              <w:rPr>
                <w:rFonts w:ascii="宋体" w:hAnsi="宋体" w:eastAsia="宋体"/>
                <w:bCs/>
                <w:highlight w:val="none"/>
              </w:rPr>
            </w:pPr>
          </w:p>
        </w:tc>
        <w:tc>
          <w:tcPr>
            <w:tcW w:w="3840" w:type="dxa"/>
            <w:gridSpan w:val="2"/>
            <w:vAlign w:val="center"/>
          </w:tcPr>
          <w:p>
            <w:pPr>
              <w:widowControl/>
              <w:snapToGrid w:val="0"/>
              <w:rPr>
                <w:rFonts w:ascii="宋体" w:hAnsi="宋体" w:eastAsia="宋体"/>
                <w:bCs/>
                <w:highlight w:val="none"/>
              </w:rPr>
            </w:pPr>
            <w:r>
              <w:rPr>
                <w:rFonts w:hint="eastAsia" w:ascii="宋体" w:hAnsi="宋体" w:eastAsia="宋体"/>
                <w:bCs/>
                <w:highlight w:val="none"/>
              </w:rPr>
              <w:t>运营项目负责人</w:t>
            </w:r>
          </w:p>
        </w:tc>
        <w:tc>
          <w:tcPr>
            <w:tcW w:w="3987" w:type="dxa"/>
            <w:gridSpan w:val="5"/>
            <w:vAlign w:val="center"/>
          </w:tcPr>
          <w:p>
            <w:pPr>
              <w:widowControl/>
              <w:snapToGrid w:val="0"/>
              <w:rPr>
                <w:rFonts w:ascii="宋体" w:hAnsi="宋体" w:eastAsia="宋体"/>
                <w:bCs/>
                <w:highlight w:val="none"/>
              </w:rPr>
            </w:pPr>
          </w:p>
        </w:tc>
      </w:tr>
    </w:tbl>
    <w:p>
      <w:pPr>
        <w:pStyle w:val="2"/>
      </w:pPr>
    </w:p>
    <w:p>
      <w:pPr>
        <w:rPr>
          <w:color w:val="auto"/>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embedRegular r:id="rId1" w:fontKey="{AE36F18C-9F97-45D6-9136-E6601B058E3F}"/>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714B347E-1811-49B6-B5C1-2316C27987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112</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112</w:t>
    </w:r>
    <w:r>
      <w:rPr>
        <w:bCs/>
        <w:sz w:val="24"/>
        <w:szCs w:val="24"/>
      </w:rPr>
      <w:fldChar w:fldCharType="end"/>
    </w:r>
    <w:r>
      <w:rPr>
        <w:b/>
        <w:bCs/>
        <w:sz w:val="24"/>
        <w:szCs w:val="24"/>
      </w:rPr>
      <w:t xml:space="preserve"> </w:t>
    </w:r>
    <w:r>
      <w:rPr>
        <w:rFonts w:hint="eastAsia"/>
      </w:rPr>
      <w:t>页</w: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89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89</w:t>
    </w:r>
    <w:r>
      <w:rPr>
        <w:bCs/>
      </w:rPr>
      <w:fldChar w:fldCharType="end"/>
    </w:r>
    <w:r>
      <w:rPr>
        <w:rFonts w:hint="eastAsia"/>
        <w:bCs/>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1E63B6"/>
    <w:rsid w:val="000011AE"/>
    <w:rsid w:val="000038FC"/>
    <w:rsid w:val="00004430"/>
    <w:rsid w:val="00006AEC"/>
    <w:rsid w:val="000072BC"/>
    <w:rsid w:val="00015A2E"/>
    <w:rsid w:val="00015FE7"/>
    <w:rsid w:val="000245A6"/>
    <w:rsid w:val="00024863"/>
    <w:rsid w:val="0002570D"/>
    <w:rsid w:val="00027708"/>
    <w:rsid w:val="00035595"/>
    <w:rsid w:val="000355F7"/>
    <w:rsid w:val="00037773"/>
    <w:rsid w:val="00040BE6"/>
    <w:rsid w:val="00040F92"/>
    <w:rsid w:val="00046C4B"/>
    <w:rsid w:val="0005128F"/>
    <w:rsid w:val="00052FA1"/>
    <w:rsid w:val="00054A52"/>
    <w:rsid w:val="00054D9C"/>
    <w:rsid w:val="000622F9"/>
    <w:rsid w:val="000640CD"/>
    <w:rsid w:val="00073608"/>
    <w:rsid w:val="0007442C"/>
    <w:rsid w:val="00075BAB"/>
    <w:rsid w:val="000768C6"/>
    <w:rsid w:val="000770B9"/>
    <w:rsid w:val="00077390"/>
    <w:rsid w:val="0008097F"/>
    <w:rsid w:val="00084D8D"/>
    <w:rsid w:val="000853A8"/>
    <w:rsid w:val="00086BE3"/>
    <w:rsid w:val="00087B8C"/>
    <w:rsid w:val="00094AF8"/>
    <w:rsid w:val="000A31BD"/>
    <w:rsid w:val="000A34F7"/>
    <w:rsid w:val="000A65CD"/>
    <w:rsid w:val="000A6E56"/>
    <w:rsid w:val="000A73D7"/>
    <w:rsid w:val="000A741F"/>
    <w:rsid w:val="000B2C34"/>
    <w:rsid w:val="000B4B09"/>
    <w:rsid w:val="000B4C3E"/>
    <w:rsid w:val="000C0A18"/>
    <w:rsid w:val="000C1661"/>
    <w:rsid w:val="000C18B7"/>
    <w:rsid w:val="000C3ED8"/>
    <w:rsid w:val="000C50F4"/>
    <w:rsid w:val="000C5175"/>
    <w:rsid w:val="000C5D06"/>
    <w:rsid w:val="000C68C6"/>
    <w:rsid w:val="000C6A11"/>
    <w:rsid w:val="000D0B5D"/>
    <w:rsid w:val="000D52B3"/>
    <w:rsid w:val="000D5537"/>
    <w:rsid w:val="000D75D3"/>
    <w:rsid w:val="000E2C18"/>
    <w:rsid w:val="000E3ECA"/>
    <w:rsid w:val="000E4A4F"/>
    <w:rsid w:val="000E4D54"/>
    <w:rsid w:val="000E6FBC"/>
    <w:rsid w:val="000F0A84"/>
    <w:rsid w:val="0010178C"/>
    <w:rsid w:val="001059DC"/>
    <w:rsid w:val="0010738F"/>
    <w:rsid w:val="001128FD"/>
    <w:rsid w:val="0011440A"/>
    <w:rsid w:val="00114519"/>
    <w:rsid w:val="00116660"/>
    <w:rsid w:val="001233ED"/>
    <w:rsid w:val="001248BF"/>
    <w:rsid w:val="00126E5F"/>
    <w:rsid w:val="00127946"/>
    <w:rsid w:val="00131E91"/>
    <w:rsid w:val="001450A8"/>
    <w:rsid w:val="001523C0"/>
    <w:rsid w:val="00152F07"/>
    <w:rsid w:val="0015711A"/>
    <w:rsid w:val="001644BA"/>
    <w:rsid w:val="001647C7"/>
    <w:rsid w:val="00165203"/>
    <w:rsid w:val="00166309"/>
    <w:rsid w:val="00170004"/>
    <w:rsid w:val="00173AD5"/>
    <w:rsid w:val="00174AE6"/>
    <w:rsid w:val="001758D3"/>
    <w:rsid w:val="00177B51"/>
    <w:rsid w:val="0018078B"/>
    <w:rsid w:val="00183284"/>
    <w:rsid w:val="00183344"/>
    <w:rsid w:val="00183D91"/>
    <w:rsid w:val="0019079B"/>
    <w:rsid w:val="0019236A"/>
    <w:rsid w:val="0019516A"/>
    <w:rsid w:val="0019682B"/>
    <w:rsid w:val="001A1FCB"/>
    <w:rsid w:val="001A2E8C"/>
    <w:rsid w:val="001A450E"/>
    <w:rsid w:val="001B42C9"/>
    <w:rsid w:val="001B57D6"/>
    <w:rsid w:val="001B74B3"/>
    <w:rsid w:val="001C0DCD"/>
    <w:rsid w:val="001C2086"/>
    <w:rsid w:val="001C4AC2"/>
    <w:rsid w:val="001C5129"/>
    <w:rsid w:val="001C6FAA"/>
    <w:rsid w:val="001D00B3"/>
    <w:rsid w:val="001D5A65"/>
    <w:rsid w:val="001D6B15"/>
    <w:rsid w:val="001E4158"/>
    <w:rsid w:val="001E429C"/>
    <w:rsid w:val="001E6227"/>
    <w:rsid w:val="001E63B6"/>
    <w:rsid w:val="001E6DD8"/>
    <w:rsid w:val="001F0290"/>
    <w:rsid w:val="001F6A01"/>
    <w:rsid w:val="00201041"/>
    <w:rsid w:val="00202DB9"/>
    <w:rsid w:val="002052FA"/>
    <w:rsid w:val="00215B7A"/>
    <w:rsid w:val="00223D5B"/>
    <w:rsid w:val="002246BD"/>
    <w:rsid w:val="0022528C"/>
    <w:rsid w:val="002258BB"/>
    <w:rsid w:val="00225B7D"/>
    <w:rsid w:val="002260FC"/>
    <w:rsid w:val="002261D1"/>
    <w:rsid w:val="002315B7"/>
    <w:rsid w:val="00232CE5"/>
    <w:rsid w:val="002347FE"/>
    <w:rsid w:val="0024360C"/>
    <w:rsid w:val="00244C9A"/>
    <w:rsid w:val="002451A7"/>
    <w:rsid w:val="00247373"/>
    <w:rsid w:val="00253D15"/>
    <w:rsid w:val="00257B80"/>
    <w:rsid w:val="00260C05"/>
    <w:rsid w:val="00261575"/>
    <w:rsid w:val="00262407"/>
    <w:rsid w:val="002625F0"/>
    <w:rsid w:val="00274B30"/>
    <w:rsid w:val="00275E0E"/>
    <w:rsid w:val="0028146F"/>
    <w:rsid w:val="002814FB"/>
    <w:rsid w:val="002831F6"/>
    <w:rsid w:val="0028354E"/>
    <w:rsid w:val="00290CBF"/>
    <w:rsid w:val="0029590E"/>
    <w:rsid w:val="002A3EB3"/>
    <w:rsid w:val="002A3FFE"/>
    <w:rsid w:val="002B13FF"/>
    <w:rsid w:val="002B1734"/>
    <w:rsid w:val="002B4CD8"/>
    <w:rsid w:val="002B5DBC"/>
    <w:rsid w:val="002B6253"/>
    <w:rsid w:val="002B7342"/>
    <w:rsid w:val="002B7423"/>
    <w:rsid w:val="002B7CA9"/>
    <w:rsid w:val="002C4A4A"/>
    <w:rsid w:val="002D0003"/>
    <w:rsid w:val="002D1442"/>
    <w:rsid w:val="002D4DEB"/>
    <w:rsid w:val="002D5E50"/>
    <w:rsid w:val="002D631F"/>
    <w:rsid w:val="002E38F2"/>
    <w:rsid w:val="002E4079"/>
    <w:rsid w:val="002F413C"/>
    <w:rsid w:val="002F56C7"/>
    <w:rsid w:val="002F68EE"/>
    <w:rsid w:val="002F7DEF"/>
    <w:rsid w:val="003014E2"/>
    <w:rsid w:val="00302BB0"/>
    <w:rsid w:val="00302D85"/>
    <w:rsid w:val="00305223"/>
    <w:rsid w:val="00307029"/>
    <w:rsid w:val="0030753D"/>
    <w:rsid w:val="00311DA1"/>
    <w:rsid w:val="003121B1"/>
    <w:rsid w:val="0031220C"/>
    <w:rsid w:val="00313FC3"/>
    <w:rsid w:val="0031709C"/>
    <w:rsid w:val="003201D5"/>
    <w:rsid w:val="003223D5"/>
    <w:rsid w:val="00322AA4"/>
    <w:rsid w:val="00325EF0"/>
    <w:rsid w:val="00326230"/>
    <w:rsid w:val="00326290"/>
    <w:rsid w:val="00330DA7"/>
    <w:rsid w:val="00332C2D"/>
    <w:rsid w:val="00335872"/>
    <w:rsid w:val="00340ADC"/>
    <w:rsid w:val="003462FF"/>
    <w:rsid w:val="00347A73"/>
    <w:rsid w:val="00347CB0"/>
    <w:rsid w:val="0035073B"/>
    <w:rsid w:val="00352495"/>
    <w:rsid w:val="00353707"/>
    <w:rsid w:val="0035396A"/>
    <w:rsid w:val="00353A70"/>
    <w:rsid w:val="00354BE6"/>
    <w:rsid w:val="0035524D"/>
    <w:rsid w:val="00356FAD"/>
    <w:rsid w:val="00357E51"/>
    <w:rsid w:val="003628C2"/>
    <w:rsid w:val="00363759"/>
    <w:rsid w:val="00364854"/>
    <w:rsid w:val="00366BB7"/>
    <w:rsid w:val="003721DF"/>
    <w:rsid w:val="0037339C"/>
    <w:rsid w:val="003748D5"/>
    <w:rsid w:val="0037694B"/>
    <w:rsid w:val="00381884"/>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D7330"/>
    <w:rsid w:val="003E006E"/>
    <w:rsid w:val="003E30F8"/>
    <w:rsid w:val="003E399E"/>
    <w:rsid w:val="003E6830"/>
    <w:rsid w:val="003E77E5"/>
    <w:rsid w:val="003F3875"/>
    <w:rsid w:val="003F42C0"/>
    <w:rsid w:val="003F51B0"/>
    <w:rsid w:val="003F5ED8"/>
    <w:rsid w:val="004033E1"/>
    <w:rsid w:val="0040492B"/>
    <w:rsid w:val="00405E84"/>
    <w:rsid w:val="0040607F"/>
    <w:rsid w:val="004161F5"/>
    <w:rsid w:val="00417860"/>
    <w:rsid w:val="00420A7A"/>
    <w:rsid w:val="004235AF"/>
    <w:rsid w:val="0042558D"/>
    <w:rsid w:val="00427A89"/>
    <w:rsid w:val="0043107A"/>
    <w:rsid w:val="00431575"/>
    <w:rsid w:val="00432C43"/>
    <w:rsid w:val="004359C6"/>
    <w:rsid w:val="004360FC"/>
    <w:rsid w:val="004378C7"/>
    <w:rsid w:val="00437B9C"/>
    <w:rsid w:val="00437FC4"/>
    <w:rsid w:val="00441805"/>
    <w:rsid w:val="004450F0"/>
    <w:rsid w:val="00453C27"/>
    <w:rsid w:val="004551D1"/>
    <w:rsid w:val="0045753C"/>
    <w:rsid w:val="004577C3"/>
    <w:rsid w:val="0046033B"/>
    <w:rsid w:val="0046038A"/>
    <w:rsid w:val="00460F3E"/>
    <w:rsid w:val="0046342F"/>
    <w:rsid w:val="004644D3"/>
    <w:rsid w:val="00464570"/>
    <w:rsid w:val="0047041D"/>
    <w:rsid w:val="004761B2"/>
    <w:rsid w:val="00481AFA"/>
    <w:rsid w:val="004909A8"/>
    <w:rsid w:val="00491256"/>
    <w:rsid w:val="0049337D"/>
    <w:rsid w:val="00496068"/>
    <w:rsid w:val="004A04D0"/>
    <w:rsid w:val="004B093D"/>
    <w:rsid w:val="004B47B9"/>
    <w:rsid w:val="004B604C"/>
    <w:rsid w:val="004C6489"/>
    <w:rsid w:val="004D243C"/>
    <w:rsid w:val="004D43DB"/>
    <w:rsid w:val="004D7261"/>
    <w:rsid w:val="004E4ADE"/>
    <w:rsid w:val="004E5028"/>
    <w:rsid w:val="004E5F4E"/>
    <w:rsid w:val="004F170F"/>
    <w:rsid w:val="004F2802"/>
    <w:rsid w:val="004F5770"/>
    <w:rsid w:val="0050011E"/>
    <w:rsid w:val="00500A3D"/>
    <w:rsid w:val="00500B9E"/>
    <w:rsid w:val="00503499"/>
    <w:rsid w:val="00506433"/>
    <w:rsid w:val="00506501"/>
    <w:rsid w:val="00507BC4"/>
    <w:rsid w:val="00507D6B"/>
    <w:rsid w:val="0051155D"/>
    <w:rsid w:val="00513DB6"/>
    <w:rsid w:val="005203A7"/>
    <w:rsid w:val="00520849"/>
    <w:rsid w:val="00524E92"/>
    <w:rsid w:val="00531E28"/>
    <w:rsid w:val="00531FCC"/>
    <w:rsid w:val="005344B1"/>
    <w:rsid w:val="005423E7"/>
    <w:rsid w:val="00543A1A"/>
    <w:rsid w:val="00544D51"/>
    <w:rsid w:val="00552B78"/>
    <w:rsid w:val="005572B4"/>
    <w:rsid w:val="0056010A"/>
    <w:rsid w:val="00561217"/>
    <w:rsid w:val="00561994"/>
    <w:rsid w:val="00563302"/>
    <w:rsid w:val="00571307"/>
    <w:rsid w:val="005743EA"/>
    <w:rsid w:val="00576F2E"/>
    <w:rsid w:val="005811E6"/>
    <w:rsid w:val="00581210"/>
    <w:rsid w:val="00581FC3"/>
    <w:rsid w:val="005832B2"/>
    <w:rsid w:val="005851F1"/>
    <w:rsid w:val="0058647F"/>
    <w:rsid w:val="005910B4"/>
    <w:rsid w:val="00596567"/>
    <w:rsid w:val="00596A23"/>
    <w:rsid w:val="005A076D"/>
    <w:rsid w:val="005B735D"/>
    <w:rsid w:val="005B7D41"/>
    <w:rsid w:val="005C4A71"/>
    <w:rsid w:val="005C6F40"/>
    <w:rsid w:val="005C740C"/>
    <w:rsid w:val="005D01D2"/>
    <w:rsid w:val="005D39D6"/>
    <w:rsid w:val="005D3F95"/>
    <w:rsid w:val="005D4119"/>
    <w:rsid w:val="005D4C1A"/>
    <w:rsid w:val="005D66C2"/>
    <w:rsid w:val="005E2AC9"/>
    <w:rsid w:val="005E3741"/>
    <w:rsid w:val="005E4D67"/>
    <w:rsid w:val="005F212F"/>
    <w:rsid w:val="005F3D7C"/>
    <w:rsid w:val="0060149A"/>
    <w:rsid w:val="00602D7E"/>
    <w:rsid w:val="00603BD0"/>
    <w:rsid w:val="0060555D"/>
    <w:rsid w:val="00606161"/>
    <w:rsid w:val="006062B3"/>
    <w:rsid w:val="006077F0"/>
    <w:rsid w:val="00607B1C"/>
    <w:rsid w:val="00612EB1"/>
    <w:rsid w:val="0061352C"/>
    <w:rsid w:val="00613CF6"/>
    <w:rsid w:val="00615762"/>
    <w:rsid w:val="006162E7"/>
    <w:rsid w:val="006165C8"/>
    <w:rsid w:val="00616D01"/>
    <w:rsid w:val="006175B4"/>
    <w:rsid w:val="00617AAD"/>
    <w:rsid w:val="0062009E"/>
    <w:rsid w:val="00621CDC"/>
    <w:rsid w:val="006221D7"/>
    <w:rsid w:val="006229B2"/>
    <w:rsid w:val="00625E3D"/>
    <w:rsid w:val="00627483"/>
    <w:rsid w:val="00630B61"/>
    <w:rsid w:val="006402A6"/>
    <w:rsid w:val="00641F82"/>
    <w:rsid w:val="00644B65"/>
    <w:rsid w:val="006530F8"/>
    <w:rsid w:val="006537BE"/>
    <w:rsid w:val="00654185"/>
    <w:rsid w:val="006608CD"/>
    <w:rsid w:val="006654C0"/>
    <w:rsid w:val="00681997"/>
    <w:rsid w:val="006838CB"/>
    <w:rsid w:val="0068405C"/>
    <w:rsid w:val="00691017"/>
    <w:rsid w:val="0069152C"/>
    <w:rsid w:val="0069350F"/>
    <w:rsid w:val="00697959"/>
    <w:rsid w:val="006A2385"/>
    <w:rsid w:val="006A29A5"/>
    <w:rsid w:val="006A2BD9"/>
    <w:rsid w:val="006A3C57"/>
    <w:rsid w:val="006A4F83"/>
    <w:rsid w:val="006A5072"/>
    <w:rsid w:val="006B053D"/>
    <w:rsid w:val="006B5151"/>
    <w:rsid w:val="006B6901"/>
    <w:rsid w:val="006C2D84"/>
    <w:rsid w:val="006C2F7D"/>
    <w:rsid w:val="006C3580"/>
    <w:rsid w:val="006C3F4D"/>
    <w:rsid w:val="006C6349"/>
    <w:rsid w:val="006D15E1"/>
    <w:rsid w:val="006D479F"/>
    <w:rsid w:val="006E0C8F"/>
    <w:rsid w:val="006E2E51"/>
    <w:rsid w:val="006E781C"/>
    <w:rsid w:val="006F6DB2"/>
    <w:rsid w:val="006F7BDA"/>
    <w:rsid w:val="00704B3A"/>
    <w:rsid w:val="007104C1"/>
    <w:rsid w:val="00710CF8"/>
    <w:rsid w:val="00711E08"/>
    <w:rsid w:val="007138FD"/>
    <w:rsid w:val="00716BB1"/>
    <w:rsid w:val="007172FD"/>
    <w:rsid w:val="007200C8"/>
    <w:rsid w:val="007215F6"/>
    <w:rsid w:val="00721BAA"/>
    <w:rsid w:val="00724AB0"/>
    <w:rsid w:val="0073538D"/>
    <w:rsid w:val="0074384D"/>
    <w:rsid w:val="00744B76"/>
    <w:rsid w:val="00745968"/>
    <w:rsid w:val="00747A3E"/>
    <w:rsid w:val="007620A1"/>
    <w:rsid w:val="007730C9"/>
    <w:rsid w:val="00775150"/>
    <w:rsid w:val="00776B48"/>
    <w:rsid w:val="00777ED3"/>
    <w:rsid w:val="0078099D"/>
    <w:rsid w:val="00786623"/>
    <w:rsid w:val="00787DE8"/>
    <w:rsid w:val="00791027"/>
    <w:rsid w:val="007942D8"/>
    <w:rsid w:val="00794983"/>
    <w:rsid w:val="00795CCB"/>
    <w:rsid w:val="00796ED7"/>
    <w:rsid w:val="007A528D"/>
    <w:rsid w:val="007A7740"/>
    <w:rsid w:val="007B4F1D"/>
    <w:rsid w:val="007B743F"/>
    <w:rsid w:val="007C002A"/>
    <w:rsid w:val="007C024B"/>
    <w:rsid w:val="007C6CE3"/>
    <w:rsid w:val="007C6CF8"/>
    <w:rsid w:val="007C70C8"/>
    <w:rsid w:val="007D408A"/>
    <w:rsid w:val="007D4A5A"/>
    <w:rsid w:val="007D6B20"/>
    <w:rsid w:val="007D7194"/>
    <w:rsid w:val="007E0673"/>
    <w:rsid w:val="007E1B71"/>
    <w:rsid w:val="007E32FC"/>
    <w:rsid w:val="007E61CF"/>
    <w:rsid w:val="007F01A2"/>
    <w:rsid w:val="007F0378"/>
    <w:rsid w:val="007F16E5"/>
    <w:rsid w:val="007F2ABC"/>
    <w:rsid w:val="007F2DC4"/>
    <w:rsid w:val="007F7FEC"/>
    <w:rsid w:val="0081027D"/>
    <w:rsid w:val="00813BE8"/>
    <w:rsid w:val="00817B3D"/>
    <w:rsid w:val="00822299"/>
    <w:rsid w:val="008270D5"/>
    <w:rsid w:val="008279A7"/>
    <w:rsid w:val="00831B7F"/>
    <w:rsid w:val="00833FA5"/>
    <w:rsid w:val="008457EA"/>
    <w:rsid w:val="0085250F"/>
    <w:rsid w:val="008525D6"/>
    <w:rsid w:val="0085388E"/>
    <w:rsid w:val="00856F5E"/>
    <w:rsid w:val="008604D1"/>
    <w:rsid w:val="00863AD3"/>
    <w:rsid w:val="008659E9"/>
    <w:rsid w:val="0087095D"/>
    <w:rsid w:val="00871835"/>
    <w:rsid w:val="00871F12"/>
    <w:rsid w:val="00875420"/>
    <w:rsid w:val="00876184"/>
    <w:rsid w:val="00880A50"/>
    <w:rsid w:val="00884732"/>
    <w:rsid w:val="00885BC0"/>
    <w:rsid w:val="0089007C"/>
    <w:rsid w:val="008928AE"/>
    <w:rsid w:val="00893092"/>
    <w:rsid w:val="00894583"/>
    <w:rsid w:val="00897CB3"/>
    <w:rsid w:val="008A4C9B"/>
    <w:rsid w:val="008B08C5"/>
    <w:rsid w:val="008B1E5A"/>
    <w:rsid w:val="008B20B2"/>
    <w:rsid w:val="008B5FA0"/>
    <w:rsid w:val="008B6384"/>
    <w:rsid w:val="008B6557"/>
    <w:rsid w:val="008B74A7"/>
    <w:rsid w:val="008C02C2"/>
    <w:rsid w:val="008C1CB3"/>
    <w:rsid w:val="008C4061"/>
    <w:rsid w:val="008C7F21"/>
    <w:rsid w:val="008D1795"/>
    <w:rsid w:val="008D4357"/>
    <w:rsid w:val="008D565D"/>
    <w:rsid w:val="008D6357"/>
    <w:rsid w:val="008E5EA1"/>
    <w:rsid w:val="008E6AB7"/>
    <w:rsid w:val="008F13C0"/>
    <w:rsid w:val="008F38EE"/>
    <w:rsid w:val="009001CB"/>
    <w:rsid w:val="009004F6"/>
    <w:rsid w:val="00906D13"/>
    <w:rsid w:val="009077A0"/>
    <w:rsid w:val="009113DE"/>
    <w:rsid w:val="00913121"/>
    <w:rsid w:val="00916455"/>
    <w:rsid w:val="009171D5"/>
    <w:rsid w:val="00917709"/>
    <w:rsid w:val="00917C84"/>
    <w:rsid w:val="00920A7F"/>
    <w:rsid w:val="009220F2"/>
    <w:rsid w:val="009227C1"/>
    <w:rsid w:val="00922805"/>
    <w:rsid w:val="00923EDB"/>
    <w:rsid w:val="009242CA"/>
    <w:rsid w:val="00925D9A"/>
    <w:rsid w:val="00926978"/>
    <w:rsid w:val="0092709D"/>
    <w:rsid w:val="00932BD9"/>
    <w:rsid w:val="009362FB"/>
    <w:rsid w:val="00936AE7"/>
    <w:rsid w:val="00940092"/>
    <w:rsid w:val="00941C9F"/>
    <w:rsid w:val="009432B5"/>
    <w:rsid w:val="00944EF1"/>
    <w:rsid w:val="0094670F"/>
    <w:rsid w:val="009479D0"/>
    <w:rsid w:val="00955FFF"/>
    <w:rsid w:val="00961BA9"/>
    <w:rsid w:val="00967923"/>
    <w:rsid w:val="009701D2"/>
    <w:rsid w:val="00970774"/>
    <w:rsid w:val="00970E6E"/>
    <w:rsid w:val="00972FAE"/>
    <w:rsid w:val="0097462A"/>
    <w:rsid w:val="00986292"/>
    <w:rsid w:val="00987779"/>
    <w:rsid w:val="00994CD6"/>
    <w:rsid w:val="00995C73"/>
    <w:rsid w:val="009A0A28"/>
    <w:rsid w:val="009A2AA5"/>
    <w:rsid w:val="009A63FB"/>
    <w:rsid w:val="009B55D4"/>
    <w:rsid w:val="009B787A"/>
    <w:rsid w:val="009B7A49"/>
    <w:rsid w:val="009B7AD9"/>
    <w:rsid w:val="009C2EA3"/>
    <w:rsid w:val="009C387D"/>
    <w:rsid w:val="009C571F"/>
    <w:rsid w:val="009D0461"/>
    <w:rsid w:val="009D4188"/>
    <w:rsid w:val="009D4EFC"/>
    <w:rsid w:val="009D673F"/>
    <w:rsid w:val="009D7FA3"/>
    <w:rsid w:val="009E216D"/>
    <w:rsid w:val="009E6283"/>
    <w:rsid w:val="009E63CA"/>
    <w:rsid w:val="009F154A"/>
    <w:rsid w:val="009F34CB"/>
    <w:rsid w:val="009F5AB4"/>
    <w:rsid w:val="009F7460"/>
    <w:rsid w:val="009F7B14"/>
    <w:rsid w:val="00A03E44"/>
    <w:rsid w:val="00A075A8"/>
    <w:rsid w:val="00A10A7B"/>
    <w:rsid w:val="00A124EB"/>
    <w:rsid w:val="00A12FCF"/>
    <w:rsid w:val="00A15F6A"/>
    <w:rsid w:val="00A206B4"/>
    <w:rsid w:val="00A216B3"/>
    <w:rsid w:val="00A24907"/>
    <w:rsid w:val="00A311C2"/>
    <w:rsid w:val="00A32233"/>
    <w:rsid w:val="00A33DC9"/>
    <w:rsid w:val="00A35C97"/>
    <w:rsid w:val="00A36A24"/>
    <w:rsid w:val="00A376FB"/>
    <w:rsid w:val="00A45306"/>
    <w:rsid w:val="00A45D73"/>
    <w:rsid w:val="00A46EE3"/>
    <w:rsid w:val="00A5427D"/>
    <w:rsid w:val="00A565B7"/>
    <w:rsid w:val="00A56695"/>
    <w:rsid w:val="00A62F8C"/>
    <w:rsid w:val="00A63B2B"/>
    <w:rsid w:val="00A64725"/>
    <w:rsid w:val="00A64D84"/>
    <w:rsid w:val="00A6666A"/>
    <w:rsid w:val="00A670F4"/>
    <w:rsid w:val="00A7054A"/>
    <w:rsid w:val="00A73490"/>
    <w:rsid w:val="00A80071"/>
    <w:rsid w:val="00A819B6"/>
    <w:rsid w:val="00A86B67"/>
    <w:rsid w:val="00A91C8B"/>
    <w:rsid w:val="00A95824"/>
    <w:rsid w:val="00AB1617"/>
    <w:rsid w:val="00AB2EDC"/>
    <w:rsid w:val="00AB47F4"/>
    <w:rsid w:val="00AC136E"/>
    <w:rsid w:val="00AC1F6A"/>
    <w:rsid w:val="00AC2A4D"/>
    <w:rsid w:val="00AC413D"/>
    <w:rsid w:val="00AD3A9D"/>
    <w:rsid w:val="00AD61F2"/>
    <w:rsid w:val="00AD79D3"/>
    <w:rsid w:val="00AE37C5"/>
    <w:rsid w:val="00AE3C1D"/>
    <w:rsid w:val="00AE5434"/>
    <w:rsid w:val="00AE6DBF"/>
    <w:rsid w:val="00AE75DB"/>
    <w:rsid w:val="00AF43D3"/>
    <w:rsid w:val="00B0092D"/>
    <w:rsid w:val="00B01C60"/>
    <w:rsid w:val="00B01D22"/>
    <w:rsid w:val="00B03A00"/>
    <w:rsid w:val="00B0445D"/>
    <w:rsid w:val="00B0447C"/>
    <w:rsid w:val="00B05E53"/>
    <w:rsid w:val="00B072AA"/>
    <w:rsid w:val="00B07904"/>
    <w:rsid w:val="00B10650"/>
    <w:rsid w:val="00B10E08"/>
    <w:rsid w:val="00B11436"/>
    <w:rsid w:val="00B12341"/>
    <w:rsid w:val="00B25D19"/>
    <w:rsid w:val="00B264D5"/>
    <w:rsid w:val="00B31C9B"/>
    <w:rsid w:val="00B359D9"/>
    <w:rsid w:val="00B35BC7"/>
    <w:rsid w:val="00B40B8B"/>
    <w:rsid w:val="00B4150A"/>
    <w:rsid w:val="00B4404D"/>
    <w:rsid w:val="00B50993"/>
    <w:rsid w:val="00B63168"/>
    <w:rsid w:val="00B63E9B"/>
    <w:rsid w:val="00B64963"/>
    <w:rsid w:val="00B70085"/>
    <w:rsid w:val="00B7079D"/>
    <w:rsid w:val="00B7099F"/>
    <w:rsid w:val="00B71873"/>
    <w:rsid w:val="00B72A5D"/>
    <w:rsid w:val="00B736B7"/>
    <w:rsid w:val="00B73C45"/>
    <w:rsid w:val="00B82E01"/>
    <w:rsid w:val="00B84DD7"/>
    <w:rsid w:val="00B85984"/>
    <w:rsid w:val="00B90184"/>
    <w:rsid w:val="00B91811"/>
    <w:rsid w:val="00B94460"/>
    <w:rsid w:val="00B94A0A"/>
    <w:rsid w:val="00B9561A"/>
    <w:rsid w:val="00BA437F"/>
    <w:rsid w:val="00BA5C29"/>
    <w:rsid w:val="00BA695E"/>
    <w:rsid w:val="00BA757C"/>
    <w:rsid w:val="00BB34F3"/>
    <w:rsid w:val="00BB6C9A"/>
    <w:rsid w:val="00BC0594"/>
    <w:rsid w:val="00BC11FC"/>
    <w:rsid w:val="00BC1F54"/>
    <w:rsid w:val="00BC4C9D"/>
    <w:rsid w:val="00BC54FC"/>
    <w:rsid w:val="00BD2118"/>
    <w:rsid w:val="00BD2D76"/>
    <w:rsid w:val="00BD3BD1"/>
    <w:rsid w:val="00BD5092"/>
    <w:rsid w:val="00BD5997"/>
    <w:rsid w:val="00BD7C32"/>
    <w:rsid w:val="00BE2751"/>
    <w:rsid w:val="00BE441F"/>
    <w:rsid w:val="00BE6F50"/>
    <w:rsid w:val="00BF1BA3"/>
    <w:rsid w:val="00BF37EA"/>
    <w:rsid w:val="00BF588D"/>
    <w:rsid w:val="00C01E27"/>
    <w:rsid w:val="00C03447"/>
    <w:rsid w:val="00C059B7"/>
    <w:rsid w:val="00C0698C"/>
    <w:rsid w:val="00C07EF5"/>
    <w:rsid w:val="00C128FE"/>
    <w:rsid w:val="00C132BC"/>
    <w:rsid w:val="00C13304"/>
    <w:rsid w:val="00C1777A"/>
    <w:rsid w:val="00C212E3"/>
    <w:rsid w:val="00C22FAE"/>
    <w:rsid w:val="00C24C44"/>
    <w:rsid w:val="00C26B0C"/>
    <w:rsid w:val="00C30F18"/>
    <w:rsid w:val="00C324B7"/>
    <w:rsid w:val="00C331D1"/>
    <w:rsid w:val="00C35958"/>
    <w:rsid w:val="00C372A8"/>
    <w:rsid w:val="00C375FF"/>
    <w:rsid w:val="00C37858"/>
    <w:rsid w:val="00C40848"/>
    <w:rsid w:val="00C42920"/>
    <w:rsid w:val="00C50E47"/>
    <w:rsid w:val="00C562AA"/>
    <w:rsid w:val="00C574F4"/>
    <w:rsid w:val="00C642B2"/>
    <w:rsid w:val="00C747C6"/>
    <w:rsid w:val="00C756C3"/>
    <w:rsid w:val="00C80F66"/>
    <w:rsid w:val="00C84179"/>
    <w:rsid w:val="00C84AE8"/>
    <w:rsid w:val="00C85D1B"/>
    <w:rsid w:val="00C879ED"/>
    <w:rsid w:val="00C96DDA"/>
    <w:rsid w:val="00CA7F1F"/>
    <w:rsid w:val="00CB5D3E"/>
    <w:rsid w:val="00CC4C46"/>
    <w:rsid w:val="00CC4ECF"/>
    <w:rsid w:val="00CC61FE"/>
    <w:rsid w:val="00CC6AAB"/>
    <w:rsid w:val="00CC77FF"/>
    <w:rsid w:val="00CC7CF5"/>
    <w:rsid w:val="00CD0F91"/>
    <w:rsid w:val="00CD547C"/>
    <w:rsid w:val="00CD5F94"/>
    <w:rsid w:val="00CE2497"/>
    <w:rsid w:val="00CE2D01"/>
    <w:rsid w:val="00CE3C5A"/>
    <w:rsid w:val="00CE521F"/>
    <w:rsid w:val="00CE59C6"/>
    <w:rsid w:val="00CE5E6C"/>
    <w:rsid w:val="00CE7586"/>
    <w:rsid w:val="00CF3CC1"/>
    <w:rsid w:val="00CF66F7"/>
    <w:rsid w:val="00D03659"/>
    <w:rsid w:val="00D03EDF"/>
    <w:rsid w:val="00D10DC0"/>
    <w:rsid w:val="00D11555"/>
    <w:rsid w:val="00D13D6D"/>
    <w:rsid w:val="00D20C74"/>
    <w:rsid w:val="00D223ED"/>
    <w:rsid w:val="00D24FD7"/>
    <w:rsid w:val="00D25647"/>
    <w:rsid w:val="00D34FE4"/>
    <w:rsid w:val="00D377A7"/>
    <w:rsid w:val="00D40E2E"/>
    <w:rsid w:val="00D42395"/>
    <w:rsid w:val="00D42D62"/>
    <w:rsid w:val="00D437DF"/>
    <w:rsid w:val="00D44C95"/>
    <w:rsid w:val="00D452A7"/>
    <w:rsid w:val="00D4584F"/>
    <w:rsid w:val="00D54725"/>
    <w:rsid w:val="00D559FF"/>
    <w:rsid w:val="00D62B8C"/>
    <w:rsid w:val="00D63276"/>
    <w:rsid w:val="00D66F39"/>
    <w:rsid w:val="00D7064B"/>
    <w:rsid w:val="00D736D5"/>
    <w:rsid w:val="00D8128B"/>
    <w:rsid w:val="00D82CE7"/>
    <w:rsid w:val="00D8468B"/>
    <w:rsid w:val="00D84B36"/>
    <w:rsid w:val="00D85853"/>
    <w:rsid w:val="00D92E56"/>
    <w:rsid w:val="00D936A0"/>
    <w:rsid w:val="00D94BFC"/>
    <w:rsid w:val="00D97162"/>
    <w:rsid w:val="00D97CE9"/>
    <w:rsid w:val="00DA36E7"/>
    <w:rsid w:val="00DA41D8"/>
    <w:rsid w:val="00DA4FC7"/>
    <w:rsid w:val="00DA550D"/>
    <w:rsid w:val="00DA62C5"/>
    <w:rsid w:val="00DA7017"/>
    <w:rsid w:val="00DB13DD"/>
    <w:rsid w:val="00DB1B31"/>
    <w:rsid w:val="00DB1C27"/>
    <w:rsid w:val="00DB38EE"/>
    <w:rsid w:val="00DB4EAD"/>
    <w:rsid w:val="00DB7973"/>
    <w:rsid w:val="00DC13AB"/>
    <w:rsid w:val="00DC5EF2"/>
    <w:rsid w:val="00DC6748"/>
    <w:rsid w:val="00DC7EF7"/>
    <w:rsid w:val="00DD140C"/>
    <w:rsid w:val="00DD6B5E"/>
    <w:rsid w:val="00DD6BD4"/>
    <w:rsid w:val="00DE2197"/>
    <w:rsid w:val="00DE5E58"/>
    <w:rsid w:val="00DE7B46"/>
    <w:rsid w:val="00DF262A"/>
    <w:rsid w:val="00DF46A3"/>
    <w:rsid w:val="00E0162C"/>
    <w:rsid w:val="00E054F4"/>
    <w:rsid w:val="00E11487"/>
    <w:rsid w:val="00E14ACC"/>
    <w:rsid w:val="00E15A8C"/>
    <w:rsid w:val="00E273DD"/>
    <w:rsid w:val="00E37A06"/>
    <w:rsid w:val="00E4144C"/>
    <w:rsid w:val="00E44F84"/>
    <w:rsid w:val="00E463C6"/>
    <w:rsid w:val="00E53121"/>
    <w:rsid w:val="00E5318E"/>
    <w:rsid w:val="00E53532"/>
    <w:rsid w:val="00E54DC3"/>
    <w:rsid w:val="00E5581F"/>
    <w:rsid w:val="00E6034D"/>
    <w:rsid w:val="00E71967"/>
    <w:rsid w:val="00E73737"/>
    <w:rsid w:val="00E754B1"/>
    <w:rsid w:val="00E801B5"/>
    <w:rsid w:val="00E805C1"/>
    <w:rsid w:val="00E905E8"/>
    <w:rsid w:val="00E93F56"/>
    <w:rsid w:val="00E943C9"/>
    <w:rsid w:val="00E952D9"/>
    <w:rsid w:val="00E96773"/>
    <w:rsid w:val="00E96B6F"/>
    <w:rsid w:val="00E97CB9"/>
    <w:rsid w:val="00EA2977"/>
    <w:rsid w:val="00EA61F5"/>
    <w:rsid w:val="00EB27E9"/>
    <w:rsid w:val="00EB37C9"/>
    <w:rsid w:val="00EB5CA6"/>
    <w:rsid w:val="00EC134E"/>
    <w:rsid w:val="00ED0445"/>
    <w:rsid w:val="00ED142F"/>
    <w:rsid w:val="00ED373A"/>
    <w:rsid w:val="00ED3C3B"/>
    <w:rsid w:val="00ED7EBF"/>
    <w:rsid w:val="00EE301C"/>
    <w:rsid w:val="00EE48C3"/>
    <w:rsid w:val="00EE5E51"/>
    <w:rsid w:val="00EF11A9"/>
    <w:rsid w:val="00EF199D"/>
    <w:rsid w:val="00EF4E12"/>
    <w:rsid w:val="00EF5326"/>
    <w:rsid w:val="00EF65F3"/>
    <w:rsid w:val="00F01510"/>
    <w:rsid w:val="00F02A6D"/>
    <w:rsid w:val="00F0424C"/>
    <w:rsid w:val="00F10495"/>
    <w:rsid w:val="00F10DA8"/>
    <w:rsid w:val="00F1168A"/>
    <w:rsid w:val="00F12A10"/>
    <w:rsid w:val="00F12CF1"/>
    <w:rsid w:val="00F131C5"/>
    <w:rsid w:val="00F2391C"/>
    <w:rsid w:val="00F31E30"/>
    <w:rsid w:val="00F3326F"/>
    <w:rsid w:val="00F34781"/>
    <w:rsid w:val="00F36568"/>
    <w:rsid w:val="00F41A5D"/>
    <w:rsid w:val="00F435D4"/>
    <w:rsid w:val="00F470A2"/>
    <w:rsid w:val="00F51F93"/>
    <w:rsid w:val="00F552E5"/>
    <w:rsid w:val="00F565E5"/>
    <w:rsid w:val="00F56AA8"/>
    <w:rsid w:val="00F67C91"/>
    <w:rsid w:val="00F723F9"/>
    <w:rsid w:val="00F72E32"/>
    <w:rsid w:val="00F7303D"/>
    <w:rsid w:val="00F75A20"/>
    <w:rsid w:val="00F82315"/>
    <w:rsid w:val="00F83D3C"/>
    <w:rsid w:val="00F840D6"/>
    <w:rsid w:val="00F8691C"/>
    <w:rsid w:val="00F87171"/>
    <w:rsid w:val="00F900BE"/>
    <w:rsid w:val="00F914D0"/>
    <w:rsid w:val="00F9212C"/>
    <w:rsid w:val="00F93D01"/>
    <w:rsid w:val="00F963A0"/>
    <w:rsid w:val="00F9710C"/>
    <w:rsid w:val="00F97392"/>
    <w:rsid w:val="00F97DF6"/>
    <w:rsid w:val="00FA4EEC"/>
    <w:rsid w:val="00FB335B"/>
    <w:rsid w:val="00FB4EAA"/>
    <w:rsid w:val="00FB4F6B"/>
    <w:rsid w:val="00FB707C"/>
    <w:rsid w:val="00FC3677"/>
    <w:rsid w:val="00FC5512"/>
    <w:rsid w:val="00FC6366"/>
    <w:rsid w:val="00FD0CD9"/>
    <w:rsid w:val="00FD2DFC"/>
    <w:rsid w:val="00FD3F1A"/>
    <w:rsid w:val="00FD4970"/>
    <w:rsid w:val="00FD6927"/>
    <w:rsid w:val="00FD7EE5"/>
    <w:rsid w:val="00FE02D9"/>
    <w:rsid w:val="00FE06D3"/>
    <w:rsid w:val="00FE0E15"/>
    <w:rsid w:val="00FE14F9"/>
    <w:rsid w:val="00FE395E"/>
    <w:rsid w:val="00FF2EFF"/>
    <w:rsid w:val="00FF4730"/>
    <w:rsid w:val="00FF4843"/>
    <w:rsid w:val="00FF5EEA"/>
    <w:rsid w:val="01400D9C"/>
    <w:rsid w:val="014D0B1B"/>
    <w:rsid w:val="016B6CDC"/>
    <w:rsid w:val="019D75EF"/>
    <w:rsid w:val="01AC75F0"/>
    <w:rsid w:val="02251150"/>
    <w:rsid w:val="02436A3D"/>
    <w:rsid w:val="024A47E7"/>
    <w:rsid w:val="02FE5AC7"/>
    <w:rsid w:val="030671D3"/>
    <w:rsid w:val="03B64756"/>
    <w:rsid w:val="04336768"/>
    <w:rsid w:val="04675A50"/>
    <w:rsid w:val="04E452F2"/>
    <w:rsid w:val="04F02831"/>
    <w:rsid w:val="05450CD4"/>
    <w:rsid w:val="058F7720"/>
    <w:rsid w:val="05DD3B11"/>
    <w:rsid w:val="05EA33DB"/>
    <w:rsid w:val="06043E9E"/>
    <w:rsid w:val="060905E2"/>
    <w:rsid w:val="06447858"/>
    <w:rsid w:val="06826B71"/>
    <w:rsid w:val="06A75D00"/>
    <w:rsid w:val="06DE3C0C"/>
    <w:rsid w:val="073065CD"/>
    <w:rsid w:val="07B606C9"/>
    <w:rsid w:val="07DC5ECE"/>
    <w:rsid w:val="080F2686"/>
    <w:rsid w:val="091E4A92"/>
    <w:rsid w:val="09427D5A"/>
    <w:rsid w:val="097F2302"/>
    <w:rsid w:val="09E000F7"/>
    <w:rsid w:val="0A2715D6"/>
    <w:rsid w:val="0ACD05EE"/>
    <w:rsid w:val="0AF34D2A"/>
    <w:rsid w:val="0B012C64"/>
    <w:rsid w:val="0B25377D"/>
    <w:rsid w:val="0B7735FE"/>
    <w:rsid w:val="0BC448C1"/>
    <w:rsid w:val="0BC74998"/>
    <w:rsid w:val="0C061FF2"/>
    <w:rsid w:val="0CA830A9"/>
    <w:rsid w:val="0CF103CF"/>
    <w:rsid w:val="0DA307A1"/>
    <w:rsid w:val="0E0F4805"/>
    <w:rsid w:val="0E236E8B"/>
    <w:rsid w:val="0E2A6EAF"/>
    <w:rsid w:val="0E2C4653"/>
    <w:rsid w:val="0E4137B5"/>
    <w:rsid w:val="0E6023C3"/>
    <w:rsid w:val="0E8D6AE2"/>
    <w:rsid w:val="0E9C0E7E"/>
    <w:rsid w:val="0EB05C44"/>
    <w:rsid w:val="0EFD148A"/>
    <w:rsid w:val="0F241091"/>
    <w:rsid w:val="0F985025"/>
    <w:rsid w:val="110731FF"/>
    <w:rsid w:val="1134315E"/>
    <w:rsid w:val="118E6503"/>
    <w:rsid w:val="11D415DD"/>
    <w:rsid w:val="124B0112"/>
    <w:rsid w:val="12884594"/>
    <w:rsid w:val="12B427A8"/>
    <w:rsid w:val="12DA1AE3"/>
    <w:rsid w:val="12E50BB3"/>
    <w:rsid w:val="130F4A87"/>
    <w:rsid w:val="13442EB6"/>
    <w:rsid w:val="13AB5EAE"/>
    <w:rsid w:val="13D6674E"/>
    <w:rsid w:val="142B0848"/>
    <w:rsid w:val="14961FB0"/>
    <w:rsid w:val="14E37374"/>
    <w:rsid w:val="156D386D"/>
    <w:rsid w:val="15A152F8"/>
    <w:rsid w:val="15AF7257"/>
    <w:rsid w:val="15C76066"/>
    <w:rsid w:val="16331C36"/>
    <w:rsid w:val="173834E0"/>
    <w:rsid w:val="174E7EF5"/>
    <w:rsid w:val="18404694"/>
    <w:rsid w:val="188449CB"/>
    <w:rsid w:val="18F51424"/>
    <w:rsid w:val="19467ED2"/>
    <w:rsid w:val="19616ABA"/>
    <w:rsid w:val="19F977AE"/>
    <w:rsid w:val="1A93020C"/>
    <w:rsid w:val="1ACD78E2"/>
    <w:rsid w:val="1AF776D6"/>
    <w:rsid w:val="1B041DF3"/>
    <w:rsid w:val="1B0653CE"/>
    <w:rsid w:val="1B0940FF"/>
    <w:rsid w:val="1B3C5B0B"/>
    <w:rsid w:val="1B546EF2"/>
    <w:rsid w:val="1B845C37"/>
    <w:rsid w:val="1C8D1B38"/>
    <w:rsid w:val="1C9D24FF"/>
    <w:rsid w:val="1CB4405D"/>
    <w:rsid w:val="1D1D719C"/>
    <w:rsid w:val="1D3764AF"/>
    <w:rsid w:val="1D3E1CD6"/>
    <w:rsid w:val="1E2471AC"/>
    <w:rsid w:val="1E6C3F37"/>
    <w:rsid w:val="1E6F613F"/>
    <w:rsid w:val="1E71154D"/>
    <w:rsid w:val="1E715CF7"/>
    <w:rsid w:val="1EA47B9E"/>
    <w:rsid w:val="1EC238B0"/>
    <w:rsid w:val="1F737547"/>
    <w:rsid w:val="1FFD330C"/>
    <w:rsid w:val="20167F3D"/>
    <w:rsid w:val="20186307"/>
    <w:rsid w:val="204D2525"/>
    <w:rsid w:val="20692E24"/>
    <w:rsid w:val="2079293B"/>
    <w:rsid w:val="207A1985"/>
    <w:rsid w:val="20F052F3"/>
    <w:rsid w:val="21627873"/>
    <w:rsid w:val="21AE2E8C"/>
    <w:rsid w:val="22394A78"/>
    <w:rsid w:val="22CC4E38"/>
    <w:rsid w:val="22EB3FC4"/>
    <w:rsid w:val="22F41F2F"/>
    <w:rsid w:val="23091403"/>
    <w:rsid w:val="237B4021"/>
    <w:rsid w:val="23B56380"/>
    <w:rsid w:val="23D4097D"/>
    <w:rsid w:val="23EE5BC2"/>
    <w:rsid w:val="23F418F7"/>
    <w:rsid w:val="2432243E"/>
    <w:rsid w:val="245F1B71"/>
    <w:rsid w:val="2460453E"/>
    <w:rsid w:val="24661428"/>
    <w:rsid w:val="24A87C93"/>
    <w:rsid w:val="24CC541E"/>
    <w:rsid w:val="24F45147"/>
    <w:rsid w:val="251161B8"/>
    <w:rsid w:val="25D86356"/>
    <w:rsid w:val="26B24DF9"/>
    <w:rsid w:val="27144997"/>
    <w:rsid w:val="275439F6"/>
    <w:rsid w:val="281F026C"/>
    <w:rsid w:val="284D1B6F"/>
    <w:rsid w:val="286E02B3"/>
    <w:rsid w:val="28CD7B64"/>
    <w:rsid w:val="28DA73F5"/>
    <w:rsid w:val="2A025DDB"/>
    <w:rsid w:val="2A435F36"/>
    <w:rsid w:val="2A4D7312"/>
    <w:rsid w:val="2A7F1496"/>
    <w:rsid w:val="2A8740F1"/>
    <w:rsid w:val="2A8766DB"/>
    <w:rsid w:val="2A930A9D"/>
    <w:rsid w:val="2B2236C2"/>
    <w:rsid w:val="2B393A92"/>
    <w:rsid w:val="2B807273"/>
    <w:rsid w:val="2BE041B6"/>
    <w:rsid w:val="2C18313F"/>
    <w:rsid w:val="2C506C46"/>
    <w:rsid w:val="2C7D13AA"/>
    <w:rsid w:val="2C85114F"/>
    <w:rsid w:val="2CFC2BFE"/>
    <w:rsid w:val="2D3A6DB2"/>
    <w:rsid w:val="2D61766D"/>
    <w:rsid w:val="2DB11966"/>
    <w:rsid w:val="2DE647BF"/>
    <w:rsid w:val="2E020414"/>
    <w:rsid w:val="2E2C7A67"/>
    <w:rsid w:val="2E3C5EB8"/>
    <w:rsid w:val="2E5B37A9"/>
    <w:rsid w:val="2EE43C4D"/>
    <w:rsid w:val="2F594BBE"/>
    <w:rsid w:val="305A54BE"/>
    <w:rsid w:val="307373A7"/>
    <w:rsid w:val="30BD39F7"/>
    <w:rsid w:val="30D64AF3"/>
    <w:rsid w:val="31132938"/>
    <w:rsid w:val="314D028A"/>
    <w:rsid w:val="3152520E"/>
    <w:rsid w:val="31D230B3"/>
    <w:rsid w:val="32432DA9"/>
    <w:rsid w:val="3244366F"/>
    <w:rsid w:val="329C284B"/>
    <w:rsid w:val="32BC3287"/>
    <w:rsid w:val="335C42DD"/>
    <w:rsid w:val="338E5C60"/>
    <w:rsid w:val="34800275"/>
    <w:rsid w:val="349873DC"/>
    <w:rsid w:val="34BD7E77"/>
    <w:rsid w:val="34F151D5"/>
    <w:rsid w:val="35157A84"/>
    <w:rsid w:val="355530AA"/>
    <w:rsid w:val="364631D7"/>
    <w:rsid w:val="368928C2"/>
    <w:rsid w:val="36BB76D3"/>
    <w:rsid w:val="376F3951"/>
    <w:rsid w:val="37F963E3"/>
    <w:rsid w:val="386F66A6"/>
    <w:rsid w:val="38B30C88"/>
    <w:rsid w:val="38E920F6"/>
    <w:rsid w:val="39113C01"/>
    <w:rsid w:val="397A6507"/>
    <w:rsid w:val="39893797"/>
    <w:rsid w:val="3A0379ED"/>
    <w:rsid w:val="3A73557E"/>
    <w:rsid w:val="3A924D6E"/>
    <w:rsid w:val="3ACA22B9"/>
    <w:rsid w:val="3B1F29B6"/>
    <w:rsid w:val="3B2714BA"/>
    <w:rsid w:val="3B714E2B"/>
    <w:rsid w:val="3B8E088C"/>
    <w:rsid w:val="3B9971A7"/>
    <w:rsid w:val="3D361E88"/>
    <w:rsid w:val="3D422326"/>
    <w:rsid w:val="3D7E738B"/>
    <w:rsid w:val="3DF15DAF"/>
    <w:rsid w:val="3E6975DE"/>
    <w:rsid w:val="3E990920"/>
    <w:rsid w:val="3ECD1A40"/>
    <w:rsid w:val="3EF1091B"/>
    <w:rsid w:val="3F122481"/>
    <w:rsid w:val="3F5B255F"/>
    <w:rsid w:val="3F6F629B"/>
    <w:rsid w:val="3FCE45FA"/>
    <w:rsid w:val="40015130"/>
    <w:rsid w:val="40564712"/>
    <w:rsid w:val="408B7715"/>
    <w:rsid w:val="40B7508E"/>
    <w:rsid w:val="41D373E7"/>
    <w:rsid w:val="41DE664A"/>
    <w:rsid w:val="41E81277"/>
    <w:rsid w:val="42402E61"/>
    <w:rsid w:val="425F1E03"/>
    <w:rsid w:val="42603C24"/>
    <w:rsid w:val="42706590"/>
    <w:rsid w:val="42DC527F"/>
    <w:rsid w:val="42E96F30"/>
    <w:rsid w:val="43994F1E"/>
    <w:rsid w:val="43B50E83"/>
    <w:rsid w:val="4440539A"/>
    <w:rsid w:val="44A02DC8"/>
    <w:rsid w:val="451C0833"/>
    <w:rsid w:val="455C6204"/>
    <w:rsid w:val="45835E86"/>
    <w:rsid w:val="46130FB8"/>
    <w:rsid w:val="461368DD"/>
    <w:rsid w:val="46A14816"/>
    <w:rsid w:val="47150340"/>
    <w:rsid w:val="47F24BFD"/>
    <w:rsid w:val="48043B5C"/>
    <w:rsid w:val="481B23A6"/>
    <w:rsid w:val="48824CB2"/>
    <w:rsid w:val="48941B4C"/>
    <w:rsid w:val="4894781A"/>
    <w:rsid w:val="49D1515D"/>
    <w:rsid w:val="49DB1DED"/>
    <w:rsid w:val="49E34B7D"/>
    <w:rsid w:val="4B72449E"/>
    <w:rsid w:val="4BFB0C29"/>
    <w:rsid w:val="4C180A73"/>
    <w:rsid w:val="4C2F6420"/>
    <w:rsid w:val="4C567E51"/>
    <w:rsid w:val="4C5D386B"/>
    <w:rsid w:val="4C684545"/>
    <w:rsid w:val="4D16138E"/>
    <w:rsid w:val="4D837FC0"/>
    <w:rsid w:val="4DC4528E"/>
    <w:rsid w:val="4E087FAC"/>
    <w:rsid w:val="4E9702AC"/>
    <w:rsid w:val="4EFD0A57"/>
    <w:rsid w:val="4F0A4599"/>
    <w:rsid w:val="4F2459AB"/>
    <w:rsid w:val="4FC275AB"/>
    <w:rsid w:val="4FCD1AFA"/>
    <w:rsid w:val="503264DF"/>
    <w:rsid w:val="50FD696B"/>
    <w:rsid w:val="51361AB9"/>
    <w:rsid w:val="515238CF"/>
    <w:rsid w:val="527B12A7"/>
    <w:rsid w:val="52F80915"/>
    <w:rsid w:val="53DF09E6"/>
    <w:rsid w:val="542836F0"/>
    <w:rsid w:val="544D38E7"/>
    <w:rsid w:val="54C47921"/>
    <w:rsid w:val="54CF384C"/>
    <w:rsid w:val="54E12281"/>
    <w:rsid w:val="54F9581D"/>
    <w:rsid w:val="5503044A"/>
    <w:rsid w:val="55124FF1"/>
    <w:rsid w:val="55220438"/>
    <w:rsid w:val="55346855"/>
    <w:rsid w:val="557F1137"/>
    <w:rsid w:val="559B4B26"/>
    <w:rsid w:val="56332FB1"/>
    <w:rsid w:val="564C7813"/>
    <w:rsid w:val="568802DB"/>
    <w:rsid w:val="56B37004"/>
    <w:rsid w:val="56BC4D54"/>
    <w:rsid w:val="56BD287A"/>
    <w:rsid w:val="5722723B"/>
    <w:rsid w:val="578C0BCA"/>
    <w:rsid w:val="57A51C8C"/>
    <w:rsid w:val="57B819BF"/>
    <w:rsid w:val="57DE58C0"/>
    <w:rsid w:val="58EB25F1"/>
    <w:rsid w:val="58F033DB"/>
    <w:rsid w:val="592D3CE7"/>
    <w:rsid w:val="59633BAD"/>
    <w:rsid w:val="59B55ED7"/>
    <w:rsid w:val="59D52950"/>
    <w:rsid w:val="5A1522A3"/>
    <w:rsid w:val="5A3F1F24"/>
    <w:rsid w:val="5A53754D"/>
    <w:rsid w:val="5AD83B06"/>
    <w:rsid w:val="5AE701FD"/>
    <w:rsid w:val="5B0F74E6"/>
    <w:rsid w:val="5B2B06FA"/>
    <w:rsid w:val="5B2E0680"/>
    <w:rsid w:val="5BB669AB"/>
    <w:rsid w:val="5BE12FA3"/>
    <w:rsid w:val="5C4E506D"/>
    <w:rsid w:val="5CE648D9"/>
    <w:rsid w:val="5CF46E84"/>
    <w:rsid w:val="5D10176F"/>
    <w:rsid w:val="5D8866EC"/>
    <w:rsid w:val="5DAD189A"/>
    <w:rsid w:val="5EAE58CA"/>
    <w:rsid w:val="5EBD5B0D"/>
    <w:rsid w:val="5EBF421E"/>
    <w:rsid w:val="5F0F1B3E"/>
    <w:rsid w:val="5FBD7C34"/>
    <w:rsid w:val="6008100A"/>
    <w:rsid w:val="60A305BA"/>
    <w:rsid w:val="61585051"/>
    <w:rsid w:val="625C4CF1"/>
    <w:rsid w:val="62B13874"/>
    <w:rsid w:val="63543834"/>
    <w:rsid w:val="63672753"/>
    <w:rsid w:val="63FD7A79"/>
    <w:rsid w:val="641304DB"/>
    <w:rsid w:val="645779AB"/>
    <w:rsid w:val="648D5F82"/>
    <w:rsid w:val="64CF0348"/>
    <w:rsid w:val="650B2750"/>
    <w:rsid w:val="657C0DC9"/>
    <w:rsid w:val="65BE5A0C"/>
    <w:rsid w:val="65E62E7A"/>
    <w:rsid w:val="66967370"/>
    <w:rsid w:val="66B8435D"/>
    <w:rsid w:val="67325343"/>
    <w:rsid w:val="676B1210"/>
    <w:rsid w:val="67BB5990"/>
    <w:rsid w:val="68725BBA"/>
    <w:rsid w:val="68C349FC"/>
    <w:rsid w:val="68CA3301"/>
    <w:rsid w:val="68F402DA"/>
    <w:rsid w:val="691B003E"/>
    <w:rsid w:val="69444AFB"/>
    <w:rsid w:val="6A411085"/>
    <w:rsid w:val="6AAD178D"/>
    <w:rsid w:val="6AE606B8"/>
    <w:rsid w:val="6B23319C"/>
    <w:rsid w:val="6B453112"/>
    <w:rsid w:val="6B8974A3"/>
    <w:rsid w:val="6BB774D7"/>
    <w:rsid w:val="6BE20735"/>
    <w:rsid w:val="6C242CC5"/>
    <w:rsid w:val="6C5C6CE8"/>
    <w:rsid w:val="6C855540"/>
    <w:rsid w:val="6C9B581B"/>
    <w:rsid w:val="6CC649E7"/>
    <w:rsid w:val="6D5225A4"/>
    <w:rsid w:val="6D610754"/>
    <w:rsid w:val="6DA852E7"/>
    <w:rsid w:val="6E45458E"/>
    <w:rsid w:val="6EBC11EE"/>
    <w:rsid w:val="6F1E78D9"/>
    <w:rsid w:val="6F5A1BCA"/>
    <w:rsid w:val="6F5F71DE"/>
    <w:rsid w:val="6F6F261D"/>
    <w:rsid w:val="6FF747A7"/>
    <w:rsid w:val="6FF80D33"/>
    <w:rsid w:val="7064551D"/>
    <w:rsid w:val="7089584F"/>
    <w:rsid w:val="70D7774D"/>
    <w:rsid w:val="71662034"/>
    <w:rsid w:val="71855149"/>
    <w:rsid w:val="71C92D3B"/>
    <w:rsid w:val="71DB657E"/>
    <w:rsid w:val="72967E48"/>
    <w:rsid w:val="72A03F09"/>
    <w:rsid w:val="73AD2480"/>
    <w:rsid w:val="73BE1CB4"/>
    <w:rsid w:val="73C51294"/>
    <w:rsid w:val="74272099"/>
    <w:rsid w:val="743D7CF2"/>
    <w:rsid w:val="746F442B"/>
    <w:rsid w:val="748A428C"/>
    <w:rsid w:val="74921477"/>
    <w:rsid w:val="74A52E74"/>
    <w:rsid w:val="750A5650"/>
    <w:rsid w:val="752244C4"/>
    <w:rsid w:val="755A3C5E"/>
    <w:rsid w:val="75766B24"/>
    <w:rsid w:val="75976C60"/>
    <w:rsid w:val="75E4177A"/>
    <w:rsid w:val="75E82072"/>
    <w:rsid w:val="763E5E5C"/>
    <w:rsid w:val="76463C41"/>
    <w:rsid w:val="76906EF1"/>
    <w:rsid w:val="76E5316D"/>
    <w:rsid w:val="76F41BC2"/>
    <w:rsid w:val="772B58B2"/>
    <w:rsid w:val="779A73D7"/>
    <w:rsid w:val="77FA34D6"/>
    <w:rsid w:val="78181036"/>
    <w:rsid w:val="7842592D"/>
    <w:rsid w:val="784F737E"/>
    <w:rsid w:val="78917997"/>
    <w:rsid w:val="78944D5A"/>
    <w:rsid w:val="78B33DB1"/>
    <w:rsid w:val="78CA10FB"/>
    <w:rsid w:val="78E201F2"/>
    <w:rsid w:val="794819BB"/>
    <w:rsid w:val="79B37DE1"/>
    <w:rsid w:val="79B73D64"/>
    <w:rsid w:val="79FD4F9A"/>
    <w:rsid w:val="7A0423EA"/>
    <w:rsid w:val="7B411BF5"/>
    <w:rsid w:val="7C915BF8"/>
    <w:rsid w:val="7CD10CAA"/>
    <w:rsid w:val="7D177472"/>
    <w:rsid w:val="7D6457E7"/>
    <w:rsid w:val="7D937D0D"/>
    <w:rsid w:val="7DA2667A"/>
    <w:rsid w:val="7DF12C86"/>
    <w:rsid w:val="7E1A21DD"/>
    <w:rsid w:val="7E1F3C97"/>
    <w:rsid w:val="7E3712F7"/>
    <w:rsid w:val="7EAF6429"/>
    <w:rsid w:val="7EBA0071"/>
    <w:rsid w:val="7F2578BB"/>
    <w:rsid w:val="7F56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unhideWhenUsed/>
    <w:qFormat/>
    <w:uiPriority w:val="99"/>
    <w:pPr>
      <w:jc w:val="left"/>
    </w:pPr>
  </w:style>
  <w:style w:type="paragraph" w:styleId="17">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9"/>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3"/>
    <w:qFormat/>
    <w:uiPriority w:val="0"/>
    <w:pPr>
      <w:ind w:left="567" w:leftChars="270"/>
    </w:pPr>
    <w:rPr>
      <w:rFonts w:ascii="Times New Roman" w:hAnsi="Times New Roman" w:eastAsia="宋体" w:cs="Times New Roman"/>
      <w:szCs w:val="20"/>
    </w:rPr>
  </w:style>
  <w:style w:type="paragraph" w:styleId="20">
    <w:name w:val="Block Text"/>
    <w:basedOn w:val="1"/>
    <w:qFormat/>
    <w:uiPriority w:val="0"/>
    <w:pPr>
      <w:autoSpaceDE w:val="0"/>
      <w:autoSpaceDN w:val="0"/>
      <w:adjustRightInd w:val="0"/>
      <w:spacing w:after="120"/>
      <w:ind w:left="1440" w:leftChars="700" w:right="1440" w:rightChars="700"/>
      <w:jc w:val="left"/>
    </w:pPr>
    <w:rPr>
      <w:rFonts w:ascii="宋体" w:hAnsi="Times New Roman" w:eastAsia="宋体" w:cs="Times New Roman"/>
      <w:kern w:val="0"/>
      <w:sz w:val="24"/>
      <w:szCs w:val="24"/>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11"/>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19"/>
    <w:unhideWhenUsed/>
    <w:qFormat/>
    <w:uiPriority w:val="99"/>
    <w:pPr>
      <w:ind w:firstLine="420" w:firstLineChars="200"/>
    </w:p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FollowedHyperlink"/>
    <w:unhideWhenUsed/>
    <w:qFormat/>
    <w:uiPriority w:val="99"/>
    <w:rPr>
      <w:color w:val="954F72"/>
      <w:u w:val="single"/>
    </w:rPr>
  </w:style>
  <w:style w:type="character" w:styleId="44">
    <w:name w:val="Emphasis"/>
    <w:qFormat/>
    <w:uiPriority w:val="0"/>
    <w:rPr>
      <w:i/>
      <w:iCs/>
    </w:rPr>
  </w:style>
  <w:style w:type="character" w:styleId="45">
    <w:name w:val="Hyperlink"/>
    <w:basedOn w:val="40"/>
    <w:qFormat/>
    <w:uiPriority w:val="99"/>
    <w:rPr>
      <w:rFonts w:hint="default" w:ascii="Arial" w:hAnsi="Arial" w:cs="Arial"/>
      <w:color w:val="000000"/>
      <w:sz w:val="20"/>
      <w:szCs w:val="20"/>
      <w:u w:val="none"/>
    </w:rPr>
  </w:style>
  <w:style w:type="character" w:styleId="46">
    <w:name w:val="annotation reference"/>
    <w:qFormat/>
    <w:uiPriority w:val="99"/>
    <w:rPr>
      <w:sz w:val="21"/>
      <w:szCs w:val="21"/>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40"/>
    <w:qFormat/>
    <w:uiPriority w:val="0"/>
    <w:rPr>
      <w:b/>
      <w:bCs/>
      <w:kern w:val="44"/>
      <w:sz w:val="44"/>
      <w:szCs w:val="44"/>
    </w:rPr>
  </w:style>
  <w:style w:type="character" w:customStyle="1" w:styleId="49">
    <w:name w:val="标题 2 Char"/>
    <w:basedOn w:val="40"/>
    <w:link w:val="4"/>
    <w:qFormat/>
    <w:uiPriority w:val="0"/>
    <w:rPr>
      <w:rFonts w:ascii="宋体" w:hAnsi="Calibri" w:eastAsia="宋体" w:cs="Times New Roman"/>
      <w:kern w:val="0"/>
      <w:sz w:val="24"/>
      <w:szCs w:val="24"/>
    </w:rPr>
  </w:style>
  <w:style w:type="character" w:customStyle="1" w:styleId="50">
    <w:name w:val="标题 3 字符"/>
    <w:basedOn w:val="40"/>
    <w:qFormat/>
    <w:uiPriority w:val="0"/>
    <w:rPr>
      <w:b/>
      <w:bCs/>
      <w:sz w:val="32"/>
      <w:szCs w:val="32"/>
    </w:rPr>
  </w:style>
  <w:style w:type="character" w:customStyle="1" w:styleId="51">
    <w:name w:val="标题 4 Char1"/>
    <w:basedOn w:val="40"/>
    <w:link w:val="5"/>
    <w:qFormat/>
    <w:uiPriority w:val="9"/>
    <w:rPr>
      <w:rFonts w:ascii="Arial" w:hAnsi="Arial" w:eastAsia="黑体" w:cs="Times New Roman"/>
      <w:b/>
      <w:bCs/>
      <w:kern w:val="0"/>
      <w:sz w:val="28"/>
      <w:szCs w:val="28"/>
    </w:rPr>
  </w:style>
  <w:style w:type="character" w:customStyle="1" w:styleId="52">
    <w:name w:val="标题 5 字符"/>
    <w:basedOn w:val="40"/>
    <w:qFormat/>
    <w:uiPriority w:val="9"/>
    <w:rPr>
      <w:b/>
      <w:bCs/>
      <w:sz w:val="28"/>
      <w:szCs w:val="28"/>
    </w:rPr>
  </w:style>
  <w:style w:type="character" w:customStyle="1" w:styleId="53">
    <w:name w:val="标题 6 字符"/>
    <w:basedOn w:val="40"/>
    <w:qFormat/>
    <w:uiPriority w:val="0"/>
    <w:rPr>
      <w:rFonts w:asciiTheme="majorHAnsi" w:hAnsiTheme="majorHAnsi" w:eastAsiaTheme="majorEastAsia" w:cstheme="majorBidi"/>
      <w:b/>
      <w:bCs/>
      <w:sz w:val="24"/>
      <w:szCs w:val="24"/>
    </w:rPr>
  </w:style>
  <w:style w:type="character" w:customStyle="1" w:styleId="54">
    <w:name w:val="标题 7 Char"/>
    <w:basedOn w:val="40"/>
    <w:link w:val="9"/>
    <w:qFormat/>
    <w:uiPriority w:val="9"/>
    <w:rPr>
      <w:rFonts w:ascii="Times New Roman" w:hAnsi="Calibri" w:eastAsia="黑体" w:cs="Times New Roman"/>
      <w:b/>
      <w:bCs/>
      <w:kern w:val="0"/>
      <w:sz w:val="28"/>
      <w:szCs w:val="24"/>
    </w:rPr>
  </w:style>
  <w:style w:type="character" w:customStyle="1" w:styleId="55">
    <w:name w:val="标题 8 Char"/>
    <w:basedOn w:val="40"/>
    <w:link w:val="10"/>
    <w:qFormat/>
    <w:uiPriority w:val="9"/>
    <w:rPr>
      <w:rFonts w:ascii="Times New Roman" w:hAnsi="Calibri" w:eastAsia="黑体" w:cs="Times New Roman"/>
      <w:b/>
      <w:kern w:val="0"/>
      <w:sz w:val="28"/>
      <w:szCs w:val="24"/>
    </w:rPr>
  </w:style>
  <w:style w:type="character" w:customStyle="1" w:styleId="56">
    <w:name w:val="标题 9 Char"/>
    <w:basedOn w:val="40"/>
    <w:link w:val="11"/>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4"/>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3"/>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2"/>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2"/>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19"/>
    <w:qFormat/>
    <w:uiPriority w:val="0"/>
    <w:rPr>
      <w:rFonts w:ascii="Times New Roman" w:hAnsi="Times New Roman" w:eastAsia="宋体" w:cs="Times New Roman"/>
      <w:szCs w:val="20"/>
    </w:rPr>
  </w:style>
  <w:style w:type="character" w:customStyle="1" w:styleId="94">
    <w:name w:val="普通(网站) Char1"/>
    <w:link w:val="33"/>
    <w:qFormat/>
    <w:locked/>
    <w:uiPriority w:val="0"/>
    <w:rPr>
      <w:rFonts w:ascii="宋体" w:hAnsi="宋体"/>
      <w:sz w:val="15"/>
      <w:szCs w:val="15"/>
    </w:rPr>
  </w:style>
  <w:style w:type="character" w:customStyle="1" w:styleId="95">
    <w:name w:val="模板正文 Char"/>
    <w:link w:val="8"/>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5"/>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18"/>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6"/>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7"/>
    <w:qFormat/>
    <w:uiPriority w:val="9"/>
    <w:rPr>
      <w:rFonts w:ascii="Times New Roman" w:hAnsi="Calibri" w:eastAsia="黑体" w:cs="Times New Roman"/>
      <w:b/>
      <w:bCs/>
      <w:kern w:val="0"/>
      <w:sz w:val="28"/>
      <w:szCs w:val="24"/>
    </w:rPr>
  </w:style>
  <w:style w:type="character" w:customStyle="1" w:styleId="144">
    <w:name w:val="正文文本 2 Char"/>
    <w:link w:val="31"/>
    <w:qFormat/>
    <w:uiPriority w:val="0"/>
    <w:rPr>
      <w:rFonts w:ascii="Arial" w:hAnsi="Arial" w:eastAsia="宋体" w:cs="Times New Roman"/>
      <w:color w:val="000000"/>
      <w:szCs w:val="24"/>
    </w:rPr>
  </w:style>
  <w:style w:type="character" w:customStyle="1" w:styleId="145">
    <w:name w:val="标题 3 Char"/>
    <w:link w:val="2"/>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3"/>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0"/>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7"/>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0"/>
    <w:semiHidden/>
    <w:qFormat/>
    <w:uiPriority w:val="99"/>
    <w:rPr>
      <w:rFonts w:hAnsi="Courier New" w:cs="Courier New" w:asciiTheme="minorEastAsia"/>
    </w:rPr>
  </w:style>
  <w:style w:type="character" w:customStyle="1" w:styleId="164">
    <w:name w:val="批注文字 Char2"/>
    <w:basedOn w:val="40"/>
    <w:link w:val="16"/>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40"/>
    <w:qFormat/>
    <w:uiPriority w:val="10"/>
    <w:rPr>
      <w:rFonts w:asciiTheme="majorHAnsi" w:hAnsiTheme="majorHAnsi" w:eastAsiaTheme="majorEastAsia" w:cstheme="majorBidi"/>
      <w:b/>
      <w:bCs/>
      <w:sz w:val="32"/>
      <w:szCs w:val="32"/>
    </w:rPr>
  </w:style>
  <w:style w:type="character" w:customStyle="1" w:styleId="167">
    <w:name w:val="正文文本缩进 字符3"/>
    <w:basedOn w:val="40"/>
    <w:semiHidden/>
    <w:qFormat/>
    <w:uiPriority w:val="99"/>
  </w:style>
  <w:style w:type="character" w:customStyle="1" w:styleId="168">
    <w:name w:val="正文文本 字符4"/>
    <w:basedOn w:val="40"/>
    <w:semiHidden/>
    <w:qFormat/>
    <w:uiPriority w:val="99"/>
  </w:style>
  <w:style w:type="character" w:customStyle="1" w:styleId="169">
    <w:name w:val="正文文本缩进 3 字符2"/>
    <w:basedOn w:val="40"/>
    <w:semiHidden/>
    <w:qFormat/>
    <w:uiPriority w:val="99"/>
    <w:rPr>
      <w:sz w:val="16"/>
      <w:szCs w:val="16"/>
    </w:rPr>
  </w:style>
  <w:style w:type="character" w:customStyle="1" w:styleId="170">
    <w:name w:val="页眉 字符2"/>
    <w:basedOn w:val="40"/>
    <w:semiHidden/>
    <w:qFormat/>
    <w:uiPriority w:val="99"/>
    <w:rPr>
      <w:sz w:val="18"/>
      <w:szCs w:val="18"/>
    </w:rPr>
  </w:style>
  <w:style w:type="character" w:customStyle="1" w:styleId="171">
    <w:name w:val="批注框文本 字符2"/>
    <w:basedOn w:val="40"/>
    <w:semiHidden/>
    <w:qFormat/>
    <w:uiPriority w:val="99"/>
    <w:rPr>
      <w:sz w:val="18"/>
      <w:szCs w:val="18"/>
    </w:rPr>
  </w:style>
  <w:style w:type="character" w:customStyle="1" w:styleId="172">
    <w:name w:val="HTML 预设格式 字符2"/>
    <w:basedOn w:val="40"/>
    <w:semiHidden/>
    <w:qFormat/>
    <w:uiPriority w:val="99"/>
    <w:rPr>
      <w:rFonts w:ascii="Courier New" w:hAnsi="Courier New" w:cs="Courier New"/>
      <w:sz w:val="20"/>
      <w:szCs w:val="20"/>
    </w:rPr>
  </w:style>
  <w:style w:type="character" w:customStyle="1" w:styleId="173">
    <w:name w:val="页脚 字符2"/>
    <w:basedOn w:val="40"/>
    <w:semiHidden/>
    <w:qFormat/>
    <w:uiPriority w:val="99"/>
    <w:rPr>
      <w:sz w:val="18"/>
      <w:szCs w:val="18"/>
    </w:rPr>
  </w:style>
  <w:style w:type="character" w:customStyle="1" w:styleId="174">
    <w:name w:val="正文文本缩进 2 字符2"/>
    <w:basedOn w:val="40"/>
    <w:semiHidden/>
    <w:qFormat/>
    <w:uiPriority w:val="99"/>
  </w:style>
  <w:style w:type="character" w:customStyle="1" w:styleId="175">
    <w:name w:val="正文文本 3 字符2"/>
    <w:basedOn w:val="40"/>
    <w:semiHidden/>
    <w:qFormat/>
    <w:uiPriority w:val="99"/>
    <w:rPr>
      <w:sz w:val="16"/>
      <w:szCs w:val="16"/>
    </w:rPr>
  </w:style>
  <w:style w:type="character" w:customStyle="1" w:styleId="176">
    <w:name w:val="正文文本 2 字符2"/>
    <w:basedOn w:val="40"/>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0"/>
    <w:semiHidden/>
    <w:qFormat/>
    <w:uiPriority w:val="99"/>
    <w:rPr>
      <w:rFonts w:ascii="Microsoft YaHei UI" w:eastAsia="Microsoft YaHei UI"/>
      <w:sz w:val="18"/>
      <w:szCs w:val="18"/>
    </w:rPr>
  </w:style>
  <w:style w:type="character" w:customStyle="1" w:styleId="180">
    <w:name w:val="日期 字符2"/>
    <w:basedOn w:val="40"/>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6"/>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06">
    <w:name w:val="列出段落 Char2"/>
    <w:autoRedefine/>
    <w:qFormat/>
    <w:uiPriority w:val="34"/>
    <w:rPr>
      <w:rFonts w:ascii="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9639</Words>
  <Characters>10083</Characters>
  <Lines>596</Lines>
  <Paragraphs>167</Paragraphs>
  <TotalTime>133</TotalTime>
  <ScaleCrop>false</ScaleCrop>
  <LinksUpToDate>false</LinksUpToDate>
  <CharactersWithSpaces>10163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2024-09-29T12:41:00Z</dcterms:created>
  <dc:creator>HS</dc:creator>
  <cp:lastModifiedBy>严霞</cp:lastModifiedBy>
  <dcterms:modified xsi:type="dcterms:W3CDTF">2025-08-29T07:18:15Z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895507B6CDCF4192B4FA881FF3F01655_13</vt:lpwstr>
  </property>
</Properties>
</file>