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0" w:name="_Toc12014"/>
      <w:bookmarkStart w:id="1" w:name="_Toc486167706"/>
      <w:bookmarkStart w:id="2" w:name="_Toc27939_WPSOffice_Level1"/>
      <w:bookmarkStart w:id="3" w:name="_Toc29361"/>
      <w:bookmarkStart w:id="4" w:name="_Toc142508358"/>
      <w:bookmarkStart w:id="5" w:name="_Toc28218"/>
      <w:bookmarkStart w:id="6" w:name="_Toc450662891"/>
      <w:bookmarkStart w:id="7" w:name="_Toc4217"/>
      <w:r>
        <w:rPr>
          <w:rFonts w:hint="eastAsia" w:ascii="宋体" w:hAnsi="宋体" w:eastAsia="宋体" w:cs="宋体"/>
          <w:b/>
          <w:bCs/>
          <w:color w:val="auto"/>
          <w:kern w:val="44"/>
          <w:sz w:val="32"/>
          <w:szCs w:val="32"/>
          <w:highlight w:val="none"/>
          <w:lang w:val="zh-CN"/>
        </w:rPr>
        <w:t>东莞市水务集团净水有限公司2026年</w:t>
      </w:r>
      <w:r>
        <w:rPr>
          <w:rFonts w:hint="eastAsia" w:ascii="宋体" w:hAnsi="宋体" w:eastAsia="宋体" w:cs="宋体"/>
          <w:b/>
          <w:bCs/>
          <w:color w:val="auto"/>
          <w:kern w:val="44"/>
          <w:sz w:val="32"/>
          <w:szCs w:val="32"/>
          <w:highlight w:val="none"/>
          <w:lang w:val="en-US" w:eastAsia="zh-CN"/>
        </w:rPr>
        <w:t>-2027年</w:t>
      </w:r>
      <w:r>
        <w:rPr>
          <w:rFonts w:hint="eastAsia" w:ascii="宋体" w:hAnsi="宋体" w:eastAsia="宋体" w:cs="宋体"/>
          <w:b/>
          <w:bCs/>
          <w:color w:val="auto"/>
          <w:kern w:val="44"/>
          <w:sz w:val="32"/>
          <w:szCs w:val="32"/>
          <w:highlight w:val="none"/>
          <w:lang w:val="zh-CN"/>
        </w:rPr>
        <w:t>生产药剂液体乙酸钠采购项目用户需求书</w:t>
      </w:r>
      <w:bookmarkEnd w:id="0"/>
    </w:p>
    <w:p>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bookmarkStart w:id="8" w:name="_Toc25536"/>
      <w:bookmarkStart w:id="9" w:name="_Toc1127"/>
      <w:r>
        <w:rPr>
          <w:rFonts w:hint="eastAsia" w:ascii="宋体" w:hAnsi="宋体" w:eastAsia="宋体" w:cs="宋体"/>
          <w:b/>
          <w:color w:val="auto"/>
          <w:sz w:val="21"/>
          <w:szCs w:val="21"/>
          <w:highlight w:val="none"/>
        </w:rPr>
        <w:t>基本招标要求</w:t>
      </w:r>
      <w:bookmarkEnd w:id="8"/>
      <w:bookmarkEnd w:id="9"/>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本次采购东莞市</w:t>
      </w:r>
      <w:r>
        <w:rPr>
          <w:rFonts w:hint="eastAsia" w:ascii="宋体" w:hAnsi="宋体" w:eastAsia="宋体" w:cs="宋体"/>
          <w:color w:val="auto"/>
          <w:sz w:val="21"/>
          <w:szCs w:val="21"/>
          <w:highlight w:val="none"/>
          <w:lang w:val="en-US" w:eastAsia="zh-CN"/>
        </w:rPr>
        <w:t>水务集团净水有限</w:t>
      </w:r>
      <w:r>
        <w:rPr>
          <w:rFonts w:hint="eastAsia" w:ascii="宋体" w:hAnsi="宋体" w:eastAsia="宋体" w:cs="宋体"/>
          <w:color w:val="auto"/>
          <w:sz w:val="21"/>
          <w:szCs w:val="21"/>
          <w:highlight w:val="none"/>
        </w:rPr>
        <w:t>公司旗下运营项目所需生产药剂：</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。根据各运营项目进水水质及工艺情况，需使用</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（以下简称“生产药剂”）作为外加碳源。具体供货项目和供货量根据实际运营需求，并结合招标人运营项目使用中标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提供的药剂样品所做的小试、项目实际使用效果确定。</w:t>
      </w:r>
    </w:p>
    <w:p>
      <w:pPr>
        <w:pStyle w:val="129"/>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本次招标人以公开招标方式确定1家供货单位，分别向招标人运营项目供货。</w:t>
      </w:r>
      <w:bookmarkStart w:id="10" w:name="OLE_LINK13"/>
      <w:r>
        <w:rPr>
          <w:rFonts w:hint="eastAsia" w:ascii="宋体" w:hAnsi="宋体" w:eastAsia="宋体" w:cs="宋体"/>
          <w:color w:val="auto"/>
          <w:sz w:val="21"/>
          <w:szCs w:val="21"/>
          <w:highlight w:val="none"/>
          <w:lang w:val="en-US" w:eastAsia="zh-CN"/>
        </w:rPr>
        <w:t>招标人或招标人权属子公司与中标人签订采购合同。</w:t>
      </w:r>
      <w:bookmarkEnd w:id="10"/>
    </w:p>
    <w:p>
      <w:pPr>
        <w:spacing w:line="360" w:lineRule="auto"/>
        <w:ind w:firstLine="420" w:firstLineChars="200"/>
        <w:rPr>
          <w:rFonts w:ascii="宋体" w:hAnsi="宋体" w:eastAsia="宋体" w:cs="宋体"/>
          <w:color w:val="auto"/>
          <w:szCs w:val="21"/>
        </w:rPr>
      </w:pPr>
      <w:bookmarkStart w:id="11" w:name="_Toc5339"/>
      <w:bookmarkStart w:id="12" w:name="_Toc6720"/>
      <w:r>
        <w:rPr>
          <w:rFonts w:hint="eastAsia" w:ascii="宋体" w:hAnsi="宋体" w:eastAsia="宋体" w:cs="宋体"/>
          <w:color w:val="auto"/>
          <w:szCs w:val="21"/>
        </w:rPr>
        <w:t>供货期自202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年1月1日或合同签订之日起（以较晚时间为准）至202</w:t>
      </w:r>
      <w:r>
        <w:rPr>
          <w:rFonts w:hint="eastAsia" w:ascii="宋体" w:hAnsi="宋体" w:eastAsia="宋体" w:cs="宋体"/>
          <w:color w:val="auto"/>
          <w:szCs w:val="21"/>
          <w:lang w:val="en-US" w:eastAsia="zh-CN"/>
        </w:rPr>
        <w:t>7</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6</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30</w:t>
      </w:r>
      <w:r>
        <w:rPr>
          <w:rFonts w:hint="eastAsia" w:ascii="宋体" w:hAnsi="宋体" w:eastAsia="宋体" w:cs="宋体"/>
          <w:color w:val="auto"/>
          <w:szCs w:val="21"/>
        </w:rPr>
        <w:t>日止</w:t>
      </w:r>
      <w:r>
        <w:rPr>
          <w:rFonts w:hint="eastAsia" w:ascii="宋体" w:hAnsi="宋体" w:eastAsia="宋体" w:cs="宋体"/>
          <w:color w:val="auto"/>
          <w:szCs w:val="21"/>
          <w:lang w:eastAsia="zh-CN"/>
        </w:rPr>
        <w:t>。中标人</w:t>
      </w:r>
      <w:r>
        <w:rPr>
          <w:rFonts w:hint="eastAsia" w:ascii="宋体" w:hAnsi="宋体" w:eastAsia="宋体" w:cs="宋体"/>
          <w:color w:val="auto"/>
          <w:szCs w:val="21"/>
        </w:rPr>
        <w:t>收到招标人通知后必须无条件按照招标人的要求开始供货</w:t>
      </w:r>
      <w:r>
        <w:rPr>
          <w:rFonts w:ascii="宋体" w:hAnsi="宋体" w:eastAsia="宋体" w:cs="宋体"/>
          <w:color w:val="auto"/>
          <w:szCs w:val="21"/>
        </w:rPr>
        <w:t>。</w:t>
      </w:r>
    </w:p>
    <w:p>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标的物</w:t>
      </w:r>
      <w:bookmarkEnd w:id="11"/>
      <w:bookmarkEnd w:id="12"/>
    </w:p>
    <w:p>
      <w:pPr>
        <w:numPr>
          <w:ilvl w:val="0"/>
          <w:numId w:val="2"/>
        </w:num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r>
        <w:rPr>
          <w:rFonts w:hint="eastAsia" w:ascii="宋体" w:hAnsi="宋体" w:eastAsia="宋体" w:cs="宋体"/>
          <w:color w:val="auto"/>
          <w:sz w:val="21"/>
          <w:szCs w:val="21"/>
          <w:highlight w:val="none"/>
          <w:lang w:eastAsia="zh-CN"/>
        </w:rPr>
        <w:t>液体乙酸钠</w:t>
      </w:r>
    </w:p>
    <w:p>
      <w:pPr>
        <w:numPr>
          <w:ilvl w:val="0"/>
          <w:numId w:val="2"/>
        </w:num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暂定采购数量：</w:t>
      </w:r>
      <w:r>
        <w:rPr>
          <w:rFonts w:hint="eastAsia" w:ascii="宋体" w:hAnsi="宋体" w:eastAsia="宋体" w:cs="宋体"/>
          <w:color w:val="auto"/>
          <w:szCs w:val="21"/>
          <w:highlight w:val="none"/>
        </w:rPr>
        <w:t>19075.818</w:t>
      </w:r>
      <w:r>
        <w:rPr>
          <w:rFonts w:hint="eastAsia" w:ascii="宋体" w:hAnsi="宋体" w:eastAsia="宋体" w:cs="宋体"/>
          <w:color w:val="auto"/>
          <w:sz w:val="21"/>
          <w:szCs w:val="21"/>
          <w:highlight w:val="none"/>
        </w:rPr>
        <w:t>吨</w:t>
      </w:r>
    </w:p>
    <w:p>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★3、本次采购涉及招标人运营项目及采购数量为暂定，仅为便于计算暂定总合同价使用，不作为招标人最终采购数量的保证</w:t>
      </w:r>
      <w:bookmarkStart w:id="13" w:name="OLE_LINK40"/>
      <w:bookmarkStart w:id="14" w:name="OLE_LINK24"/>
      <w:bookmarkStart w:id="15" w:name="OLE_LINK38"/>
      <w:r>
        <w:rPr>
          <w:rFonts w:hint="eastAsia" w:ascii="宋体" w:hAnsi="宋体" w:eastAsia="宋体" w:cs="宋体"/>
          <w:b/>
          <w:color w:val="auto"/>
          <w:sz w:val="21"/>
          <w:szCs w:val="21"/>
          <w:highlight w:val="none"/>
        </w:rPr>
        <w:t>，招标人保留根据运营项目及新增运营项目实际情况，对采购数量进行灵活调整的权利。</w:t>
      </w:r>
      <w:bookmarkEnd w:id="13"/>
      <w:r>
        <w:rPr>
          <w:rFonts w:hint="eastAsia" w:ascii="宋体" w:hAnsi="宋体" w:eastAsia="宋体" w:cs="宋体"/>
          <w:b/>
          <w:color w:val="auto"/>
          <w:sz w:val="21"/>
          <w:szCs w:val="21"/>
          <w:highlight w:val="none"/>
        </w:rPr>
        <w:t>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w:t>
      </w:r>
      <w:bookmarkStart w:id="16" w:name="OLE_LINK33"/>
      <w:r>
        <w:rPr>
          <w:rFonts w:hint="eastAsia" w:ascii="宋体" w:hAnsi="宋体" w:eastAsia="宋体" w:cs="宋体"/>
          <w:b/>
          <w:color w:val="auto"/>
          <w:sz w:val="21"/>
          <w:szCs w:val="21"/>
          <w:highlight w:val="none"/>
        </w:rPr>
        <w:t>新增合同主体</w:t>
      </w:r>
      <w:bookmarkEnd w:id="16"/>
      <w:r>
        <w:rPr>
          <w:rFonts w:hint="eastAsia" w:ascii="宋体" w:hAnsi="宋体" w:eastAsia="宋体" w:cs="宋体"/>
          <w:b/>
          <w:color w:val="auto"/>
          <w:sz w:val="21"/>
          <w:szCs w:val="21"/>
          <w:highlight w:val="none"/>
        </w:rPr>
        <w:t>需要额外供货，</w:t>
      </w:r>
      <w:bookmarkStart w:id="17" w:name="OLE_LINK1"/>
      <w:r>
        <w:rPr>
          <w:rFonts w:hint="eastAsia" w:ascii="宋体" w:hAnsi="宋体" w:eastAsia="宋体" w:cs="宋体"/>
          <w:b/>
          <w:color w:val="auto"/>
          <w:sz w:val="21"/>
          <w:szCs w:val="21"/>
          <w:highlight w:val="none"/>
          <w:lang w:val="en-US" w:eastAsia="zh-CN"/>
        </w:rPr>
        <w:t>招标人权属子公司</w:t>
      </w:r>
      <w:bookmarkEnd w:id="17"/>
      <w:r>
        <w:rPr>
          <w:rFonts w:hint="eastAsia" w:ascii="宋体" w:hAnsi="宋体" w:eastAsia="宋体" w:cs="宋体"/>
          <w:b/>
          <w:color w:val="auto"/>
          <w:sz w:val="21"/>
          <w:szCs w:val="21"/>
          <w:highlight w:val="none"/>
          <w:lang w:val="en-US" w:eastAsia="zh-CN"/>
        </w:rPr>
        <w:t>、</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bookmarkEnd w:id="14"/>
      <w:r>
        <w:rPr>
          <w:rFonts w:hint="eastAsia" w:ascii="宋体" w:hAnsi="宋体" w:eastAsia="宋体" w:cs="宋体"/>
          <w:b/>
          <w:color w:val="auto"/>
          <w:sz w:val="21"/>
          <w:szCs w:val="21"/>
          <w:highlight w:val="none"/>
        </w:rPr>
        <w:t>。</w:t>
      </w:r>
      <w:bookmarkEnd w:id="15"/>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根据项目工艺及性质，结合小试及项目实际使用效果选用，招标人的实际需求数量以招标人运营项目每次的供货通知为准，在供货期内</w:t>
      </w:r>
      <w:r>
        <w:rPr>
          <w:rFonts w:hint="eastAsia" w:ascii="宋体" w:hAnsi="宋体" w:eastAsia="宋体" w:cs="宋体"/>
          <w:b/>
          <w:color w:val="auto"/>
          <w:sz w:val="21"/>
          <w:szCs w:val="21"/>
          <w:highlight w:val="none"/>
          <w:lang w:eastAsia="zh-CN"/>
        </w:rPr>
        <w:t>中标人</w:t>
      </w:r>
      <w:r>
        <w:rPr>
          <w:rFonts w:hint="eastAsia" w:ascii="宋体" w:hAnsi="宋体" w:eastAsia="宋体" w:cs="宋体"/>
          <w:b/>
          <w:color w:val="auto"/>
          <w:sz w:val="21"/>
          <w:szCs w:val="21"/>
          <w:highlight w:val="none"/>
        </w:rPr>
        <w:t>不得因招标人实际采购数量的减少或增加而要求提供任何形式的补偿或赔偿，或要求招标人按暂定采购数量采购相应货物。</w:t>
      </w:r>
    </w:p>
    <w:p>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★4、主要技术指标</w:t>
      </w:r>
    </w:p>
    <w:p>
      <w:pPr>
        <w:spacing w:line="360" w:lineRule="auto"/>
        <w:ind w:firstLine="422" w:firstLineChars="200"/>
        <w:outlineLvl w:val="9"/>
        <w:rPr>
          <w:rFonts w:hint="eastAsia" w:ascii="宋体" w:hAnsi="宋体" w:eastAsia="宋体" w:cs="宋体"/>
          <w:b/>
          <w:color w:val="auto"/>
          <w:sz w:val="21"/>
          <w:szCs w:val="21"/>
          <w:highlight w:val="none"/>
        </w:rPr>
      </w:pPr>
      <w:bookmarkStart w:id="18" w:name="_Toc12795"/>
      <w:bookmarkStart w:id="19" w:name="_Toc7208"/>
      <w:r>
        <w:rPr>
          <w:rFonts w:hint="eastAsia" w:ascii="宋体" w:hAnsi="宋体" w:eastAsia="宋体" w:cs="宋体"/>
          <w:b/>
          <w:color w:val="auto"/>
          <w:sz w:val="21"/>
          <w:szCs w:val="21"/>
          <w:highlight w:val="none"/>
        </w:rPr>
        <w:t>（1）</w:t>
      </w:r>
      <w:r>
        <w:rPr>
          <w:rFonts w:hint="eastAsia" w:ascii="宋体" w:hAnsi="宋体" w:eastAsia="宋体" w:cs="宋体"/>
          <w:b/>
          <w:color w:val="auto"/>
          <w:szCs w:val="21"/>
          <w:highlight w:val="none"/>
        </w:rPr>
        <w:t>液体乙酸钠产品外观为无色透明液体。</w:t>
      </w:r>
      <w:bookmarkEnd w:id="18"/>
      <w:bookmarkEnd w:id="19"/>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Cs w:val="21"/>
          <w:highlight w:val="none"/>
        </w:rPr>
        <w:t>液体乙酸钠必须符合《生化法处理废（污）水用碳源 乙酸钠》(HG/T 5959-2021 )Ⅱ型产品质量及检测标准，主要技术指标要求如下：</w:t>
      </w:r>
    </w:p>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表1  </w:t>
      </w:r>
      <w:r>
        <w:rPr>
          <w:rFonts w:hint="eastAsia" w:ascii="宋体" w:hAnsi="宋体" w:eastAsia="宋体" w:cs="宋体"/>
          <w:b/>
          <w:color w:val="auto"/>
          <w:sz w:val="21"/>
          <w:szCs w:val="21"/>
          <w:highlight w:val="none"/>
          <w:lang w:eastAsia="zh-CN"/>
        </w:rPr>
        <w:t>液体乙酸钠</w:t>
      </w:r>
      <w:r>
        <w:rPr>
          <w:rFonts w:hint="eastAsia" w:ascii="宋体" w:hAnsi="宋体" w:eastAsia="宋体" w:cs="宋体"/>
          <w:b/>
          <w:color w:val="auto"/>
          <w:sz w:val="21"/>
          <w:szCs w:val="21"/>
          <w:highlight w:val="none"/>
        </w:rPr>
        <w:t>主要技术指标</w:t>
      </w:r>
    </w:p>
    <w:tbl>
      <w:tblPr>
        <w:tblStyle w:val="37"/>
        <w:tblW w:w="990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noWrap w:val="0"/>
            <w:vAlign w:val="center"/>
          </w:tcPr>
          <w:p>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4281"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noWrap w:val="0"/>
            <w:vAlign w:val="center"/>
          </w:tcPr>
          <w:p>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乙酸钠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CH</w:t>
            </w:r>
            <w:r>
              <w:rPr>
                <w:rFonts w:hint="eastAsia" w:ascii="宋体" w:hAnsi="宋体" w:eastAsia="宋体" w:cs="宋体"/>
                <w:b/>
                <w:color w:val="auto"/>
                <w:sz w:val="21"/>
                <w:szCs w:val="21"/>
                <w:highlight w:val="none"/>
                <w:vertAlign w:val="subscript"/>
                <w:lang w:val="en-US" w:eastAsia="zh-CN"/>
              </w:rPr>
              <w:t>3</w:t>
            </w:r>
            <w:r>
              <w:rPr>
                <w:rFonts w:hint="eastAsia" w:ascii="宋体" w:hAnsi="宋体" w:eastAsia="宋体" w:cs="宋体"/>
                <w:b/>
                <w:color w:val="auto"/>
                <w:sz w:val="21"/>
                <w:szCs w:val="21"/>
                <w:highlight w:val="none"/>
                <w:lang w:val="en-US" w:eastAsia="zh-CN"/>
              </w:rPr>
              <w:t>COONa）的</w:t>
            </w:r>
            <w:r>
              <w:rPr>
                <w:rFonts w:hint="eastAsia" w:ascii="宋体" w:hAnsi="宋体" w:eastAsia="宋体" w:cs="宋体"/>
                <w:b/>
                <w:color w:val="auto"/>
                <w:sz w:val="21"/>
                <w:szCs w:val="21"/>
                <w:highlight w:val="none"/>
              </w:rPr>
              <w:t>质量分数，%</w:t>
            </w:r>
          </w:p>
        </w:tc>
        <w:tc>
          <w:tcPr>
            <w:tcW w:w="4281"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5507" w:type="dxa"/>
            <w:noWrap w:val="0"/>
            <w:vAlign w:val="center"/>
          </w:tcPr>
          <w:p>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化学需氧量（</w:t>
            </w:r>
            <w:r>
              <w:rPr>
                <w:rFonts w:hint="eastAsia" w:ascii="宋体" w:hAnsi="宋体" w:eastAsia="宋体" w:cs="宋体"/>
                <w:b/>
                <w:color w:val="auto"/>
                <w:sz w:val="21"/>
                <w:szCs w:val="21"/>
                <w:highlight w:val="none"/>
              </w:rPr>
              <w:t>COD</w:t>
            </w:r>
            <w:r>
              <w:rPr>
                <w:rFonts w:hint="eastAsia" w:ascii="宋体" w:hAnsi="宋体" w:eastAsia="宋体" w:cs="宋体"/>
                <w:b/>
                <w:color w:val="auto"/>
                <w:sz w:val="21"/>
                <w:szCs w:val="21"/>
                <w:highlight w:val="none"/>
                <w:vertAlign w:val="subscript"/>
                <w:lang w:val="en-US" w:eastAsia="zh-CN"/>
              </w:rPr>
              <w:t>Cr</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，mg/L</w:t>
            </w:r>
          </w:p>
        </w:tc>
        <w:tc>
          <w:tcPr>
            <w:tcW w:w="4281"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1.95×10</w:t>
            </w:r>
            <w:r>
              <w:rPr>
                <w:rFonts w:hint="eastAsia" w:ascii="宋体" w:hAnsi="宋体" w:eastAsia="宋体" w:cs="宋体"/>
                <w:b/>
                <w:color w:val="auto"/>
                <w:sz w:val="21"/>
                <w:szCs w:val="21"/>
                <w:highlight w:val="none"/>
                <w:vertAlign w:val="superscript"/>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pH</w:t>
            </w:r>
            <w:r>
              <w:rPr>
                <w:rFonts w:hint="eastAsia" w:ascii="宋体" w:hAnsi="宋体" w:eastAsia="宋体" w:cs="宋体"/>
                <w:b/>
                <w:color w:val="auto"/>
                <w:sz w:val="21"/>
                <w:szCs w:val="21"/>
                <w:highlight w:val="none"/>
                <w:lang w:val="en-US" w:eastAsia="zh-CN"/>
              </w:rPr>
              <w:t>值</w:t>
            </w:r>
          </w:p>
        </w:tc>
        <w:tc>
          <w:tcPr>
            <w:tcW w:w="4281"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水不溶物</w:t>
            </w:r>
            <w:r>
              <w:rPr>
                <w:rFonts w:hint="eastAsia" w:ascii="宋体" w:hAnsi="宋体" w:eastAsia="宋体" w:cs="宋体"/>
                <w:b/>
                <w:color w:val="auto"/>
                <w:sz w:val="21"/>
                <w:szCs w:val="21"/>
                <w:highlight w:val="none"/>
                <w:lang w:val="en-US" w:eastAsia="zh-CN"/>
              </w:rPr>
              <w:t>的质量分数</w:t>
            </w:r>
            <w:r>
              <w:rPr>
                <w:rFonts w:hint="eastAsia" w:ascii="宋体" w:hAnsi="宋体" w:eastAsia="宋体" w:cs="宋体"/>
                <w:b/>
                <w:color w:val="auto"/>
                <w:sz w:val="21"/>
                <w:szCs w:val="21"/>
                <w:highlight w:val="none"/>
              </w:rPr>
              <w:t>，%</w:t>
            </w:r>
          </w:p>
        </w:tc>
        <w:tc>
          <w:tcPr>
            <w:tcW w:w="4281"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氯化物（按</w:t>
            </w:r>
            <w:r>
              <w:rPr>
                <w:rFonts w:hint="eastAsia" w:ascii="宋体" w:hAnsi="宋体" w:eastAsia="宋体" w:cs="宋体"/>
                <w:b/>
                <w:color w:val="auto"/>
                <w:sz w:val="21"/>
                <w:szCs w:val="21"/>
                <w:highlight w:val="none"/>
                <w:lang w:val="en-US" w:eastAsia="zh-CN"/>
              </w:rPr>
              <w:t>Cl</w:t>
            </w:r>
            <w:r>
              <w:rPr>
                <w:rFonts w:hint="eastAsia" w:ascii="宋体" w:hAnsi="宋体" w:eastAsia="宋体" w:cs="宋体"/>
                <w:b/>
                <w:color w:val="auto"/>
                <w:sz w:val="21"/>
                <w:szCs w:val="21"/>
                <w:highlight w:val="none"/>
              </w:rPr>
              <w:t>计）</w:t>
            </w:r>
            <w:r>
              <w:rPr>
                <w:rFonts w:hint="eastAsia" w:ascii="宋体" w:hAnsi="宋体" w:eastAsia="宋体" w:cs="宋体"/>
                <w:b/>
                <w:color w:val="auto"/>
                <w:sz w:val="21"/>
                <w:szCs w:val="21"/>
                <w:highlight w:val="none"/>
                <w:lang w:val="en-US" w:eastAsia="zh-CN"/>
              </w:rPr>
              <w:t>的质量分数</w:t>
            </w:r>
            <w:r>
              <w:rPr>
                <w:rFonts w:hint="eastAsia" w:ascii="宋体" w:hAnsi="宋体" w:eastAsia="宋体" w:cs="宋体"/>
                <w:b/>
                <w:color w:val="auto"/>
                <w:sz w:val="21"/>
                <w:szCs w:val="21"/>
                <w:highlight w:val="none"/>
              </w:rPr>
              <w:t>，%</w:t>
            </w:r>
          </w:p>
        </w:tc>
        <w:tc>
          <w:tcPr>
            <w:tcW w:w="4281" w:type="dxa"/>
            <w:noWrap w:val="0"/>
            <w:vAlign w:val="center"/>
          </w:tcPr>
          <w:p>
            <w:pPr>
              <w:spacing w:line="360" w:lineRule="auto"/>
              <w:ind w:firstLine="276" w:firstLineChars="131"/>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0.10</w:t>
            </w:r>
          </w:p>
        </w:tc>
      </w:tr>
    </w:tbl>
    <w:p>
      <w:pPr>
        <w:autoSpaceDE/>
        <w:autoSpaceDN/>
        <w:adjustRightInd/>
        <w:spacing w:line="360" w:lineRule="auto"/>
        <w:ind w:firstLine="42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供货的药剂的原料应符合《生化法处理废（污）水用碳源 乙酸钠》(HG/T 5959-2021 )标准要求。</w:t>
      </w:r>
    </w:p>
    <w:p>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）供货期间，如有发布最新的行业标准或国家标准，招标人有权根据招标人运营项目实际情况及有关行业标准或国家标准对合同的主要技术指标进行变更调整，投标人应无条件接受。</w:t>
      </w:r>
    </w:p>
    <w:p>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应根据各项目工艺以及性质，提供符合技术指标的药剂，保证供货的药剂用作碳源达到良好的脱氮效果；</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提供的药剂不得造成污水处理厂其他出水水质指标如氨氮、总磷明显升高</w:t>
      </w:r>
      <w:r>
        <w:rPr>
          <w:rFonts w:hint="eastAsia" w:ascii="宋体" w:hAnsi="宋体" w:eastAsia="宋体" w:cs="宋体"/>
          <w:b/>
          <w:bCs w:val="0"/>
          <w:color w:val="auto"/>
          <w:sz w:val="21"/>
          <w:szCs w:val="21"/>
          <w:highlight w:val="none"/>
        </w:rPr>
        <w:t>。</w:t>
      </w:r>
    </w:p>
    <w:p>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bookmarkStart w:id="20" w:name="_Toc14997"/>
      <w:bookmarkStart w:id="21" w:name="_Toc7916"/>
      <w:r>
        <w:rPr>
          <w:rFonts w:hint="eastAsia" w:ascii="宋体" w:hAnsi="宋体" w:eastAsia="宋体" w:cs="宋体"/>
          <w:b/>
          <w:color w:val="auto"/>
          <w:sz w:val="21"/>
          <w:szCs w:val="21"/>
          <w:highlight w:val="none"/>
        </w:rPr>
        <w:t>交货要求</w:t>
      </w:r>
      <w:bookmarkEnd w:id="20"/>
      <w:bookmarkEnd w:id="21"/>
    </w:p>
    <w:p>
      <w:pPr>
        <w:spacing w:line="360" w:lineRule="auto"/>
        <w:ind w:firstLine="420" w:firstLineChars="200"/>
        <w:jc w:val="both"/>
        <w:outlineLvl w:val="9"/>
        <w:rPr>
          <w:rFonts w:hint="eastAsia" w:ascii="宋体" w:hAnsi="宋体" w:eastAsia="宋体" w:cs="宋体"/>
          <w:color w:val="auto"/>
          <w:sz w:val="21"/>
          <w:szCs w:val="21"/>
          <w:highlight w:val="none"/>
        </w:rPr>
      </w:pPr>
      <w:bookmarkStart w:id="22" w:name="_Toc21273"/>
      <w:bookmarkStart w:id="23" w:name="_Toc24196"/>
      <w:r>
        <w:rPr>
          <w:rFonts w:hint="eastAsia" w:ascii="宋体" w:hAnsi="宋体" w:eastAsia="宋体" w:cs="宋体"/>
          <w:color w:val="auto"/>
          <w:sz w:val="21"/>
          <w:szCs w:val="21"/>
          <w:highlight w:val="none"/>
        </w:rPr>
        <w:t>1、交货地点：招标人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bookmarkEnd w:id="22"/>
      <w:bookmarkEnd w:id="23"/>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为接到供货通知24小时内，加急供货为接到供货通知4小时内，具体交货时间以招标人运营项目供货通知为准。招标人无需因加急供货而额外支付任何费用。</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自行负责将生产药剂运送至招标人运营项目指定位置（生产药剂储存罐），未经招标人书面同意，</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不得私自将本合同项下的货物运输义务委托第三方个人或企业。</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承担相应的运输、装卸等费用，运输人员应配备足够防护器具。如在运输及装卸过程中，生产药剂发生泄漏，应由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负责清理收集，避免造成人员伤害或环境污染。</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4、每次送货，</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承担。实际供货数量以招标人运营项目和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rPr>
        <w:t>招标人运营项目</w:t>
      </w:r>
      <w:r>
        <w:rPr>
          <w:rFonts w:hint="eastAsia" w:ascii="宋体" w:hAnsi="宋体" w:eastAsia="宋体" w:cs="宋体"/>
          <w:color w:val="auto"/>
          <w:kern w:val="2"/>
          <w:sz w:val="21"/>
          <w:szCs w:val="21"/>
          <w:highlight w:val="none"/>
          <w:lang w:val="en-US" w:eastAsia="zh-CN"/>
        </w:rPr>
        <w:t>有电子地磅的，原则上在招标人运营项目过磅；招标人运营项目无电子地磅或电子地磅因检修等原因不可用的，在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Cs w:val="21"/>
        </w:rPr>
        <w:t>招标人电子地磅的称重服务不含税单价为1.51元/吨，称重服务相关条款由招标人或招标人权属子公司与中标人签订称重服务合同另行约定。</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须随货提供生产厂家出具的具有</w:t>
      </w:r>
      <w:r>
        <w:rPr>
          <w:rFonts w:hint="eastAsia" w:ascii="宋体" w:hAnsi="宋体" w:eastAsia="宋体" w:cs="宋体"/>
          <w:b/>
          <w:bCs/>
          <w:color w:val="auto"/>
          <w:kern w:val="2"/>
          <w:sz w:val="21"/>
          <w:szCs w:val="21"/>
          <w:highlight w:val="none"/>
        </w:rPr>
        <w:t>生产厂家、出厂批号、</w:t>
      </w:r>
      <w:r>
        <w:rPr>
          <w:rFonts w:hint="eastAsia" w:ascii="宋体" w:hAnsi="宋体" w:eastAsia="宋体" w:cs="宋体"/>
          <w:b/>
          <w:bCs/>
          <w:color w:val="auto"/>
          <w:szCs w:val="21"/>
          <w:highlight w:val="none"/>
        </w:rPr>
        <w:t>乙酸钠质量分数、化学需氧量（COD</w:t>
      </w:r>
      <w:r>
        <w:rPr>
          <w:rFonts w:hint="eastAsia" w:ascii="宋体" w:hAnsi="宋体" w:eastAsia="宋体" w:cs="宋体"/>
          <w:b/>
          <w:bCs/>
          <w:color w:val="auto"/>
          <w:szCs w:val="21"/>
          <w:highlight w:val="none"/>
          <w:vertAlign w:val="subscript"/>
        </w:rPr>
        <w:t>Cr</w:t>
      </w:r>
      <w:r>
        <w:rPr>
          <w:rFonts w:hint="eastAsia" w:ascii="宋体" w:hAnsi="宋体" w:eastAsia="宋体" w:cs="宋体"/>
          <w:b/>
          <w:bCs/>
          <w:color w:val="auto"/>
          <w:szCs w:val="21"/>
          <w:highlight w:val="none"/>
        </w:rPr>
        <w:t>）、pH值、水不溶物的质量分数、氯化物的质量分数</w:t>
      </w:r>
      <w:r>
        <w:rPr>
          <w:rFonts w:hint="eastAsia" w:ascii="宋体" w:hAnsi="宋体" w:eastAsia="宋体" w:cs="宋体"/>
          <w:b/>
          <w:bCs/>
          <w:color w:val="auto"/>
          <w:kern w:val="2"/>
          <w:sz w:val="21"/>
          <w:szCs w:val="21"/>
          <w:highlight w:val="none"/>
        </w:rPr>
        <w:t>等主要信息</w:t>
      </w:r>
      <w:r>
        <w:rPr>
          <w:rFonts w:hint="eastAsia" w:ascii="宋体" w:hAnsi="宋体" w:eastAsia="宋体" w:cs="宋体"/>
          <w:color w:val="auto"/>
          <w:kern w:val="2"/>
          <w:sz w:val="21"/>
          <w:szCs w:val="21"/>
          <w:highlight w:val="none"/>
        </w:rPr>
        <w:t>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液体乙酸钠</w:t>
      </w:r>
      <w:r>
        <w:rPr>
          <w:rFonts w:hint="eastAsia" w:ascii="宋体" w:hAnsi="宋体" w:eastAsia="宋体" w:cs="宋体"/>
          <w:color w:val="auto"/>
          <w:szCs w:val="21"/>
          <w:highlight w:val="none"/>
        </w:rPr>
        <w:t>主要技术指标》要求的</w:t>
      </w:r>
      <w:r>
        <w:rPr>
          <w:rFonts w:hint="eastAsia" w:ascii="宋体" w:hAnsi="宋体" w:eastAsia="宋体" w:cs="宋体"/>
          <w:color w:val="auto"/>
          <w:kern w:val="2"/>
          <w:sz w:val="21"/>
          <w:szCs w:val="21"/>
          <w:highlight w:val="none"/>
        </w:rPr>
        <w:t>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提供的检验报告只作为招标人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6、供货期间，在收到招标人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无需为合同履行做准备工作。招标人运营项目相关信息见附件，仅供投标人报价参考。</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w:t>
      </w:r>
      <w:bookmarkStart w:id="24" w:name="_Hlk111479904"/>
      <w:r>
        <w:rPr>
          <w:rFonts w:hint="eastAsia" w:ascii="宋体" w:hAnsi="宋体" w:eastAsia="宋体" w:cs="宋体"/>
          <w:color w:val="auto"/>
          <w:sz w:val="21"/>
          <w:szCs w:val="21"/>
          <w:highlight w:val="none"/>
        </w:rPr>
        <w:t>贮存</w:t>
      </w:r>
      <w:bookmarkEnd w:id="24"/>
      <w:r>
        <w:rPr>
          <w:rFonts w:hint="eastAsia" w:ascii="宋体" w:hAnsi="宋体" w:eastAsia="宋体" w:cs="宋体"/>
          <w:color w:val="auto"/>
          <w:sz w:val="21"/>
          <w:szCs w:val="21"/>
          <w:highlight w:val="none"/>
        </w:rPr>
        <w:t>条件等要求，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8、生产药剂的运送及输送方式应符合国家或行业规范标准。液体药剂采用聚乙烯塑料桶或专用耐酸耐腐蚀贮罐等密闭容器装运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禁止与酸性物质共运，运输过程防止药剂泄漏并避免有毒物品的污染，且</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或其委托的运输单位应当具备国家及行业规定的运输资质。</w:t>
      </w:r>
    </w:p>
    <w:p>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bookmarkStart w:id="25" w:name="_Toc16213"/>
      <w:bookmarkStart w:id="26" w:name="_Toc24688"/>
      <w:r>
        <w:rPr>
          <w:rFonts w:hint="eastAsia" w:ascii="宋体" w:hAnsi="宋体" w:eastAsia="宋体" w:cs="宋体"/>
          <w:b/>
          <w:color w:val="auto"/>
          <w:sz w:val="21"/>
          <w:szCs w:val="21"/>
          <w:highlight w:val="none"/>
        </w:rPr>
        <w:t>验收要求</w:t>
      </w:r>
      <w:bookmarkEnd w:id="25"/>
      <w:bookmarkEnd w:id="26"/>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bookmarkStart w:id="27" w:name="_Toc23730"/>
      <w:bookmarkStart w:id="28" w:name="_Toc26056"/>
      <w:r>
        <w:rPr>
          <w:rFonts w:hint="eastAsia" w:ascii="宋体" w:hAnsi="宋体" w:eastAsia="宋体" w:cs="宋体"/>
          <w:b/>
          <w:bCs/>
          <w:color w:val="auto"/>
          <w:kern w:val="2"/>
          <w:sz w:val="21"/>
          <w:szCs w:val="21"/>
          <w:highlight w:val="none"/>
        </w:rPr>
        <w:t>（1）初步验收：</w:t>
      </w:r>
      <w:bookmarkEnd w:id="27"/>
      <w:bookmarkEnd w:id="28"/>
    </w:p>
    <w:p>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共同验货。招标人运营项目按照本项目合同及招标文件，对货物的数量、品种、随车产品质量检验报告、供货单据等进行核对。</w:t>
      </w:r>
    </w:p>
    <w:p>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2）初步验收合格后，招标人运营项目、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双方进行相关签收手续。</w:t>
      </w:r>
    </w:p>
    <w:p>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bookmarkStart w:id="29" w:name="_Toc24743"/>
      <w:bookmarkStart w:id="30" w:name="_Toc16461"/>
      <w:r>
        <w:rPr>
          <w:rFonts w:hint="eastAsia" w:ascii="宋体" w:hAnsi="宋体" w:eastAsia="宋体" w:cs="宋体"/>
          <w:b/>
          <w:bCs/>
          <w:color w:val="auto"/>
          <w:kern w:val="2"/>
          <w:sz w:val="21"/>
          <w:szCs w:val="21"/>
          <w:highlight w:val="none"/>
        </w:rPr>
        <w:t>（2）最终验收</w:t>
      </w:r>
      <w:bookmarkEnd w:id="29"/>
      <w:bookmarkEnd w:id="30"/>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对每次供货货物检验，检验指标由招标人在表1</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w:t>
      </w:r>
      <w:r>
        <w:rPr>
          <w:rFonts w:hint="eastAsia" w:ascii="宋体" w:hAnsi="宋体" w:eastAsia="宋体" w:cs="宋体"/>
          <w:color w:val="auto"/>
          <w:sz w:val="21"/>
          <w:szCs w:val="21"/>
          <w:highlight w:val="none"/>
          <w:lang w:val="en-US" w:eastAsia="zh-CN"/>
        </w:rPr>
        <w:t>乙酸钠的质量分数、化学需氧量（COD</w:t>
      </w:r>
      <w:r>
        <w:rPr>
          <w:rFonts w:hint="eastAsia" w:ascii="宋体" w:hAnsi="宋体" w:eastAsia="宋体" w:cs="宋体"/>
          <w:color w:val="auto"/>
          <w:sz w:val="21"/>
          <w:szCs w:val="21"/>
          <w:highlight w:val="none"/>
          <w:vertAlign w:val="subscript"/>
          <w:lang w:val="en-US" w:eastAsia="zh-CN"/>
        </w:rPr>
        <w:t>Cr</w:t>
      </w:r>
      <w:r>
        <w:rPr>
          <w:rFonts w:hint="eastAsia" w:ascii="宋体" w:hAnsi="宋体" w:eastAsia="宋体" w:cs="宋体"/>
          <w:color w:val="auto"/>
          <w:sz w:val="21"/>
          <w:szCs w:val="21"/>
          <w:highlight w:val="none"/>
          <w:lang w:val="en-US" w:eastAsia="zh-CN"/>
        </w:rPr>
        <w:t>）、pH值</w:t>
      </w:r>
      <w:r>
        <w:rPr>
          <w:rFonts w:hint="eastAsia" w:ascii="宋体" w:hAnsi="宋体" w:eastAsia="宋体" w:cs="宋体"/>
          <w:color w:val="auto"/>
          <w:sz w:val="21"/>
          <w:szCs w:val="21"/>
          <w:highlight w:val="none"/>
        </w:rPr>
        <w:t>为每次供货货物的批检检验指标，其余指标为招标人根据需要抽检的按需检验指标，货物批检检验指标和按需检验指标由招标人根据招标人</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 w:val="21"/>
          <w:szCs w:val="21"/>
          <w:highlight w:val="none"/>
        </w:rPr>
        <w:t>每次货到现场时可由双方共同取样，供货货物合格判定以招标人实验室检验结果为准。招标人根据需要可委托具有CMA认证资质的第三方检测机构检测，招标人委托的具有CMA认证资质的第三方检测机构的检验结果与招标人实验室不一致的，该次的供货货物质量判定以招标人委托的具有CMA认证资质的第三方检测机构的检验结果为准。</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2）货物检验方法按</w:t>
      </w:r>
      <w:r>
        <w:rPr>
          <w:rFonts w:hint="eastAsia" w:ascii="宋体" w:hAnsi="宋体" w:eastAsia="宋体" w:cs="宋体"/>
          <w:color w:val="auto"/>
          <w:sz w:val="21"/>
          <w:szCs w:val="21"/>
          <w:highlight w:val="none"/>
          <w:lang w:eastAsia="zh-CN"/>
        </w:rPr>
        <w:t>《生化法处理废（污）水用碳源 乙酸钠》(HG/T 5959-2021 )</w:t>
      </w:r>
      <w:r>
        <w:rPr>
          <w:rFonts w:hint="eastAsia" w:ascii="宋体" w:hAnsi="宋体" w:eastAsia="宋体" w:cs="宋体"/>
          <w:color w:val="auto"/>
          <w:sz w:val="21"/>
          <w:szCs w:val="21"/>
          <w:highlight w:val="none"/>
        </w:rPr>
        <w:t>中的检测方法进行。供货期间，如有发布最新的行业标准或国家标准，货物检验方法按发布的最新行业标准或国家标准执行。</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3）如供货货物符合表1《</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主要技术指标》要求则最终验收合格。</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2、货物按上述程序验收后，招标人运营项目向</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出具书面的验收报告，</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需对验收报告盖章确认。验收报告作为对货物供货数量及主要技术指标验收的证明，不代表对货物使用效果的认可。</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3、招标人运营项目根据本条规定对货物所做出的验收，仅作为起算付款及质保期之用，不视为双方对于货物质量的最终认可，</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仍应在质保期内对产品质量承担保证责任。</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所提供的货物不能通过招标人运营项目验收的，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应按招标人运营项目要求无条件予以退换货，给招标人造成损失的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须承担全部的赔偿责任。</w:t>
      </w:r>
    </w:p>
    <w:p>
      <w:pPr>
        <w:autoSpaceDE/>
        <w:autoSpaceDN/>
        <w:adjustRightInd/>
        <w:spacing w:line="360" w:lineRule="auto"/>
        <w:jc w:val="both"/>
        <w:outlineLvl w:val="9"/>
        <w:rPr>
          <w:rFonts w:hint="eastAsia" w:ascii="宋体" w:hAnsi="宋体" w:eastAsia="宋体" w:cs="宋体"/>
          <w:b/>
          <w:color w:val="auto"/>
          <w:sz w:val="21"/>
          <w:szCs w:val="21"/>
          <w:highlight w:val="none"/>
        </w:rPr>
      </w:pPr>
      <w:bookmarkStart w:id="31" w:name="_Toc22100"/>
      <w:bookmarkStart w:id="32" w:name="_Toc12550"/>
      <w:bookmarkStart w:id="33" w:name="_Hlk142639147"/>
      <w:r>
        <w:rPr>
          <w:rFonts w:hint="eastAsia" w:ascii="宋体" w:hAnsi="宋体" w:eastAsia="宋体" w:cs="宋体"/>
          <w:b/>
          <w:color w:val="auto"/>
          <w:sz w:val="21"/>
          <w:szCs w:val="21"/>
          <w:highlight w:val="none"/>
        </w:rPr>
        <w:t>五、</w:t>
      </w:r>
      <w:bookmarkStart w:id="34" w:name="OLE_LINK11"/>
      <w:r>
        <w:rPr>
          <w:rFonts w:hint="eastAsia" w:ascii="宋体" w:hAnsi="宋体" w:eastAsia="宋体" w:cs="宋体"/>
          <w:b/>
          <w:color w:val="auto"/>
          <w:sz w:val="21"/>
          <w:szCs w:val="21"/>
          <w:highlight w:val="none"/>
        </w:rPr>
        <w:t>资料要求</w:t>
      </w:r>
      <w:bookmarkEnd w:id="31"/>
      <w:bookmarkEnd w:id="32"/>
      <w:bookmarkEnd w:id="34"/>
    </w:p>
    <w:p>
      <w:pPr>
        <w:snapToGrid w:val="0"/>
        <w:spacing w:line="360" w:lineRule="auto"/>
        <w:ind w:firstLine="420" w:firstLineChars="200"/>
        <w:outlineLvl w:val="9"/>
        <w:rPr>
          <w:rFonts w:hint="eastAsia" w:ascii="宋体" w:hAnsi="宋体" w:eastAsia="宋体" w:cs="宋体"/>
          <w:color w:val="auto"/>
          <w:sz w:val="21"/>
          <w:szCs w:val="21"/>
          <w:highlight w:val="none"/>
        </w:rPr>
      </w:pPr>
      <w:bookmarkStart w:id="35" w:name="_Toc28578"/>
      <w:bookmarkStart w:id="36" w:name="_Toc24104"/>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需向招标人运营项目提供但不限于下述技术资料：</w:t>
      </w:r>
      <w:bookmarkEnd w:id="35"/>
      <w:bookmarkEnd w:id="36"/>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（4）招标人运营项目要求提供的其他技术资料。</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需将上述资料（若上述资料为复印件的，则须加盖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公章）在交货时交给招标人运营项目，有关资料的收集和整理由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负责，招标人运营项目予以配合。</w:t>
      </w:r>
    </w:p>
    <w:p>
      <w:pPr>
        <w:autoSpaceDE/>
        <w:autoSpaceDN/>
        <w:adjustRightInd/>
        <w:snapToGrid w:val="0"/>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rPr>
        <w:t>供货期内，</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需每季度委托具有CMA认证资质的第三方检测机构对供货期间所供货物进行检测，并提供第三方检测机构出具的</w:t>
      </w:r>
      <w:bookmarkStart w:id="37" w:name="OLE_LINK29"/>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液体乙酸钠</w:t>
      </w:r>
      <w:r>
        <w:rPr>
          <w:rFonts w:hint="eastAsia" w:ascii="宋体" w:hAnsi="宋体" w:eastAsia="宋体" w:cs="宋体"/>
          <w:color w:val="auto"/>
          <w:szCs w:val="21"/>
          <w:highlight w:val="none"/>
        </w:rPr>
        <w:t>主要技术指标》要求的</w:t>
      </w:r>
      <w:bookmarkEnd w:id="37"/>
      <w:r>
        <w:rPr>
          <w:rFonts w:hint="eastAsia" w:ascii="宋体" w:hAnsi="宋体" w:eastAsia="宋体" w:cs="宋体"/>
          <w:color w:val="auto"/>
          <w:kern w:val="2"/>
          <w:sz w:val="21"/>
          <w:szCs w:val="21"/>
          <w:highlight w:val="none"/>
        </w:rPr>
        <w:t>检验报告，检验报告上的标徽应包括但不限于CMA认证标徽，</w:t>
      </w:r>
      <w:r>
        <w:rPr>
          <w:rFonts w:hint="eastAsia" w:ascii="宋体" w:hAnsi="宋体" w:eastAsia="宋体" w:cs="宋体"/>
          <w:b/>
          <w:bCs/>
          <w:color w:val="auto"/>
          <w:sz w:val="21"/>
          <w:szCs w:val="21"/>
          <w:highlight w:val="none"/>
        </w:rPr>
        <w:t>检验报告需体现委托方、生产厂家、送检样品的产品名称、生产批号或生产日期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《液体乙酸钠</w:t>
      </w:r>
      <w:r>
        <w:rPr>
          <w:rFonts w:hint="eastAsia" w:ascii="宋体" w:hAnsi="宋体" w:eastAsia="宋体" w:cs="宋体"/>
          <w:b/>
          <w:bCs/>
          <w:color w:val="auto"/>
          <w:sz w:val="21"/>
          <w:szCs w:val="21"/>
          <w:highlight w:val="none"/>
        </w:rPr>
        <w:t>主要技术指标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检测结果，检验报告</w:t>
      </w:r>
      <w:r>
        <w:rPr>
          <w:rFonts w:hint="eastAsia" w:ascii="宋体" w:hAnsi="宋体" w:eastAsia="宋体" w:cs="宋体"/>
          <w:b/>
          <w:bCs/>
          <w:color w:val="auto"/>
          <w:kern w:val="2"/>
          <w:sz w:val="21"/>
          <w:szCs w:val="21"/>
          <w:highlight w:val="none"/>
        </w:rPr>
        <w:t>使用的检测方法需符合</w:t>
      </w:r>
      <w:r>
        <w:rPr>
          <w:rFonts w:hint="eastAsia" w:ascii="宋体" w:hAnsi="宋体" w:eastAsia="宋体" w:cs="宋体"/>
          <w:b/>
          <w:bCs/>
          <w:color w:val="auto"/>
          <w:kern w:val="2"/>
          <w:sz w:val="21"/>
          <w:szCs w:val="21"/>
          <w:highlight w:val="none"/>
          <w:lang w:eastAsia="zh-CN"/>
        </w:rPr>
        <w:t>《生化法处理废（污）水用碳源 乙酸钠》(HG/T 5959-2021 )</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p>
    <w:p>
      <w:pPr>
        <w:autoSpaceDE/>
        <w:autoSpaceDN/>
        <w:adjustRightInd/>
        <w:snapToGrid w:val="0"/>
        <w:spacing w:line="360" w:lineRule="auto"/>
        <w:ind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提交的技术资料在出现遗漏或发现错误时，应及时补充或更正后提交招标人运营项目。</w:t>
      </w:r>
    </w:p>
    <w:bookmarkEnd w:id="33"/>
    <w:p>
      <w:pPr>
        <w:autoSpaceDE/>
        <w:autoSpaceDN/>
        <w:adjustRightInd/>
        <w:spacing w:line="360" w:lineRule="auto"/>
        <w:jc w:val="both"/>
        <w:outlineLvl w:val="9"/>
        <w:rPr>
          <w:rFonts w:hint="eastAsia" w:ascii="宋体" w:hAnsi="宋体" w:eastAsia="宋体" w:cs="宋体"/>
          <w:b/>
          <w:color w:val="auto"/>
          <w:sz w:val="21"/>
          <w:szCs w:val="21"/>
          <w:highlight w:val="none"/>
        </w:rPr>
      </w:pPr>
      <w:bookmarkStart w:id="38" w:name="_Toc8972"/>
      <w:bookmarkStart w:id="39" w:name="_Toc27949"/>
      <w:r>
        <w:rPr>
          <w:rFonts w:hint="eastAsia" w:ascii="宋体" w:hAnsi="宋体" w:eastAsia="宋体" w:cs="宋体"/>
          <w:b/>
          <w:color w:val="auto"/>
          <w:sz w:val="21"/>
          <w:szCs w:val="21"/>
          <w:highlight w:val="none"/>
        </w:rPr>
        <w:t>六、质量保证及售后要求</w:t>
      </w:r>
      <w:bookmarkEnd w:id="38"/>
      <w:bookmarkEnd w:id="39"/>
    </w:p>
    <w:p>
      <w:pPr>
        <w:spacing w:line="360" w:lineRule="auto"/>
        <w:ind w:firstLine="420" w:firstLineChars="200"/>
        <w:jc w:val="both"/>
        <w:rPr>
          <w:rFonts w:hint="eastAsia" w:ascii="宋体" w:hAnsi="宋体" w:eastAsia="宋体" w:cs="宋体"/>
          <w:color w:val="auto"/>
          <w:sz w:val="21"/>
          <w:szCs w:val="21"/>
          <w:highlight w:val="none"/>
        </w:rPr>
      </w:pPr>
      <w:bookmarkStart w:id="40" w:name="_Hlk142639521"/>
      <w:r>
        <w:rPr>
          <w:rFonts w:hint="eastAsia" w:ascii="宋体" w:hAnsi="宋体" w:eastAsia="宋体" w:cs="宋体"/>
          <w:color w:val="auto"/>
          <w:sz w:val="21"/>
          <w:szCs w:val="21"/>
          <w:highlight w:val="none"/>
        </w:rPr>
        <w:t>1、药剂保质期：</w:t>
      </w:r>
      <w:r>
        <w:rPr>
          <w:rFonts w:hint="eastAsia" w:ascii="宋体" w:hAnsi="宋体" w:eastAsia="宋体" w:cs="宋体"/>
          <w:bCs/>
          <w:color w:val="auto"/>
          <w:szCs w:val="21"/>
          <w:highlight w:val="none"/>
        </w:rPr>
        <w:t>以</w:t>
      </w:r>
      <w:r>
        <w:rPr>
          <w:rFonts w:hint="eastAsia" w:ascii="宋体" w:hAnsi="宋体" w:eastAsia="宋体" w:cs="宋体"/>
          <w:bCs/>
          <w:color w:val="auto"/>
          <w:szCs w:val="21"/>
          <w:highlight w:val="none"/>
          <w:lang w:val="en-US" w:eastAsia="zh-CN"/>
        </w:rPr>
        <w:t>招标人</w:t>
      </w:r>
      <w:r>
        <w:rPr>
          <w:rFonts w:hint="eastAsia" w:ascii="宋体" w:hAnsi="宋体" w:eastAsia="宋体" w:cs="宋体"/>
          <w:bCs/>
          <w:color w:val="auto"/>
          <w:szCs w:val="21"/>
          <w:highlight w:val="none"/>
        </w:rPr>
        <w:t>运营项目</w:t>
      </w:r>
      <w:r>
        <w:rPr>
          <w:rFonts w:hint="eastAsia" w:ascii="宋体" w:hAnsi="宋体" w:eastAsia="宋体" w:cs="宋体"/>
          <w:bCs/>
          <w:color w:val="auto"/>
          <w:szCs w:val="21"/>
          <w:highlight w:val="none"/>
          <w:lang w:val="en-US" w:eastAsia="zh-CN"/>
        </w:rPr>
        <w:t>最终</w:t>
      </w:r>
      <w:r>
        <w:rPr>
          <w:rFonts w:hint="eastAsia" w:ascii="宋体" w:hAnsi="宋体" w:eastAsia="宋体" w:cs="宋体"/>
          <w:bCs/>
          <w:color w:val="auto"/>
          <w:szCs w:val="21"/>
          <w:highlight w:val="none"/>
        </w:rPr>
        <w:t>验收之日算起12个月，保质期内产品质量须达到所有技术指标要求</w:t>
      </w:r>
      <w:r>
        <w:rPr>
          <w:rFonts w:hint="eastAsia" w:ascii="宋体" w:hAnsi="宋体" w:eastAsia="宋体" w:cs="宋体"/>
          <w:color w:val="auto"/>
          <w:sz w:val="21"/>
          <w:szCs w:val="21"/>
          <w:highlight w:val="none"/>
        </w:rPr>
        <w:t>。</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2、投标人应具有相应的技术人员，具备供货及售前售后的服务能力。</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在接到质量问题通知后 4 小时内自费派工程师到达现场对问题进行处理。</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应根据招标人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需要免费提供培训，相关费用已计入综合单价，招标人无需另行支付任何费用。</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5、培训地点、规模及时间由招标人运营项目指定，根据培训内容复杂程度，招标人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提供完整的书面培训计划和方案，列明提供培训的技术人员名单及资质，以及培训完成后招标人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6、在交货或合同履行过程中，若因所交货物（包括但不限于品种、型号、规格、质量）不符合招标人运营项目要求、或货物使用过程中出现质量问题，导致</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提供的生产药剂如不能通过招标人运营项目验收的，招标人运营项目可拒绝收货或要求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承担退换货责任。原则上</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应该在不影响招标人运营项目正常生产的情况下，自招标人运营项目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4小时内无条件予以退换货，招标人不承担因验收造成的货物损耗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通知货物检验不合格或货物使用过程中出现质量问题而要求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按照前述条款进行退换货之时起4小时之内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未将不合格货物运离招标人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仓库，招标人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可自行或委托第三方对不合格货物进行处置，</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须承担招标人处置该次不合格货物所需的全部费用，以及给招标人造成的一切损失。</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货物检验不合格或货物使用过程中出现质量问题之时起，招标人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按照加急供货的规定，将等量的合格货物送交招标人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，否则按加急供货的违约规定进行处理</w:t>
      </w:r>
      <w:bookmarkEnd w:id="40"/>
      <w:r>
        <w:rPr>
          <w:rFonts w:hint="eastAsia" w:ascii="宋体" w:hAnsi="宋体" w:eastAsia="宋体" w:cs="宋体"/>
          <w:color w:val="auto"/>
          <w:sz w:val="21"/>
          <w:szCs w:val="21"/>
          <w:highlight w:val="none"/>
        </w:rPr>
        <w:t>。</w:t>
      </w:r>
    </w:p>
    <w:p>
      <w:pPr>
        <w:autoSpaceDE/>
        <w:autoSpaceDN/>
        <w:adjustRightInd/>
        <w:spacing w:line="360" w:lineRule="auto"/>
        <w:jc w:val="both"/>
        <w:outlineLvl w:val="9"/>
        <w:rPr>
          <w:rFonts w:hint="eastAsia" w:ascii="宋体" w:hAnsi="宋体" w:eastAsia="宋体" w:cs="宋体"/>
          <w:b/>
          <w:color w:val="auto"/>
          <w:sz w:val="21"/>
          <w:szCs w:val="21"/>
          <w:highlight w:val="none"/>
        </w:rPr>
      </w:pPr>
      <w:bookmarkStart w:id="41" w:name="_Toc20724"/>
      <w:bookmarkStart w:id="42" w:name="_Toc11993"/>
      <w:r>
        <w:rPr>
          <w:rFonts w:hint="eastAsia" w:ascii="宋体" w:hAnsi="宋体" w:eastAsia="宋体" w:cs="宋体"/>
          <w:b/>
          <w:color w:val="auto"/>
          <w:sz w:val="21"/>
          <w:szCs w:val="21"/>
          <w:highlight w:val="none"/>
        </w:rPr>
        <w:t>七、货物的结算</w:t>
      </w:r>
      <w:bookmarkEnd w:id="41"/>
      <w:bookmarkEnd w:id="42"/>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按规定提供了履约担保后，招标人通过以下方式以人民币支付合同款项给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pPr>
        <w:pStyle w:val="129"/>
        <w:autoSpaceDE/>
        <w:autoSpaceDN/>
        <w:adjustRightInd/>
        <w:spacing w:line="360" w:lineRule="auto"/>
        <w:rPr>
          <w:rFonts w:hint="eastAsia" w:ascii="宋体" w:hAnsi="宋体" w:eastAsia="宋体" w:cs="宋体"/>
          <w:color w:val="auto"/>
          <w:sz w:val="21"/>
          <w:szCs w:val="21"/>
          <w:highlight w:val="none"/>
        </w:rPr>
      </w:pPr>
      <w:bookmarkStart w:id="43" w:name="_Hlk142640500"/>
      <w:r>
        <w:rPr>
          <w:rFonts w:hint="eastAsia" w:ascii="宋体" w:hAnsi="宋体" w:eastAsia="宋体" w:cs="宋体"/>
          <w:color w:val="auto"/>
          <w:sz w:val="21"/>
          <w:szCs w:val="21"/>
          <w:highlight w:val="none"/>
        </w:rPr>
        <w:t>1、合同的履约过程中，</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根据本项目合同书约定需向招标人</w:t>
      </w:r>
      <w:bookmarkStart w:id="44" w:name="OLE_LINK27"/>
      <w:r>
        <w:rPr>
          <w:rFonts w:hint="eastAsia" w:ascii="宋体" w:hAnsi="宋体" w:eastAsia="宋体" w:cs="Times New Roman"/>
          <w:b w:val="0"/>
          <w:bCs/>
          <w:color w:val="auto"/>
          <w:szCs w:val="21"/>
          <w:highlight w:val="none"/>
          <w:u w:val="none"/>
          <w:lang w:val="en-US" w:eastAsia="zh-CN"/>
        </w:rPr>
        <w:t>或招标人权属子公司</w:t>
      </w:r>
      <w:bookmarkEnd w:id="44"/>
      <w:r>
        <w:rPr>
          <w:rFonts w:hint="eastAsia" w:ascii="宋体" w:hAnsi="宋体" w:eastAsia="宋体" w:cs="宋体"/>
          <w:color w:val="auto"/>
          <w:sz w:val="21"/>
          <w:szCs w:val="21"/>
          <w:highlight w:val="none"/>
        </w:rPr>
        <w:t>支付违约金、赔偿金、或其他应付费用等款项的，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支付完相关款项后，招标人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才根据合同书约定向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支付合同价和税额。若因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未能支付前述费用，影响项目实施的，招标人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有权启用履约担保或直接从未付合同款项中直接扣除，且</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必须按照扣除前述费用前的合同价（销售额）开具增值税专用发票，保证增值税税额符合法律规定。</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2、货物供货的款项按招标人运营项目进行支付、结算。货物供货的款项每月按实结算。招标人运营项目收到货物并最终验收合格后，每月中旬办理支付上月实际供货量的款项。</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向招标人运营项目提交请款报告和请款金额等额的合法、有效的增值税专用发票，招标人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在收到前述材料并确认无误后30个工作日内支付结算上月实际供货量的</w:t>
      </w:r>
      <w:r>
        <w:rPr>
          <w:rFonts w:hint="eastAsia" w:ascii="宋体" w:hAnsi="宋体" w:eastAsia="宋体" w:cs="宋体"/>
          <w:color w:val="auto"/>
          <w:sz w:val="21"/>
          <w:szCs w:val="21"/>
          <w:highlight w:val="none"/>
          <w:lang w:val="en-US" w:eastAsia="zh-CN"/>
        </w:rPr>
        <w:t>应付</w:t>
      </w:r>
      <w:r>
        <w:rPr>
          <w:rFonts w:hint="eastAsia" w:ascii="宋体" w:hAnsi="宋体" w:eastAsia="宋体" w:cs="宋体"/>
          <w:color w:val="auto"/>
          <w:sz w:val="21"/>
          <w:szCs w:val="21"/>
          <w:highlight w:val="none"/>
        </w:rPr>
        <w:t>货款和该货款对应的税额给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pPr>
        <w:pStyle w:val="12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4、支付方式：支付方式为银行转账或银行承兑汇票，汇票期限不超过三个月，每期款项支付方式由</w:t>
      </w:r>
      <w:bookmarkStart w:id="45" w:name="OLE_LINK28"/>
      <w:r>
        <w:rPr>
          <w:rFonts w:hint="eastAsia" w:ascii="宋体" w:hAnsi="宋体" w:eastAsia="宋体" w:cs="宋体"/>
          <w:color w:val="auto"/>
          <w:sz w:val="21"/>
          <w:szCs w:val="21"/>
          <w:highlight w:val="none"/>
          <w:lang w:val="en-US" w:eastAsia="zh-CN"/>
        </w:rPr>
        <w:t>招标人</w:t>
      </w:r>
      <w:r>
        <w:rPr>
          <w:rFonts w:hint="eastAsia" w:ascii="宋体" w:hAnsi="宋体" w:eastAsia="宋体" w:cs="Times New Roman"/>
          <w:b w:val="0"/>
          <w:bCs/>
          <w:color w:val="auto"/>
          <w:szCs w:val="21"/>
          <w:highlight w:val="none"/>
          <w:u w:val="none"/>
          <w:lang w:val="en-US" w:eastAsia="zh-CN"/>
        </w:rPr>
        <w:t>或招标人权属子公司</w:t>
      </w:r>
      <w:bookmarkEnd w:id="45"/>
      <w:r>
        <w:rPr>
          <w:rFonts w:hint="eastAsia" w:ascii="宋体" w:hAnsi="宋体" w:eastAsia="宋体" w:cs="宋体"/>
          <w:color w:val="auto"/>
          <w:sz w:val="21"/>
          <w:szCs w:val="21"/>
          <w:highlight w:val="none"/>
          <w:lang w:val="en-US" w:eastAsia="zh-CN"/>
        </w:rPr>
        <w:t>决定。</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迟延提供发票或提供的请款报告、发票不符合要求的，招标人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的付款时间可相应顺延，且招标人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不因此承担任何责任。因支付产生的相关银行手续费用，根据有关银行规定执行，如不能明确的，由双方各承担50%。由于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提供的发票不符合税法规定，给招标人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承担全部的赔偿责任</w:t>
      </w:r>
      <w:bookmarkEnd w:id="43"/>
      <w:r>
        <w:rPr>
          <w:rFonts w:hint="eastAsia" w:ascii="宋体" w:hAnsi="宋体" w:eastAsia="宋体" w:cs="宋体"/>
          <w:color w:val="auto"/>
          <w:sz w:val="21"/>
          <w:szCs w:val="21"/>
          <w:highlight w:val="none"/>
        </w:rPr>
        <w:t>。</w:t>
      </w:r>
    </w:p>
    <w:p>
      <w:pPr>
        <w:autoSpaceDE/>
        <w:autoSpaceDN/>
        <w:adjustRightInd/>
        <w:spacing w:line="360" w:lineRule="auto"/>
        <w:jc w:val="both"/>
        <w:outlineLvl w:val="9"/>
        <w:rPr>
          <w:rFonts w:hint="eastAsia" w:ascii="宋体" w:hAnsi="宋体" w:eastAsia="宋体" w:cs="宋体"/>
          <w:b/>
          <w:color w:val="auto"/>
          <w:sz w:val="21"/>
          <w:szCs w:val="21"/>
          <w:highlight w:val="none"/>
        </w:rPr>
      </w:pPr>
      <w:bookmarkStart w:id="46" w:name="_Toc14042"/>
      <w:bookmarkStart w:id="47" w:name="_Toc27955"/>
      <w:r>
        <w:rPr>
          <w:rFonts w:hint="eastAsia" w:ascii="宋体" w:hAnsi="宋体" w:eastAsia="宋体" w:cs="宋体"/>
          <w:b/>
          <w:color w:val="auto"/>
          <w:sz w:val="21"/>
          <w:szCs w:val="21"/>
          <w:highlight w:val="none"/>
        </w:rPr>
        <w:t>八、其它要求</w:t>
      </w:r>
      <w:bookmarkEnd w:id="46"/>
      <w:bookmarkEnd w:id="47"/>
    </w:p>
    <w:p>
      <w:pPr>
        <w:pStyle w:val="12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8" w:name="_Hlk142640606"/>
      <w:r>
        <w:rPr>
          <w:rFonts w:hint="eastAsia" w:ascii="宋体" w:hAnsi="宋体" w:eastAsia="宋体" w:cs="宋体"/>
          <w:color w:val="auto"/>
          <w:sz w:val="21"/>
          <w:szCs w:val="21"/>
          <w:highlight w:val="none"/>
        </w:rPr>
        <w:t>日常供货（非加急供货）时，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含税应付</w:t>
      </w:r>
      <w:r>
        <w:rPr>
          <w:rFonts w:hint="eastAsia" w:ascii="宋体" w:hAnsi="宋体" w:eastAsia="宋体" w:cs="宋体"/>
          <w:color w:val="auto"/>
          <w:sz w:val="21"/>
          <w:szCs w:val="21"/>
          <w:highlight w:val="none"/>
        </w:rPr>
        <w:t>货款的1%向招标人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逾期超过12小时的，招标人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有权单方解除合同，并且没收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的部分或全部履约担保，</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除支付前述逾期违约金外，招标人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Times New Roman"/>
          <w:b w:val="0"/>
          <w:bCs/>
          <w:color w:val="auto"/>
          <w:szCs w:val="21"/>
          <w:highlight w:val="none"/>
          <w:u w:val="none"/>
          <w:lang w:val="en-US" w:eastAsia="zh-CN"/>
        </w:rPr>
        <w:t>含税应付</w:t>
      </w:r>
      <w:r>
        <w:rPr>
          <w:rFonts w:hint="eastAsia" w:ascii="宋体" w:hAnsi="宋体" w:eastAsia="宋体" w:cs="宋体"/>
          <w:color w:val="auto"/>
          <w:sz w:val="21"/>
          <w:szCs w:val="21"/>
          <w:highlight w:val="none"/>
        </w:rPr>
        <w:t>货款的5%向招标人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需另行赔偿</w:t>
      </w:r>
      <w:bookmarkEnd w:id="48"/>
      <w:r>
        <w:rPr>
          <w:rFonts w:hint="eastAsia" w:ascii="宋体" w:hAnsi="宋体" w:eastAsia="宋体" w:cs="宋体"/>
          <w:color w:val="auto"/>
          <w:sz w:val="21"/>
          <w:szCs w:val="21"/>
          <w:highlight w:val="none"/>
        </w:rPr>
        <w:t>。</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Start w:id="49" w:name="_Hlk142640612"/>
      <w:r>
        <w:rPr>
          <w:rFonts w:hint="eastAsia" w:ascii="宋体" w:hAnsi="宋体" w:eastAsia="宋体" w:cs="宋体"/>
          <w:color w:val="auto"/>
          <w:sz w:val="21"/>
          <w:szCs w:val="21"/>
          <w:highlight w:val="none"/>
        </w:rPr>
        <w:t>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未在约定的时间内完成交货的，或未在规定的时间内承担相应的更换、退货责任的，每逾期1小时，招标人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含税应付</w:t>
      </w:r>
      <w:r>
        <w:rPr>
          <w:rFonts w:hint="eastAsia" w:ascii="宋体" w:hAnsi="宋体" w:eastAsia="宋体" w:cs="宋体"/>
          <w:color w:val="auto"/>
          <w:sz w:val="21"/>
          <w:szCs w:val="21"/>
          <w:highlight w:val="none"/>
        </w:rPr>
        <w:t>货款的10%向招标人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逾期超过4小时的，招标人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有权单方解除合同，并且没收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的部分或全部履约担保，</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除前述逾期违约金外，招标人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含税应付</w:t>
      </w:r>
      <w:r>
        <w:rPr>
          <w:rFonts w:hint="eastAsia" w:ascii="宋体" w:hAnsi="宋体" w:eastAsia="宋体" w:cs="宋体"/>
          <w:color w:val="auto"/>
          <w:sz w:val="21"/>
          <w:szCs w:val="21"/>
          <w:highlight w:val="none"/>
        </w:rPr>
        <w:t>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需另行赔偿</w:t>
      </w:r>
      <w:bookmarkEnd w:id="49"/>
      <w:r>
        <w:rPr>
          <w:rFonts w:hint="eastAsia" w:ascii="宋体" w:hAnsi="宋体" w:eastAsia="宋体" w:cs="宋体"/>
          <w:color w:val="auto"/>
          <w:sz w:val="21"/>
          <w:szCs w:val="21"/>
          <w:highlight w:val="none"/>
        </w:rPr>
        <w:t>。</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50" w:name="OLE_LINK6"/>
      <w:bookmarkStart w:id="51" w:name="_Hlk142640625"/>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所交货物经招标人实验室或招标人委托的第三方检测机构检验累计出现3次（含）</w:t>
      </w:r>
      <w:bookmarkEnd w:id="50"/>
      <w:r>
        <w:rPr>
          <w:rFonts w:hint="eastAsia" w:ascii="宋体" w:hAnsi="宋体" w:eastAsia="宋体" w:cs="宋体"/>
          <w:color w:val="auto"/>
          <w:sz w:val="21"/>
          <w:szCs w:val="21"/>
          <w:highlight w:val="none"/>
        </w:rPr>
        <w:t>以上不合格的，招标人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有权单方中止或解除合同，暂停或取消</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的供货资格，并根据对生产造成影响的严重程度，没收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的部分或全部履约担保</w:t>
      </w:r>
      <w:bookmarkEnd w:id="51"/>
      <w:r>
        <w:rPr>
          <w:rFonts w:hint="eastAsia" w:ascii="宋体" w:hAnsi="宋体" w:eastAsia="宋体" w:cs="宋体"/>
          <w:color w:val="auto"/>
          <w:sz w:val="21"/>
          <w:szCs w:val="21"/>
          <w:highlight w:val="none"/>
        </w:rPr>
        <w:t>。</w:t>
      </w:r>
    </w:p>
    <w:p>
      <w:pPr>
        <w:pStyle w:val="129"/>
        <w:autoSpaceDE/>
        <w:autoSpaceDN/>
        <w:adjustRightInd/>
        <w:spacing w:line="360" w:lineRule="auto"/>
        <w:rPr>
          <w:rFonts w:hint="eastAsia" w:ascii="宋体" w:hAnsi="宋体" w:eastAsia="宋体" w:cs="宋体"/>
          <w:color w:val="auto"/>
          <w:sz w:val="21"/>
          <w:szCs w:val="21"/>
          <w:highlight w:val="none"/>
        </w:rPr>
      </w:pPr>
      <w:bookmarkStart w:id="52" w:name="_Hlk142640642"/>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应根据招标人运营项目工艺以及性质，配合招标人运营项目进行小试，提供符合技术指标的药剂，保证供货的药剂在招标人运营项目良好的使用效果。</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如因药剂问题对招标人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含税应付</w:t>
      </w:r>
      <w:r>
        <w:rPr>
          <w:rFonts w:hint="eastAsia" w:ascii="宋体" w:hAnsi="宋体" w:eastAsia="宋体" w:cs="宋体"/>
          <w:color w:val="auto"/>
          <w:sz w:val="21"/>
          <w:szCs w:val="21"/>
          <w:highlight w:val="none"/>
        </w:rPr>
        <w:t>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需另行赔偿，同时根据对招标人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生产、成本造成影响的严重程度，招标人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有权没收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的部分或全部履约担保</w:t>
      </w:r>
      <w:bookmarkEnd w:id="52"/>
      <w:r>
        <w:rPr>
          <w:rFonts w:hint="eastAsia" w:ascii="宋体" w:hAnsi="宋体" w:eastAsia="宋体" w:cs="宋体"/>
          <w:color w:val="auto"/>
          <w:sz w:val="21"/>
          <w:szCs w:val="21"/>
          <w:highlight w:val="none"/>
        </w:rPr>
        <w:t>。</w:t>
      </w:r>
    </w:p>
    <w:p>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提供的药剂严重影响招标人运营项目生产或造成招标人运营项目出水水质指标超标的情况，招标人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有权追究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由此造成的损失，并有权单方面中止或解除合同，取消其供货资格，没收全部履约</w:t>
      </w:r>
      <w:r>
        <w:rPr>
          <w:rFonts w:hint="eastAsia" w:ascii="宋体" w:hAnsi="宋体" w:eastAsia="宋体" w:cs="宋体"/>
          <w:color w:val="auto"/>
          <w:sz w:val="21"/>
          <w:szCs w:val="21"/>
          <w:highlight w:val="none"/>
          <w:lang w:val="en-US" w:eastAsia="zh-CN"/>
        </w:rPr>
        <w:t>担保</w:t>
      </w:r>
      <w:r>
        <w:rPr>
          <w:rFonts w:hint="eastAsia" w:ascii="宋体" w:hAnsi="宋体" w:eastAsia="宋体" w:cs="宋体"/>
          <w:color w:val="auto"/>
          <w:sz w:val="21"/>
          <w:szCs w:val="21"/>
          <w:highlight w:val="none"/>
        </w:rPr>
        <w:t>。</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bookmarkStart w:id="53" w:name="_Hlk142640720"/>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、对于货物最终验收不合格且招标人运营项目已经开始使用或者使用完毕无法退换的，货款按照以下方式处理：①若招标人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已支付货款的，则</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退还已支付的货款；②若招标人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未支付货款的，则招标人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无需支付货款</w:t>
      </w:r>
      <w:bookmarkEnd w:id="53"/>
      <w:r>
        <w:rPr>
          <w:rFonts w:hint="eastAsia" w:ascii="宋体" w:hAnsi="宋体" w:eastAsia="宋体" w:cs="宋体"/>
          <w:color w:val="auto"/>
          <w:kern w:val="2"/>
          <w:sz w:val="21"/>
          <w:szCs w:val="21"/>
          <w:highlight w:val="none"/>
        </w:rPr>
        <w:t>。</w:t>
      </w:r>
    </w:p>
    <w:p>
      <w:pPr>
        <w:pStyle w:val="129"/>
        <w:autoSpaceDE/>
        <w:autoSpaceDN/>
        <w:adjustRightInd/>
        <w:spacing w:line="360" w:lineRule="auto"/>
        <w:ind w:firstLine="420" w:firstLineChars="200"/>
        <w:rPr>
          <w:rFonts w:hint="eastAsia" w:ascii="宋体" w:hAnsi="宋体" w:eastAsia="宋体" w:cs="宋体"/>
          <w:color w:val="auto"/>
          <w:sz w:val="21"/>
          <w:szCs w:val="21"/>
          <w:highlight w:val="none"/>
        </w:rPr>
      </w:pPr>
      <w:bookmarkStart w:id="54" w:name="_Hlk142640741"/>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对招标人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应自招标人</w:t>
      </w:r>
      <w:r>
        <w:rPr>
          <w:rFonts w:hint="eastAsia" w:ascii="宋体" w:hAnsi="宋体" w:eastAsia="宋体" w:cs="Times New Roman"/>
          <w:b w:val="0"/>
          <w:bCs/>
          <w:color w:val="auto"/>
          <w:szCs w:val="21"/>
          <w:highlight w:val="none"/>
          <w:u w:val="none"/>
          <w:lang w:val="en-US" w:eastAsia="zh-CN"/>
        </w:rPr>
        <w:t>运营项目</w:t>
      </w:r>
      <w:r>
        <w:rPr>
          <w:rFonts w:hint="eastAsia" w:ascii="宋体" w:hAnsi="宋体" w:eastAsia="宋体" w:cs="宋体"/>
          <w:color w:val="auto"/>
          <w:sz w:val="21"/>
          <w:szCs w:val="21"/>
          <w:highlight w:val="none"/>
        </w:rPr>
        <w:t>书面告知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检验结果24小时内，书面要求通过</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和招标人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双方确认的具有检测产品CMA认证资质的第三方单位对留样货物进行检测，最终供货产品质量判定以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和招标人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双方确认的具有检测产品CMA认证资质的第三方检测机构检验结果为准；因此产生的检测费、运输费等全部费用均由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bookmarkEnd w:id="54"/>
      <w:r>
        <w:rPr>
          <w:rFonts w:hint="eastAsia" w:ascii="宋体" w:hAnsi="宋体" w:eastAsia="宋体" w:cs="宋体"/>
          <w:color w:val="auto"/>
          <w:sz w:val="21"/>
          <w:szCs w:val="21"/>
          <w:highlight w:val="none"/>
        </w:rPr>
        <w:t>。</w:t>
      </w:r>
    </w:p>
    <w:p>
      <w:pPr>
        <w:pStyle w:val="129"/>
        <w:autoSpaceDE/>
        <w:autoSpaceDN/>
        <w:adjustRightInd/>
        <w:spacing w:line="360" w:lineRule="auto"/>
        <w:rPr>
          <w:rFonts w:hint="eastAsia" w:ascii="宋体" w:hAnsi="宋体" w:eastAsia="宋体" w:cs="宋体"/>
          <w:color w:val="auto"/>
          <w:sz w:val="21"/>
          <w:szCs w:val="21"/>
          <w:highlight w:val="none"/>
        </w:rPr>
      </w:pPr>
      <w:bookmarkStart w:id="55" w:name="_Hlk142640749"/>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、授予合同前或合同履行中，招标人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有权实地核查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在投标时提供的分支机构或服务机构的场地、生产/储存/运输设备设施及能力等材料的符合性，若发现虚假将取消中标资格，且招标人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有权终止合同。因此给招标人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造成损失的，全部由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bookmarkEnd w:id="55"/>
      <w:r>
        <w:rPr>
          <w:rFonts w:hint="eastAsia" w:ascii="宋体" w:hAnsi="宋体" w:eastAsia="宋体" w:cs="宋体"/>
          <w:color w:val="auto"/>
          <w:sz w:val="21"/>
          <w:szCs w:val="21"/>
          <w:highlight w:val="none"/>
        </w:rPr>
        <w:t>。</w:t>
      </w:r>
    </w:p>
    <w:p>
      <w:pPr>
        <w:pStyle w:val="129"/>
        <w:autoSpaceDE/>
        <w:autoSpaceDN/>
        <w:adjustRightInd/>
        <w:spacing w:line="360" w:lineRule="auto"/>
        <w:rPr>
          <w:rFonts w:hint="eastAsia" w:ascii="宋体" w:hAnsi="宋体" w:eastAsia="宋体" w:cs="宋体"/>
          <w:color w:val="auto"/>
          <w:sz w:val="21"/>
          <w:szCs w:val="21"/>
          <w:highlight w:val="none"/>
        </w:rPr>
      </w:pPr>
      <w:bookmarkStart w:id="56" w:name="_Hlk142640756"/>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在招标文件</w:t>
      </w:r>
      <w:r>
        <w:rPr>
          <w:rFonts w:hint="eastAsia" w:ascii="宋体" w:hAnsi="宋体" w:eastAsia="宋体" w:cs="宋体"/>
          <w:color w:val="auto"/>
          <w:sz w:val="21"/>
          <w:szCs w:val="21"/>
          <w:highlight w:val="none"/>
          <w:lang w:val="en-US" w:eastAsia="zh-CN"/>
        </w:rPr>
        <w:t>及合同</w:t>
      </w:r>
      <w:r>
        <w:rPr>
          <w:rFonts w:hint="eastAsia" w:ascii="宋体" w:hAnsi="宋体" w:eastAsia="宋体" w:cs="宋体"/>
          <w:color w:val="auto"/>
          <w:sz w:val="21"/>
          <w:szCs w:val="21"/>
          <w:highlight w:val="none"/>
        </w:rPr>
        <w:t>约定的供货期限和采购范围内，招标人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有权根据项目实际情况及有关法律法规、政策的规定进行变更调整。在变更调整后，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应遵照执行</w:t>
      </w:r>
      <w:bookmarkEnd w:id="56"/>
      <w:r>
        <w:rPr>
          <w:rFonts w:hint="eastAsia" w:ascii="宋体" w:hAnsi="宋体" w:eastAsia="宋体" w:cs="宋体"/>
          <w:color w:val="auto"/>
          <w:sz w:val="21"/>
          <w:szCs w:val="21"/>
          <w:highlight w:val="none"/>
        </w:rPr>
        <w:t>。</w:t>
      </w:r>
    </w:p>
    <w:p>
      <w:pPr>
        <w:spacing w:line="360" w:lineRule="auto"/>
        <w:ind w:firstLine="420" w:firstLineChars="200"/>
        <w:jc w:val="both"/>
        <w:rPr>
          <w:rFonts w:hint="eastAsia" w:ascii="宋体" w:hAnsi="宋体" w:eastAsia="宋体" w:cs="宋体"/>
          <w:color w:val="auto"/>
          <w:sz w:val="21"/>
          <w:szCs w:val="21"/>
          <w:highlight w:val="none"/>
        </w:rPr>
      </w:pPr>
      <w:bookmarkStart w:id="57" w:name="_Hlk142640763"/>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自行承担。凡由于货物包装不良、运输方式不当或非法运输造成的事故、损失、行政处罚和由此产生的其他全部费用均由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全部承担</w:t>
      </w:r>
      <w:bookmarkEnd w:id="57"/>
      <w:r>
        <w:rPr>
          <w:rFonts w:hint="eastAsia" w:ascii="宋体" w:hAnsi="宋体" w:eastAsia="宋体" w:cs="宋体"/>
          <w:color w:val="auto"/>
          <w:sz w:val="21"/>
          <w:szCs w:val="21"/>
          <w:highlight w:val="none"/>
        </w:rPr>
        <w:t>。</w:t>
      </w:r>
    </w:p>
    <w:p>
      <w:pPr>
        <w:pStyle w:val="129"/>
        <w:widowControl/>
        <w:autoSpaceDE/>
        <w:autoSpaceDN/>
        <w:adjustRightInd/>
        <w:spacing w:line="360" w:lineRule="auto"/>
        <w:rPr>
          <w:rFonts w:hint="eastAsia" w:ascii="宋体" w:hAnsi="宋体" w:eastAsia="宋体" w:cs="宋体"/>
          <w:color w:val="auto"/>
          <w:sz w:val="21"/>
          <w:szCs w:val="21"/>
          <w:highlight w:val="none"/>
        </w:rPr>
      </w:pPr>
      <w:bookmarkStart w:id="58" w:name="_Hlk142640785"/>
      <w:r>
        <w:rPr>
          <w:rFonts w:hint="eastAsia" w:ascii="宋体" w:hAnsi="宋体" w:eastAsia="宋体" w:cs="宋体"/>
          <w:color w:val="auto"/>
          <w:sz w:val="21"/>
          <w:szCs w:val="21"/>
          <w:highlight w:val="none"/>
          <w:lang w:val="en-US" w:eastAsia="zh-CN" w:bidi="ar"/>
        </w:rPr>
        <w:t>12</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有义务接受招标人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的监督、评价及考核，且同意招标人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 xml:space="preserve">关于供货资格供应商的管理规则及要求。 </w:t>
      </w:r>
    </w:p>
    <w:p>
      <w:pPr>
        <w:pStyle w:val="129"/>
        <w:widowControl/>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13</w:t>
      </w:r>
      <w:r>
        <w:rPr>
          <w:rFonts w:hint="eastAsia" w:ascii="宋体" w:hAnsi="宋体" w:eastAsia="宋体" w:cs="宋体"/>
          <w:color w:val="auto"/>
          <w:sz w:val="21"/>
          <w:szCs w:val="21"/>
          <w:highlight w:val="none"/>
          <w:lang w:bidi="ar"/>
        </w:rPr>
        <w:t>、招标人运营项目每月在付款手续前对</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的履约情况进行评价，填写《</w:t>
      </w:r>
      <w:bookmarkStart w:id="59" w:name="OLE_LINK15"/>
      <w:r>
        <w:rPr>
          <w:rFonts w:hint="eastAsia" w:ascii="宋体" w:hAnsi="宋体" w:eastAsia="宋体" w:cs="宋体"/>
          <w:color w:val="auto"/>
          <w:sz w:val="21"/>
          <w:szCs w:val="21"/>
          <w:highlight w:val="none"/>
          <w:lang w:bidi="ar"/>
        </w:rPr>
        <w:t>供应商履约评价表</w:t>
      </w:r>
      <w:bookmarkEnd w:id="59"/>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详见第四篇 合同条款格式 附件2</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bookmarkStart w:id="60" w:name="OLE_LINK30"/>
      <w:r>
        <w:rPr>
          <w:rFonts w:hint="eastAsia" w:ascii="宋体" w:hAnsi="宋体" w:eastAsia="宋体" w:cs="宋体"/>
          <w:color w:val="auto"/>
          <w:sz w:val="21"/>
          <w:szCs w:val="21"/>
          <w:highlight w:val="none"/>
          <w:lang w:val="en-US" w:eastAsia="zh-CN" w:bidi="ar"/>
        </w:rPr>
        <w:t>含税</w:t>
      </w:r>
      <w:bookmarkEnd w:id="60"/>
      <w:r>
        <w:rPr>
          <w:rFonts w:hint="eastAsia" w:ascii="宋体" w:hAnsi="宋体" w:eastAsia="宋体" w:cs="宋体"/>
          <w:color w:val="auto"/>
          <w:sz w:val="21"/>
          <w:szCs w:val="21"/>
          <w:highlight w:val="none"/>
          <w:lang w:val="en-US" w:eastAsia="zh-CN" w:bidi="ar"/>
        </w:rPr>
        <w:t>应付</w:t>
      </w:r>
      <w:r>
        <w:rPr>
          <w:rFonts w:hint="eastAsia" w:ascii="宋体" w:hAnsi="宋体" w:eastAsia="宋体" w:cs="宋体"/>
          <w:color w:val="auto"/>
          <w:sz w:val="21"/>
          <w:szCs w:val="21"/>
          <w:highlight w:val="none"/>
          <w:lang w:bidi="ar"/>
        </w:rPr>
        <w:t>货款的20%向</w:t>
      </w:r>
      <w:bookmarkStart w:id="61" w:name="OLE_LINK10"/>
      <w:r>
        <w:rPr>
          <w:rFonts w:hint="eastAsia" w:ascii="宋体" w:hAnsi="宋体" w:eastAsia="宋体" w:cs="宋体"/>
          <w:color w:val="auto"/>
          <w:sz w:val="21"/>
          <w:szCs w:val="21"/>
          <w:highlight w:val="none"/>
          <w:lang w:bidi="ar"/>
        </w:rPr>
        <w:t>招标人</w:t>
      </w:r>
      <w:r>
        <w:rPr>
          <w:rFonts w:hint="eastAsia" w:ascii="宋体" w:hAnsi="宋体" w:eastAsia="宋体" w:cs="Times New Roman"/>
          <w:b w:val="0"/>
          <w:bCs/>
          <w:color w:val="auto"/>
          <w:szCs w:val="21"/>
          <w:highlight w:val="none"/>
          <w:u w:val="none"/>
          <w:lang w:val="en-US" w:eastAsia="zh-CN"/>
        </w:rPr>
        <w:t>或招标人权属子公司</w:t>
      </w:r>
      <w:bookmarkEnd w:id="61"/>
      <w:r>
        <w:rPr>
          <w:rFonts w:hint="eastAsia" w:ascii="宋体" w:hAnsi="宋体" w:eastAsia="宋体" w:cs="宋体"/>
          <w:color w:val="auto"/>
          <w:sz w:val="21"/>
          <w:szCs w:val="21"/>
          <w:highlight w:val="none"/>
          <w:lang w:bidi="ar"/>
        </w:rPr>
        <w:t>支付违约金；考核评分分数低于60分时，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含税应付</w:t>
      </w:r>
      <w:r>
        <w:rPr>
          <w:rFonts w:hint="eastAsia" w:ascii="宋体" w:hAnsi="宋体" w:eastAsia="宋体" w:cs="宋体"/>
          <w:color w:val="auto"/>
          <w:sz w:val="21"/>
          <w:szCs w:val="21"/>
          <w:highlight w:val="none"/>
          <w:lang w:bidi="ar"/>
        </w:rPr>
        <w:t>货款的30%向招标人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支付违约金。若供货期内累计出现3次</w:t>
      </w:r>
      <w:r>
        <w:rPr>
          <w:rFonts w:hint="eastAsia" w:ascii="宋体" w:hAnsi="宋体" w:eastAsia="宋体" w:cs="宋体"/>
          <w:color w:val="auto"/>
          <w:kern w:val="2"/>
          <w:sz w:val="21"/>
          <w:szCs w:val="21"/>
          <w:highlight w:val="none"/>
        </w:rPr>
        <w:t>（含）以上</w:t>
      </w:r>
      <w:r>
        <w:rPr>
          <w:rFonts w:hint="eastAsia" w:ascii="宋体" w:hAnsi="宋体" w:eastAsia="宋体" w:cs="宋体"/>
          <w:color w:val="auto"/>
          <w:sz w:val="21"/>
          <w:szCs w:val="21"/>
          <w:highlight w:val="none"/>
          <w:lang w:bidi="ar"/>
        </w:rPr>
        <w:t>评审结论为不合格的，招标人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有权取消</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的供货资格并单方解除合同、没收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部分或全部履约担保</w:t>
      </w:r>
      <w:bookmarkEnd w:id="58"/>
      <w:r>
        <w:rPr>
          <w:rFonts w:hint="eastAsia" w:ascii="宋体" w:hAnsi="宋体" w:eastAsia="宋体" w:cs="宋体"/>
          <w:color w:val="auto"/>
          <w:sz w:val="21"/>
          <w:szCs w:val="21"/>
          <w:highlight w:val="none"/>
          <w:lang w:bidi="ar"/>
        </w:rPr>
        <w:t>。</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：招标人运营项目相关信息</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附件2：验收报告（模板）</w:t>
      </w:r>
    </w:p>
    <w:p>
      <w:pPr>
        <w:spacing w:line="360" w:lineRule="auto"/>
        <w:ind w:firstLine="420" w:firstLineChars="200"/>
        <w:rPr>
          <w:rFonts w:hint="eastAsia" w:ascii="宋体" w:hAnsi="宋体" w:eastAsia="宋体" w:cs="宋体"/>
          <w:color w:val="auto"/>
          <w:szCs w:val="21"/>
          <w:lang w:bidi="ar"/>
        </w:rPr>
        <w:sectPr>
          <w:footerReference r:id="rId4" w:type="first"/>
          <w:footerReference r:id="rId3" w:type="default"/>
          <w:pgSz w:w="12240" w:h="15840"/>
          <w:pgMar w:top="1191" w:right="1043" w:bottom="1191" w:left="1043" w:header="720" w:footer="720" w:gutter="0"/>
          <w:cols w:space="720" w:num="1"/>
          <w:titlePg/>
          <w:docGrid w:linePitch="326" w:charSpace="0"/>
        </w:sectPr>
      </w:pPr>
      <w:r>
        <w:rPr>
          <w:rFonts w:hint="eastAsia" w:ascii="宋体" w:hAnsi="宋体" w:eastAsia="宋体" w:cs="宋体"/>
          <w:color w:val="auto"/>
          <w:szCs w:val="21"/>
          <w:lang w:val="en-US" w:eastAsia="zh-CN"/>
        </w:rPr>
        <w:t>附件3：</w:t>
      </w:r>
      <w:r>
        <w:rPr>
          <w:rFonts w:hint="eastAsia" w:ascii="宋体" w:hAnsi="宋体" w:eastAsia="宋体" w:cs="宋体"/>
          <w:color w:val="auto"/>
          <w:szCs w:val="21"/>
          <w:lang w:bidi="ar"/>
        </w:rPr>
        <w:t>供应商履约评价表</w:t>
      </w:r>
    </w:p>
    <w:p>
      <w:pPr>
        <w:pageBreakBefore/>
        <w:snapToGrid w:val="0"/>
        <w:spacing w:line="360" w:lineRule="auto"/>
        <w:outlineLvl w:val="9"/>
        <w:rPr>
          <w:rFonts w:hint="eastAsia" w:ascii="宋体" w:hAnsi="宋体" w:eastAsia="宋体" w:cs="宋体"/>
          <w:b/>
          <w:color w:val="auto"/>
          <w:sz w:val="21"/>
          <w:szCs w:val="21"/>
          <w:highlight w:val="none"/>
        </w:rPr>
      </w:pPr>
      <w:bookmarkStart w:id="62" w:name="_Toc4994"/>
      <w:bookmarkStart w:id="63" w:name="_Toc1015"/>
      <w:r>
        <w:rPr>
          <w:rFonts w:hint="eastAsia" w:ascii="宋体" w:hAnsi="宋体" w:eastAsia="宋体" w:cs="宋体"/>
          <w:b/>
          <w:color w:val="auto"/>
          <w:sz w:val="21"/>
          <w:szCs w:val="21"/>
          <w:highlight w:val="none"/>
          <w:lang w:val="zh-CN"/>
        </w:rPr>
        <w:t>附件</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招标人</w:t>
      </w:r>
      <w:r>
        <w:rPr>
          <w:rFonts w:hint="eastAsia" w:ascii="宋体" w:hAnsi="宋体" w:eastAsia="宋体" w:cs="宋体"/>
          <w:b/>
          <w:color w:val="auto"/>
          <w:sz w:val="21"/>
          <w:szCs w:val="21"/>
          <w:highlight w:val="none"/>
          <w:lang w:val="zh-CN"/>
        </w:rPr>
        <w:t>运营项目</w:t>
      </w:r>
      <w:r>
        <w:rPr>
          <w:rFonts w:hint="eastAsia" w:ascii="宋体" w:hAnsi="宋体" w:eastAsia="宋体" w:cs="宋体"/>
          <w:b/>
          <w:color w:val="auto"/>
          <w:sz w:val="21"/>
          <w:szCs w:val="21"/>
          <w:highlight w:val="none"/>
        </w:rPr>
        <w:t>相关信息</w:t>
      </w:r>
      <w:bookmarkEnd w:id="62"/>
      <w:bookmarkEnd w:id="63"/>
    </w:p>
    <w:tbl>
      <w:tblPr>
        <w:tblStyle w:val="37"/>
        <w:tblW w:w="5009"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6"/>
        <w:gridCol w:w="4162"/>
        <w:gridCol w:w="3408"/>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bookmarkStart w:id="70" w:name="_GoBack"/>
            <w:r>
              <w:rPr>
                <w:rFonts w:hint="eastAsia" w:ascii="宋体" w:hAnsi="宋体" w:eastAsia="宋体" w:cs="宋体"/>
                <w:b/>
                <w:bCs/>
                <w:i w:val="0"/>
                <w:iCs w:val="0"/>
                <w:color w:val="auto"/>
                <w:kern w:val="0"/>
                <w:sz w:val="21"/>
                <w:szCs w:val="21"/>
                <w:u w:val="none"/>
                <w:lang w:val="en-US" w:eastAsia="zh-CN" w:bidi="ar"/>
              </w:rPr>
              <w:t>序号</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项目名称</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项目地址</w:t>
            </w:r>
          </w:p>
        </w:tc>
        <w:tc>
          <w:tcPr>
            <w:tcW w:w="987" w:type="pct"/>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val="0"/>
                <w:color w:val="auto"/>
                <w:kern w:val="2"/>
                <w:sz w:val="21"/>
                <w:szCs w:val="21"/>
                <w:highlight w:val="none"/>
                <w:vertAlign w:val="baseline"/>
                <w:lang w:val="en-US" w:eastAsia="zh-CN"/>
              </w:rPr>
              <w:t>预计年送货量（吨</w:t>
            </w:r>
            <w:r>
              <w:rPr>
                <w:rFonts w:hint="eastAsia" w:ascii="宋体" w:hAnsi="宋体" w:eastAsia="宋体" w:cs="宋体"/>
                <w:b/>
                <w:bCs/>
                <w:color w:val="auto"/>
                <w:kern w:val="0"/>
                <w:sz w:val="21"/>
                <w:szCs w:val="21"/>
                <w:highlight w:val="none"/>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4"/>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一、污水处理厂项目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塘厦大坪污水处理厂一期</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987"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3003.000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4"/>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二、提标项目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望洪污水处理厂一期提标工程</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东莞市望牛墩镇朱平沙村</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199.116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麻涌污水处理厂一期提标工程</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东莞市麻涌镇新沙公园南一路9号</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32.609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石碣沙腰污水处理厂一期提标工程</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东莞市石碣镇沙腰村沿江西路2号</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117.437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市区污水处理厂提标工程</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东莞市南城街道滨河路100号</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9853.511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虎门海岛污水处理厂一期提标工程</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东莞市虎门镇威远岛武山沙五围</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14.567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虎门宁洲污水处理厂一期提标工程</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东莞市虎门镇南栅第六工业区民昌路十巷5号</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1701.363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长安锦厦三洲水质净化厂提标工程</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东莞市长安镇锦厦三洲路2号</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71.321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黄江污水处理厂一期提标工程</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东莞市黄江镇合路创业一路1号</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389.540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大朗松山湖南部污水处理厂一期提标工程</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东莞市大朗镇沙步村杨沙路153号</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2096.938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凤岗竹塘污水处理厂一期提标</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东莞市凤岗镇竹塘村浸校塘组</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凤岗虾公潭污水处理厂提标工程</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东莞市凤岗镇油甘埔村同兴路3号101</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Cs w:val="21"/>
                <w:highlight w:val="none"/>
                <w:lang w:bidi="ar"/>
              </w:rPr>
              <w:t>谢岗污水处理厂一期提标工程</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Cs w:val="21"/>
                <w:highlight w:val="none"/>
                <w:lang w:bidi="ar"/>
              </w:rPr>
              <w:t>东莞市谢岗镇禾尚岗路16号</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0.181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w:t>
            </w:r>
          </w:p>
        </w:tc>
        <w:tc>
          <w:tcPr>
            <w:tcW w:w="2003" w:type="pct"/>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塘厦林村一期提标</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塘厦镇林村村委会鸡爪桥猪仔沥</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341.538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桥头污水处理厂一期提标工程</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东莞市桥头镇东深路8号</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60.735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樟木头污水处理厂一二期提标工程</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东莞市樟木头镇柏地旗岭村柏峰路169号</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239.368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16</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塘厦石桥头污水处理厂提标工程</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东莞市塘厦镇凤凰岗村环市南路132号</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10.831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9"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17</w:t>
            </w:r>
          </w:p>
        </w:tc>
        <w:tc>
          <w:tcPr>
            <w:tcW w:w="2003"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凤岗雁田污水处理厂提标工程</w:t>
            </w:r>
          </w:p>
        </w:tc>
        <w:tc>
          <w:tcPr>
            <w:tcW w:w="1640"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东莞市凤岗雁田污水处理厂（凤深大道310号）</w:t>
            </w:r>
          </w:p>
        </w:tc>
        <w:tc>
          <w:tcPr>
            <w:tcW w:w="20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926.864 </w:t>
            </w:r>
          </w:p>
        </w:tc>
      </w:tr>
      <w:bookmarkEnd w:id="70"/>
    </w:tbl>
    <w:p>
      <w:pPr>
        <w:widowControl/>
        <w:autoSpaceDE/>
        <w:autoSpaceDN/>
        <w:adjustRightInd/>
        <w:spacing w:line="360" w:lineRule="auto"/>
        <w:ind w:left="0" w:leftChars="0" w:firstLine="0" w:firstLineChars="0"/>
        <w:jc w:val="left"/>
        <w:rPr>
          <w:rFonts w:hint="eastAsia" w:ascii="宋体" w:hAnsi="宋体" w:eastAsia="宋体" w:cs="宋体"/>
          <w:b/>
          <w:bCs/>
          <w:color w:val="auto"/>
          <w:sz w:val="21"/>
          <w:szCs w:val="21"/>
          <w:highlight w:val="none"/>
        </w:rPr>
        <w:sectPr>
          <w:headerReference r:id="rId5" w:type="first"/>
          <w:footerReference r:id="rId7" w:type="first"/>
          <w:footerReference r:id="rId6"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bCs/>
          <w:color w:val="auto"/>
          <w:sz w:val="21"/>
          <w:szCs w:val="21"/>
          <w:highlight w:val="none"/>
        </w:rPr>
        <w:t>备注：</w:t>
      </w:r>
      <w:r>
        <w:rPr>
          <w:rFonts w:hint="eastAsia" w:ascii="宋体" w:hAnsi="宋体" w:eastAsia="宋体" w:cs="宋体"/>
          <w:b/>
          <w:color w:val="auto"/>
          <w:kern w:val="2"/>
          <w:sz w:val="21"/>
          <w:szCs w:val="21"/>
          <w:highlight w:val="none"/>
        </w:rPr>
        <w:t>以上</w:t>
      </w:r>
      <w:r>
        <w:rPr>
          <w:rFonts w:hint="eastAsia" w:ascii="宋体" w:hAnsi="宋体" w:eastAsia="宋体" w:cs="宋体"/>
          <w:b/>
          <w:color w:val="auto"/>
          <w:kern w:val="2"/>
          <w:sz w:val="21"/>
          <w:szCs w:val="21"/>
          <w:highlight w:val="none"/>
          <w:lang w:val="en-US" w:eastAsia="zh-CN"/>
        </w:rPr>
        <w:t>运营项目为暂定，</w:t>
      </w:r>
      <w:r>
        <w:rPr>
          <w:rFonts w:hint="eastAsia" w:ascii="宋体" w:hAnsi="宋体" w:eastAsia="宋体" w:cs="宋体"/>
          <w:b/>
          <w:bCs/>
          <w:color w:val="auto"/>
          <w:sz w:val="21"/>
          <w:szCs w:val="21"/>
          <w:highlight w:val="none"/>
        </w:rPr>
        <w:t>具体情况以实际为准，如有疑问可实地考察。</w:t>
      </w:r>
      <w:bookmarkEnd w:id="1"/>
      <w:bookmarkEnd w:id="2"/>
      <w:bookmarkEnd w:id="3"/>
      <w:bookmarkEnd w:id="4"/>
      <w:bookmarkEnd w:id="5"/>
      <w:bookmarkEnd w:id="6"/>
      <w:bookmarkEnd w:id="7"/>
    </w:p>
    <w:p>
      <w:pPr>
        <w:spacing w:line="240" w:lineRule="auto"/>
        <w:ind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附件2：验收报告（模板）</w:t>
      </w:r>
    </w:p>
    <w:p>
      <w:pPr>
        <w:pStyle w:val="2"/>
        <w:rPr>
          <w:lang w:val="zh-CN"/>
        </w:rPr>
      </w:pPr>
    </w:p>
    <w:p>
      <w:pPr>
        <w:jc w:val="center"/>
        <w:rPr>
          <w:rFonts w:ascii="方正小标宋简体" w:eastAsia="方正小标宋简体"/>
          <w:sz w:val="44"/>
          <w:szCs w:val="44"/>
        </w:rPr>
      </w:pPr>
      <w:r>
        <w:rPr>
          <w:rFonts w:hint="eastAsia" w:ascii="方正小标宋简体" w:eastAsia="方正小标宋简体"/>
          <w:sz w:val="44"/>
          <w:szCs w:val="44"/>
        </w:rPr>
        <w:t>验收报告</w:t>
      </w:r>
    </w:p>
    <w:tbl>
      <w:tblPr>
        <w:tblStyle w:val="37"/>
        <w:tblpPr w:leftFromText="180" w:rightFromText="180" w:vertAnchor="text" w:horzAnchor="page" w:tblpXSpec="center" w:tblpY="292"/>
        <w:tblOverlap w:val="never"/>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检测值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Cs/>
                <w:color w:val="000000"/>
                <w:sz w:val="24"/>
              </w:rPr>
            </w:pPr>
            <w:r>
              <w:rPr>
                <w:rFonts w:ascii="宋体" w:hAnsi="宋体" w:eastAsia="宋体" w:cs="宋体"/>
                <w:bCs/>
                <w:color w:val="000000"/>
                <w:sz w:val="24"/>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cs="Times New Roman"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Cs/>
                <w:color w:val="000000"/>
                <w:sz w:val="24"/>
              </w:rPr>
            </w:pPr>
            <w:r>
              <w:rPr>
                <w:rFonts w:ascii="宋体" w:hAnsi="宋体" w:eastAsia="宋体" w:cs="宋体"/>
                <w:bCs/>
                <w:color w:val="000000"/>
                <w:sz w:val="24"/>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cs="Times New Roman"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pPr>
              <w:jc w:val="center"/>
              <w:rPr>
                <w:b/>
                <w:bCs/>
              </w:rPr>
            </w:pPr>
          </w:p>
          <w:p>
            <w:pPr>
              <w:widowControl/>
              <w:ind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验收单位：</w:t>
            </w:r>
          </w:p>
          <w:p>
            <w:pPr>
              <w:widowControl/>
              <w:ind w:firstLine="0" w:firstLineChars="0"/>
              <w:jc w:val="left"/>
              <w:textAlignment w:val="center"/>
              <w:rPr>
                <w:rFonts w:hint="eastAsia" w:ascii="宋体" w:hAnsi="宋体" w:eastAsia="宋体" w:cs="宋体"/>
                <w:b/>
                <w:bCs w:val="0"/>
                <w:color w:val="000000"/>
                <w:sz w:val="21"/>
                <w:szCs w:val="21"/>
              </w:rPr>
            </w:pPr>
          </w:p>
          <w:p>
            <w:pPr>
              <w:widowControl/>
              <w:ind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生产主管（签名）：</w:t>
            </w:r>
          </w:p>
          <w:p>
            <w:pPr>
              <w:widowControl/>
              <w:ind w:firstLine="0" w:firstLineChars="0"/>
              <w:jc w:val="left"/>
              <w:textAlignment w:val="center"/>
              <w:rPr>
                <w:rFonts w:hint="eastAsia" w:ascii="宋体" w:hAnsi="宋体" w:eastAsia="宋体" w:cs="宋体"/>
                <w:b/>
                <w:bCs w:val="0"/>
                <w:color w:val="000000"/>
                <w:sz w:val="21"/>
                <w:szCs w:val="21"/>
              </w:rPr>
            </w:pPr>
          </w:p>
          <w:p>
            <w:pPr>
              <w:widowControl/>
              <w:jc w:val="left"/>
              <w:textAlignment w:val="center"/>
              <w:rPr>
                <w:b/>
                <w:bCs/>
              </w:rPr>
            </w:pPr>
            <w:r>
              <w:rPr>
                <w:rFonts w:hint="eastAsia" w:ascii="宋体" w:hAnsi="宋体" w:eastAsia="宋体" w:cs="宋体"/>
                <w:b/>
                <w:color w:val="000000"/>
                <w:sz w:val="21"/>
                <w:szCs w:val="21"/>
              </w:rPr>
              <w:t xml:space="preserve">  </w:t>
            </w:r>
            <w:r>
              <w:rPr>
                <w:rFonts w:hint="eastAsia" w:ascii="宋体" w:hAnsi="宋体" w:eastAsia="宋体" w:cs="宋体"/>
                <w:b/>
                <w:bCs w:val="0"/>
                <w:color w:val="000000"/>
                <w:sz w:val="21"/>
                <w:szCs w:val="21"/>
              </w:rPr>
              <w:t xml:space="preserve">单位负责人（签名）： </w:t>
            </w:r>
          </w:p>
        </w:tc>
        <w:tc>
          <w:tcPr>
            <w:tcW w:w="4720" w:type="dxa"/>
            <w:gridSpan w:val="4"/>
            <w:shd w:val="clear" w:color="auto" w:fill="auto"/>
            <w:noWrap/>
            <w:tcMar>
              <w:top w:w="15" w:type="dxa"/>
              <w:left w:w="15" w:type="dxa"/>
              <w:right w:w="15" w:type="dxa"/>
            </w:tcMar>
          </w:tcPr>
          <w:p>
            <w:pPr>
              <w:jc w:val="center"/>
              <w:rPr>
                <w:b/>
                <w:bCs/>
              </w:rPr>
            </w:pPr>
          </w:p>
          <w:p>
            <w:pPr>
              <w:ind w:firstLine="211"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Cs w:val="21"/>
              </w:rPr>
              <w:t>供货单位（盖章）：</w:t>
            </w:r>
          </w:p>
          <w:p>
            <w:pPr>
              <w:pStyle w:val="2"/>
              <w:rPr>
                <w:rFonts w:hint="eastAsia" w:ascii="宋体" w:hAnsi="宋体" w:eastAsia="宋体" w:cs="宋体"/>
                <w:b/>
                <w:bCs w:val="0"/>
                <w:color w:val="000000"/>
                <w:szCs w:val="21"/>
              </w:rPr>
            </w:pPr>
          </w:p>
          <w:p>
            <w:pPr>
              <w:ind w:firstLine="211" w:firstLineChars="100"/>
            </w:pPr>
            <w:r>
              <w:rPr>
                <w:rFonts w:hint="eastAsia" w:ascii="宋体" w:hAnsi="宋体" w:eastAsia="宋体" w:cs="宋体"/>
                <w:b/>
                <w:bCs w:val="0"/>
                <w:color w:val="000000"/>
                <w:sz w:val="21"/>
                <w:szCs w:val="21"/>
                <w:lang w:val="en-US" w:eastAsia="zh-CN"/>
              </w:rPr>
              <w:t>供货单位代表</w:t>
            </w:r>
            <w:r>
              <w:rPr>
                <w:rFonts w:hint="eastAsia" w:ascii="宋体" w:hAnsi="宋体" w:eastAsia="宋体" w:cs="宋体"/>
                <w:b/>
                <w:bCs w:val="0"/>
                <w:color w:val="000000"/>
                <w:sz w:val="21"/>
                <w:szCs w:val="21"/>
              </w:rPr>
              <w:t>（签名）</w:t>
            </w:r>
            <w:r>
              <w:rPr>
                <w:rFonts w:hint="eastAsia" w:ascii="宋体" w:hAnsi="宋体" w:eastAsia="宋体" w:cs="宋体"/>
                <w:b/>
                <w:bCs w:val="0"/>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pPr>
              <w:ind w:firstLine="422" w:firstLineChars="200"/>
              <w:rPr>
                <w:rFonts w:ascii="Times New Roman" w:hAnsi="Times New Roman" w:eastAsia="宋体" w:cs="Times New Roman"/>
                <w:color w:val="000000"/>
                <w:sz w:val="24"/>
              </w:rPr>
            </w:pPr>
            <w:r>
              <w:rPr>
                <w:rFonts w:hint="eastAsia" w:ascii="宋体" w:hAnsi="宋体" w:eastAsia="宋体" w:cs="宋体"/>
                <w:b/>
                <w:bCs w:val="0"/>
                <w:color w:val="000000"/>
                <w:szCs w:val="21"/>
              </w:rPr>
              <w:t>日期：</w:t>
            </w:r>
          </w:p>
        </w:tc>
        <w:tc>
          <w:tcPr>
            <w:tcW w:w="4720" w:type="dxa"/>
            <w:gridSpan w:val="4"/>
            <w:shd w:val="clear" w:color="auto" w:fill="auto"/>
            <w:noWrap/>
            <w:tcMar>
              <w:top w:w="15" w:type="dxa"/>
              <w:left w:w="15" w:type="dxa"/>
              <w:right w:w="15" w:type="dxa"/>
            </w:tcMar>
            <w:vAlign w:val="center"/>
          </w:tcPr>
          <w:p>
            <w:pPr>
              <w:ind w:firstLine="422" w:firstLineChars="200"/>
              <w:rPr>
                <w:rFonts w:ascii="Times New Roman" w:hAnsi="Times New Roman" w:eastAsia="宋体" w:cs="Times New Roman"/>
                <w:color w:val="000000"/>
                <w:sz w:val="24"/>
              </w:rPr>
            </w:pPr>
            <w:r>
              <w:rPr>
                <w:rFonts w:hint="eastAsia" w:ascii="宋体" w:hAnsi="宋体" w:eastAsia="宋体" w:cs="宋体"/>
                <w:b/>
                <w:bCs w:val="0"/>
                <w:color w:val="000000"/>
                <w:szCs w:val="21"/>
              </w:rPr>
              <w:t>日期：</w:t>
            </w:r>
          </w:p>
        </w:tc>
      </w:tr>
    </w:tbl>
    <w:p>
      <w:pPr>
        <w:rPr>
          <w:lang w:val="zh-CN"/>
        </w:rPr>
        <w:sectPr>
          <w:pgSz w:w="12240" w:h="15840"/>
          <w:pgMar w:top="1191" w:right="1043" w:bottom="1191" w:left="1043" w:header="720" w:footer="720" w:gutter="0"/>
          <w:cols w:space="720" w:num="1"/>
          <w:titlePg/>
          <w:docGrid w:linePitch="326" w:charSpace="0"/>
        </w:sectPr>
      </w:pPr>
    </w:p>
    <w:p>
      <w:pPr>
        <w:spacing w:line="240" w:lineRule="auto"/>
        <w:ind w:firstLine="0" w:firstLineChars="0"/>
        <w:rPr>
          <w:rFonts w:hint="eastAsia" w:ascii="宋体" w:hAnsi="宋体" w:eastAsia="宋体" w:cs="宋体"/>
          <w:b/>
          <w:color w:val="auto"/>
          <w:szCs w:val="21"/>
          <w:lang w:bidi="ar"/>
        </w:rPr>
      </w:pPr>
      <w:r>
        <w:rPr>
          <w:rFonts w:hint="eastAsia" w:ascii="宋体" w:hAnsi="宋体" w:eastAsia="宋体" w:cs="宋体"/>
          <w:b/>
          <w:color w:val="auto"/>
          <w:szCs w:val="21"/>
          <w:lang w:val="en-US" w:eastAsia="zh-CN"/>
        </w:rPr>
        <w:t>附件3：</w:t>
      </w:r>
      <w:r>
        <w:rPr>
          <w:rFonts w:hint="eastAsia" w:ascii="宋体" w:hAnsi="宋体" w:eastAsia="宋体" w:cs="宋体"/>
          <w:b/>
          <w:color w:val="auto"/>
          <w:szCs w:val="21"/>
          <w:lang w:bidi="ar"/>
        </w:rPr>
        <w:t>供应商履约评价表</w:t>
      </w:r>
    </w:p>
    <w:p>
      <w:pPr>
        <w:spacing w:line="360" w:lineRule="auto"/>
        <w:jc w:val="center"/>
        <w:rPr>
          <w:rFonts w:ascii="宋体" w:hAnsi="宋体" w:eastAsia="宋体" w:cs="宋体"/>
          <w:b/>
          <w:sz w:val="32"/>
          <w:szCs w:val="21"/>
          <w:highlight w:val="none"/>
        </w:rPr>
      </w:pPr>
      <w:r>
        <w:rPr>
          <w:rFonts w:hint="eastAsia" w:ascii="宋体" w:hAnsi="宋体" w:eastAsia="宋体" w:cs="宋体"/>
          <w:b/>
          <w:sz w:val="32"/>
          <w:szCs w:val="21"/>
          <w:highlight w:val="none"/>
        </w:rPr>
        <w:t>供应商履约评价表</w:t>
      </w:r>
    </w:p>
    <w:tbl>
      <w:tblPr>
        <w:tblStyle w:val="3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735"/>
        <w:gridCol w:w="3785"/>
        <w:gridCol w:w="55"/>
        <w:gridCol w:w="1824"/>
        <w:gridCol w:w="733"/>
        <w:gridCol w:w="705"/>
        <w:gridCol w:w="71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highlight w:val="none"/>
              </w:rPr>
            </w:pPr>
            <w:r>
              <w:rPr>
                <w:rFonts w:hint="eastAsia" w:ascii="宋体" w:hAnsi="宋体" w:eastAsia="宋体"/>
                <w:bCs/>
                <w:highlight w:val="none"/>
              </w:rPr>
              <w:t>合同名称</w:t>
            </w:r>
          </w:p>
        </w:tc>
        <w:tc>
          <w:tcPr>
            <w:tcW w:w="7821" w:type="dxa"/>
            <w:gridSpan w:val="6"/>
            <w:vAlign w:val="center"/>
          </w:tcPr>
          <w:p>
            <w:pPr>
              <w:widowControl/>
              <w:snapToGrid w:val="0"/>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highlight w:val="none"/>
              </w:rPr>
            </w:pPr>
            <w:r>
              <w:rPr>
                <w:rFonts w:hint="eastAsia" w:ascii="宋体" w:hAnsi="宋体" w:eastAsia="宋体"/>
                <w:bCs/>
                <w:highlight w:val="none"/>
              </w:rPr>
              <w:t>合同编号</w:t>
            </w:r>
          </w:p>
        </w:tc>
        <w:tc>
          <w:tcPr>
            <w:tcW w:w="7821" w:type="dxa"/>
            <w:gridSpan w:val="6"/>
            <w:vAlign w:val="center"/>
          </w:tcPr>
          <w:p>
            <w:pPr>
              <w:widowControl/>
              <w:snapToGrid w:val="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bCs/>
                <w:highlight w:val="none"/>
              </w:rPr>
            </w:pPr>
            <w:r>
              <w:rPr>
                <w:rFonts w:hint="eastAsia" w:ascii="宋体" w:hAnsi="宋体" w:eastAsia="宋体"/>
                <w:bCs/>
                <w:highlight w:val="none"/>
              </w:rPr>
              <w:t>甲方名称</w:t>
            </w:r>
          </w:p>
        </w:tc>
        <w:tc>
          <w:tcPr>
            <w:tcW w:w="7821" w:type="dxa"/>
            <w:gridSpan w:val="6"/>
            <w:vAlign w:val="center"/>
          </w:tcPr>
          <w:p>
            <w:pPr>
              <w:widowControl/>
              <w:snapToGrid w:val="0"/>
              <w:jc w:val="center"/>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highlight w:val="none"/>
              </w:rPr>
            </w:pPr>
            <w:r>
              <w:rPr>
                <w:rFonts w:hint="eastAsia" w:ascii="宋体" w:hAnsi="宋体" w:eastAsia="宋体"/>
                <w:bCs/>
                <w:highlight w:val="none"/>
              </w:rPr>
              <w:t>供应商</w:t>
            </w:r>
            <w:r>
              <w:rPr>
                <w:rFonts w:hint="eastAsia" w:ascii="宋体" w:hAnsi="宋体" w:eastAsia="宋体"/>
                <w:highlight w:val="none"/>
              </w:rPr>
              <w:t>名称</w:t>
            </w:r>
          </w:p>
        </w:tc>
        <w:tc>
          <w:tcPr>
            <w:tcW w:w="7821" w:type="dxa"/>
            <w:gridSpan w:val="6"/>
            <w:vAlign w:val="center"/>
          </w:tcPr>
          <w:p>
            <w:pPr>
              <w:widowControl/>
              <w:snapToGrid w:val="0"/>
              <w:jc w:val="center"/>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bCs/>
                <w:highlight w:val="none"/>
              </w:rPr>
            </w:pPr>
            <w:r>
              <w:rPr>
                <w:rFonts w:hint="eastAsia" w:ascii="宋体" w:hAnsi="宋体" w:eastAsia="宋体"/>
                <w:bCs/>
                <w:highlight w:val="none"/>
              </w:rPr>
              <w:t>供应货物名称</w:t>
            </w:r>
          </w:p>
        </w:tc>
        <w:tc>
          <w:tcPr>
            <w:tcW w:w="7821" w:type="dxa"/>
            <w:gridSpan w:val="6"/>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hint="eastAsia" w:ascii="宋体" w:hAnsi="宋体" w:eastAsia="宋体"/>
                <w:bCs/>
                <w:highlight w:val="none"/>
              </w:rPr>
            </w:pPr>
            <w:r>
              <w:rPr>
                <w:rFonts w:hint="eastAsia" w:ascii="宋体" w:hAnsi="宋体" w:eastAsia="宋体"/>
                <w:bCs/>
                <w:highlight w:val="none"/>
                <w:lang w:val="en-US" w:eastAsia="zh-CN"/>
              </w:rPr>
              <w:t>交货地点</w:t>
            </w:r>
          </w:p>
        </w:tc>
        <w:tc>
          <w:tcPr>
            <w:tcW w:w="7821" w:type="dxa"/>
            <w:gridSpan w:val="6"/>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序号</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履约评价项目</w:t>
            </w:r>
          </w:p>
        </w:tc>
        <w:tc>
          <w:tcPr>
            <w:tcW w:w="378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评价标准</w:t>
            </w:r>
          </w:p>
        </w:tc>
        <w:tc>
          <w:tcPr>
            <w:tcW w:w="1879" w:type="dxa"/>
            <w:gridSpan w:val="2"/>
            <w:vAlign w:val="center"/>
          </w:tcPr>
          <w:p>
            <w:pPr>
              <w:widowControl/>
              <w:snapToGrid w:val="0"/>
              <w:jc w:val="center"/>
              <w:rPr>
                <w:rFonts w:ascii="宋体" w:hAnsi="宋体" w:eastAsia="宋体"/>
                <w:bCs/>
                <w:highlight w:val="none"/>
              </w:rPr>
            </w:pPr>
            <w:r>
              <w:rPr>
                <w:rFonts w:hint="eastAsia" w:ascii="宋体" w:hAnsi="宋体" w:eastAsia="宋体"/>
                <w:bCs/>
                <w:highlight w:val="none"/>
              </w:rPr>
              <w:t>评分说明</w:t>
            </w:r>
          </w:p>
        </w:tc>
        <w:tc>
          <w:tcPr>
            <w:tcW w:w="733"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分值</w:t>
            </w:r>
          </w:p>
        </w:tc>
        <w:tc>
          <w:tcPr>
            <w:tcW w:w="70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实得分</w:t>
            </w:r>
          </w:p>
        </w:tc>
        <w:tc>
          <w:tcPr>
            <w:tcW w:w="719" w:type="dxa"/>
            <w:vAlign w:val="center"/>
          </w:tcPr>
          <w:p>
            <w:pPr>
              <w:widowControl/>
              <w:rPr>
                <w:rFonts w:ascii="宋体" w:hAnsi="宋体" w:eastAsia="宋体"/>
                <w:bCs/>
                <w:highlight w:val="none"/>
              </w:rPr>
            </w:pPr>
            <w:r>
              <w:rPr>
                <w:rFonts w:hint="eastAsia" w:ascii="宋体" w:hAnsi="宋体" w:eastAsia="宋体"/>
                <w:bCs/>
                <w:highlight w:val="none"/>
              </w:rPr>
              <w:t>扣分情况说明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1</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质量</w:t>
            </w:r>
          </w:p>
        </w:tc>
        <w:tc>
          <w:tcPr>
            <w:tcW w:w="3785" w:type="dxa"/>
            <w:vAlign w:val="center"/>
          </w:tcPr>
          <w:p>
            <w:pPr>
              <w:widowControl/>
              <w:snapToGrid w:val="0"/>
              <w:rPr>
                <w:rFonts w:ascii="宋体" w:hAnsi="宋体" w:eastAsia="宋体"/>
                <w:bCs/>
                <w:highlight w:val="none"/>
              </w:rPr>
            </w:pPr>
            <w:r>
              <w:rPr>
                <w:rFonts w:hint="eastAsia" w:ascii="宋体" w:hAnsi="宋体" w:eastAsia="宋体"/>
                <w:bCs/>
                <w:highlight w:val="none"/>
              </w:rPr>
              <w:t>（1）货物未出现全部拒收或换货等质量问题；</w:t>
            </w:r>
          </w:p>
          <w:p>
            <w:pPr>
              <w:widowControl/>
              <w:snapToGrid w:val="0"/>
              <w:rPr>
                <w:rFonts w:ascii="宋体" w:hAnsi="宋体" w:eastAsia="宋体"/>
                <w:bCs/>
                <w:highlight w:val="none"/>
              </w:rPr>
            </w:pPr>
            <w:r>
              <w:rPr>
                <w:rFonts w:hint="eastAsia" w:ascii="宋体" w:hAnsi="宋体" w:eastAsia="宋体"/>
                <w:bCs/>
                <w:highlight w:val="none"/>
              </w:rPr>
              <w:t>（2）货物主要技术指标符合合同规定；</w:t>
            </w:r>
          </w:p>
          <w:p>
            <w:pPr>
              <w:widowControl/>
              <w:snapToGrid w:val="0"/>
              <w:rPr>
                <w:rFonts w:ascii="宋体" w:hAnsi="宋体" w:eastAsia="宋体"/>
                <w:bCs/>
                <w:highlight w:val="none"/>
              </w:rPr>
            </w:pPr>
            <w:r>
              <w:rPr>
                <w:rFonts w:hint="eastAsia" w:ascii="宋体" w:hAnsi="宋体" w:eastAsia="宋体"/>
                <w:bCs/>
                <w:highlight w:val="none"/>
              </w:rPr>
              <w:t>（3）每次货物质量稳定，投加效果良好，未出现由于每次货物质量参差不齐导致厂区药剂投加量增加或产生出水水质风险等情况。</w:t>
            </w:r>
          </w:p>
        </w:tc>
        <w:tc>
          <w:tcPr>
            <w:tcW w:w="1879" w:type="dxa"/>
            <w:gridSpan w:val="2"/>
            <w:vAlign w:val="center"/>
          </w:tcPr>
          <w:p>
            <w:pPr>
              <w:widowControl/>
              <w:snapToGrid w:val="0"/>
              <w:rPr>
                <w:rFonts w:ascii="宋体" w:hAnsi="宋体" w:eastAsia="宋体"/>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2</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包装、运输</w:t>
            </w:r>
          </w:p>
        </w:tc>
        <w:tc>
          <w:tcPr>
            <w:tcW w:w="3785" w:type="dxa"/>
            <w:vAlign w:val="center"/>
          </w:tcPr>
          <w:p>
            <w:pPr>
              <w:widowControl/>
              <w:snapToGrid w:val="0"/>
              <w:rPr>
                <w:rFonts w:ascii="宋体" w:hAnsi="宋体" w:eastAsia="宋体"/>
                <w:bCs/>
                <w:highlight w:val="none"/>
              </w:rPr>
            </w:pPr>
            <w:r>
              <w:rPr>
                <w:rFonts w:hint="eastAsia" w:ascii="宋体" w:hAnsi="宋体" w:eastAsia="宋体"/>
                <w:bCs/>
                <w:highlight w:val="none"/>
              </w:rPr>
              <w:t>货物的包装、运输符合合同规定及国家、行业有关标准规范；未出现由于包装、运输方式不当造成以下不良后果：</w:t>
            </w:r>
          </w:p>
          <w:p>
            <w:pPr>
              <w:widowControl/>
              <w:snapToGrid w:val="0"/>
              <w:rPr>
                <w:rFonts w:ascii="宋体" w:hAnsi="宋体" w:eastAsia="宋体"/>
                <w:bCs/>
                <w:highlight w:val="none"/>
              </w:rPr>
            </w:pPr>
            <w:r>
              <w:rPr>
                <w:rFonts w:hint="eastAsia" w:ascii="宋体" w:hAnsi="宋体" w:eastAsia="宋体"/>
                <w:bCs/>
                <w:highlight w:val="none"/>
              </w:rPr>
              <w:t>（1）影响货物输送或储存质量；</w:t>
            </w:r>
          </w:p>
          <w:p>
            <w:pPr>
              <w:widowControl/>
              <w:snapToGrid w:val="0"/>
              <w:rPr>
                <w:rFonts w:ascii="宋体" w:hAnsi="宋体" w:eastAsia="宋体"/>
                <w:bCs/>
                <w:highlight w:val="none"/>
              </w:rPr>
            </w:pPr>
            <w:r>
              <w:rPr>
                <w:rFonts w:hint="eastAsia" w:ascii="宋体" w:hAnsi="宋体" w:eastAsia="宋体"/>
                <w:bCs/>
                <w:highlight w:val="none"/>
              </w:rPr>
              <w:t>（2）货物质量下降；</w:t>
            </w:r>
          </w:p>
          <w:p>
            <w:pPr>
              <w:widowControl/>
              <w:snapToGrid w:val="0"/>
              <w:rPr>
                <w:rFonts w:ascii="宋体" w:hAnsi="宋体" w:eastAsia="宋体"/>
                <w:bCs/>
                <w:highlight w:val="none"/>
              </w:rPr>
            </w:pPr>
            <w:r>
              <w:rPr>
                <w:rFonts w:hint="eastAsia" w:ascii="宋体" w:hAnsi="宋体" w:eastAsia="宋体"/>
                <w:bCs/>
                <w:highlight w:val="none"/>
              </w:rPr>
              <w:t>（3）货物泄漏导致供货量不足；</w:t>
            </w:r>
          </w:p>
          <w:p>
            <w:pPr>
              <w:widowControl/>
              <w:snapToGrid w:val="0"/>
              <w:rPr>
                <w:rFonts w:ascii="宋体" w:hAnsi="宋体" w:eastAsia="宋体"/>
                <w:bCs/>
                <w:highlight w:val="none"/>
              </w:rPr>
            </w:pPr>
            <w:r>
              <w:rPr>
                <w:rFonts w:hint="eastAsia" w:ascii="宋体" w:hAnsi="宋体" w:eastAsia="宋体"/>
                <w:bCs/>
                <w:highlight w:val="none"/>
              </w:rPr>
              <w:t>（4）造成环境污染。</w:t>
            </w:r>
          </w:p>
        </w:tc>
        <w:tc>
          <w:tcPr>
            <w:tcW w:w="1879"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widowControl/>
              <w:snapToGrid w:val="0"/>
              <w:jc w:val="center"/>
              <w:rPr>
                <w:rFonts w:ascii="宋体" w:hAnsi="宋体" w:eastAsia="宋体"/>
                <w:highlight w:val="none"/>
              </w:rPr>
            </w:pPr>
            <w:r>
              <w:rPr>
                <w:rFonts w:hint="eastAsia" w:ascii="宋体" w:hAnsi="宋体" w:eastAsia="宋体"/>
                <w:highlight w:val="none"/>
              </w:rPr>
              <w:t>15</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3</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货物交付</w:t>
            </w:r>
          </w:p>
        </w:tc>
        <w:tc>
          <w:tcPr>
            <w:tcW w:w="3785" w:type="dxa"/>
            <w:vAlign w:val="center"/>
          </w:tcPr>
          <w:p>
            <w:pPr>
              <w:widowControl/>
              <w:rPr>
                <w:rFonts w:ascii="宋体" w:hAnsi="宋体" w:eastAsia="宋体"/>
                <w:bCs/>
                <w:highlight w:val="none"/>
              </w:rPr>
            </w:pPr>
            <w:r>
              <w:rPr>
                <w:rFonts w:hint="eastAsia" w:ascii="宋体" w:hAnsi="宋体" w:eastAsia="宋体"/>
                <w:bCs/>
                <w:highlight w:val="none"/>
              </w:rPr>
              <w:t>（1）按合同要求的期限供货（包括加急供货）；</w:t>
            </w:r>
          </w:p>
          <w:p>
            <w:pPr>
              <w:widowControl/>
              <w:rPr>
                <w:rFonts w:ascii="宋体" w:hAnsi="宋体" w:eastAsia="宋体"/>
                <w:bCs/>
                <w:highlight w:val="none"/>
              </w:rPr>
            </w:pPr>
            <w:r>
              <w:rPr>
                <w:rFonts w:hint="eastAsia" w:ascii="宋体" w:hAnsi="宋体" w:eastAsia="宋体"/>
                <w:bCs/>
                <w:highlight w:val="none"/>
              </w:rPr>
              <w:t>（2）每次供货配合提供电子地磅称重单；</w:t>
            </w:r>
          </w:p>
          <w:p>
            <w:pPr>
              <w:rPr>
                <w:rFonts w:ascii="宋体" w:hAnsi="宋体" w:eastAsia="宋体"/>
                <w:bCs/>
                <w:highlight w:val="none"/>
              </w:rPr>
            </w:pPr>
            <w:r>
              <w:rPr>
                <w:rFonts w:hint="eastAsia" w:ascii="宋体" w:hAnsi="宋体" w:eastAsia="宋体"/>
                <w:bCs/>
                <w:highlight w:val="none"/>
              </w:rPr>
              <w:t>（3）每次供货配合提供出厂检验报告或质量合格证等技术资料；</w:t>
            </w:r>
          </w:p>
          <w:p>
            <w:pPr>
              <w:widowControl/>
              <w:rPr>
                <w:rFonts w:ascii="宋体" w:hAnsi="宋体" w:eastAsia="宋体"/>
                <w:bCs/>
                <w:highlight w:val="none"/>
              </w:rPr>
            </w:pPr>
            <w:r>
              <w:rPr>
                <w:rFonts w:hint="eastAsia" w:ascii="宋体" w:hAnsi="宋体" w:eastAsia="宋体"/>
                <w:bCs/>
                <w:highlight w:val="none"/>
              </w:rPr>
              <w:t>（4）交付人员专业性强，工作效率高，熟悉交付操作流程；</w:t>
            </w:r>
          </w:p>
          <w:p>
            <w:pPr>
              <w:widowControl/>
              <w:rPr>
                <w:rFonts w:ascii="宋体" w:hAnsi="宋体" w:eastAsia="宋体"/>
                <w:bCs/>
                <w:highlight w:val="none"/>
              </w:rPr>
            </w:pPr>
            <w:r>
              <w:rPr>
                <w:rFonts w:hint="eastAsia" w:ascii="宋体" w:hAnsi="宋体" w:eastAsia="宋体"/>
                <w:bCs/>
                <w:highlight w:val="none"/>
              </w:rPr>
              <w:t>（5）未出现因库存、运力不足等原因影响供货量的情况。</w:t>
            </w:r>
          </w:p>
        </w:tc>
        <w:tc>
          <w:tcPr>
            <w:tcW w:w="1879" w:type="dxa"/>
            <w:gridSpan w:val="2"/>
            <w:vAlign w:val="center"/>
          </w:tcPr>
          <w:p>
            <w:pPr>
              <w:widowControl/>
              <w:snapToGrid w:val="0"/>
              <w:rPr>
                <w:rFonts w:ascii="宋体" w:hAnsi="宋体" w:eastAsia="宋体"/>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4</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验收</w:t>
            </w:r>
          </w:p>
        </w:tc>
        <w:tc>
          <w:tcPr>
            <w:tcW w:w="3785" w:type="dxa"/>
            <w:vAlign w:val="center"/>
          </w:tcPr>
          <w:p>
            <w:pPr>
              <w:widowControl/>
              <w:snapToGrid w:val="0"/>
              <w:rPr>
                <w:rFonts w:ascii="宋体" w:hAnsi="宋体" w:eastAsia="宋体"/>
                <w:bCs/>
                <w:highlight w:val="none"/>
              </w:rPr>
            </w:pPr>
            <w:r>
              <w:rPr>
                <w:rFonts w:hint="eastAsia" w:ascii="宋体" w:hAnsi="宋体" w:eastAsia="宋体"/>
                <w:bCs/>
                <w:highlight w:val="none"/>
              </w:rPr>
              <w:t>（1）及时提供货物的各项技术资料，技术资料齐全、规范；</w:t>
            </w:r>
          </w:p>
          <w:p>
            <w:pPr>
              <w:widowControl/>
              <w:snapToGrid w:val="0"/>
              <w:rPr>
                <w:rFonts w:ascii="宋体" w:hAnsi="宋体" w:eastAsia="宋体"/>
                <w:bCs/>
                <w:highlight w:val="none"/>
              </w:rPr>
            </w:pPr>
            <w:r>
              <w:rPr>
                <w:rFonts w:hint="eastAsia" w:ascii="宋体" w:hAnsi="宋体" w:eastAsia="宋体"/>
                <w:bCs/>
                <w:highlight w:val="none"/>
              </w:rPr>
              <w:t>（2）未出现因对检测结果存在异议而影响供货的情况；</w:t>
            </w:r>
          </w:p>
          <w:p>
            <w:pPr>
              <w:widowControl/>
              <w:snapToGrid w:val="0"/>
              <w:rPr>
                <w:rFonts w:ascii="宋体" w:hAnsi="宋体" w:eastAsia="宋体"/>
                <w:bCs/>
                <w:highlight w:val="none"/>
              </w:rPr>
            </w:pPr>
            <w:r>
              <w:rPr>
                <w:rFonts w:hint="eastAsia" w:ascii="宋体" w:hAnsi="宋体" w:eastAsia="宋体"/>
                <w:bCs/>
                <w:highlight w:val="none"/>
              </w:rPr>
              <w:t>（3）未出现因货物检验不合格，或因货物不合格影响厂区生产效果的情况。</w:t>
            </w:r>
          </w:p>
        </w:tc>
        <w:tc>
          <w:tcPr>
            <w:tcW w:w="1879"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5</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安全</w:t>
            </w:r>
          </w:p>
        </w:tc>
        <w:tc>
          <w:tcPr>
            <w:tcW w:w="3785" w:type="dxa"/>
            <w:vAlign w:val="center"/>
          </w:tcPr>
          <w:p>
            <w:pPr>
              <w:widowControl/>
              <w:snapToGrid w:val="0"/>
              <w:rPr>
                <w:rFonts w:ascii="宋体" w:hAnsi="宋体" w:eastAsia="宋体"/>
                <w:bCs/>
                <w:highlight w:val="none"/>
              </w:rPr>
            </w:pPr>
            <w:r>
              <w:rPr>
                <w:rFonts w:hint="eastAsia" w:ascii="宋体" w:hAnsi="宋体" w:eastAsia="宋体"/>
                <w:bCs/>
                <w:highlight w:val="none"/>
              </w:rPr>
              <w:t>（1）运输服务商资质、运输人员、运输车辆符合合同规定及国家相关法律法规要求；</w:t>
            </w:r>
          </w:p>
          <w:p>
            <w:pPr>
              <w:widowControl/>
              <w:snapToGrid w:val="0"/>
              <w:rPr>
                <w:rFonts w:ascii="宋体" w:hAnsi="宋体" w:eastAsia="宋体"/>
                <w:bCs/>
                <w:highlight w:val="none"/>
              </w:rPr>
            </w:pPr>
            <w:r>
              <w:rPr>
                <w:rFonts w:hint="eastAsia" w:ascii="宋体" w:hAnsi="宋体" w:eastAsia="宋体"/>
                <w:bCs/>
                <w:highlight w:val="none"/>
              </w:rPr>
              <w:t>（2）未出现超载或非法运输等情况；</w:t>
            </w:r>
          </w:p>
          <w:p>
            <w:pPr>
              <w:widowControl/>
              <w:snapToGrid w:val="0"/>
              <w:rPr>
                <w:rFonts w:ascii="宋体" w:hAnsi="宋体" w:eastAsia="宋体"/>
                <w:bCs/>
                <w:highlight w:val="none"/>
              </w:rPr>
            </w:pPr>
            <w:r>
              <w:rPr>
                <w:rFonts w:hint="eastAsia" w:ascii="宋体" w:hAnsi="宋体" w:eastAsia="宋体"/>
                <w:bCs/>
                <w:highlight w:val="none"/>
              </w:rPr>
              <w:t>（3）未出现由于运输服务商资质不符、超载或非法运输、未按厂区指示行驶及停放造成第三方或厂区事故、损失的情况；</w:t>
            </w:r>
          </w:p>
          <w:p>
            <w:pPr>
              <w:outlineLvl w:val="2"/>
              <w:rPr>
                <w:rFonts w:ascii="宋体" w:hAnsi="宋体" w:eastAsia="宋体"/>
                <w:highlight w:val="none"/>
              </w:rPr>
            </w:pPr>
            <w:bookmarkStart w:id="64" w:name="_Toc146625412"/>
            <w:bookmarkStart w:id="65" w:name="_Toc174612491"/>
            <w:bookmarkStart w:id="66" w:name="_Toc95729751"/>
            <w:r>
              <w:rPr>
                <w:rFonts w:hint="eastAsia" w:ascii="宋体" w:hAnsi="宋体" w:eastAsia="宋体"/>
                <w:bCs/>
                <w:highlight w:val="none"/>
              </w:rPr>
              <w:t>（4）未出现卸货安全事故。</w:t>
            </w:r>
            <w:bookmarkEnd w:id="64"/>
            <w:bookmarkEnd w:id="65"/>
            <w:bookmarkEnd w:id="66"/>
          </w:p>
        </w:tc>
        <w:tc>
          <w:tcPr>
            <w:tcW w:w="1879"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15</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6</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售后服务</w:t>
            </w:r>
          </w:p>
        </w:tc>
        <w:tc>
          <w:tcPr>
            <w:tcW w:w="3785" w:type="dxa"/>
            <w:vAlign w:val="center"/>
          </w:tcPr>
          <w:p>
            <w:pPr>
              <w:widowControl/>
              <w:snapToGrid w:val="0"/>
              <w:rPr>
                <w:rFonts w:ascii="宋体" w:hAnsi="宋体" w:eastAsia="宋体"/>
                <w:bCs/>
                <w:highlight w:val="none"/>
              </w:rPr>
            </w:pPr>
            <w:r>
              <w:rPr>
                <w:rFonts w:hint="eastAsia" w:ascii="宋体" w:hAnsi="宋体" w:eastAsia="宋体"/>
                <w:bCs/>
                <w:highlight w:val="none"/>
              </w:rPr>
              <w:t>（1）人员：</w:t>
            </w:r>
          </w:p>
          <w:p>
            <w:pPr>
              <w:widowControl/>
              <w:snapToGrid w:val="0"/>
              <w:rPr>
                <w:rFonts w:ascii="宋体" w:hAnsi="宋体" w:eastAsia="宋体"/>
                <w:bCs/>
                <w:highlight w:val="none"/>
              </w:rPr>
            </w:pPr>
            <w:r>
              <w:rPr>
                <w:rFonts w:hint="eastAsia" w:ascii="宋体" w:hAnsi="宋体" w:eastAsia="宋体"/>
                <w:bCs/>
                <w:highlight w:val="none"/>
              </w:rPr>
              <w:t>①管理、技术及服务人员均符合申请文件的承诺，服务队伍稳定，人员充足、专业性强，充分配合甲方供货需求；</w:t>
            </w:r>
          </w:p>
          <w:p>
            <w:pPr>
              <w:widowControl/>
              <w:snapToGrid w:val="0"/>
              <w:rPr>
                <w:rFonts w:ascii="宋体" w:hAnsi="宋体" w:eastAsia="宋体"/>
                <w:bCs/>
                <w:highlight w:val="none"/>
              </w:rPr>
            </w:pPr>
            <w:r>
              <w:rPr>
                <w:rFonts w:hint="eastAsia" w:ascii="宋体" w:hAnsi="宋体" w:eastAsia="宋体"/>
                <w:bCs/>
                <w:highlight w:val="none"/>
              </w:rPr>
              <w:t>②对接人员与甲方沟通良好、理解到位、执行力强，能及时发现、解决问题，并未雨绸缪地因应各厂区实际情况提供合理化的供配货建议；</w:t>
            </w:r>
          </w:p>
          <w:p>
            <w:pPr>
              <w:widowControl/>
              <w:snapToGrid w:val="0"/>
              <w:rPr>
                <w:rFonts w:ascii="宋体" w:hAnsi="宋体" w:eastAsia="宋体"/>
                <w:bCs/>
                <w:highlight w:val="none"/>
              </w:rPr>
            </w:pPr>
            <w:r>
              <w:rPr>
                <w:rFonts w:hint="eastAsia" w:ascii="宋体" w:hAnsi="宋体" w:eastAsia="宋体"/>
                <w:bCs/>
                <w:highlight w:val="none"/>
              </w:rPr>
              <w:t>③未出现推诿，借故不肯签署合同规定的文件或者敷衍了事、置之不理等情况。</w:t>
            </w:r>
          </w:p>
          <w:p>
            <w:pPr>
              <w:widowControl/>
              <w:snapToGrid w:val="0"/>
              <w:rPr>
                <w:rFonts w:ascii="宋体" w:hAnsi="宋体" w:eastAsia="宋体"/>
                <w:bCs/>
                <w:highlight w:val="none"/>
              </w:rPr>
            </w:pPr>
            <w:r>
              <w:rPr>
                <w:rFonts w:hint="eastAsia" w:ascii="宋体" w:hAnsi="宋体" w:eastAsia="宋体"/>
                <w:bCs/>
                <w:highlight w:val="none"/>
              </w:rPr>
              <w:t>（2）配合：</w:t>
            </w:r>
          </w:p>
          <w:p>
            <w:pPr>
              <w:widowControl/>
              <w:snapToGrid w:val="0"/>
              <w:rPr>
                <w:rFonts w:ascii="宋体" w:hAnsi="宋体" w:eastAsia="宋体"/>
                <w:bCs/>
                <w:highlight w:val="none"/>
              </w:rPr>
            </w:pPr>
            <w:r>
              <w:rPr>
                <w:rFonts w:hint="eastAsia" w:ascii="宋体" w:hAnsi="宋体" w:eastAsia="宋体"/>
                <w:bCs/>
                <w:highlight w:val="none"/>
              </w:rPr>
              <w:t>①售后服务流程完善，跟踪到位，响应速度快；</w:t>
            </w:r>
          </w:p>
          <w:p>
            <w:pPr>
              <w:widowControl/>
              <w:snapToGrid w:val="0"/>
              <w:rPr>
                <w:rFonts w:ascii="宋体" w:hAnsi="宋体" w:eastAsia="宋体"/>
                <w:bCs/>
                <w:highlight w:val="none"/>
              </w:rPr>
            </w:pPr>
            <w:r>
              <w:rPr>
                <w:rFonts w:hint="eastAsia" w:ascii="宋体" w:hAnsi="宋体" w:eastAsia="宋体"/>
                <w:bCs/>
                <w:highlight w:val="none"/>
              </w:rPr>
              <w:t>②就货物储存保质方式、方法提出合理化建议并能提供专业技术指导；</w:t>
            </w:r>
          </w:p>
          <w:p>
            <w:pPr>
              <w:widowControl/>
              <w:snapToGrid w:val="0"/>
              <w:rPr>
                <w:rFonts w:ascii="宋体" w:hAnsi="宋体" w:eastAsia="宋体"/>
                <w:bCs/>
                <w:highlight w:val="none"/>
              </w:rPr>
            </w:pPr>
            <w:r>
              <w:rPr>
                <w:rFonts w:hint="eastAsia" w:ascii="宋体" w:hAnsi="宋体" w:eastAsia="宋体"/>
                <w:bCs/>
                <w:highlight w:val="none"/>
              </w:rPr>
              <w:t>③积极配合甲方进行试验、积极协助甲方接受政府管理部门的检查工作及提供各类资质证明材料；</w:t>
            </w:r>
          </w:p>
          <w:p>
            <w:pPr>
              <w:widowControl/>
              <w:snapToGrid w:val="0"/>
              <w:rPr>
                <w:rFonts w:ascii="宋体" w:hAnsi="宋体" w:eastAsia="宋体"/>
                <w:bCs/>
                <w:highlight w:val="none"/>
              </w:rPr>
            </w:pPr>
            <w:r>
              <w:rPr>
                <w:rFonts w:hint="eastAsia" w:ascii="宋体" w:hAnsi="宋体" w:eastAsia="宋体"/>
                <w:bCs/>
                <w:highlight w:val="none"/>
              </w:rPr>
              <w:t>④能根据甲方要求提供专业培训。</w:t>
            </w:r>
          </w:p>
          <w:p>
            <w:pPr>
              <w:outlineLvl w:val="2"/>
              <w:rPr>
                <w:rFonts w:ascii="宋体" w:hAnsi="宋体" w:eastAsia="宋体"/>
                <w:highlight w:val="none"/>
              </w:rPr>
            </w:pPr>
            <w:bookmarkStart w:id="67" w:name="_Toc174612492"/>
            <w:bookmarkStart w:id="68" w:name="_Toc95729752"/>
            <w:bookmarkStart w:id="69" w:name="_Toc146625413"/>
            <w:r>
              <w:rPr>
                <w:rFonts w:hint="eastAsia" w:ascii="宋体" w:hAnsi="宋体" w:eastAsia="宋体"/>
                <w:bCs/>
                <w:highlight w:val="none"/>
              </w:rPr>
              <w:t>⑤高效处理退换货工作、态度良好。</w:t>
            </w:r>
            <w:bookmarkEnd w:id="67"/>
            <w:bookmarkEnd w:id="68"/>
            <w:bookmarkEnd w:id="69"/>
          </w:p>
        </w:tc>
        <w:tc>
          <w:tcPr>
            <w:tcW w:w="1879"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达到标准的得满分，每月每次货物有一项未达到标准的扣2分，每次货物最多扣2分。</w:t>
            </w:r>
          </w:p>
        </w:tc>
        <w:tc>
          <w:tcPr>
            <w:tcW w:w="733"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10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824" w:type="dxa"/>
            <w:gridSpan w:val="5"/>
            <w:vAlign w:val="center"/>
          </w:tcPr>
          <w:p>
            <w:pPr>
              <w:widowControl/>
              <w:snapToGrid w:val="0"/>
              <w:jc w:val="center"/>
              <w:rPr>
                <w:rFonts w:ascii="宋体" w:hAnsi="宋体" w:eastAsia="宋体"/>
                <w:bCs/>
                <w:highlight w:val="none"/>
              </w:rPr>
            </w:pPr>
            <w:r>
              <w:rPr>
                <w:rFonts w:hint="eastAsia" w:ascii="宋体" w:hAnsi="宋体" w:eastAsia="宋体"/>
                <w:bCs/>
                <w:highlight w:val="none"/>
              </w:rPr>
              <w:t>合计</w:t>
            </w:r>
          </w:p>
        </w:tc>
        <w:tc>
          <w:tcPr>
            <w:tcW w:w="733"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1</w:t>
            </w:r>
            <w:r>
              <w:rPr>
                <w:rFonts w:ascii="宋体" w:hAnsi="宋体" w:eastAsia="宋体"/>
                <w:bCs/>
                <w:highlight w:val="none"/>
              </w:rPr>
              <w:t>00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160" w:type="dxa"/>
            <w:gridSpan w:val="2"/>
            <w:vAlign w:val="center"/>
          </w:tcPr>
          <w:p>
            <w:pPr>
              <w:widowControl/>
              <w:snapToGrid w:val="0"/>
              <w:jc w:val="center"/>
              <w:rPr>
                <w:rFonts w:ascii="宋体" w:hAnsi="宋体" w:eastAsia="宋体"/>
                <w:bCs/>
                <w:highlight w:val="none"/>
              </w:rPr>
            </w:pPr>
            <w:r>
              <w:rPr>
                <w:rFonts w:hint="eastAsia" w:ascii="宋体" w:hAnsi="宋体" w:eastAsia="宋体"/>
                <w:bCs/>
                <w:highlight w:val="none"/>
              </w:rPr>
              <w:t>评审结论</w:t>
            </w:r>
          </w:p>
        </w:tc>
        <w:tc>
          <w:tcPr>
            <w:tcW w:w="7821" w:type="dxa"/>
            <w:gridSpan w:val="6"/>
          </w:tcPr>
          <w:p>
            <w:pPr>
              <w:widowControl/>
              <w:snapToGrid w:val="0"/>
              <w:rPr>
                <w:rFonts w:ascii="宋体" w:hAnsi="宋体" w:eastAsia="宋体"/>
                <w:bCs/>
                <w:highlight w:val="none"/>
              </w:rPr>
            </w:pPr>
            <w:r>
              <w:rPr>
                <w:rFonts w:hint="eastAsia" w:ascii="宋体" w:hAnsi="宋体" w:eastAsia="宋体"/>
                <w:bCs/>
                <w:highlight w:val="none"/>
              </w:rPr>
              <w:t>□合计分值不低于</w:t>
            </w:r>
            <w:r>
              <w:rPr>
                <w:rFonts w:ascii="宋体" w:hAnsi="宋体" w:eastAsia="宋体"/>
                <w:bCs/>
                <w:highlight w:val="none"/>
              </w:rPr>
              <w:t>8</w:t>
            </w:r>
            <w:r>
              <w:rPr>
                <w:rFonts w:hint="eastAsia" w:ascii="宋体" w:hAnsi="宋体" w:eastAsia="宋体"/>
                <w:bCs/>
                <w:highlight w:val="none"/>
              </w:rPr>
              <w:t>0的，评审结论合格</w:t>
            </w:r>
            <w:r>
              <w:rPr>
                <w:rFonts w:hint="eastAsia" w:ascii="宋体" w:hAnsi="宋体" w:eastAsia="宋体"/>
                <w:bCs/>
                <w:highlight w:val="none"/>
              </w:rPr>
              <w:br w:type="textWrapping"/>
            </w:r>
            <w:r>
              <w:rPr>
                <w:rFonts w:hint="eastAsia" w:ascii="宋体" w:hAnsi="宋体" w:eastAsia="宋体"/>
                <w:bCs/>
                <w:highlight w:val="none"/>
              </w:rPr>
              <w:t>□评审结论不合格，说明：</w:t>
            </w:r>
            <w:r>
              <w:rPr>
                <w:rFonts w:hint="eastAsia" w:ascii="宋体" w:hAnsi="宋体" w:eastAsia="宋体"/>
                <w:bCs/>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160" w:type="dxa"/>
            <w:gridSpan w:val="2"/>
            <w:vMerge w:val="restart"/>
            <w:vAlign w:val="center"/>
          </w:tcPr>
          <w:p>
            <w:pPr>
              <w:widowControl/>
              <w:snapToGrid w:val="0"/>
              <w:jc w:val="center"/>
              <w:rPr>
                <w:rFonts w:ascii="宋体" w:hAnsi="宋体" w:eastAsia="宋体"/>
                <w:highlight w:val="none"/>
              </w:rPr>
            </w:pPr>
            <w:r>
              <w:rPr>
                <w:rFonts w:hint="eastAsia" w:ascii="宋体" w:hAnsi="宋体" w:eastAsia="宋体"/>
                <w:bCs/>
                <w:highlight w:val="none"/>
              </w:rPr>
              <w:t>履约评审运营项目</w:t>
            </w:r>
            <w:r>
              <w:rPr>
                <w:rFonts w:hint="eastAsia" w:ascii="宋体" w:hAnsi="宋体" w:eastAsia="宋体"/>
                <w:highlight w:val="none"/>
              </w:rPr>
              <w:t>其他</w:t>
            </w:r>
            <w:r>
              <w:rPr>
                <w:rFonts w:hint="eastAsia" w:ascii="宋体" w:hAnsi="宋体" w:eastAsia="宋体"/>
                <w:bCs/>
                <w:highlight w:val="none"/>
              </w:rPr>
              <w:t>意见及签署</w:t>
            </w:r>
          </w:p>
        </w:tc>
        <w:tc>
          <w:tcPr>
            <w:tcW w:w="3840" w:type="dxa"/>
            <w:gridSpan w:val="2"/>
            <w:vAlign w:val="center"/>
          </w:tcPr>
          <w:p>
            <w:pPr>
              <w:widowControl/>
              <w:snapToGrid w:val="0"/>
              <w:rPr>
                <w:rFonts w:ascii="宋体" w:hAnsi="宋体" w:eastAsia="宋体"/>
                <w:highlight w:val="none"/>
              </w:rPr>
            </w:pPr>
            <w:r>
              <w:rPr>
                <w:rFonts w:hint="eastAsia" w:ascii="宋体" w:hAnsi="宋体" w:eastAsia="宋体"/>
                <w:bCs/>
                <w:highlight w:val="none"/>
              </w:rPr>
              <w:t>经办人</w:t>
            </w:r>
          </w:p>
        </w:tc>
        <w:tc>
          <w:tcPr>
            <w:tcW w:w="3987" w:type="dxa"/>
            <w:gridSpan w:val="5"/>
            <w:vAlign w:val="center"/>
          </w:tcPr>
          <w:p>
            <w:pPr>
              <w:widowControl/>
              <w:snapToGrid w:val="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60" w:type="dxa"/>
            <w:gridSpan w:val="2"/>
            <w:vMerge w:val="continue"/>
          </w:tcPr>
          <w:p>
            <w:pPr>
              <w:widowControl/>
              <w:snapToGrid w:val="0"/>
              <w:rPr>
                <w:rFonts w:ascii="宋体" w:hAnsi="宋体" w:eastAsia="宋体"/>
                <w:bCs/>
                <w:highlight w:val="none"/>
              </w:rPr>
            </w:pPr>
          </w:p>
        </w:tc>
        <w:tc>
          <w:tcPr>
            <w:tcW w:w="3840"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运营项目负责人</w:t>
            </w:r>
          </w:p>
        </w:tc>
        <w:tc>
          <w:tcPr>
            <w:tcW w:w="3987" w:type="dxa"/>
            <w:gridSpan w:val="5"/>
            <w:vAlign w:val="center"/>
          </w:tcPr>
          <w:p>
            <w:pPr>
              <w:widowControl/>
              <w:snapToGrid w:val="0"/>
              <w:rPr>
                <w:rFonts w:ascii="宋体" w:hAnsi="宋体" w:eastAsia="宋体"/>
                <w:bCs/>
                <w:highlight w:val="none"/>
              </w:rPr>
            </w:pPr>
          </w:p>
        </w:tc>
      </w:tr>
    </w:tbl>
    <w:p>
      <w:pPr>
        <w:pStyle w:val="2"/>
        <w:rPr>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embedRegular r:id="rId1" w:fontKey="{ED87791D-06F0-475C-8E11-46EA63EE4F09}"/>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F51E7018-9A9E-400D-8D84-6C5F758218D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110</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110</w:t>
    </w:r>
    <w:r>
      <w:rPr>
        <w:bCs/>
        <w:sz w:val="24"/>
        <w:szCs w:val="24"/>
      </w:rPr>
      <w:fldChar w:fldCharType="end"/>
    </w:r>
    <w:r>
      <w:rPr>
        <w:b/>
        <w:bCs/>
        <w:sz w:val="24"/>
        <w:szCs w:val="24"/>
      </w:rPr>
      <w:t xml:space="preserve"> </w:t>
    </w:r>
    <w:r>
      <w:rPr>
        <w:rFonts w:hint="eastAsia"/>
      </w:rPr>
      <w:t>页</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86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4C114D"/>
    <w:multiLevelType w:val="multilevel"/>
    <w:tmpl w:val="4A4C114D"/>
    <w:lvl w:ilvl="0" w:tentative="0">
      <w:start w:val="1"/>
      <w:numFmt w:val="decimal"/>
      <w:suff w:val="nothing"/>
      <w:lvlText w:val="%1、"/>
      <w:lvlJc w:val="left"/>
      <w:pPr>
        <w:ind w:left="0" w:firstLine="0"/>
      </w:pPr>
      <w:rPr>
        <w:rFonts w:hint="default" w:ascii="宋体" w:hAnsi="宋体" w:eastAsia="宋体" w:cs="Times New Roman"/>
        <w:sz w:val="21"/>
        <w:szCs w:val="21"/>
      </w:rPr>
    </w:lvl>
    <w:lvl w:ilvl="1" w:tentative="0">
      <w:start w:val="1"/>
      <w:numFmt w:val="decimal"/>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B274E8D"/>
    <w:multiLevelType w:val="multilevel"/>
    <w:tmpl w:val="4B274E8D"/>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WRkZWY0Y2IzMzdkNjZiNWIyZWQ2ZjZjMmRkMmQifQ=="/>
  </w:docVars>
  <w:rsids>
    <w:rsidRoot w:val="001E63B6"/>
    <w:rsid w:val="000011AE"/>
    <w:rsid w:val="00004430"/>
    <w:rsid w:val="00006AEC"/>
    <w:rsid w:val="00015A2E"/>
    <w:rsid w:val="000245A6"/>
    <w:rsid w:val="0002570D"/>
    <w:rsid w:val="00027708"/>
    <w:rsid w:val="00035595"/>
    <w:rsid w:val="00040BE6"/>
    <w:rsid w:val="00040F92"/>
    <w:rsid w:val="00046C4B"/>
    <w:rsid w:val="000503F6"/>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15B3"/>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3BE3"/>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8C5"/>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5A1F74"/>
    <w:rsid w:val="024E68F9"/>
    <w:rsid w:val="0250441F"/>
    <w:rsid w:val="02FE5AC7"/>
    <w:rsid w:val="035967CC"/>
    <w:rsid w:val="03EC63C9"/>
    <w:rsid w:val="041651F4"/>
    <w:rsid w:val="04637662"/>
    <w:rsid w:val="04CF627B"/>
    <w:rsid w:val="05461264"/>
    <w:rsid w:val="058F7720"/>
    <w:rsid w:val="06447858"/>
    <w:rsid w:val="068F3629"/>
    <w:rsid w:val="0696261C"/>
    <w:rsid w:val="06A75D00"/>
    <w:rsid w:val="06AB431A"/>
    <w:rsid w:val="07182CD3"/>
    <w:rsid w:val="076F17EB"/>
    <w:rsid w:val="07894344"/>
    <w:rsid w:val="079B6617"/>
    <w:rsid w:val="07A829A7"/>
    <w:rsid w:val="083F7789"/>
    <w:rsid w:val="08623DEB"/>
    <w:rsid w:val="0865499C"/>
    <w:rsid w:val="08AF5C17"/>
    <w:rsid w:val="091776A5"/>
    <w:rsid w:val="091E7F58"/>
    <w:rsid w:val="09914565"/>
    <w:rsid w:val="09D21BBD"/>
    <w:rsid w:val="0AC534D0"/>
    <w:rsid w:val="0B2B5A29"/>
    <w:rsid w:val="0B381EF4"/>
    <w:rsid w:val="0BBC48D3"/>
    <w:rsid w:val="0BF127E9"/>
    <w:rsid w:val="0C7C092D"/>
    <w:rsid w:val="0CB40F86"/>
    <w:rsid w:val="0CD0550C"/>
    <w:rsid w:val="0CF103CF"/>
    <w:rsid w:val="0DC772CA"/>
    <w:rsid w:val="0DD3717C"/>
    <w:rsid w:val="0DD95C10"/>
    <w:rsid w:val="0E0A401C"/>
    <w:rsid w:val="0E9225A3"/>
    <w:rsid w:val="0EAC0DAA"/>
    <w:rsid w:val="0EAC63BD"/>
    <w:rsid w:val="0F241091"/>
    <w:rsid w:val="0F39623B"/>
    <w:rsid w:val="0F721927"/>
    <w:rsid w:val="0FC15468"/>
    <w:rsid w:val="102A0560"/>
    <w:rsid w:val="103D7174"/>
    <w:rsid w:val="106F0166"/>
    <w:rsid w:val="10B32423"/>
    <w:rsid w:val="10B4201D"/>
    <w:rsid w:val="10D138C1"/>
    <w:rsid w:val="10FF7010"/>
    <w:rsid w:val="123A3264"/>
    <w:rsid w:val="12722D9F"/>
    <w:rsid w:val="129702EF"/>
    <w:rsid w:val="12D6271E"/>
    <w:rsid w:val="130F4A87"/>
    <w:rsid w:val="132C233E"/>
    <w:rsid w:val="138F2A4C"/>
    <w:rsid w:val="13B9206C"/>
    <w:rsid w:val="154E2462"/>
    <w:rsid w:val="164C6B10"/>
    <w:rsid w:val="167069E6"/>
    <w:rsid w:val="16A66F42"/>
    <w:rsid w:val="174A4754"/>
    <w:rsid w:val="18406C2A"/>
    <w:rsid w:val="18611701"/>
    <w:rsid w:val="18B562BD"/>
    <w:rsid w:val="18DE1F70"/>
    <w:rsid w:val="19017DC9"/>
    <w:rsid w:val="190873AA"/>
    <w:rsid w:val="19397AAF"/>
    <w:rsid w:val="193B694A"/>
    <w:rsid w:val="193F7E0B"/>
    <w:rsid w:val="19562772"/>
    <w:rsid w:val="19650456"/>
    <w:rsid w:val="19831126"/>
    <w:rsid w:val="19BD665C"/>
    <w:rsid w:val="1A967187"/>
    <w:rsid w:val="1A996FE7"/>
    <w:rsid w:val="1AAB7122"/>
    <w:rsid w:val="1AB865A1"/>
    <w:rsid w:val="1AE479A2"/>
    <w:rsid w:val="1B0940FF"/>
    <w:rsid w:val="1B1F6729"/>
    <w:rsid w:val="1B5A216D"/>
    <w:rsid w:val="1B973779"/>
    <w:rsid w:val="1C393D1E"/>
    <w:rsid w:val="1C512E16"/>
    <w:rsid w:val="1D38315E"/>
    <w:rsid w:val="1D6848BB"/>
    <w:rsid w:val="1D7B395F"/>
    <w:rsid w:val="1D8D43A1"/>
    <w:rsid w:val="1DAE4F95"/>
    <w:rsid w:val="1DBC42AC"/>
    <w:rsid w:val="1DD73E07"/>
    <w:rsid w:val="1DF7063D"/>
    <w:rsid w:val="1E2471AC"/>
    <w:rsid w:val="1E3B5B2B"/>
    <w:rsid w:val="1E967206"/>
    <w:rsid w:val="1EAA2CB1"/>
    <w:rsid w:val="1F096428"/>
    <w:rsid w:val="1F4E1F4E"/>
    <w:rsid w:val="1F532EDB"/>
    <w:rsid w:val="1F5856A9"/>
    <w:rsid w:val="1F7E7BC0"/>
    <w:rsid w:val="1FB21E1D"/>
    <w:rsid w:val="1FF1689E"/>
    <w:rsid w:val="203C5B8B"/>
    <w:rsid w:val="205C4E1A"/>
    <w:rsid w:val="207A1985"/>
    <w:rsid w:val="20B11AFB"/>
    <w:rsid w:val="20C279F7"/>
    <w:rsid w:val="20C31E08"/>
    <w:rsid w:val="211508B6"/>
    <w:rsid w:val="21375273"/>
    <w:rsid w:val="21B96FAA"/>
    <w:rsid w:val="21E14C3C"/>
    <w:rsid w:val="21E23C77"/>
    <w:rsid w:val="22784344"/>
    <w:rsid w:val="22850A36"/>
    <w:rsid w:val="239633BA"/>
    <w:rsid w:val="23BC326A"/>
    <w:rsid w:val="23C102FE"/>
    <w:rsid w:val="240370EB"/>
    <w:rsid w:val="245E4744"/>
    <w:rsid w:val="249A76B9"/>
    <w:rsid w:val="24C745BD"/>
    <w:rsid w:val="24F45147"/>
    <w:rsid w:val="2500362B"/>
    <w:rsid w:val="252C01BD"/>
    <w:rsid w:val="25BC1C48"/>
    <w:rsid w:val="26151E30"/>
    <w:rsid w:val="26A526DC"/>
    <w:rsid w:val="26FE4D22"/>
    <w:rsid w:val="27076EF2"/>
    <w:rsid w:val="27154FD8"/>
    <w:rsid w:val="272950BB"/>
    <w:rsid w:val="276B0A21"/>
    <w:rsid w:val="276D7F6F"/>
    <w:rsid w:val="28177609"/>
    <w:rsid w:val="2843570A"/>
    <w:rsid w:val="28491774"/>
    <w:rsid w:val="286E02B3"/>
    <w:rsid w:val="28704DBD"/>
    <w:rsid w:val="28B11B80"/>
    <w:rsid w:val="28CD7B64"/>
    <w:rsid w:val="28DA73F5"/>
    <w:rsid w:val="2900444B"/>
    <w:rsid w:val="2936671F"/>
    <w:rsid w:val="2947094F"/>
    <w:rsid w:val="298C6D5A"/>
    <w:rsid w:val="29A452B1"/>
    <w:rsid w:val="29C55A1E"/>
    <w:rsid w:val="29C95FE8"/>
    <w:rsid w:val="2A355B25"/>
    <w:rsid w:val="2A6E1037"/>
    <w:rsid w:val="2B6B6FAE"/>
    <w:rsid w:val="2BFA4CA8"/>
    <w:rsid w:val="2C271FB0"/>
    <w:rsid w:val="2C300C99"/>
    <w:rsid w:val="2C483A6C"/>
    <w:rsid w:val="2C4A1ED4"/>
    <w:rsid w:val="2C5E3D90"/>
    <w:rsid w:val="2C5F157F"/>
    <w:rsid w:val="2C6F395B"/>
    <w:rsid w:val="2C85114F"/>
    <w:rsid w:val="2C9E00E8"/>
    <w:rsid w:val="2CF202C8"/>
    <w:rsid w:val="2CFC2BFE"/>
    <w:rsid w:val="2D960361"/>
    <w:rsid w:val="2DB11966"/>
    <w:rsid w:val="2E0B257D"/>
    <w:rsid w:val="2E352597"/>
    <w:rsid w:val="2F4F7689"/>
    <w:rsid w:val="2F6A0915"/>
    <w:rsid w:val="305D242A"/>
    <w:rsid w:val="308E2433"/>
    <w:rsid w:val="31402082"/>
    <w:rsid w:val="314D028A"/>
    <w:rsid w:val="315A4088"/>
    <w:rsid w:val="3191399B"/>
    <w:rsid w:val="31B3278A"/>
    <w:rsid w:val="3226381F"/>
    <w:rsid w:val="32313075"/>
    <w:rsid w:val="33332E1D"/>
    <w:rsid w:val="33680E1D"/>
    <w:rsid w:val="338D69D1"/>
    <w:rsid w:val="33DB598F"/>
    <w:rsid w:val="343D57A7"/>
    <w:rsid w:val="3489363D"/>
    <w:rsid w:val="352073D1"/>
    <w:rsid w:val="355530AA"/>
    <w:rsid w:val="355534E3"/>
    <w:rsid w:val="362221D1"/>
    <w:rsid w:val="364631D7"/>
    <w:rsid w:val="36672A7B"/>
    <w:rsid w:val="36703B69"/>
    <w:rsid w:val="368928C2"/>
    <w:rsid w:val="36C344B8"/>
    <w:rsid w:val="377F4482"/>
    <w:rsid w:val="385178A7"/>
    <w:rsid w:val="3882786B"/>
    <w:rsid w:val="38E24A78"/>
    <w:rsid w:val="38E452E6"/>
    <w:rsid w:val="38EB56F8"/>
    <w:rsid w:val="393C6ED0"/>
    <w:rsid w:val="39475E40"/>
    <w:rsid w:val="397A6507"/>
    <w:rsid w:val="3A3B0ECB"/>
    <w:rsid w:val="3A8F17FC"/>
    <w:rsid w:val="3AA800F8"/>
    <w:rsid w:val="3AF7708F"/>
    <w:rsid w:val="3B1F29B6"/>
    <w:rsid w:val="3B664D8A"/>
    <w:rsid w:val="3B6A4290"/>
    <w:rsid w:val="3B8B3748"/>
    <w:rsid w:val="3B8E088C"/>
    <w:rsid w:val="3B9971A7"/>
    <w:rsid w:val="3C337A30"/>
    <w:rsid w:val="3C9A3306"/>
    <w:rsid w:val="3CB74ABF"/>
    <w:rsid w:val="3CBA010B"/>
    <w:rsid w:val="3D1B504E"/>
    <w:rsid w:val="3DBA6422"/>
    <w:rsid w:val="3DE329CA"/>
    <w:rsid w:val="3E0E6961"/>
    <w:rsid w:val="3EA307B8"/>
    <w:rsid w:val="3F5B255F"/>
    <w:rsid w:val="3F944A09"/>
    <w:rsid w:val="3FA82A06"/>
    <w:rsid w:val="3FCE5CD0"/>
    <w:rsid w:val="3FCE6825"/>
    <w:rsid w:val="40337FBA"/>
    <w:rsid w:val="40AC7996"/>
    <w:rsid w:val="40BB32ED"/>
    <w:rsid w:val="410271DD"/>
    <w:rsid w:val="41055DF9"/>
    <w:rsid w:val="411C3A6B"/>
    <w:rsid w:val="413D1C34"/>
    <w:rsid w:val="413D3E30"/>
    <w:rsid w:val="416302FE"/>
    <w:rsid w:val="416845DA"/>
    <w:rsid w:val="4199111F"/>
    <w:rsid w:val="41C51A2C"/>
    <w:rsid w:val="41FB1E9F"/>
    <w:rsid w:val="42443C11"/>
    <w:rsid w:val="42F53803"/>
    <w:rsid w:val="4338034C"/>
    <w:rsid w:val="43533A05"/>
    <w:rsid w:val="436B29C6"/>
    <w:rsid w:val="43B50E83"/>
    <w:rsid w:val="43E81BAE"/>
    <w:rsid w:val="44027DCD"/>
    <w:rsid w:val="4416567B"/>
    <w:rsid w:val="44373EE2"/>
    <w:rsid w:val="44A02DC8"/>
    <w:rsid w:val="44BA2906"/>
    <w:rsid w:val="44E4041B"/>
    <w:rsid w:val="45181A63"/>
    <w:rsid w:val="452226EA"/>
    <w:rsid w:val="45350C77"/>
    <w:rsid w:val="45413006"/>
    <w:rsid w:val="45637592"/>
    <w:rsid w:val="45E30566"/>
    <w:rsid w:val="46827EEC"/>
    <w:rsid w:val="46E57892"/>
    <w:rsid w:val="46E6313D"/>
    <w:rsid w:val="47EB068E"/>
    <w:rsid w:val="4812253D"/>
    <w:rsid w:val="48296208"/>
    <w:rsid w:val="485105F8"/>
    <w:rsid w:val="48A91760"/>
    <w:rsid w:val="48DF421C"/>
    <w:rsid w:val="48F30C2D"/>
    <w:rsid w:val="491D3EFC"/>
    <w:rsid w:val="49677566"/>
    <w:rsid w:val="49767244"/>
    <w:rsid w:val="49D071C0"/>
    <w:rsid w:val="4A4308D9"/>
    <w:rsid w:val="4BF70A34"/>
    <w:rsid w:val="4BF74ED8"/>
    <w:rsid w:val="4C107D48"/>
    <w:rsid w:val="4C340574"/>
    <w:rsid w:val="4C912C37"/>
    <w:rsid w:val="4D01672A"/>
    <w:rsid w:val="4D07114B"/>
    <w:rsid w:val="4D5D0D6B"/>
    <w:rsid w:val="4E437F61"/>
    <w:rsid w:val="4E86306A"/>
    <w:rsid w:val="4F076310"/>
    <w:rsid w:val="4F0A4599"/>
    <w:rsid w:val="4F542CEF"/>
    <w:rsid w:val="4F722D41"/>
    <w:rsid w:val="4FA97F55"/>
    <w:rsid w:val="4FC83A29"/>
    <w:rsid w:val="4FCD1AFA"/>
    <w:rsid w:val="4FF129BB"/>
    <w:rsid w:val="505C7A00"/>
    <w:rsid w:val="506A76DE"/>
    <w:rsid w:val="508F34F0"/>
    <w:rsid w:val="51024103"/>
    <w:rsid w:val="516E106E"/>
    <w:rsid w:val="51714DE5"/>
    <w:rsid w:val="517257E8"/>
    <w:rsid w:val="51AE7211"/>
    <w:rsid w:val="5233158F"/>
    <w:rsid w:val="52522C1D"/>
    <w:rsid w:val="5257047F"/>
    <w:rsid w:val="526B3F2A"/>
    <w:rsid w:val="52B96A43"/>
    <w:rsid w:val="52F80915"/>
    <w:rsid w:val="53633425"/>
    <w:rsid w:val="53794425"/>
    <w:rsid w:val="53F210E7"/>
    <w:rsid w:val="54146F79"/>
    <w:rsid w:val="54221D2C"/>
    <w:rsid w:val="54401085"/>
    <w:rsid w:val="54C33BA9"/>
    <w:rsid w:val="54C47921"/>
    <w:rsid w:val="552533B3"/>
    <w:rsid w:val="55290B71"/>
    <w:rsid w:val="556F1EDE"/>
    <w:rsid w:val="55C41D5B"/>
    <w:rsid w:val="567D5C59"/>
    <w:rsid w:val="568802DB"/>
    <w:rsid w:val="56B37004"/>
    <w:rsid w:val="56D6358C"/>
    <w:rsid w:val="56F945D5"/>
    <w:rsid w:val="57325016"/>
    <w:rsid w:val="57385F05"/>
    <w:rsid w:val="574E2F4F"/>
    <w:rsid w:val="582B2191"/>
    <w:rsid w:val="583059FA"/>
    <w:rsid w:val="585A57E2"/>
    <w:rsid w:val="58AE4C61"/>
    <w:rsid w:val="58C83E84"/>
    <w:rsid w:val="59536EAF"/>
    <w:rsid w:val="59633BAD"/>
    <w:rsid w:val="59653481"/>
    <w:rsid w:val="59741916"/>
    <w:rsid w:val="59CB5746"/>
    <w:rsid w:val="5A096502"/>
    <w:rsid w:val="5A1522A3"/>
    <w:rsid w:val="5A355549"/>
    <w:rsid w:val="5A985AD8"/>
    <w:rsid w:val="5AD703AE"/>
    <w:rsid w:val="5AE049A6"/>
    <w:rsid w:val="5B555EB2"/>
    <w:rsid w:val="5B5771CA"/>
    <w:rsid w:val="5BE12FA3"/>
    <w:rsid w:val="5BE74621"/>
    <w:rsid w:val="5C0F7D9A"/>
    <w:rsid w:val="5C2D326F"/>
    <w:rsid w:val="5C51380A"/>
    <w:rsid w:val="5C5539E2"/>
    <w:rsid w:val="5CA02A8F"/>
    <w:rsid w:val="5CAA4336"/>
    <w:rsid w:val="5D123920"/>
    <w:rsid w:val="5D243653"/>
    <w:rsid w:val="5D3031BF"/>
    <w:rsid w:val="5D637A40"/>
    <w:rsid w:val="5D6E241A"/>
    <w:rsid w:val="5D8866EC"/>
    <w:rsid w:val="5E1C448E"/>
    <w:rsid w:val="5E5138A3"/>
    <w:rsid w:val="5E9A42CD"/>
    <w:rsid w:val="5EBD49DD"/>
    <w:rsid w:val="5EBF421E"/>
    <w:rsid w:val="5F2071D7"/>
    <w:rsid w:val="5F3E6C4E"/>
    <w:rsid w:val="5F5279AD"/>
    <w:rsid w:val="5F59643E"/>
    <w:rsid w:val="5F5F6BC4"/>
    <w:rsid w:val="5F750ADC"/>
    <w:rsid w:val="5FA92094"/>
    <w:rsid w:val="5FF94923"/>
    <w:rsid w:val="60A305BA"/>
    <w:rsid w:val="60D20963"/>
    <w:rsid w:val="61354081"/>
    <w:rsid w:val="61B06EB5"/>
    <w:rsid w:val="621630FD"/>
    <w:rsid w:val="62573405"/>
    <w:rsid w:val="62A31E55"/>
    <w:rsid w:val="62B13874"/>
    <w:rsid w:val="62B55F19"/>
    <w:rsid w:val="631010E1"/>
    <w:rsid w:val="63627C1A"/>
    <w:rsid w:val="63672753"/>
    <w:rsid w:val="63EF49BB"/>
    <w:rsid w:val="64446389"/>
    <w:rsid w:val="645608DD"/>
    <w:rsid w:val="645779AB"/>
    <w:rsid w:val="65130235"/>
    <w:rsid w:val="654B3E73"/>
    <w:rsid w:val="65932297"/>
    <w:rsid w:val="65E62E7A"/>
    <w:rsid w:val="65EC0A86"/>
    <w:rsid w:val="663F32AC"/>
    <w:rsid w:val="665C5C0C"/>
    <w:rsid w:val="665F74AA"/>
    <w:rsid w:val="6794739E"/>
    <w:rsid w:val="67BB5990"/>
    <w:rsid w:val="6803153A"/>
    <w:rsid w:val="68060525"/>
    <w:rsid w:val="6864524C"/>
    <w:rsid w:val="68AE19C8"/>
    <w:rsid w:val="68D67EF7"/>
    <w:rsid w:val="6A22716C"/>
    <w:rsid w:val="6A33039E"/>
    <w:rsid w:val="6A677D3D"/>
    <w:rsid w:val="6A6D488B"/>
    <w:rsid w:val="6A8219B9"/>
    <w:rsid w:val="6AA656A7"/>
    <w:rsid w:val="6AAD178D"/>
    <w:rsid w:val="6ACE4F0B"/>
    <w:rsid w:val="6AE606B8"/>
    <w:rsid w:val="6AE83F12"/>
    <w:rsid w:val="6BCB2E78"/>
    <w:rsid w:val="6C6C3261"/>
    <w:rsid w:val="6CC649E7"/>
    <w:rsid w:val="6CE40709"/>
    <w:rsid w:val="6CED3A62"/>
    <w:rsid w:val="6D371FD1"/>
    <w:rsid w:val="6D970DCA"/>
    <w:rsid w:val="6D9F604C"/>
    <w:rsid w:val="6DF3710C"/>
    <w:rsid w:val="6E672517"/>
    <w:rsid w:val="6E9A19C7"/>
    <w:rsid w:val="6EAB3BD4"/>
    <w:rsid w:val="6EE90259"/>
    <w:rsid w:val="6EEE5F57"/>
    <w:rsid w:val="6F086F45"/>
    <w:rsid w:val="6F1E0908"/>
    <w:rsid w:val="6F3B4F58"/>
    <w:rsid w:val="6F5F71DE"/>
    <w:rsid w:val="6F6F261D"/>
    <w:rsid w:val="6FE74798"/>
    <w:rsid w:val="6FEF39A0"/>
    <w:rsid w:val="70367203"/>
    <w:rsid w:val="719B7311"/>
    <w:rsid w:val="71DC3BCF"/>
    <w:rsid w:val="723205E7"/>
    <w:rsid w:val="72A03F09"/>
    <w:rsid w:val="72CE1C3F"/>
    <w:rsid w:val="738549F4"/>
    <w:rsid w:val="73D9089C"/>
    <w:rsid w:val="74111B80"/>
    <w:rsid w:val="743D7CF2"/>
    <w:rsid w:val="7503531D"/>
    <w:rsid w:val="755B02D8"/>
    <w:rsid w:val="75786D3D"/>
    <w:rsid w:val="76124539"/>
    <w:rsid w:val="76263B40"/>
    <w:rsid w:val="762F7565"/>
    <w:rsid w:val="765B79F0"/>
    <w:rsid w:val="76E97048"/>
    <w:rsid w:val="77422BFC"/>
    <w:rsid w:val="77662180"/>
    <w:rsid w:val="77803CE6"/>
    <w:rsid w:val="77894387"/>
    <w:rsid w:val="77A94B1B"/>
    <w:rsid w:val="77C22748"/>
    <w:rsid w:val="781C3A7C"/>
    <w:rsid w:val="7820118F"/>
    <w:rsid w:val="78A70F68"/>
    <w:rsid w:val="78BE2756"/>
    <w:rsid w:val="78EC2E1F"/>
    <w:rsid w:val="78EC6FBD"/>
    <w:rsid w:val="79D3247C"/>
    <w:rsid w:val="7A1173D2"/>
    <w:rsid w:val="7A5E6595"/>
    <w:rsid w:val="7A7C27E3"/>
    <w:rsid w:val="7B707D38"/>
    <w:rsid w:val="7BA22C1C"/>
    <w:rsid w:val="7C6C2EB0"/>
    <w:rsid w:val="7CC2481A"/>
    <w:rsid w:val="7CF60E01"/>
    <w:rsid w:val="7D5C3AF1"/>
    <w:rsid w:val="7D6457E7"/>
    <w:rsid w:val="7DC73E5B"/>
    <w:rsid w:val="7DCC1471"/>
    <w:rsid w:val="7DDC134B"/>
    <w:rsid w:val="7DE247F1"/>
    <w:rsid w:val="7E350DC4"/>
    <w:rsid w:val="7E480426"/>
    <w:rsid w:val="7E536050"/>
    <w:rsid w:val="7E6B6EDC"/>
    <w:rsid w:val="7EDA196C"/>
    <w:rsid w:val="7EDD72DB"/>
    <w:rsid w:val="7F4100F9"/>
    <w:rsid w:val="7FA313D0"/>
    <w:rsid w:val="7FFA2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next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autoRedefine/>
    <w:unhideWhenUsed/>
    <w:qFormat/>
    <w:uiPriority w:val="99"/>
    <w:pPr>
      <w:jc w:val="left"/>
    </w:pPr>
  </w:style>
  <w:style w:type="paragraph" w:styleId="17">
    <w:name w:val="Body Text 3"/>
    <w:basedOn w:val="1"/>
    <w:link w:val="156"/>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8"/>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link w:val="92"/>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100"/>
    <w:autoRedefine/>
    <w:qFormat/>
    <w:uiPriority w:val="0"/>
    <w:rPr>
      <w:rFonts w:ascii="宋体" w:hAnsi="Courier New" w:eastAsia="宋体"/>
    </w:rPr>
  </w:style>
  <w:style w:type="paragraph" w:styleId="23">
    <w:name w:val="Date"/>
    <w:basedOn w:val="1"/>
    <w:next w:val="1"/>
    <w:link w:val="108"/>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1"/>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4"/>
    <w:autoRedefine/>
    <w:qFormat/>
    <w:uiPriority w:val="0"/>
    <w:rPr>
      <w:rFonts w:ascii="Times New Roman" w:hAnsi="Times New Roman" w:eastAsia="宋体" w:cs="Times New Roman"/>
      <w:sz w:val="18"/>
      <w:szCs w:val="18"/>
    </w:rPr>
  </w:style>
  <w:style w:type="paragraph" w:styleId="26">
    <w:name w:val="footer"/>
    <w:basedOn w:val="1"/>
    <w:link w:val="78"/>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0"/>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4"/>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semiHidden/>
    <w:unhideWhenUsed/>
    <w:qFormat/>
    <w:uiPriority w:val="39"/>
    <w:pPr>
      <w:ind w:left="420" w:leftChars="200"/>
    </w:pPr>
  </w:style>
  <w:style w:type="paragraph" w:styleId="32">
    <w:name w:val="Body Text 2"/>
    <w:basedOn w:val="1"/>
    <w:link w:val="143"/>
    <w:autoRedefine/>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3"/>
    <w:autoRedefine/>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8"/>
    <w:autoRedefine/>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0"/>
    <w:autoRedefine/>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page number"/>
    <w:qFormat/>
    <w:uiPriority w:val="0"/>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autoRedefine/>
    <w:qFormat/>
    <w:uiPriority w:val="99"/>
    <w:rPr>
      <w:sz w:val="21"/>
      <w:szCs w:val="21"/>
    </w:rPr>
  </w:style>
  <w:style w:type="paragraph" w:customStyle="1" w:styleId="46">
    <w:name w:val="首行缩进"/>
    <w:basedOn w:val="1"/>
    <w:autoRedefine/>
    <w:qFormat/>
    <w:uiPriority w:val="0"/>
    <w:pPr>
      <w:ind w:firstLine="480" w:firstLineChars="200"/>
    </w:pPr>
    <w:rPr>
      <w:lang w:val="zh-CN"/>
    </w:rPr>
  </w:style>
  <w:style w:type="character" w:customStyle="1" w:styleId="47">
    <w:name w:val="标题 1 字符"/>
    <w:basedOn w:val="39"/>
    <w:autoRedefine/>
    <w:qFormat/>
    <w:uiPriority w:val="0"/>
    <w:rPr>
      <w:b/>
      <w:bCs/>
      <w:kern w:val="44"/>
      <w:sz w:val="44"/>
      <w:szCs w:val="44"/>
    </w:rPr>
  </w:style>
  <w:style w:type="character" w:customStyle="1" w:styleId="48">
    <w:name w:val="标题 2 Char"/>
    <w:basedOn w:val="39"/>
    <w:link w:val="4"/>
    <w:autoRedefine/>
    <w:qFormat/>
    <w:uiPriority w:val="0"/>
    <w:rPr>
      <w:rFonts w:ascii="宋体" w:hAnsi="Calibri" w:eastAsia="宋体" w:cs="Times New Roman"/>
      <w:kern w:val="0"/>
      <w:sz w:val="24"/>
      <w:szCs w:val="24"/>
    </w:rPr>
  </w:style>
  <w:style w:type="character" w:customStyle="1" w:styleId="49">
    <w:name w:val="标题 3 字符"/>
    <w:basedOn w:val="39"/>
    <w:autoRedefine/>
    <w:qFormat/>
    <w:uiPriority w:val="0"/>
    <w:rPr>
      <w:b/>
      <w:bCs/>
      <w:sz w:val="32"/>
      <w:szCs w:val="32"/>
    </w:rPr>
  </w:style>
  <w:style w:type="character" w:customStyle="1" w:styleId="50">
    <w:name w:val="标题 4 Char1"/>
    <w:basedOn w:val="39"/>
    <w:link w:val="5"/>
    <w:autoRedefine/>
    <w:qFormat/>
    <w:uiPriority w:val="9"/>
    <w:rPr>
      <w:rFonts w:ascii="Arial" w:hAnsi="Arial" w:eastAsia="黑体" w:cs="Times New Roman"/>
      <w:b/>
      <w:bCs/>
      <w:kern w:val="0"/>
      <w:sz w:val="28"/>
      <w:szCs w:val="28"/>
    </w:rPr>
  </w:style>
  <w:style w:type="character" w:customStyle="1" w:styleId="51">
    <w:name w:val="标题 5 字符"/>
    <w:basedOn w:val="39"/>
    <w:autoRedefine/>
    <w:qFormat/>
    <w:uiPriority w:val="9"/>
    <w:rPr>
      <w:b/>
      <w:bCs/>
      <w:sz w:val="28"/>
      <w:szCs w:val="28"/>
    </w:rPr>
  </w:style>
  <w:style w:type="character" w:customStyle="1" w:styleId="52">
    <w:name w:val="标题 6 字符"/>
    <w:basedOn w:val="39"/>
    <w:autoRedefine/>
    <w:qFormat/>
    <w:uiPriority w:val="0"/>
    <w:rPr>
      <w:rFonts w:asciiTheme="majorHAnsi" w:hAnsiTheme="majorHAnsi" w:eastAsiaTheme="majorEastAsia" w:cstheme="majorBidi"/>
      <w:b/>
      <w:bCs/>
      <w:sz w:val="24"/>
      <w:szCs w:val="24"/>
    </w:rPr>
  </w:style>
  <w:style w:type="character" w:customStyle="1" w:styleId="53">
    <w:name w:val="标题 7 Char"/>
    <w:basedOn w:val="39"/>
    <w:link w:val="9"/>
    <w:autoRedefine/>
    <w:qFormat/>
    <w:uiPriority w:val="9"/>
    <w:rPr>
      <w:rFonts w:ascii="Times New Roman" w:hAnsi="Calibri" w:eastAsia="黑体" w:cs="Times New Roman"/>
      <w:b/>
      <w:bCs/>
      <w:kern w:val="0"/>
      <w:sz w:val="28"/>
      <w:szCs w:val="24"/>
    </w:rPr>
  </w:style>
  <w:style w:type="character" w:customStyle="1" w:styleId="54">
    <w:name w:val="标题 8 Char"/>
    <w:basedOn w:val="39"/>
    <w:link w:val="10"/>
    <w:qFormat/>
    <w:uiPriority w:val="9"/>
    <w:rPr>
      <w:rFonts w:ascii="Times New Roman" w:hAnsi="Calibri" w:eastAsia="黑体" w:cs="Times New Roman"/>
      <w:b/>
      <w:kern w:val="0"/>
      <w:sz w:val="28"/>
      <w:szCs w:val="24"/>
    </w:rPr>
  </w:style>
  <w:style w:type="character" w:customStyle="1" w:styleId="55">
    <w:name w:val="标题 9 Char"/>
    <w:basedOn w:val="39"/>
    <w:link w:val="11"/>
    <w:autoRedefine/>
    <w:qFormat/>
    <w:uiPriority w:val="9"/>
    <w:rPr>
      <w:rFonts w:ascii="Times New Roman" w:hAnsi="Calibri" w:eastAsia="黑体" w:cs="Times New Roman"/>
      <w:b/>
      <w:kern w:val="0"/>
      <w:sz w:val="28"/>
      <w:szCs w:val="24"/>
    </w:rPr>
  </w:style>
  <w:style w:type="character" w:customStyle="1" w:styleId="56">
    <w:name w:val="正文文本缩进 字符"/>
    <w:autoRedefine/>
    <w:qFormat/>
    <w:uiPriority w:val="0"/>
    <w:rPr>
      <w:rFonts w:ascii="Times New Roman" w:hAnsi="Times New Roman" w:eastAsia="宋体" w:cs="Times New Roman"/>
      <w:szCs w:val="20"/>
    </w:rPr>
  </w:style>
  <w:style w:type="character" w:customStyle="1" w:styleId="57">
    <w:name w:val="普通(网站) Char"/>
    <w:autoRedefine/>
    <w:qFormat/>
    <w:locked/>
    <w:uiPriority w:val="0"/>
    <w:rPr>
      <w:rFonts w:ascii="宋体" w:hAnsi="宋体"/>
      <w:sz w:val="15"/>
      <w:szCs w:val="15"/>
    </w:rPr>
  </w:style>
  <w:style w:type="character" w:customStyle="1" w:styleId="58">
    <w:name w:val="标题 Char"/>
    <w:link w:val="35"/>
    <w:autoRedefine/>
    <w:qFormat/>
    <w:uiPriority w:val="10"/>
    <w:rPr>
      <w:rFonts w:ascii="等线 Light" w:hAnsi="等线 Light" w:eastAsia="仿宋"/>
      <w:b/>
      <w:bCs/>
      <w:sz w:val="28"/>
      <w:szCs w:val="32"/>
    </w:rPr>
  </w:style>
  <w:style w:type="character" w:customStyle="1" w:styleId="59">
    <w:name w:val="日期 Char"/>
    <w:autoRedefine/>
    <w:semiHidden/>
    <w:qFormat/>
    <w:uiPriority w:val="99"/>
    <w:rPr>
      <w:kern w:val="2"/>
      <w:sz w:val="21"/>
    </w:rPr>
  </w:style>
  <w:style w:type="character" w:customStyle="1" w:styleId="60">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1">
    <w:name w:val="批注文字 Char"/>
    <w:autoRedefine/>
    <w:semiHidden/>
    <w:qFormat/>
    <w:uiPriority w:val="99"/>
    <w:rPr>
      <w:kern w:val="2"/>
      <w:sz w:val="21"/>
    </w:rPr>
  </w:style>
  <w:style w:type="character" w:customStyle="1" w:styleId="62">
    <w:name w:val="正文缩进2格 Char"/>
    <w:link w:val="63"/>
    <w:autoRedefine/>
    <w:qFormat/>
    <w:uiPriority w:val="0"/>
    <w:rPr>
      <w:rFonts w:ascii="仿宋_GB2312" w:hAnsi="宋体" w:eastAsia="仿宋_GB2312"/>
      <w:sz w:val="31"/>
      <w:szCs w:val="28"/>
    </w:rPr>
  </w:style>
  <w:style w:type="paragraph" w:customStyle="1" w:styleId="63">
    <w:name w:val="正文缩进2格"/>
    <w:basedOn w:val="1"/>
    <w:link w:val="62"/>
    <w:autoRedefine/>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autoRedefine/>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autoRedefine/>
    <w:semiHidden/>
    <w:qFormat/>
    <w:uiPriority w:val="99"/>
    <w:rPr>
      <w:rFonts w:ascii="宋体" w:hAnsi="Calibri" w:eastAsia="宋体" w:cs="Times New Roman"/>
      <w:kern w:val="0"/>
      <w:sz w:val="18"/>
      <w:szCs w:val="18"/>
    </w:rPr>
  </w:style>
  <w:style w:type="character" w:customStyle="1" w:styleId="67">
    <w:name w:val="List Paragraph Char"/>
    <w:link w:val="68"/>
    <w:autoRedefine/>
    <w:qFormat/>
    <w:uiPriority w:val="34"/>
    <w:rPr>
      <w:rFonts w:ascii="Calibri" w:hAnsi="Calibri"/>
    </w:rPr>
  </w:style>
  <w:style w:type="paragraph" w:customStyle="1" w:styleId="68">
    <w:name w:val="列出段落1"/>
    <w:basedOn w:val="1"/>
    <w:link w:val="67"/>
    <w:autoRedefine/>
    <w:qFormat/>
    <w:uiPriority w:val="34"/>
    <w:pPr>
      <w:ind w:firstLine="420" w:firstLineChars="200"/>
    </w:pPr>
    <w:rPr>
      <w:rFonts w:ascii="Calibri" w:hAnsi="Calibri"/>
    </w:rPr>
  </w:style>
  <w:style w:type="character" w:customStyle="1" w:styleId="69">
    <w:name w:val="标书正文 字符"/>
    <w:link w:val="70"/>
    <w:autoRedefine/>
    <w:qFormat/>
    <w:uiPriority w:val="0"/>
    <w:rPr>
      <w:rFonts w:ascii="Calibri" w:hAnsi="Calibri" w:eastAsia="仿宋"/>
      <w:sz w:val="24"/>
      <w:szCs w:val="21"/>
    </w:rPr>
  </w:style>
  <w:style w:type="paragraph" w:customStyle="1" w:styleId="70">
    <w:name w:val="标书正文"/>
    <w:basedOn w:val="1"/>
    <w:link w:val="69"/>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autoRedefine/>
    <w:semiHidden/>
    <w:qFormat/>
    <w:uiPriority w:val="99"/>
    <w:rPr>
      <w:rFonts w:ascii="Times New Roman" w:hAnsi="Times New Roman"/>
      <w:kern w:val="2"/>
      <w:sz w:val="24"/>
      <w:szCs w:val="24"/>
    </w:rPr>
  </w:style>
  <w:style w:type="character" w:customStyle="1" w:styleId="72">
    <w:name w:val="页脚 Char"/>
    <w:autoRedefine/>
    <w:qFormat/>
    <w:uiPriority w:val="0"/>
    <w:rPr>
      <w:kern w:val="2"/>
      <w:sz w:val="18"/>
      <w:szCs w:val="18"/>
    </w:rPr>
  </w:style>
  <w:style w:type="character" w:customStyle="1" w:styleId="73">
    <w:name w:val="neir1"/>
    <w:autoRedefine/>
    <w:qFormat/>
    <w:uiPriority w:val="0"/>
    <w:rPr>
      <w:rFonts w:hint="default" w:ascii="ˎ̥" w:hAnsi="ˎ̥"/>
      <w:color w:val="333333"/>
      <w:sz w:val="21"/>
      <w:szCs w:val="21"/>
      <w:u w:val="none"/>
    </w:rPr>
  </w:style>
  <w:style w:type="character" w:customStyle="1" w:styleId="74">
    <w:name w:val="批注框文本 Char1"/>
    <w:link w:val="25"/>
    <w:autoRedefine/>
    <w:qFormat/>
    <w:uiPriority w:val="0"/>
    <w:rPr>
      <w:rFonts w:ascii="Times New Roman" w:hAnsi="Times New Roman" w:eastAsia="宋体" w:cs="Times New Roman"/>
      <w:sz w:val="18"/>
      <w:szCs w:val="18"/>
    </w:rPr>
  </w:style>
  <w:style w:type="character" w:customStyle="1" w:styleId="75">
    <w:name w:val="正文文本 3 字符1"/>
    <w:autoRedefine/>
    <w:semiHidden/>
    <w:qFormat/>
    <w:uiPriority w:val="99"/>
    <w:rPr>
      <w:rFonts w:ascii="宋体" w:hAnsi="Calibri" w:eastAsia="宋体" w:cs="Times New Roman"/>
      <w:kern w:val="0"/>
      <w:sz w:val="16"/>
      <w:szCs w:val="16"/>
    </w:rPr>
  </w:style>
  <w:style w:type="character" w:customStyle="1" w:styleId="76">
    <w:name w:val="正文文本 字符3"/>
    <w:autoRedefine/>
    <w:semiHidden/>
    <w:qFormat/>
    <w:uiPriority w:val="99"/>
    <w:rPr>
      <w:rFonts w:ascii="宋体" w:hAnsi="Calibri" w:eastAsia="宋体" w:cs="Times New Roman"/>
      <w:kern w:val="0"/>
      <w:sz w:val="24"/>
      <w:szCs w:val="24"/>
    </w:rPr>
  </w:style>
  <w:style w:type="character" w:customStyle="1" w:styleId="77">
    <w:name w:val="日期 字符1"/>
    <w:autoRedefine/>
    <w:semiHidden/>
    <w:qFormat/>
    <w:uiPriority w:val="99"/>
    <w:rPr>
      <w:rFonts w:ascii="宋体" w:hAnsi="Calibri" w:eastAsia="宋体" w:cs="Times New Roman"/>
      <w:kern w:val="0"/>
      <w:sz w:val="24"/>
      <w:szCs w:val="24"/>
    </w:rPr>
  </w:style>
  <w:style w:type="character" w:customStyle="1" w:styleId="78">
    <w:name w:val="页脚 Char2"/>
    <w:link w:val="26"/>
    <w:autoRedefine/>
    <w:qFormat/>
    <w:uiPriority w:val="99"/>
    <w:rPr>
      <w:rFonts w:ascii="宋体" w:eastAsia="宋体"/>
      <w:sz w:val="18"/>
      <w:szCs w:val="18"/>
    </w:rPr>
  </w:style>
  <w:style w:type="character" w:customStyle="1" w:styleId="79">
    <w:name w:val="吉奥正文 Char"/>
    <w:link w:val="80"/>
    <w:autoRedefine/>
    <w:qFormat/>
    <w:locked/>
    <w:uiPriority w:val="0"/>
    <w:rPr>
      <w:rFonts w:eastAsia="仿宋_GB2312"/>
      <w:sz w:val="28"/>
    </w:rPr>
  </w:style>
  <w:style w:type="paragraph" w:customStyle="1" w:styleId="80">
    <w:name w:val="吉奥正文"/>
    <w:basedOn w:val="1"/>
    <w:link w:val="79"/>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autoRedefine/>
    <w:qFormat/>
    <w:uiPriority w:val="99"/>
    <w:rPr>
      <w:rFonts w:ascii="宋体" w:hAnsi="Times New Roman" w:eastAsia="宋体" w:cs="Times New Roman"/>
      <w:kern w:val="0"/>
      <w:sz w:val="18"/>
      <w:szCs w:val="18"/>
    </w:rPr>
  </w:style>
  <w:style w:type="character" w:customStyle="1" w:styleId="82">
    <w:name w:val="标题 字符"/>
    <w:autoRedefine/>
    <w:qFormat/>
    <w:uiPriority w:val="10"/>
    <w:rPr>
      <w:rFonts w:ascii="Cambria" w:hAnsi="Cambria" w:eastAsia="宋体" w:cs="Times New Roman"/>
      <w:b/>
      <w:bCs/>
      <w:kern w:val="0"/>
      <w:sz w:val="32"/>
      <w:szCs w:val="32"/>
      <w:lang w:val="en-US" w:eastAsia="zh-CN"/>
    </w:rPr>
  </w:style>
  <w:style w:type="character" w:customStyle="1" w:styleId="83">
    <w:name w:val="题注 Char"/>
    <w:link w:val="13"/>
    <w:autoRedefine/>
    <w:qFormat/>
    <w:uiPriority w:val="0"/>
    <w:rPr>
      <w:rFonts w:ascii="Arial" w:hAnsi="Arial" w:eastAsia="黑体" w:cs="Arial"/>
    </w:rPr>
  </w:style>
  <w:style w:type="character" w:customStyle="1" w:styleId="84">
    <w:name w:val="批注文字 字符2"/>
    <w:autoRedefine/>
    <w:qFormat/>
    <w:uiPriority w:val="99"/>
    <w:rPr>
      <w:rFonts w:ascii="宋体" w:hAnsi="Times New Roman" w:eastAsia="宋体" w:cs="Times New Roman"/>
      <w:kern w:val="0"/>
      <w:sz w:val="24"/>
      <w:szCs w:val="24"/>
    </w:rPr>
  </w:style>
  <w:style w:type="character" w:customStyle="1" w:styleId="85">
    <w:name w:val="批注主题 字符1"/>
    <w:autoRedefine/>
    <w:semiHidden/>
    <w:qFormat/>
    <w:uiPriority w:val="99"/>
    <w:rPr>
      <w:rFonts w:ascii="宋体" w:hAnsi="Calibri" w:eastAsia="宋体" w:cs="Times New Roman"/>
      <w:b/>
      <w:bCs/>
      <w:kern w:val="0"/>
      <w:sz w:val="24"/>
      <w:szCs w:val="24"/>
    </w:rPr>
  </w:style>
  <w:style w:type="character" w:customStyle="1" w:styleId="86">
    <w:name w:val="HTML 预设格式 Char"/>
    <w:link w:val="33"/>
    <w:autoRedefine/>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2"/>
    <w:link w:val="87"/>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autoRedefine/>
    <w:semiHidden/>
    <w:qFormat/>
    <w:uiPriority w:val="99"/>
    <w:rPr>
      <w:rFonts w:ascii="Courier New" w:hAnsi="Courier New" w:eastAsia="宋体" w:cs="Courier New"/>
      <w:kern w:val="0"/>
      <w:sz w:val="20"/>
      <w:szCs w:val="20"/>
    </w:rPr>
  </w:style>
  <w:style w:type="character" w:customStyle="1" w:styleId="90">
    <w:name w:val="批注文字 字符1"/>
    <w:autoRedefine/>
    <w:qFormat/>
    <w:uiPriority w:val="0"/>
    <w:rPr>
      <w:rFonts w:eastAsia="宋体"/>
      <w:kern w:val="2"/>
      <w:sz w:val="24"/>
      <w:szCs w:val="24"/>
      <w:lang w:val="en-US" w:eastAsia="zh-CN" w:bidi="ar-SA"/>
    </w:rPr>
  </w:style>
  <w:style w:type="character" w:customStyle="1" w:styleId="91">
    <w:name w:val="正文文本缩进 字符2"/>
    <w:autoRedefine/>
    <w:semiHidden/>
    <w:qFormat/>
    <w:uiPriority w:val="99"/>
    <w:rPr>
      <w:rFonts w:ascii="宋体" w:hAnsi="Calibri" w:eastAsia="宋体" w:cs="Times New Roman"/>
      <w:kern w:val="0"/>
      <w:sz w:val="24"/>
      <w:szCs w:val="24"/>
    </w:rPr>
  </w:style>
  <w:style w:type="character" w:customStyle="1" w:styleId="92">
    <w:name w:val="正文文本缩进 Char1"/>
    <w:link w:val="20"/>
    <w:autoRedefine/>
    <w:qFormat/>
    <w:uiPriority w:val="0"/>
    <w:rPr>
      <w:rFonts w:ascii="Times New Roman" w:hAnsi="Times New Roman" w:eastAsia="宋体" w:cs="Times New Roman"/>
      <w:szCs w:val="20"/>
    </w:rPr>
  </w:style>
  <w:style w:type="character" w:customStyle="1" w:styleId="93">
    <w:name w:val="普通(网站) Char1"/>
    <w:link w:val="34"/>
    <w:autoRedefine/>
    <w:qFormat/>
    <w:locked/>
    <w:uiPriority w:val="0"/>
    <w:rPr>
      <w:rFonts w:ascii="宋体" w:hAnsi="宋体"/>
      <w:sz w:val="15"/>
      <w:szCs w:val="15"/>
    </w:rPr>
  </w:style>
  <w:style w:type="character" w:customStyle="1" w:styleId="94">
    <w:name w:val="模板正文 Char"/>
    <w:link w:val="8"/>
    <w:autoRedefine/>
    <w:qFormat/>
    <w:uiPriority w:val="0"/>
    <w:rPr>
      <w:rFonts w:ascii="宋体" w:eastAsia="仿宋"/>
      <w:sz w:val="24"/>
      <w:szCs w:val="21"/>
    </w:rPr>
  </w:style>
  <w:style w:type="character" w:customStyle="1" w:styleId="95">
    <w:name w:val="批注主题 Char"/>
    <w:autoRedefine/>
    <w:semiHidden/>
    <w:qFormat/>
    <w:uiPriority w:val="99"/>
    <w:rPr>
      <w:b/>
      <w:bCs/>
      <w:kern w:val="2"/>
      <w:sz w:val="21"/>
    </w:rPr>
  </w:style>
  <w:style w:type="character" w:customStyle="1" w:styleId="96">
    <w:name w:val="正文文本 Char1"/>
    <w:autoRedefine/>
    <w:qFormat/>
    <w:uiPriority w:val="0"/>
    <w:rPr>
      <w:rFonts w:ascii="宋体" w:hAnsi="Times New Roman" w:eastAsia="宋体" w:cs="Times New Roman"/>
      <w:kern w:val="0"/>
      <w:sz w:val="24"/>
      <w:szCs w:val="24"/>
    </w:rPr>
  </w:style>
  <w:style w:type="character" w:customStyle="1" w:styleId="97">
    <w:name w:val="正文文本 字符1"/>
    <w:autoRedefine/>
    <w:qFormat/>
    <w:uiPriority w:val="99"/>
    <w:rPr>
      <w:rFonts w:ascii="宋体" w:eastAsia="宋体"/>
      <w:b/>
      <w:bCs/>
      <w:sz w:val="84"/>
      <w:szCs w:val="84"/>
      <w:lang w:val="zh-CN"/>
    </w:rPr>
  </w:style>
  <w:style w:type="character" w:customStyle="1" w:styleId="98">
    <w:name w:val="标题 1 Char"/>
    <w:autoRedefine/>
    <w:qFormat/>
    <w:uiPriority w:val="9"/>
    <w:rPr>
      <w:rFonts w:ascii="宋体" w:hAnsi="Times New Roman" w:eastAsia="宋体" w:cs="Times New Roman"/>
      <w:kern w:val="0"/>
      <w:sz w:val="24"/>
      <w:szCs w:val="24"/>
    </w:rPr>
  </w:style>
  <w:style w:type="character" w:customStyle="1" w:styleId="99">
    <w:name w:val="正文文本 Char2"/>
    <w:autoRedefine/>
    <w:qFormat/>
    <w:uiPriority w:val="99"/>
    <w:rPr>
      <w:rFonts w:ascii="宋体" w:eastAsia="宋体"/>
      <w:b/>
      <w:bCs/>
      <w:sz w:val="84"/>
      <w:szCs w:val="84"/>
      <w:lang w:val="zh-CN"/>
    </w:rPr>
  </w:style>
  <w:style w:type="character" w:customStyle="1" w:styleId="100">
    <w:name w:val="纯文本 Char2"/>
    <w:link w:val="22"/>
    <w:autoRedefine/>
    <w:qFormat/>
    <w:uiPriority w:val="0"/>
    <w:rPr>
      <w:rFonts w:ascii="宋体" w:hAnsi="Courier New" w:eastAsia="宋体"/>
    </w:rPr>
  </w:style>
  <w:style w:type="character" w:customStyle="1" w:styleId="101">
    <w:name w:val="正文文本缩进 2 Char"/>
    <w:link w:val="24"/>
    <w:autoRedefine/>
    <w:qFormat/>
    <w:uiPriority w:val="0"/>
    <w:rPr>
      <w:rFonts w:ascii="宋体" w:hAnsi="Times New Roman" w:eastAsia="宋体" w:cs="Times New Roman"/>
      <w:szCs w:val="20"/>
    </w:rPr>
  </w:style>
  <w:style w:type="character" w:customStyle="1" w:styleId="102">
    <w:name w:val="HTML Markup"/>
    <w:autoRedefine/>
    <w:qFormat/>
    <w:uiPriority w:val="0"/>
    <w:rPr>
      <w:vanish/>
      <w:color w:val="FF0000"/>
    </w:rPr>
  </w:style>
  <w:style w:type="character" w:customStyle="1" w:styleId="103">
    <w:name w:val="页眉 Char1"/>
    <w:autoRedefine/>
    <w:qFormat/>
    <w:uiPriority w:val="0"/>
    <w:rPr>
      <w:rFonts w:ascii="宋体" w:hAnsi="Times New Roman" w:eastAsia="宋体" w:cs="Times New Roman"/>
      <w:kern w:val="0"/>
      <w:sz w:val="18"/>
      <w:szCs w:val="18"/>
    </w:rPr>
  </w:style>
  <w:style w:type="character" w:customStyle="1" w:styleId="104">
    <w:name w:val="font11"/>
    <w:autoRedefine/>
    <w:qFormat/>
    <w:uiPriority w:val="0"/>
    <w:rPr>
      <w:rFonts w:hint="eastAsia" w:ascii="宋体" w:hAnsi="宋体" w:eastAsia="宋体" w:cs="宋体"/>
      <w:color w:val="FF0000"/>
      <w:sz w:val="22"/>
      <w:szCs w:val="22"/>
      <w:u w:val="none"/>
    </w:rPr>
  </w:style>
  <w:style w:type="character" w:customStyle="1" w:styleId="105">
    <w:name w:val="style61"/>
    <w:autoRedefine/>
    <w:qFormat/>
    <w:uiPriority w:val="0"/>
    <w:rPr>
      <w:b/>
      <w:bCs/>
    </w:rPr>
  </w:style>
  <w:style w:type="character" w:customStyle="1" w:styleId="106">
    <w:name w:val="表头文字 Char"/>
    <w:link w:val="107"/>
    <w:autoRedefine/>
    <w:qFormat/>
    <w:uiPriority w:val="0"/>
    <w:rPr>
      <w:rFonts w:eastAsia="仿宋_GB2312"/>
      <w:b/>
      <w:sz w:val="28"/>
      <w:szCs w:val="21"/>
    </w:rPr>
  </w:style>
  <w:style w:type="paragraph" w:customStyle="1" w:styleId="107">
    <w:name w:val="表头文字"/>
    <w:basedOn w:val="1"/>
    <w:link w:val="106"/>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3"/>
    <w:autoRedefine/>
    <w:qFormat/>
    <w:uiPriority w:val="99"/>
    <w:rPr>
      <w:rFonts w:ascii="宋体" w:hAnsi="Times New Roman" w:eastAsia="宋体" w:cs="Times New Roman"/>
      <w:b/>
      <w:bCs/>
      <w:szCs w:val="21"/>
      <w:lang w:val="zh-CN"/>
    </w:rPr>
  </w:style>
  <w:style w:type="character" w:customStyle="1" w:styleId="109">
    <w:name w:val="纯文本 Char1"/>
    <w:autoRedefine/>
    <w:qFormat/>
    <w:uiPriority w:val="0"/>
    <w:rPr>
      <w:rFonts w:ascii="宋体" w:hAnsi="Courier New" w:eastAsia="宋体" w:cs="Courier New"/>
      <w:kern w:val="0"/>
      <w:szCs w:val="21"/>
    </w:rPr>
  </w:style>
  <w:style w:type="character" w:customStyle="1" w:styleId="110">
    <w:name w:val="批注主题 Char1"/>
    <w:link w:val="36"/>
    <w:autoRedefine/>
    <w:qFormat/>
    <w:uiPriority w:val="99"/>
    <w:rPr>
      <w:rFonts w:ascii="宋体" w:hAnsi="Times New Roman" w:eastAsia="宋体" w:cs="Times New Roman"/>
      <w:b/>
      <w:bCs/>
      <w:kern w:val="0"/>
      <w:sz w:val="24"/>
      <w:szCs w:val="24"/>
    </w:rPr>
  </w:style>
  <w:style w:type="character" w:customStyle="1" w:styleId="111">
    <w:name w:val="纯文本 字符"/>
    <w:autoRedefine/>
    <w:qFormat/>
    <w:uiPriority w:val="99"/>
    <w:rPr>
      <w:rFonts w:ascii="宋体" w:hAnsi="Courier New" w:eastAsia="宋体" w:cs="Times New Roman"/>
      <w:szCs w:val="20"/>
      <w:lang w:val="en-US" w:eastAsia="zh-CN"/>
    </w:rPr>
  </w:style>
  <w:style w:type="character" w:customStyle="1" w:styleId="112">
    <w:name w:val="font71"/>
    <w:autoRedefine/>
    <w:qFormat/>
    <w:uiPriority w:val="0"/>
    <w:rPr>
      <w:rFonts w:hint="eastAsia" w:ascii="宋体" w:hAnsi="宋体" w:eastAsia="宋体" w:cs="宋体"/>
      <w:color w:val="FF0000"/>
      <w:sz w:val="18"/>
      <w:szCs w:val="18"/>
      <w:u w:val="none"/>
    </w:rPr>
  </w:style>
  <w:style w:type="character" w:customStyle="1" w:styleId="113">
    <w:name w:val="font21"/>
    <w:autoRedefine/>
    <w:qFormat/>
    <w:uiPriority w:val="0"/>
    <w:rPr>
      <w:rFonts w:hint="eastAsia" w:ascii="宋体" w:hAnsi="宋体" w:eastAsia="宋体" w:cs="宋体"/>
      <w:b/>
      <w:color w:val="000000"/>
      <w:sz w:val="21"/>
      <w:szCs w:val="21"/>
      <w:u w:val="none"/>
    </w:rPr>
  </w:style>
  <w:style w:type="character" w:customStyle="1" w:styleId="114">
    <w:name w:val="纯文本 字符3"/>
    <w:autoRedefine/>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18"/>
    <w:qFormat/>
    <w:uiPriority w:val="99"/>
    <w:rPr>
      <w:rFonts w:ascii="宋体" w:eastAsia="宋体"/>
      <w:b/>
      <w:bCs/>
      <w:sz w:val="84"/>
      <w:szCs w:val="84"/>
      <w:lang w:val="zh-CN"/>
    </w:rPr>
  </w:style>
  <w:style w:type="character" w:customStyle="1" w:styleId="119">
    <w:name w:val="标题 5 Char"/>
    <w:autoRedefine/>
    <w:semiHidden/>
    <w:qFormat/>
    <w:uiPriority w:val="9"/>
    <w:rPr>
      <w:b/>
      <w:bCs/>
      <w:kern w:val="2"/>
      <w:sz w:val="28"/>
      <w:szCs w:val="28"/>
    </w:rPr>
  </w:style>
  <w:style w:type="character" w:customStyle="1" w:styleId="120">
    <w:name w:val="页眉 Char2"/>
    <w:link w:val="27"/>
    <w:qFormat/>
    <w:uiPriority w:val="99"/>
    <w:rPr>
      <w:rFonts w:ascii="宋体" w:eastAsia="宋体"/>
      <w:sz w:val="18"/>
      <w:szCs w:val="18"/>
    </w:rPr>
  </w:style>
  <w:style w:type="character" w:customStyle="1" w:styleId="121">
    <w:name w:val="表格文字 Char"/>
    <w:link w:val="122"/>
    <w:autoRedefine/>
    <w:qFormat/>
    <w:uiPriority w:val="0"/>
    <w:rPr>
      <w:rFonts w:eastAsia="仿宋_GB2312"/>
      <w:sz w:val="28"/>
      <w:szCs w:val="24"/>
    </w:rPr>
  </w:style>
  <w:style w:type="paragraph" w:customStyle="1" w:styleId="122">
    <w:name w:val="表格文字"/>
    <w:basedOn w:val="1"/>
    <w:link w:val="121"/>
    <w:autoRedefine/>
    <w:qFormat/>
    <w:uiPriority w:val="0"/>
    <w:rPr>
      <w:rFonts w:eastAsia="仿宋_GB2312"/>
      <w:sz w:val="28"/>
      <w:szCs w:val="24"/>
    </w:rPr>
  </w:style>
  <w:style w:type="character" w:customStyle="1" w:styleId="123">
    <w:name w:val="标题 字符2"/>
    <w:autoRedefine/>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autoRedefine/>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autoRedefine/>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autoRedefine/>
    <w:semiHidden/>
    <w:qFormat/>
    <w:uiPriority w:val="99"/>
    <w:rPr>
      <w:rFonts w:ascii="宋体" w:hAnsi="Calibri" w:eastAsia="宋体" w:cs="Times New Roman"/>
      <w:kern w:val="0"/>
      <w:sz w:val="18"/>
      <w:szCs w:val="18"/>
    </w:rPr>
  </w:style>
  <w:style w:type="character" w:customStyle="1" w:styleId="132">
    <w:name w:val="标题 5 Char1"/>
    <w:link w:val="6"/>
    <w:autoRedefine/>
    <w:qFormat/>
    <w:uiPriority w:val="9"/>
    <w:rPr>
      <w:rFonts w:ascii="宋体" w:hAnsi="Calibri" w:eastAsia="宋体" w:cs="Times New Roman"/>
      <w:b/>
      <w:bCs/>
      <w:kern w:val="0"/>
      <w:sz w:val="28"/>
      <w:szCs w:val="28"/>
    </w:rPr>
  </w:style>
  <w:style w:type="character" w:customStyle="1" w:styleId="133">
    <w:name w:val="keyfeatures1"/>
    <w:autoRedefine/>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autoRedefine/>
    <w:qFormat/>
    <w:uiPriority w:val="0"/>
    <w:rPr>
      <w:rFonts w:ascii="宋体" w:hAnsi="宋体" w:eastAsia="宋体"/>
      <w:b/>
      <w:kern w:val="2"/>
      <w:sz w:val="21"/>
      <w:szCs w:val="24"/>
      <w:lang w:val="en-US" w:eastAsia="zh-CN" w:bidi="ar-SA"/>
    </w:rPr>
  </w:style>
  <w:style w:type="character" w:customStyle="1" w:styleId="136">
    <w:name w:val="批注文字 字符3"/>
    <w:autoRedefine/>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autoRedefine/>
    <w:qFormat/>
    <w:uiPriority w:val="0"/>
    <w:rPr>
      <w:rFonts w:ascii="宋体" w:hAnsi="Courier New" w:eastAsia="宋体" w:cs="Times New Roman"/>
      <w:szCs w:val="20"/>
    </w:rPr>
  </w:style>
  <w:style w:type="character" w:customStyle="1" w:styleId="142">
    <w:name w:val="标题 6 Char"/>
    <w:link w:val="7"/>
    <w:autoRedefine/>
    <w:qFormat/>
    <w:uiPriority w:val="9"/>
    <w:rPr>
      <w:rFonts w:ascii="Times New Roman" w:hAnsi="Calibri" w:eastAsia="黑体" w:cs="Times New Roman"/>
      <w:b/>
      <w:bCs/>
      <w:kern w:val="0"/>
      <w:sz w:val="28"/>
      <w:szCs w:val="24"/>
    </w:rPr>
  </w:style>
  <w:style w:type="character" w:customStyle="1" w:styleId="143">
    <w:name w:val="正文文本 2 Char"/>
    <w:link w:val="32"/>
    <w:autoRedefine/>
    <w:qFormat/>
    <w:uiPriority w:val="0"/>
    <w:rPr>
      <w:rFonts w:ascii="Arial" w:hAnsi="Arial" w:eastAsia="宋体" w:cs="Times New Roman"/>
      <w:color w:val="000000"/>
      <w:szCs w:val="24"/>
    </w:rPr>
  </w:style>
  <w:style w:type="character" w:customStyle="1" w:styleId="144">
    <w:name w:val="标题 3 Char"/>
    <w:link w:val="2"/>
    <w:autoRedefine/>
    <w:qFormat/>
    <w:uiPriority w:val="0"/>
    <w:rPr>
      <w:rFonts w:ascii="宋体" w:hAnsi="Calibri" w:eastAsia="宋体" w:cs="Times New Roman"/>
      <w:kern w:val="0"/>
      <w:sz w:val="24"/>
      <w:szCs w:val="24"/>
    </w:rPr>
  </w:style>
  <w:style w:type="character" w:customStyle="1" w:styleId="145">
    <w:name w:val="正文文本缩进 2 字符1"/>
    <w:autoRedefine/>
    <w:semiHidden/>
    <w:qFormat/>
    <w:uiPriority w:val="99"/>
    <w:rPr>
      <w:rFonts w:ascii="宋体" w:hAnsi="Calibri" w:eastAsia="宋体" w:cs="Times New Roman"/>
      <w:kern w:val="0"/>
      <w:sz w:val="24"/>
      <w:szCs w:val="24"/>
    </w:rPr>
  </w:style>
  <w:style w:type="character" w:customStyle="1" w:styleId="146">
    <w:name w:val="正文文本缩进 3 字符1"/>
    <w:autoRedefine/>
    <w:semiHidden/>
    <w:qFormat/>
    <w:uiPriority w:val="99"/>
    <w:rPr>
      <w:rFonts w:ascii="宋体" w:hAnsi="Calibri" w:eastAsia="宋体" w:cs="Times New Roman"/>
      <w:kern w:val="0"/>
      <w:sz w:val="16"/>
      <w:szCs w:val="16"/>
    </w:rPr>
  </w:style>
  <w:style w:type="character" w:customStyle="1" w:styleId="147">
    <w:name w:val="正文文本 2 字符1"/>
    <w:autoRedefine/>
    <w:semiHidden/>
    <w:qFormat/>
    <w:uiPriority w:val="99"/>
    <w:rPr>
      <w:rFonts w:ascii="宋体" w:hAnsi="Calibri" w:eastAsia="宋体" w:cs="Times New Roman"/>
      <w:kern w:val="0"/>
      <w:sz w:val="24"/>
      <w:szCs w:val="24"/>
    </w:rPr>
  </w:style>
  <w:style w:type="character" w:customStyle="1" w:styleId="148">
    <w:name w:val="eschoolnr"/>
    <w:autoRedefine/>
    <w:qFormat/>
    <w:uiPriority w:val="0"/>
    <w:rPr>
      <w:sz w:val="23"/>
      <w:szCs w:val="23"/>
    </w:rPr>
  </w:style>
  <w:style w:type="character" w:customStyle="1" w:styleId="149">
    <w:name w:val="访问过的超链接1"/>
    <w:autoRedefine/>
    <w:qFormat/>
    <w:uiPriority w:val="0"/>
    <w:rPr>
      <w:rFonts w:ascii="Arial" w:hAnsi="Arial" w:cs="Arial"/>
      <w:color w:val="000000"/>
      <w:sz w:val="20"/>
      <w:szCs w:val="20"/>
      <w:u w:val="none"/>
    </w:rPr>
  </w:style>
  <w:style w:type="character" w:customStyle="1" w:styleId="150">
    <w:name w:val="标题 1 Char1"/>
    <w:link w:val="3"/>
    <w:autoRedefine/>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autoRedefine/>
    <w:semiHidden/>
    <w:qFormat/>
    <w:uiPriority w:val="99"/>
    <w:rPr>
      <w:kern w:val="2"/>
      <w:sz w:val="18"/>
      <w:szCs w:val="18"/>
    </w:rPr>
  </w:style>
  <w:style w:type="character" w:customStyle="1" w:styleId="153">
    <w:name w:val="DAS正文 Char"/>
    <w:autoRedefine/>
    <w:qFormat/>
    <w:uiPriority w:val="0"/>
    <w:rPr>
      <w:rFonts w:ascii="Verdana" w:hAnsi="Verdana" w:eastAsia="宋体"/>
      <w:kern w:val="2"/>
      <w:sz w:val="21"/>
      <w:szCs w:val="21"/>
      <w:lang w:val="en-US" w:eastAsia="zh-CN" w:bidi="ar-SA"/>
    </w:rPr>
  </w:style>
  <w:style w:type="character" w:customStyle="1" w:styleId="154">
    <w:name w:val="正文文本缩进 3 Char"/>
    <w:link w:val="30"/>
    <w:qFormat/>
    <w:uiPriority w:val="0"/>
    <w:rPr>
      <w:rFonts w:ascii="宋体" w:hAnsi="Times New Roman" w:eastAsia="宋体" w:cs="Times New Roman"/>
      <w:kern w:val="0"/>
      <w:sz w:val="24"/>
      <w:szCs w:val="24"/>
    </w:rPr>
  </w:style>
  <w:style w:type="character" w:customStyle="1" w:styleId="155">
    <w:name w:val="页眉 Char"/>
    <w:autoRedefine/>
    <w:qFormat/>
    <w:uiPriority w:val="99"/>
    <w:rPr>
      <w:kern w:val="2"/>
      <w:sz w:val="18"/>
      <w:szCs w:val="18"/>
    </w:rPr>
  </w:style>
  <w:style w:type="character" w:customStyle="1" w:styleId="156">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autoRedefine/>
    <w:qFormat/>
    <w:uiPriority w:val="0"/>
    <w:rPr>
      <w:rFonts w:ascii="宋体"/>
      <w:sz w:val="24"/>
      <w:szCs w:val="24"/>
    </w:rPr>
  </w:style>
  <w:style w:type="paragraph" w:customStyle="1" w:styleId="159">
    <w:name w:val="彩色列表 - 强调文字颜色 11"/>
    <w:basedOn w:val="1"/>
    <w:link w:val="158"/>
    <w:autoRedefine/>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semiHidden/>
    <w:qFormat/>
    <w:uiPriority w:val="99"/>
    <w:rPr>
      <w:rFonts w:hAnsi="Courier New" w:cs="Courier New" w:asciiTheme="minorEastAsia"/>
    </w:rPr>
  </w:style>
  <w:style w:type="character" w:customStyle="1" w:styleId="163">
    <w:name w:val="批注文字 Char2"/>
    <w:basedOn w:val="39"/>
    <w:link w:val="16"/>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39"/>
    <w:qFormat/>
    <w:uiPriority w:val="10"/>
    <w:rPr>
      <w:rFonts w:asciiTheme="majorHAnsi" w:hAnsiTheme="majorHAnsi" w:eastAsiaTheme="majorEastAsia" w:cstheme="majorBidi"/>
      <w:b/>
      <w:bCs/>
      <w:sz w:val="32"/>
      <w:szCs w:val="32"/>
    </w:rPr>
  </w:style>
  <w:style w:type="character" w:customStyle="1" w:styleId="166">
    <w:name w:val="正文文本缩进 字符3"/>
    <w:basedOn w:val="39"/>
    <w:semiHidden/>
    <w:qFormat/>
    <w:uiPriority w:val="99"/>
  </w:style>
  <w:style w:type="character" w:customStyle="1" w:styleId="167">
    <w:name w:val="正文文本 字符4"/>
    <w:basedOn w:val="39"/>
    <w:semiHidden/>
    <w:qFormat/>
    <w:uiPriority w:val="99"/>
  </w:style>
  <w:style w:type="character" w:customStyle="1" w:styleId="168">
    <w:name w:val="正文文本缩进 3 字符2"/>
    <w:basedOn w:val="39"/>
    <w:autoRedefine/>
    <w:semiHidden/>
    <w:qFormat/>
    <w:uiPriority w:val="99"/>
    <w:rPr>
      <w:sz w:val="16"/>
      <w:szCs w:val="16"/>
    </w:rPr>
  </w:style>
  <w:style w:type="character" w:customStyle="1" w:styleId="169">
    <w:name w:val="页眉 字符2"/>
    <w:basedOn w:val="39"/>
    <w:semiHidden/>
    <w:qFormat/>
    <w:uiPriority w:val="99"/>
    <w:rPr>
      <w:sz w:val="18"/>
      <w:szCs w:val="18"/>
    </w:rPr>
  </w:style>
  <w:style w:type="character" w:customStyle="1" w:styleId="170">
    <w:name w:val="批注框文本 字符2"/>
    <w:basedOn w:val="39"/>
    <w:semiHidden/>
    <w:qFormat/>
    <w:uiPriority w:val="99"/>
    <w:rPr>
      <w:sz w:val="18"/>
      <w:szCs w:val="18"/>
    </w:rPr>
  </w:style>
  <w:style w:type="character" w:customStyle="1" w:styleId="171">
    <w:name w:val="HTML 预设格式 字符2"/>
    <w:basedOn w:val="39"/>
    <w:semiHidden/>
    <w:qFormat/>
    <w:uiPriority w:val="99"/>
    <w:rPr>
      <w:rFonts w:ascii="Courier New" w:hAnsi="Courier New" w:cs="Courier New"/>
      <w:sz w:val="20"/>
      <w:szCs w:val="20"/>
    </w:rPr>
  </w:style>
  <w:style w:type="character" w:customStyle="1" w:styleId="172">
    <w:name w:val="页脚 字符2"/>
    <w:basedOn w:val="39"/>
    <w:semiHidden/>
    <w:qFormat/>
    <w:uiPriority w:val="99"/>
    <w:rPr>
      <w:sz w:val="18"/>
      <w:szCs w:val="18"/>
    </w:rPr>
  </w:style>
  <w:style w:type="character" w:customStyle="1" w:styleId="173">
    <w:name w:val="正文文本缩进 2 字符2"/>
    <w:basedOn w:val="39"/>
    <w:semiHidden/>
    <w:qFormat/>
    <w:uiPriority w:val="99"/>
  </w:style>
  <w:style w:type="character" w:customStyle="1" w:styleId="174">
    <w:name w:val="正文文本 3 字符2"/>
    <w:basedOn w:val="39"/>
    <w:semiHidden/>
    <w:qFormat/>
    <w:uiPriority w:val="99"/>
    <w:rPr>
      <w:sz w:val="16"/>
      <w:szCs w:val="16"/>
    </w:rPr>
  </w:style>
  <w:style w:type="character" w:customStyle="1" w:styleId="175">
    <w:name w:val="正文文本 2 字符2"/>
    <w:basedOn w:val="39"/>
    <w:semiHidden/>
    <w:qFormat/>
    <w:uiPriority w:val="99"/>
  </w:style>
  <w:style w:type="paragraph" w:customStyle="1" w:styleId="17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autoRedefine/>
    <w:semiHidden/>
    <w:qFormat/>
    <w:uiPriority w:val="99"/>
    <w:rPr>
      <w:rFonts w:ascii="Microsoft YaHei UI" w:eastAsia="Microsoft YaHei UI"/>
      <w:sz w:val="18"/>
      <w:szCs w:val="18"/>
    </w:rPr>
  </w:style>
  <w:style w:type="character" w:customStyle="1" w:styleId="179">
    <w:name w:val="日期 字符2"/>
    <w:basedOn w:val="39"/>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autoRedefine/>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autoRedefine/>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19"/>
    <w:semiHidden/>
    <w:qFormat/>
    <w:uiPriority w:val="99"/>
    <w:rPr>
      <w:rFonts w:ascii="宋体" w:eastAsia="宋体"/>
      <w:b w:val="0"/>
      <w:bCs w:val="0"/>
      <w:sz w:val="84"/>
      <w:szCs w:val="84"/>
      <w:lang w:val="zh-CN"/>
    </w:rPr>
  </w:style>
  <w:style w:type="paragraph" w:customStyle="1" w:styleId="20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Char1 Char Char Char1 Char Char Char"/>
    <w:basedOn w:val="1"/>
    <w:qFormat/>
    <w:uiPriority w:val="0"/>
    <w:pPr>
      <w:autoSpaceDE/>
      <w:autoSpaceDN/>
      <w:adjustRightInd/>
      <w:spacing w:line="360" w:lineRule="auto"/>
    </w:pPr>
    <w:rPr>
      <w:rFonts w:asci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8825</Words>
  <Characters>9125</Characters>
  <Lines>314</Lines>
  <Paragraphs>88</Paragraphs>
  <TotalTime>1</TotalTime>
  <ScaleCrop>false</ScaleCrop>
  <LinksUpToDate>false</LinksUpToDate>
  <CharactersWithSpaces>9184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严霞</cp:lastModifiedBy>
  <cp:lastPrinted>2025-02-07T07:07:00Z</cp:lastPrinted>
  <dcterms:modified xsi:type="dcterms:W3CDTF">2025-08-29T06:50:12Z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F1F517A5CA864A0087952BADECD18E2C_13</vt:lpwstr>
  </property>
  <property fmtid="{D5CDD505-2E9C-101B-9397-08002B2CF9AE}" pid="4" name="KSOTemplateDocerSaveRecord">
    <vt:lpwstr>eyJoZGlkIjoiMzhlNDRmOTNkZWRhM2UxYjQ4MjE4OTRiMGYwZDk4ZDgiLCJ1c2VySWQiOiI1MTI1NTUxMzQifQ==</vt:lpwstr>
  </property>
</Properties>
</file>